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sz w:val="22"/>
          <w:szCs w:val="22"/>
        </w:rPr>
        <w:id w:val="2050486125"/>
        <w:docPartObj>
          <w:docPartGallery w:val="Cover Pages"/>
          <w:docPartUnique/>
        </w:docPartObj>
      </w:sdtPr>
      <w:sdtEndPr/>
      <w:sdtContent>
        <w:p w14:paraId="2A3CAEB7" w14:textId="77777777" w:rsidR="00851818" w:rsidRDefault="00851818" w:rsidP="00851818">
          <w:pPr>
            <w:pStyle w:val="Frontpage-h3"/>
          </w:pPr>
          <w:r w:rsidRPr="00531E25">
            <w:t>Anglia Ruskin University</w:t>
          </w:r>
        </w:p>
        <w:p w14:paraId="47FA3F94" w14:textId="7EAF682E" w:rsidR="00851818" w:rsidRPr="00531E25" w:rsidRDefault="00851818" w:rsidP="00851818">
          <w:pPr>
            <w:pStyle w:val="Frontpage-h3"/>
          </w:pPr>
          <w:r w:rsidRPr="00531E25">
            <w:t xml:space="preserve">Faculty of Health, Education, </w:t>
          </w:r>
          <w:proofErr w:type="gramStart"/>
          <w:r w:rsidRPr="00531E25">
            <w:t>Medicine</w:t>
          </w:r>
          <w:proofErr w:type="gramEnd"/>
          <w:r w:rsidRPr="00531E25">
            <w:t xml:space="preserve"> and Social Care</w:t>
          </w:r>
        </w:p>
        <w:p w14:paraId="6665F0F9" w14:textId="77777777" w:rsidR="00851818" w:rsidRPr="004874DE" w:rsidRDefault="00851818" w:rsidP="00851818"/>
        <w:p w14:paraId="2F8B8A04" w14:textId="77777777" w:rsidR="00851818" w:rsidRPr="004874DE" w:rsidRDefault="00851818" w:rsidP="00851818"/>
        <w:p w14:paraId="173A7659" w14:textId="77777777" w:rsidR="00851818" w:rsidRDefault="00851818" w:rsidP="00851818">
          <w:pPr>
            <w:pStyle w:val="Frontpage-h1"/>
          </w:pPr>
          <w:r w:rsidRPr="00733819">
            <w:rPr>
              <w:i/>
              <w:iCs/>
            </w:rPr>
            <w:t>Staying Put</w:t>
          </w:r>
          <w:r w:rsidRPr="00531E25">
            <w:t xml:space="preserve">? </w:t>
          </w:r>
        </w:p>
        <w:p w14:paraId="38DB0555" w14:textId="39737973" w:rsidR="00851818" w:rsidRPr="006E3485" w:rsidRDefault="00851818" w:rsidP="00851818">
          <w:pPr>
            <w:pStyle w:val="Frontpage-h1"/>
          </w:pPr>
          <w:r w:rsidRPr="00531E25">
            <w:t xml:space="preserve">An exploration of </w:t>
          </w:r>
          <w:r w:rsidRPr="007612E6">
            <w:t xml:space="preserve">the decisions made by young people leaving </w:t>
          </w:r>
          <w:r w:rsidR="00535659">
            <w:t>foster</w:t>
          </w:r>
          <w:r w:rsidRPr="007612E6">
            <w:t xml:space="preserve"> care</w:t>
          </w:r>
        </w:p>
        <w:p w14:paraId="45684EEB" w14:textId="77777777" w:rsidR="00851818" w:rsidRPr="004874DE" w:rsidRDefault="00851818" w:rsidP="00851818"/>
        <w:p w14:paraId="7F75497F" w14:textId="77777777" w:rsidR="00C53F6A" w:rsidRDefault="00C53F6A" w:rsidP="00851818">
          <w:pPr>
            <w:pStyle w:val="Frontpage-h2"/>
          </w:pPr>
        </w:p>
        <w:p w14:paraId="4E9DEA88" w14:textId="0052B1A2" w:rsidR="00851818" w:rsidRPr="004874DE" w:rsidRDefault="00851818" w:rsidP="00851818">
          <w:pPr>
            <w:pStyle w:val="Frontpage-h2"/>
          </w:pPr>
          <w:r w:rsidRPr="004874DE">
            <w:t>By Sally</w:t>
          </w:r>
          <w:r>
            <w:t xml:space="preserve"> </w:t>
          </w:r>
          <w:r w:rsidRPr="004874DE">
            <w:t>Pritchard</w:t>
          </w:r>
        </w:p>
        <w:p w14:paraId="1B3B4F15" w14:textId="77777777" w:rsidR="00851818" w:rsidRPr="004874DE" w:rsidRDefault="00851818" w:rsidP="00851818"/>
        <w:p w14:paraId="4D558CC7" w14:textId="0DC4CD69" w:rsidR="00851818" w:rsidRDefault="00851818" w:rsidP="00851818"/>
        <w:p w14:paraId="5208EBD7" w14:textId="3B4C87E0" w:rsidR="00851818" w:rsidRDefault="00851818" w:rsidP="00851818"/>
        <w:p w14:paraId="02055E04" w14:textId="77777777" w:rsidR="00851818" w:rsidRPr="004874DE" w:rsidRDefault="00851818" w:rsidP="00851818"/>
        <w:p w14:paraId="00DED763" w14:textId="77777777" w:rsidR="00C53F6A" w:rsidRDefault="00C53F6A" w:rsidP="00851818">
          <w:pPr>
            <w:pStyle w:val="Frontpage-h3"/>
          </w:pPr>
        </w:p>
        <w:p w14:paraId="28FDBF84" w14:textId="77777777" w:rsidR="00C53F6A" w:rsidRDefault="00C53F6A" w:rsidP="00851818">
          <w:pPr>
            <w:pStyle w:val="Frontpage-h3"/>
          </w:pPr>
        </w:p>
        <w:p w14:paraId="5246C725" w14:textId="77777777" w:rsidR="00C53F6A" w:rsidRDefault="00C53F6A" w:rsidP="00851818">
          <w:pPr>
            <w:pStyle w:val="Frontpage-h3"/>
          </w:pPr>
        </w:p>
        <w:p w14:paraId="66069851" w14:textId="29A8F835" w:rsidR="00851818" w:rsidRDefault="00851818" w:rsidP="00851818">
          <w:pPr>
            <w:pStyle w:val="Frontpage-h3"/>
          </w:pPr>
          <w:r w:rsidRPr="004874DE">
            <w:t xml:space="preserve">A thesis in partial fulfilment of the requirements of </w:t>
          </w:r>
        </w:p>
        <w:p w14:paraId="260E3617" w14:textId="77777777" w:rsidR="00851818" w:rsidRPr="004874DE" w:rsidRDefault="00851818" w:rsidP="00851818">
          <w:pPr>
            <w:pStyle w:val="Frontpage-h3"/>
          </w:pPr>
          <w:r w:rsidRPr="004874DE">
            <w:t>Anglia Ruskin University for the degree of</w:t>
          </w:r>
          <w:r>
            <w:t xml:space="preserve"> </w:t>
          </w:r>
          <w:r w:rsidRPr="004874DE">
            <w:t>Professional Doctorate</w:t>
          </w:r>
          <w:r>
            <w:t xml:space="preserve"> in Health and Social Care</w:t>
          </w:r>
          <w:r w:rsidRPr="004874DE">
            <w:t xml:space="preserve"> </w:t>
          </w:r>
        </w:p>
        <w:p w14:paraId="0A3DE1F5" w14:textId="77777777" w:rsidR="00851818" w:rsidRPr="004874DE" w:rsidRDefault="00851818" w:rsidP="00851818">
          <w:pPr>
            <w:pStyle w:val="Frontpage-h2"/>
          </w:pPr>
        </w:p>
        <w:p w14:paraId="03122011" w14:textId="77777777" w:rsidR="00851818" w:rsidRPr="004874DE" w:rsidRDefault="00851818" w:rsidP="00851818">
          <w:pPr>
            <w:pStyle w:val="Frontpage-h3"/>
          </w:pPr>
          <w:r w:rsidRPr="004874DE">
            <w:t>Submitted August 2021</w:t>
          </w:r>
        </w:p>
        <w:p w14:paraId="7A1D3C01" w14:textId="0C98E271" w:rsidR="00851818" w:rsidRDefault="00851818">
          <w:pPr>
            <w:spacing w:after="0" w:line="240" w:lineRule="auto"/>
          </w:pPr>
          <w:r>
            <w:br w:type="page"/>
          </w:r>
        </w:p>
      </w:sdtContent>
    </w:sdt>
    <w:p w14:paraId="0C8FB093" w14:textId="04D3C397" w:rsidR="00AC5306" w:rsidRPr="00231363" w:rsidRDefault="00082B4D" w:rsidP="00231363">
      <w:pPr>
        <w:pStyle w:val="AcknowledgementsTitle"/>
      </w:pPr>
      <w:r w:rsidRPr="00231363">
        <w:lastRenderedPageBreak/>
        <w:t>Acknowledgements</w:t>
      </w:r>
    </w:p>
    <w:p w14:paraId="301AF7BF" w14:textId="4CF09EBD" w:rsidR="00082B4D" w:rsidRDefault="006E7D0D" w:rsidP="00082B4D">
      <w:r>
        <w:t xml:space="preserve">I am indebted to </w:t>
      </w:r>
      <w:r w:rsidR="00082B4D">
        <w:t xml:space="preserve">the young people who contributed their time, </w:t>
      </w:r>
      <w:proofErr w:type="gramStart"/>
      <w:r w:rsidR="00082B4D">
        <w:t>ideas</w:t>
      </w:r>
      <w:proofErr w:type="gramEnd"/>
      <w:r w:rsidR="00082B4D">
        <w:t xml:space="preserve"> and experiences. I found your willingness to talk and reflect on your lives</w:t>
      </w:r>
      <w:r w:rsidR="00F766F6">
        <w:t xml:space="preserve"> both </w:t>
      </w:r>
      <w:r w:rsidR="00082B4D">
        <w:t xml:space="preserve">inspiring and at times challenging. I would also like to thank the participating local authorities, who gave me time and support without any conditions attached. </w:t>
      </w:r>
    </w:p>
    <w:p w14:paraId="4C820F1C" w14:textId="0742DBBB" w:rsidR="00082B4D" w:rsidRDefault="00082B4D" w:rsidP="00082B4D">
      <w:r>
        <w:t xml:space="preserve">Completing this thesis during a pandemic was not </w:t>
      </w:r>
      <w:r w:rsidR="0075739E">
        <w:t>straightforward</w:t>
      </w:r>
      <w:r>
        <w:t xml:space="preserve"> and I </w:t>
      </w:r>
      <w:r w:rsidR="006E7D0D">
        <w:t>give particular thanks</w:t>
      </w:r>
      <w:r>
        <w:t xml:space="preserve"> to a few people for their unwavering support and guidance. To </w:t>
      </w:r>
      <w:r w:rsidR="002F36D4">
        <w:t xml:space="preserve">Dr </w:t>
      </w:r>
      <w:r w:rsidR="0075739E">
        <w:t>Jane</w:t>
      </w:r>
      <w:r w:rsidR="002F36D4">
        <w:t xml:space="preserve"> </w:t>
      </w:r>
      <w:r w:rsidR="0056790A">
        <w:t>Ellis, Professor</w:t>
      </w:r>
      <w:r w:rsidR="002F36D4">
        <w:t xml:space="preserve"> </w:t>
      </w:r>
      <w:r>
        <w:t>Ruth</w:t>
      </w:r>
      <w:r w:rsidR="002F36D4">
        <w:t xml:space="preserve"> Taylor</w:t>
      </w:r>
      <w:r>
        <w:t xml:space="preserve"> and latterly </w:t>
      </w:r>
      <w:r w:rsidR="002F36D4">
        <w:t xml:space="preserve">Dr </w:t>
      </w:r>
      <w:r>
        <w:t>Sarah</w:t>
      </w:r>
      <w:r w:rsidR="002F36D4">
        <w:t xml:space="preserve"> Burch</w:t>
      </w:r>
      <w:r>
        <w:t xml:space="preserve"> you have been a brilliant supervisory team</w:t>
      </w:r>
      <w:r w:rsidR="006E7D0D">
        <w:t>. Y</w:t>
      </w:r>
      <w:r>
        <w:t xml:space="preserve">our experience, </w:t>
      </w:r>
      <w:r w:rsidR="006E7D0D">
        <w:t>knowledge</w:t>
      </w:r>
      <w:r w:rsidR="00F766F6">
        <w:t xml:space="preserve"> and</w:t>
      </w:r>
      <w:r w:rsidR="006E7D0D">
        <w:t xml:space="preserve"> </w:t>
      </w:r>
      <w:r w:rsidR="008B32F5">
        <w:t>encouragement</w:t>
      </w:r>
      <w:r>
        <w:t xml:space="preserve"> </w:t>
      </w:r>
      <w:r w:rsidR="006E7D0D">
        <w:t>ha</w:t>
      </w:r>
      <w:r w:rsidR="00480CFB">
        <w:t>ve</w:t>
      </w:r>
      <w:r w:rsidR="006E7D0D">
        <w:t xml:space="preserve"> been invaluable</w:t>
      </w:r>
      <w:r w:rsidR="00F766F6">
        <w:t xml:space="preserve"> to me</w:t>
      </w:r>
      <w:r>
        <w:t xml:space="preserve">. </w:t>
      </w:r>
      <w:r w:rsidR="0075739E">
        <w:t>To m</w:t>
      </w:r>
      <w:r>
        <w:t>y friends</w:t>
      </w:r>
      <w:r w:rsidR="0075739E">
        <w:t xml:space="preserve"> who have</w:t>
      </w:r>
      <w:r w:rsidR="003D1373">
        <w:t xml:space="preserve"> </w:t>
      </w:r>
      <w:r w:rsidR="0075739E">
        <w:t>listened</w:t>
      </w:r>
      <w:r w:rsidR="008B32F5">
        <w:t>,</w:t>
      </w:r>
      <w:r w:rsidR="0075739E">
        <w:t xml:space="preserve"> </w:t>
      </w:r>
      <w:r w:rsidR="00997208">
        <w:t>distracted,</w:t>
      </w:r>
      <w:r w:rsidR="008B32F5">
        <w:t xml:space="preserve"> or </w:t>
      </w:r>
      <w:r w:rsidR="0075739E">
        <w:t>avoided me</w:t>
      </w:r>
      <w:r w:rsidR="003D1373">
        <w:t xml:space="preserve"> when needed</w:t>
      </w:r>
      <w:r w:rsidR="00F766F6">
        <w:t>, and</w:t>
      </w:r>
      <w:r w:rsidR="006E7D0D">
        <w:t xml:space="preserve"> </w:t>
      </w:r>
      <w:r w:rsidR="003D1373">
        <w:t>to Jacqui, Marina</w:t>
      </w:r>
      <w:r w:rsidR="006E7D0D">
        <w:t xml:space="preserve"> and Peter</w:t>
      </w:r>
      <w:r w:rsidR="003D1373">
        <w:t xml:space="preserve"> for </w:t>
      </w:r>
      <w:r w:rsidR="00F766F6">
        <w:t xml:space="preserve">thoughtful </w:t>
      </w:r>
      <w:r w:rsidR="003D1373">
        <w:t>draft reading and regular pep talks.</w:t>
      </w:r>
      <w:r w:rsidR="00191AB1">
        <w:t xml:space="preserve"> </w:t>
      </w:r>
      <w:r w:rsidR="00312942">
        <w:t xml:space="preserve">A special thank you to Harry Venning, who </w:t>
      </w:r>
      <w:r w:rsidR="00CB0BE9">
        <w:t xml:space="preserve">illustrated </w:t>
      </w:r>
      <w:r w:rsidR="001319C5">
        <w:t xml:space="preserve">aspects </w:t>
      </w:r>
      <w:r w:rsidR="00F77725">
        <w:t xml:space="preserve">of my </w:t>
      </w:r>
      <w:r w:rsidR="00CB0BE9">
        <w:t>work</w:t>
      </w:r>
      <w:r w:rsidR="00F77725">
        <w:t xml:space="preserve"> </w:t>
      </w:r>
      <w:r w:rsidR="003C6B56">
        <w:t xml:space="preserve">at </w:t>
      </w:r>
      <w:r w:rsidR="00F77725">
        <w:t xml:space="preserve">a </w:t>
      </w:r>
      <w:r w:rsidR="00CB0BE9">
        <w:t xml:space="preserve">conference </w:t>
      </w:r>
      <w:proofErr w:type="gramStart"/>
      <w:r w:rsidR="00F77725">
        <w:t>presentation</w:t>
      </w:r>
      <w:r w:rsidR="00920CA5">
        <w:t xml:space="preserve">, </w:t>
      </w:r>
      <w:r w:rsidR="003C6B56">
        <w:t>and</w:t>
      </w:r>
      <w:proofErr w:type="gramEnd"/>
      <w:r w:rsidR="003C6B56">
        <w:t xml:space="preserve"> has </w:t>
      </w:r>
      <w:r w:rsidR="00F77725">
        <w:t xml:space="preserve">kindly </w:t>
      </w:r>
      <w:r w:rsidR="002924CB">
        <w:t>allowed</w:t>
      </w:r>
      <w:r w:rsidR="00F77725">
        <w:t xml:space="preserve"> me </w:t>
      </w:r>
      <w:r w:rsidR="002924CB">
        <w:t xml:space="preserve">to </w:t>
      </w:r>
      <w:r w:rsidR="00F77725">
        <w:t>includ</w:t>
      </w:r>
      <w:r w:rsidR="002924CB">
        <w:t>e</w:t>
      </w:r>
      <w:r w:rsidR="00F77725">
        <w:t xml:space="preserve"> his </w:t>
      </w:r>
      <w:r w:rsidR="003C6B56">
        <w:t>drawings</w:t>
      </w:r>
      <w:r w:rsidR="00CB0BE9">
        <w:t xml:space="preserve"> </w:t>
      </w:r>
      <w:r w:rsidR="00920CA5">
        <w:t>in my final thesis</w:t>
      </w:r>
      <w:r w:rsidR="00F77725">
        <w:t>.</w:t>
      </w:r>
    </w:p>
    <w:p w14:paraId="4253DAEA" w14:textId="043F1FC9" w:rsidR="00082B4D" w:rsidRDefault="0075739E" w:rsidP="00082B4D">
      <w:r>
        <w:t>Finally,</w:t>
      </w:r>
      <w:r w:rsidR="006E7D0D">
        <w:t xml:space="preserve"> to my partner Isaac, </w:t>
      </w:r>
      <w:r>
        <w:t>thank you</w:t>
      </w:r>
      <w:r w:rsidR="00F766F6">
        <w:t xml:space="preserve"> for everything</w:t>
      </w:r>
      <w:r>
        <w:t>.</w:t>
      </w:r>
    </w:p>
    <w:p w14:paraId="5B397A67" w14:textId="752F42F9" w:rsidR="009E444D" w:rsidRDefault="00082B4D" w:rsidP="00082B4D">
      <w:r>
        <w:t xml:space="preserve">This piece of work is dedicated to my gran, Alice Ada Pritchard, my greatest and most precious cheerleader. She would have </w:t>
      </w:r>
      <w:r w:rsidR="003D1373">
        <w:t xml:space="preserve">been thrilled about </w:t>
      </w:r>
      <w:r>
        <w:t>me doing this.</w:t>
      </w:r>
    </w:p>
    <w:p w14:paraId="76541DAD" w14:textId="77777777" w:rsidR="009E444D" w:rsidRDefault="009E444D">
      <w:r>
        <w:br w:type="page"/>
      </w:r>
    </w:p>
    <w:p w14:paraId="4EEDDD8E" w14:textId="2A5358A9" w:rsidR="00DA2190" w:rsidRDefault="004874DE" w:rsidP="006E3485">
      <w:pPr>
        <w:pStyle w:val="Abstractheadings"/>
      </w:pPr>
      <w:r>
        <w:lastRenderedPageBreak/>
        <w:t>ANGLIA RUSKIN UNIVERSITY</w:t>
      </w:r>
    </w:p>
    <w:p w14:paraId="5A7D260F" w14:textId="77777777" w:rsidR="00C3022D" w:rsidRDefault="00C3022D" w:rsidP="006E3485">
      <w:pPr>
        <w:pStyle w:val="Abstractheadings"/>
      </w:pPr>
    </w:p>
    <w:p w14:paraId="544D390B" w14:textId="0E29F60D" w:rsidR="004874DE" w:rsidRDefault="004874DE" w:rsidP="006E3485">
      <w:pPr>
        <w:pStyle w:val="Abstractheadings"/>
      </w:pPr>
      <w:r>
        <w:t>ABSTRACT</w:t>
      </w:r>
    </w:p>
    <w:p w14:paraId="7AD11A13" w14:textId="77777777" w:rsidR="00C3022D" w:rsidRDefault="00C3022D" w:rsidP="006E3485">
      <w:pPr>
        <w:pStyle w:val="Abstractheadings"/>
      </w:pPr>
    </w:p>
    <w:p w14:paraId="500D7268" w14:textId="2E7280F5" w:rsidR="004874DE" w:rsidRDefault="004874DE" w:rsidP="006E3485">
      <w:pPr>
        <w:pStyle w:val="Abstractheadings"/>
      </w:pPr>
      <w:r>
        <w:t xml:space="preserve">FACULTY OF HEALTH, EDUCATION, </w:t>
      </w:r>
      <w:proofErr w:type="gramStart"/>
      <w:r>
        <w:t>MEDICINE</w:t>
      </w:r>
      <w:proofErr w:type="gramEnd"/>
      <w:r>
        <w:t xml:space="preserve"> AND SOCIAL CARE</w:t>
      </w:r>
    </w:p>
    <w:p w14:paraId="79C9F86A" w14:textId="77777777" w:rsidR="00EA7B33" w:rsidRDefault="00EA7B33" w:rsidP="006E3485">
      <w:pPr>
        <w:pStyle w:val="Abstractheadings"/>
      </w:pPr>
    </w:p>
    <w:p w14:paraId="7469794B" w14:textId="63222DB7" w:rsidR="004874DE" w:rsidRDefault="004874DE" w:rsidP="006E3485">
      <w:pPr>
        <w:pStyle w:val="Abstractheadings"/>
      </w:pPr>
      <w:r>
        <w:t>PROFESSIONAL DOCTORATE</w:t>
      </w:r>
    </w:p>
    <w:p w14:paraId="3140B4E6" w14:textId="77777777" w:rsidR="00EA7B33" w:rsidRDefault="00EA7B33" w:rsidP="006E3485">
      <w:pPr>
        <w:pStyle w:val="Abstractheadings"/>
      </w:pPr>
    </w:p>
    <w:p w14:paraId="2F850005" w14:textId="098BC371" w:rsidR="004874DE" w:rsidRDefault="004874DE" w:rsidP="006E3485">
      <w:pPr>
        <w:pStyle w:val="Abstractheadings"/>
      </w:pPr>
      <w:r w:rsidRPr="00733819">
        <w:t>Staying Put</w:t>
      </w:r>
      <w:r w:rsidRPr="004874DE">
        <w:t xml:space="preserve">? An exploration of the decisions made by young people leaving </w:t>
      </w:r>
      <w:r w:rsidR="00535659">
        <w:t>foster</w:t>
      </w:r>
      <w:r w:rsidRPr="004874DE">
        <w:t xml:space="preserve"> care</w:t>
      </w:r>
    </w:p>
    <w:p w14:paraId="3E964EC5" w14:textId="77777777" w:rsidR="00EA7B33" w:rsidRPr="004874DE" w:rsidRDefault="00EA7B33" w:rsidP="006E3485">
      <w:pPr>
        <w:pStyle w:val="Abstractheadings"/>
      </w:pPr>
    </w:p>
    <w:p w14:paraId="15DA91A7" w14:textId="2758A29A" w:rsidR="004874DE" w:rsidRDefault="004874DE" w:rsidP="006E3485">
      <w:pPr>
        <w:pStyle w:val="Abstractheadings"/>
      </w:pPr>
      <w:r w:rsidRPr="004874DE">
        <w:t>Sally Pritchard</w:t>
      </w:r>
    </w:p>
    <w:p w14:paraId="0E62A8EB" w14:textId="77777777" w:rsidR="00EA7B33" w:rsidRPr="004874DE" w:rsidRDefault="00EA7B33" w:rsidP="006E3485">
      <w:pPr>
        <w:pStyle w:val="Abstractheadings"/>
      </w:pPr>
    </w:p>
    <w:p w14:paraId="7D12621F" w14:textId="16597584" w:rsidR="004874DE" w:rsidRDefault="004874DE" w:rsidP="00C3022D">
      <w:pPr>
        <w:jc w:val="center"/>
      </w:pPr>
      <w:r w:rsidRPr="004874DE">
        <w:t>August 2021</w:t>
      </w:r>
    </w:p>
    <w:p w14:paraId="7987276D" w14:textId="7EBF5F36" w:rsidR="003E1E6D" w:rsidRPr="00AE5C64" w:rsidRDefault="003E1E6D" w:rsidP="006E3485">
      <w:pPr>
        <w:pStyle w:val="Abstract"/>
      </w:pPr>
      <w:r>
        <w:t>This study focuses on the experience of decision</w:t>
      </w:r>
      <w:r w:rsidR="00C86002">
        <w:t>-</w:t>
      </w:r>
      <w:r>
        <w:t xml:space="preserve">making by young people leaving care, specifically </w:t>
      </w:r>
      <w:proofErr w:type="gramStart"/>
      <w:r>
        <w:t>whether or not</w:t>
      </w:r>
      <w:proofErr w:type="gramEnd"/>
      <w:r>
        <w:t xml:space="preserve"> they remain with their foster carers under a </w:t>
      </w:r>
      <w:r w:rsidRPr="008D25C7">
        <w:rPr>
          <w:i/>
          <w:iCs/>
        </w:rPr>
        <w:t>Staying Put</w:t>
      </w:r>
      <w:r>
        <w:t xml:space="preserve"> arrangement. The </w:t>
      </w:r>
      <w:r w:rsidRPr="008D25C7">
        <w:rPr>
          <w:i/>
          <w:iCs/>
        </w:rPr>
        <w:t>Staying Put</w:t>
      </w:r>
      <w:r>
        <w:t xml:space="preserve"> </w:t>
      </w:r>
      <w:r w:rsidR="00CA0AF8">
        <w:t>duty</w:t>
      </w:r>
      <w:r>
        <w:t xml:space="preserve"> was introduced to delay the premature transition from foster care, identified as a contributory factor to poorer life chances for young people leaving care (D</w:t>
      </w:r>
      <w:r w:rsidR="00CA0AF8">
        <w:t>epartment for Education</w:t>
      </w:r>
      <w:r>
        <w:t xml:space="preserve">, 2016). </w:t>
      </w:r>
      <w:r w:rsidR="00535659">
        <w:t>This</w:t>
      </w:r>
      <w:r>
        <w:t xml:space="preserve"> qualitative study us</w:t>
      </w:r>
      <w:r w:rsidR="00535659">
        <w:t>ed</w:t>
      </w:r>
      <w:r>
        <w:t xml:space="preserve"> a Foucauldian lens to explore </w:t>
      </w:r>
      <w:r w:rsidR="00154868">
        <w:t xml:space="preserve">the operation of power in </w:t>
      </w:r>
      <w:r>
        <w:t>two aspects of the care experience: the act of decision</w:t>
      </w:r>
      <w:r w:rsidR="00C86002">
        <w:t>-</w:t>
      </w:r>
      <w:r>
        <w:t xml:space="preserve"> making and transitioning out of foster care. Semi-structured interviews were carried out across two local authorities with ten young people</w:t>
      </w:r>
      <w:r w:rsidR="00154868">
        <w:t xml:space="preserve"> to </w:t>
      </w:r>
      <w:r w:rsidR="00535659">
        <w:t>examine</w:t>
      </w:r>
      <w:r w:rsidR="00154868">
        <w:t>: h</w:t>
      </w:r>
      <w:r w:rsidR="00154868" w:rsidRPr="00154868">
        <w:t xml:space="preserve">ow much influence does the young person feel they have in making the decision to </w:t>
      </w:r>
      <w:r w:rsidR="00154868">
        <w:t>s</w:t>
      </w:r>
      <w:r w:rsidR="00154868" w:rsidRPr="00154868">
        <w:t xml:space="preserve">tay </w:t>
      </w:r>
      <w:r w:rsidR="00154868">
        <w:t>p</w:t>
      </w:r>
      <w:r w:rsidR="00154868" w:rsidRPr="00154868">
        <w:t>ut or not</w:t>
      </w:r>
      <w:r w:rsidR="00154868">
        <w:t>, w</w:t>
      </w:r>
      <w:r w:rsidR="00227512">
        <w:t xml:space="preserve">hich factors inform and influence this </w:t>
      </w:r>
      <w:r w:rsidR="00154868">
        <w:t>decision, and w</w:t>
      </w:r>
      <w:r w:rsidR="00227512">
        <w:t>hat are the</w:t>
      </w:r>
      <w:r w:rsidR="00154868">
        <w:t xml:space="preserve"> young people’s</w:t>
      </w:r>
      <w:r w:rsidR="00227512">
        <w:t xml:space="preserve"> thoughts and feelings about making this decision? </w:t>
      </w:r>
      <w:r w:rsidRPr="00AE5C64">
        <w:t xml:space="preserve">Constructivist thematic analysis was employed to analyse the accounts of the young people.  </w:t>
      </w:r>
    </w:p>
    <w:p w14:paraId="18718BA5" w14:textId="77777777" w:rsidR="003E1E6D" w:rsidRDefault="003E1E6D" w:rsidP="006E3485">
      <w:pPr>
        <w:pStyle w:val="Abstract"/>
      </w:pPr>
    </w:p>
    <w:p w14:paraId="5706E526" w14:textId="40AA78E0" w:rsidR="003E1E6D" w:rsidRPr="00687970" w:rsidRDefault="003E1E6D" w:rsidP="006E3485">
      <w:pPr>
        <w:pStyle w:val="Abstract"/>
        <w:rPr>
          <w:i/>
          <w:iCs/>
        </w:rPr>
      </w:pPr>
      <w:r>
        <w:t>Whilst young people had varied experiences, three main themes were identified. Firs</w:t>
      </w:r>
      <w:r w:rsidR="00535659">
        <w:t>t</w:t>
      </w:r>
      <w:r w:rsidR="004627C1">
        <w:t>,</w:t>
      </w:r>
      <w:r>
        <w:t xml:space="preserve"> </w:t>
      </w:r>
      <w:r w:rsidR="00C86002">
        <w:t xml:space="preserve">how young people’s agency was situated </w:t>
      </w:r>
      <w:r w:rsidR="00A42078">
        <w:t>depending on t</w:t>
      </w:r>
      <w:r w:rsidR="009872D4">
        <w:t>he t</w:t>
      </w:r>
      <w:r w:rsidR="00A42078">
        <w:t>ype of decision and opportunity for participation</w:t>
      </w:r>
      <w:r w:rsidR="00D0445C">
        <w:t xml:space="preserve">, </w:t>
      </w:r>
      <w:r>
        <w:t>highlight</w:t>
      </w:r>
      <w:r w:rsidR="00D0445C">
        <w:t>ing</w:t>
      </w:r>
      <w:r>
        <w:t xml:space="preserve"> how </w:t>
      </w:r>
      <w:r w:rsidR="00A42078">
        <w:t xml:space="preserve">social work practice </w:t>
      </w:r>
      <w:r>
        <w:t>shape</w:t>
      </w:r>
      <w:r w:rsidR="009872D4">
        <w:t>s</w:t>
      </w:r>
      <w:r>
        <w:t xml:space="preserve"> young pe</w:t>
      </w:r>
      <w:r w:rsidR="00A42078">
        <w:t xml:space="preserve">ople’s decision-making about </w:t>
      </w:r>
      <w:r w:rsidR="00A42078" w:rsidRPr="00A42078">
        <w:rPr>
          <w:i/>
          <w:iCs/>
        </w:rPr>
        <w:t>Staying Put</w:t>
      </w:r>
      <w:r w:rsidR="00A42078">
        <w:t xml:space="preserve">. </w:t>
      </w:r>
      <w:r>
        <w:t>The second theme reflect</w:t>
      </w:r>
      <w:r w:rsidR="00235135">
        <w:t>ed</w:t>
      </w:r>
      <w:r>
        <w:t xml:space="preserve"> the </w:t>
      </w:r>
      <w:r w:rsidR="00A42078">
        <w:t>misaligned relationships, information and support that impact</w:t>
      </w:r>
      <w:r w:rsidR="00235135">
        <w:t>ed</w:t>
      </w:r>
      <w:r w:rsidR="00A42078">
        <w:t xml:space="preserve"> on the young person’s decision-making about </w:t>
      </w:r>
      <w:r w:rsidR="00A42078" w:rsidRPr="00A42078">
        <w:rPr>
          <w:i/>
          <w:iCs/>
        </w:rPr>
        <w:t>Staying Put</w:t>
      </w:r>
      <w:r>
        <w:t xml:space="preserve">. Third, the study identified </w:t>
      </w:r>
      <w:r w:rsidR="00A42078">
        <w:t xml:space="preserve">the impact of transforming familial </w:t>
      </w:r>
      <w:r w:rsidR="00687970">
        <w:t>relationships</w:t>
      </w:r>
      <w:r w:rsidR="00A42078">
        <w:t xml:space="preserve"> in foster care through the </w:t>
      </w:r>
      <w:r w:rsidR="00687970">
        <w:t xml:space="preserve">operation of </w:t>
      </w:r>
      <w:r w:rsidR="00687970" w:rsidRPr="00687970">
        <w:rPr>
          <w:i/>
          <w:iCs/>
        </w:rPr>
        <w:t>Staying Put</w:t>
      </w:r>
      <w:r w:rsidR="00687970">
        <w:rPr>
          <w:i/>
          <w:iCs/>
        </w:rPr>
        <w:t xml:space="preserve">. </w:t>
      </w:r>
      <w:r w:rsidR="00903E0A" w:rsidRPr="004F07D5">
        <w:t xml:space="preserve">Throughout, </w:t>
      </w:r>
      <w:r w:rsidR="00923695">
        <w:t>e</w:t>
      </w:r>
      <w:r w:rsidR="00903E0A" w:rsidRPr="004F07D5">
        <w:t xml:space="preserve">mphasis was placed on the way power operates in social work interactions using </w:t>
      </w:r>
      <w:r w:rsidR="00687970" w:rsidRPr="004F07D5">
        <w:t xml:space="preserve">Foucault’s </w:t>
      </w:r>
      <w:r w:rsidR="004F07D5" w:rsidRPr="004F07D5">
        <w:t xml:space="preserve">concepts of </w:t>
      </w:r>
      <w:r w:rsidR="00355717">
        <w:t>power</w:t>
      </w:r>
      <w:r w:rsidR="00A113CD">
        <w:t xml:space="preserve">, </w:t>
      </w:r>
      <w:r w:rsidR="004F07D5" w:rsidRPr="004F07D5">
        <w:t>discourse</w:t>
      </w:r>
      <w:r w:rsidR="00A113CD">
        <w:t xml:space="preserve"> and </w:t>
      </w:r>
      <w:r w:rsidR="004F07D5" w:rsidRPr="004F07D5">
        <w:t xml:space="preserve">subject </w:t>
      </w:r>
      <w:r w:rsidR="00903E0A" w:rsidRPr="004F07D5">
        <w:t>to explore decision</w:t>
      </w:r>
      <w:r w:rsidR="00687970" w:rsidRPr="004F07D5">
        <w:t>-</w:t>
      </w:r>
      <w:r w:rsidR="00903E0A" w:rsidRPr="004F07D5">
        <w:t xml:space="preserve">making in the application of </w:t>
      </w:r>
      <w:r w:rsidR="00923695">
        <w:t xml:space="preserve">the </w:t>
      </w:r>
      <w:r w:rsidR="00903E0A" w:rsidRPr="004F07D5">
        <w:rPr>
          <w:i/>
          <w:iCs/>
        </w:rPr>
        <w:t>Staying Put</w:t>
      </w:r>
      <w:r w:rsidR="00923695">
        <w:rPr>
          <w:i/>
          <w:iCs/>
        </w:rPr>
        <w:t xml:space="preserve"> </w:t>
      </w:r>
      <w:r w:rsidR="00923695" w:rsidRPr="00923695">
        <w:t>duty</w:t>
      </w:r>
      <w:r w:rsidR="00903E0A" w:rsidRPr="00923695">
        <w:t>.</w:t>
      </w:r>
      <w:r w:rsidR="00903E0A">
        <w:t xml:space="preserve"> </w:t>
      </w:r>
    </w:p>
    <w:p w14:paraId="78F60C7D" w14:textId="77777777" w:rsidR="003E1E6D" w:rsidRDefault="003E1E6D" w:rsidP="006E3485">
      <w:pPr>
        <w:pStyle w:val="Abstract"/>
      </w:pPr>
    </w:p>
    <w:p w14:paraId="124A0E06" w14:textId="10788AE6" w:rsidR="003E1E6D" w:rsidRDefault="003E1E6D" w:rsidP="006E3485">
      <w:pPr>
        <w:pStyle w:val="Abstract"/>
      </w:pPr>
      <w:r>
        <w:t>Recommendations include</w:t>
      </w:r>
      <w:r w:rsidR="00235135">
        <w:t xml:space="preserve"> </w:t>
      </w:r>
      <w:r>
        <w:t xml:space="preserve">greater openness, </w:t>
      </w:r>
      <w:r w:rsidR="00235135">
        <w:t>empathy,</w:t>
      </w:r>
      <w:r>
        <w:t xml:space="preserve"> and involvement by professionals to help young people navigate </w:t>
      </w:r>
      <w:r w:rsidR="00687970">
        <w:t>their decision-making</w:t>
      </w:r>
      <w:r w:rsidR="00923695">
        <w:t xml:space="preserve"> and the importance of being</w:t>
      </w:r>
      <w:r>
        <w:t xml:space="preserve"> supported by knowledgeable adults</w:t>
      </w:r>
      <w:r w:rsidR="00687970">
        <w:t xml:space="preserve"> who </w:t>
      </w:r>
      <w:r>
        <w:t>explain future possibilities</w:t>
      </w:r>
      <w:r w:rsidR="00923695">
        <w:t xml:space="preserve">. </w:t>
      </w:r>
      <w:r w:rsidR="00AB7E80">
        <w:t>The need to have</w:t>
      </w:r>
      <w:r w:rsidR="008377CB">
        <w:t xml:space="preserve"> d</w:t>
      </w:r>
      <w:r>
        <w:t>iscussions about leaving car</w:t>
      </w:r>
      <w:r w:rsidR="00AB7E80">
        <w:t xml:space="preserve">e </w:t>
      </w:r>
      <w:r>
        <w:t xml:space="preserve">earlier and in a more supportive way. Preparation for independence needs to be more comprehensive and </w:t>
      </w:r>
      <w:r w:rsidR="00D91FD9">
        <w:t>s</w:t>
      </w:r>
      <w:r>
        <w:t xml:space="preserve">ocial </w:t>
      </w:r>
      <w:r w:rsidR="00D91FD9">
        <w:t>w</w:t>
      </w:r>
      <w:r>
        <w:t xml:space="preserve">orkers and foster carers should address </w:t>
      </w:r>
      <w:r w:rsidRPr="00687970">
        <w:rPr>
          <w:i/>
          <w:iCs/>
        </w:rPr>
        <w:t>Staying Put</w:t>
      </w:r>
      <w:r>
        <w:t xml:space="preserve"> </w:t>
      </w:r>
      <w:r w:rsidRPr="001319C5">
        <w:t xml:space="preserve">earlier, ensuring young people are provided with an explanation if they are not able to stay. </w:t>
      </w:r>
      <w:r w:rsidR="008377CB" w:rsidRPr="001319C5">
        <w:t xml:space="preserve">In </w:t>
      </w:r>
      <w:r w:rsidR="00BA4757" w:rsidRPr="001319C5">
        <w:t>addition,</w:t>
      </w:r>
      <w:r w:rsidR="008377CB" w:rsidRPr="001319C5">
        <w:t xml:space="preserve"> </w:t>
      </w:r>
      <w:r w:rsidR="00BA4757" w:rsidRPr="001319C5">
        <w:t xml:space="preserve">a talking point is raised about the premise of </w:t>
      </w:r>
      <w:r w:rsidR="00BA4757" w:rsidRPr="001319C5">
        <w:rPr>
          <w:i/>
          <w:iCs/>
        </w:rPr>
        <w:t>Staying Put</w:t>
      </w:r>
      <w:r w:rsidR="00BA4757" w:rsidRPr="001319C5">
        <w:t xml:space="preserve"> </w:t>
      </w:r>
      <w:proofErr w:type="gramStart"/>
      <w:r w:rsidR="00BA4757" w:rsidRPr="001319C5">
        <w:t>as a way to</w:t>
      </w:r>
      <w:proofErr w:type="gramEnd"/>
      <w:r w:rsidR="00BA4757" w:rsidRPr="001319C5">
        <w:t xml:space="preserve"> support young people. </w:t>
      </w:r>
      <w:r w:rsidR="00687970" w:rsidRPr="001319C5">
        <w:t xml:space="preserve">This study contributes to existing knowledge about young people’s decision-making, </w:t>
      </w:r>
      <w:r w:rsidR="00687970" w:rsidRPr="001319C5">
        <w:rPr>
          <w:i/>
          <w:iCs/>
        </w:rPr>
        <w:t>Staying Put</w:t>
      </w:r>
      <w:r w:rsidR="00687970">
        <w:t xml:space="preserve"> and leaving care. </w:t>
      </w:r>
    </w:p>
    <w:p w14:paraId="0BBFCD04" w14:textId="5828D9B5" w:rsidR="004874DE" w:rsidRDefault="004874DE" w:rsidP="006E3485">
      <w:pPr>
        <w:pStyle w:val="Abstract"/>
      </w:pPr>
    </w:p>
    <w:p w14:paraId="3234EAFE" w14:textId="37E60AA2" w:rsidR="00687970" w:rsidRDefault="004874DE" w:rsidP="006E3485">
      <w:pPr>
        <w:pStyle w:val="Abstract"/>
      </w:pPr>
      <w:r>
        <w:t>Keywords: Staying Put, leaving care, decision</w:t>
      </w:r>
      <w:r w:rsidR="00687970">
        <w:t>-</w:t>
      </w:r>
      <w:r>
        <w:t>makin</w:t>
      </w:r>
      <w:r w:rsidR="001C4BF5">
        <w:t>g, young people, Foucault</w:t>
      </w:r>
    </w:p>
    <w:p w14:paraId="0F32AA31" w14:textId="77777777" w:rsidR="00687970" w:rsidRDefault="00687970">
      <w:pPr>
        <w:spacing w:after="0" w:line="240" w:lineRule="auto"/>
      </w:pPr>
      <w:r>
        <w:br w:type="page"/>
      </w:r>
    </w:p>
    <w:sdt>
      <w:sdtPr>
        <w:rPr>
          <w:rFonts w:eastAsiaTheme="minorHAnsi"/>
          <w:b/>
          <w:bCs w:val="0"/>
          <w:color w:val="auto"/>
          <w:szCs w:val="22"/>
          <w:lang w:val="en-GB"/>
        </w:rPr>
        <w:id w:val="1352691562"/>
        <w:docPartObj>
          <w:docPartGallery w:val="Table of Contents"/>
          <w:docPartUnique/>
        </w:docPartObj>
      </w:sdtPr>
      <w:sdtEndPr>
        <w:rPr>
          <w:b w:val="0"/>
          <w:noProof/>
        </w:rPr>
      </w:sdtEndPr>
      <w:sdtContent>
        <w:p w14:paraId="0E60D77C" w14:textId="086BBD7A" w:rsidR="00931B56" w:rsidRDefault="00931B56" w:rsidP="00301A3B">
          <w:pPr>
            <w:pStyle w:val="TOCHeading"/>
          </w:pPr>
          <w:r>
            <w:t>Table of Contents</w:t>
          </w:r>
        </w:p>
        <w:p w14:paraId="66B41999" w14:textId="30966765" w:rsidR="006D656A" w:rsidRDefault="00D419BD">
          <w:pPr>
            <w:pStyle w:val="TOC2"/>
            <w:tabs>
              <w:tab w:val="right" w:leader="dot" w:pos="9010"/>
            </w:tabs>
            <w:rPr>
              <w:rFonts w:asciiTheme="minorHAnsi" w:eastAsiaTheme="minorEastAsia" w:hAnsiTheme="minorHAnsi" w:cstheme="minorBidi"/>
              <w:b w:val="0"/>
              <w:bCs w:val="0"/>
              <w:noProof/>
              <w:sz w:val="24"/>
              <w:szCs w:val="24"/>
              <w:lang w:eastAsia="en-GB"/>
            </w:rPr>
          </w:pPr>
          <w:r>
            <w:rPr>
              <w:b w:val="0"/>
              <w:bCs w:val="0"/>
              <w:sz w:val="24"/>
              <w:szCs w:val="24"/>
            </w:rPr>
            <w:fldChar w:fldCharType="begin"/>
          </w:r>
          <w:r>
            <w:rPr>
              <w:b w:val="0"/>
              <w:bCs w:val="0"/>
              <w:sz w:val="24"/>
              <w:szCs w:val="24"/>
            </w:rPr>
            <w:instrText xml:space="preserve"> TOC \o "1-1" \h \z \t "Heading 2,3,Chapter Heading 1,2" </w:instrText>
          </w:r>
          <w:r>
            <w:rPr>
              <w:b w:val="0"/>
              <w:bCs w:val="0"/>
              <w:sz w:val="24"/>
              <w:szCs w:val="24"/>
            </w:rPr>
            <w:fldChar w:fldCharType="separate"/>
          </w:r>
          <w:hyperlink w:anchor="_Toc101108461" w:history="1">
            <w:r w:rsidR="006D656A" w:rsidRPr="006808B4">
              <w:rPr>
                <w:rStyle w:val="Hyperlink"/>
                <w:noProof/>
              </w:rPr>
              <w:t>Preface</w:t>
            </w:r>
            <w:r w:rsidR="006D656A">
              <w:rPr>
                <w:noProof/>
                <w:webHidden/>
              </w:rPr>
              <w:tab/>
            </w:r>
            <w:r w:rsidR="006D656A">
              <w:rPr>
                <w:noProof/>
                <w:webHidden/>
              </w:rPr>
              <w:fldChar w:fldCharType="begin"/>
            </w:r>
            <w:r w:rsidR="006D656A">
              <w:rPr>
                <w:noProof/>
                <w:webHidden/>
              </w:rPr>
              <w:instrText xml:space="preserve"> PAGEREF _Toc101108461 \h </w:instrText>
            </w:r>
            <w:r w:rsidR="006D656A">
              <w:rPr>
                <w:noProof/>
                <w:webHidden/>
              </w:rPr>
            </w:r>
            <w:r w:rsidR="006D656A">
              <w:rPr>
                <w:noProof/>
                <w:webHidden/>
              </w:rPr>
              <w:fldChar w:fldCharType="separate"/>
            </w:r>
            <w:r w:rsidR="00E26E21">
              <w:rPr>
                <w:noProof/>
                <w:webHidden/>
              </w:rPr>
              <w:t>vii</w:t>
            </w:r>
            <w:r w:rsidR="006D656A">
              <w:rPr>
                <w:noProof/>
                <w:webHidden/>
              </w:rPr>
              <w:fldChar w:fldCharType="end"/>
            </w:r>
          </w:hyperlink>
        </w:p>
        <w:p w14:paraId="2646DD79" w14:textId="7051D662"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62" w:history="1">
            <w:r w:rsidR="006D656A" w:rsidRPr="006808B4">
              <w:rPr>
                <w:rStyle w:val="Hyperlink"/>
                <w:noProof/>
              </w:rPr>
              <w:t>Glossary</w:t>
            </w:r>
            <w:r w:rsidR="006D656A">
              <w:rPr>
                <w:noProof/>
                <w:webHidden/>
              </w:rPr>
              <w:tab/>
            </w:r>
            <w:r w:rsidR="006D656A">
              <w:rPr>
                <w:noProof/>
                <w:webHidden/>
              </w:rPr>
              <w:fldChar w:fldCharType="begin"/>
            </w:r>
            <w:r w:rsidR="006D656A">
              <w:rPr>
                <w:noProof/>
                <w:webHidden/>
              </w:rPr>
              <w:instrText xml:space="preserve"> PAGEREF _Toc101108462 \h </w:instrText>
            </w:r>
            <w:r w:rsidR="006D656A">
              <w:rPr>
                <w:noProof/>
                <w:webHidden/>
              </w:rPr>
            </w:r>
            <w:r w:rsidR="006D656A">
              <w:rPr>
                <w:noProof/>
                <w:webHidden/>
              </w:rPr>
              <w:fldChar w:fldCharType="separate"/>
            </w:r>
            <w:r>
              <w:rPr>
                <w:noProof/>
                <w:webHidden/>
              </w:rPr>
              <w:t>viii</w:t>
            </w:r>
            <w:r w:rsidR="006D656A">
              <w:rPr>
                <w:noProof/>
                <w:webHidden/>
              </w:rPr>
              <w:fldChar w:fldCharType="end"/>
            </w:r>
          </w:hyperlink>
        </w:p>
        <w:p w14:paraId="07AB2B19" w14:textId="51D5B33A"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63" w:history="1">
            <w:r w:rsidR="006D656A" w:rsidRPr="006808B4">
              <w:rPr>
                <w:rStyle w:val="Hyperlink"/>
                <w:noProof/>
              </w:rPr>
              <w:t>Chapter 1: Introduction</w:t>
            </w:r>
            <w:r w:rsidR="006D656A">
              <w:rPr>
                <w:noProof/>
                <w:webHidden/>
              </w:rPr>
              <w:tab/>
            </w:r>
            <w:r w:rsidR="006D656A">
              <w:rPr>
                <w:noProof/>
                <w:webHidden/>
              </w:rPr>
              <w:fldChar w:fldCharType="begin"/>
            </w:r>
            <w:r w:rsidR="006D656A">
              <w:rPr>
                <w:noProof/>
                <w:webHidden/>
              </w:rPr>
              <w:instrText xml:space="preserve"> PAGEREF _Toc101108463 \h </w:instrText>
            </w:r>
            <w:r w:rsidR="006D656A">
              <w:rPr>
                <w:noProof/>
                <w:webHidden/>
              </w:rPr>
            </w:r>
            <w:r w:rsidR="006D656A">
              <w:rPr>
                <w:noProof/>
                <w:webHidden/>
              </w:rPr>
              <w:fldChar w:fldCharType="separate"/>
            </w:r>
            <w:r>
              <w:rPr>
                <w:noProof/>
                <w:webHidden/>
              </w:rPr>
              <w:t>1</w:t>
            </w:r>
            <w:r w:rsidR="006D656A">
              <w:rPr>
                <w:noProof/>
                <w:webHidden/>
              </w:rPr>
              <w:fldChar w:fldCharType="end"/>
            </w:r>
          </w:hyperlink>
        </w:p>
        <w:p w14:paraId="4CA12424" w14:textId="360DD939"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64" w:history="1">
            <w:r w:rsidR="006D656A" w:rsidRPr="006808B4">
              <w:rPr>
                <w:rStyle w:val="Hyperlink"/>
                <w:noProof/>
              </w:rPr>
              <w:t>Overview</w:t>
            </w:r>
            <w:r w:rsidR="006D656A">
              <w:rPr>
                <w:noProof/>
                <w:webHidden/>
              </w:rPr>
              <w:tab/>
            </w:r>
            <w:r w:rsidR="006D656A">
              <w:rPr>
                <w:noProof/>
                <w:webHidden/>
              </w:rPr>
              <w:fldChar w:fldCharType="begin"/>
            </w:r>
            <w:r w:rsidR="006D656A">
              <w:rPr>
                <w:noProof/>
                <w:webHidden/>
              </w:rPr>
              <w:instrText xml:space="preserve"> PAGEREF _Toc101108464 \h </w:instrText>
            </w:r>
            <w:r w:rsidR="006D656A">
              <w:rPr>
                <w:noProof/>
                <w:webHidden/>
              </w:rPr>
            </w:r>
            <w:r w:rsidR="006D656A">
              <w:rPr>
                <w:noProof/>
                <w:webHidden/>
              </w:rPr>
              <w:fldChar w:fldCharType="separate"/>
            </w:r>
            <w:r>
              <w:rPr>
                <w:noProof/>
                <w:webHidden/>
              </w:rPr>
              <w:t>1</w:t>
            </w:r>
            <w:r w:rsidR="006D656A">
              <w:rPr>
                <w:noProof/>
                <w:webHidden/>
              </w:rPr>
              <w:fldChar w:fldCharType="end"/>
            </w:r>
          </w:hyperlink>
        </w:p>
        <w:p w14:paraId="5CF44C8C" w14:textId="30FB9436"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65" w:history="1">
            <w:r w:rsidR="006D656A" w:rsidRPr="006808B4">
              <w:rPr>
                <w:rStyle w:val="Hyperlink"/>
                <w:noProof/>
              </w:rPr>
              <w:t>Background</w:t>
            </w:r>
            <w:r w:rsidR="006D656A">
              <w:rPr>
                <w:noProof/>
                <w:webHidden/>
              </w:rPr>
              <w:tab/>
            </w:r>
            <w:r w:rsidR="006D656A">
              <w:rPr>
                <w:noProof/>
                <w:webHidden/>
              </w:rPr>
              <w:fldChar w:fldCharType="begin"/>
            </w:r>
            <w:r w:rsidR="006D656A">
              <w:rPr>
                <w:noProof/>
                <w:webHidden/>
              </w:rPr>
              <w:instrText xml:space="preserve"> PAGEREF _Toc101108465 \h </w:instrText>
            </w:r>
            <w:r w:rsidR="006D656A">
              <w:rPr>
                <w:noProof/>
                <w:webHidden/>
              </w:rPr>
            </w:r>
            <w:r w:rsidR="006D656A">
              <w:rPr>
                <w:noProof/>
                <w:webHidden/>
              </w:rPr>
              <w:fldChar w:fldCharType="separate"/>
            </w:r>
            <w:r>
              <w:rPr>
                <w:noProof/>
                <w:webHidden/>
              </w:rPr>
              <w:t>2</w:t>
            </w:r>
            <w:r w:rsidR="006D656A">
              <w:rPr>
                <w:noProof/>
                <w:webHidden/>
              </w:rPr>
              <w:fldChar w:fldCharType="end"/>
            </w:r>
          </w:hyperlink>
        </w:p>
        <w:p w14:paraId="23297E0A" w14:textId="2ADB0039"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66" w:history="1">
            <w:r w:rsidR="006D656A" w:rsidRPr="006808B4">
              <w:rPr>
                <w:rStyle w:val="Hyperlink"/>
                <w:noProof/>
              </w:rPr>
              <w:t>Personal Context and Rationale</w:t>
            </w:r>
            <w:r w:rsidR="006D656A">
              <w:rPr>
                <w:noProof/>
                <w:webHidden/>
              </w:rPr>
              <w:tab/>
            </w:r>
            <w:r w:rsidR="006D656A">
              <w:rPr>
                <w:noProof/>
                <w:webHidden/>
              </w:rPr>
              <w:fldChar w:fldCharType="begin"/>
            </w:r>
            <w:r w:rsidR="006D656A">
              <w:rPr>
                <w:noProof/>
                <w:webHidden/>
              </w:rPr>
              <w:instrText xml:space="preserve"> PAGEREF _Toc101108466 \h </w:instrText>
            </w:r>
            <w:r w:rsidR="006D656A">
              <w:rPr>
                <w:noProof/>
                <w:webHidden/>
              </w:rPr>
            </w:r>
            <w:r w:rsidR="006D656A">
              <w:rPr>
                <w:noProof/>
                <w:webHidden/>
              </w:rPr>
              <w:fldChar w:fldCharType="separate"/>
            </w:r>
            <w:r>
              <w:rPr>
                <w:noProof/>
                <w:webHidden/>
              </w:rPr>
              <w:t>13</w:t>
            </w:r>
            <w:r w:rsidR="006D656A">
              <w:rPr>
                <w:noProof/>
                <w:webHidden/>
              </w:rPr>
              <w:fldChar w:fldCharType="end"/>
            </w:r>
          </w:hyperlink>
        </w:p>
        <w:p w14:paraId="09D4FDAF" w14:textId="6EF7F6FA"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67" w:history="1">
            <w:r w:rsidR="006D656A" w:rsidRPr="006808B4">
              <w:rPr>
                <w:rStyle w:val="Hyperlink"/>
                <w:noProof/>
              </w:rPr>
              <w:t>Thesis Structure</w:t>
            </w:r>
            <w:r w:rsidR="006D656A">
              <w:rPr>
                <w:noProof/>
                <w:webHidden/>
              </w:rPr>
              <w:tab/>
            </w:r>
            <w:r w:rsidR="006D656A">
              <w:rPr>
                <w:noProof/>
                <w:webHidden/>
              </w:rPr>
              <w:fldChar w:fldCharType="begin"/>
            </w:r>
            <w:r w:rsidR="006D656A">
              <w:rPr>
                <w:noProof/>
                <w:webHidden/>
              </w:rPr>
              <w:instrText xml:space="preserve"> PAGEREF _Toc101108467 \h </w:instrText>
            </w:r>
            <w:r w:rsidR="006D656A">
              <w:rPr>
                <w:noProof/>
                <w:webHidden/>
              </w:rPr>
            </w:r>
            <w:r w:rsidR="006D656A">
              <w:rPr>
                <w:noProof/>
                <w:webHidden/>
              </w:rPr>
              <w:fldChar w:fldCharType="separate"/>
            </w:r>
            <w:r>
              <w:rPr>
                <w:noProof/>
                <w:webHidden/>
              </w:rPr>
              <w:t>14</w:t>
            </w:r>
            <w:r w:rsidR="006D656A">
              <w:rPr>
                <w:noProof/>
                <w:webHidden/>
              </w:rPr>
              <w:fldChar w:fldCharType="end"/>
            </w:r>
          </w:hyperlink>
        </w:p>
        <w:p w14:paraId="4B14D0F4" w14:textId="30D4ACF9" w:rsidR="006D656A" w:rsidRDefault="00E26E21">
          <w:pPr>
            <w:pStyle w:val="TOC1"/>
            <w:tabs>
              <w:tab w:val="right" w:leader="dot" w:pos="9010"/>
            </w:tabs>
            <w:rPr>
              <w:rFonts w:asciiTheme="minorHAnsi" w:eastAsiaTheme="minorEastAsia" w:hAnsiTheme="minorHAnsi" w:cstheme="minorBidi"/>
              <w:b w:val="0"/>
              <w:bCs w:val="0"/>
              <w:i w:val="0"/>
              <w:iCs w:val="0"/>
              <w:noProof/>
              <w:lang w:eastAsia="en-GB"/>
            </w:rPr>
          </w:pPr>
          <w:hyperlink w:anchor="_Toc101108468" w:history="1">
            <w:r w:rsidR="006D656A" w:rsidRPr="006808B4">
              <w:rPr>
                <w:rStyle w:val="Hyperlink"/>
                <w:noProof/>
              </w:rPr>
              <w:t>Part One: Staying Put in Context</w:t>
            </w:r>
            <w:r w:rsidR="006D656A">
              <w:rPr>
                <w:noProof/>
                <w:webHidden/>
              </w:rPr>
              <w:tab/>
            </w:r>
            <w:r w:rsidR="006D656A">
              <w:rPr>
                <w:noProof/>
                <w:webHidden/>
              </w:rPr>
              <w:fldChar w:fldCharType="begin"/>
            </w:r>
            <w:r w:rsidR="006D656A">
              <w:rPr>
                <w:noProof/>
                <w:webHidden/>
              </w:rPr>
              <w:instrText xml:space="preserve"> PAGEREF _Toc101108468 \h </w:instrText>
            </w:r>
            <w:r w:rsidR="006D656A">
              <w:rPr>
                <w:noProof/>
                <w:webHidden/>
              </w:rPr>
            </w:r>
            <w:r w:rsidR="006D656A">
              <w:rPr>
                <w:noProof/>
                <w:webHidden/>
              </w:rPr>
              <w:fldChar w:fldCharType="separate"/>
            </w:r>
            <w:r>
              <w:rPr>
                <w:noProof/>
                <w:webHidden/>
              </w:rPr>
              <w:t>16</w:t>
            </w:r>
            <w:r w:rsidR="006D656A">
              <w:rPr>
                <w:noProof/>
                <w:webHidden/>
              </w:rPr>
              <w:fldChar w:fldCharType="end"/>
            </w:r>
          </w:hyperlink>
        </w:p>
        <w:p w14:paraId="78A10B2F" w14:textId="185FD301"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69" w:history="1">
            <w:r w:rsidR="006D656A" w:rsidRPr="006808B4">
              <w:rPr>
                <w:rStyle w:val="Hyperlink"/>
                <w:noProof/>
              </w:rPr>
              <w:t>Chapter 2: Policy Context</w:t>
            </w:r>
            <w:r w:rsidR="006D656A">
              <w:rPr>
                <w:noProof/>
                <w:webHidden/>
              </w:rPr>
              <w:tab/>
            </w:r>
            <w:r w:rsidR="006D656A">
              <w:rPr>
                <w:noProof/>
                <w:webHidden/>
              </w:rPr>
              <w:fldChar w:fldCharType="begin"/>
            </w:r>
            <w:r w:rsidR="006D656A">
              <w:rPr>
                <w:noProof/>
                <w:webHidden/>
              </w:rPr>
              <w:instrText xml:space="preserve"> PAGEREF _Toc101108469 \h </w:instrText>
            </w:r>
            <w:r w:rsidR="006D656A">
              <w:rPr>
                <w:noProof/>
                <w:webHidden/>
              </w:rPr>
            </w:r>
            <w:r w:rsidR="006D656A">
              <w:rPr>
                <w:noProof/>
                <w:webHidden/>
              </w:rPr>
              <w:fldChar w:fldCharType="separate"/>
            </w:r>
            <w:r>
              <w:rPr>
                <w:noProof/>
                <w:webHidden/>
              </w:rPr>
              <w:t>17</w:t>
            </w:r>
            <w:r w:rsidR="006D656A">
              <w:rPr>
                <w:noProof/>
                <w:webHidden/>
              </w:rPr>
              <w:fldChar w:fldCharType="end"/>
            </w:r>
          </w:hyperlink>
        </w:p>
        <w:p w14:paraId="55371584" w14:textId="29AC4044"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0"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_Toc101108470 \h </w:instrText>
            </w:r>
            <w:r w:rsidR="006D656A">
              <w:rPr>
                <w:noProof/>
                <w:webHidden/>
              </w:rPr>
            </w:r>
            <w:r w:rsidR="006D656A">
              <w:rPr>
                <w:noProof/>
                <w:webHidden/>
              </w:rPr>
              <w:fldChar w:fldCharType="separate"/>
            </w:r>
            <w:r>
              <w:rPr>
                <w:noProof/>
                <w:webHidden/>
              </w:rPr>
              <w:t>17</w:t>
            </w:r>
            <w:r w:rsidR="006D656A">
              <w:rPr>
                <w:noProof/>
                <w:webHidden/>
              </w:rPr>
              <w:fldChar w:fldCharType="end"/>
            </w:r>
          </w:hyperlink>
        </w:p>
        <w:p w14:paraId="3D414424" w14:textId="7EA348E2"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1" w:history="1">
            <w:r w:rsidR="006D656A" w:rsidRPr="006808B4">
              <w:rPr>
                <w:rStyle w:val="Hyperlink"/>
                <w:noProof/>
              </w:rPr>
              <w:t>From 1948 to 2014</w:t>
            </w:r>
            <w:r w:rsidR="006D656A">
              <w:rPr>
                <w:noProof/>
                <w:webHidden/>
              </w:rPr>
              <w:tab/>
            </w:r>
            <w:r w:rsidR="006D656A">
              <w:rPr>
                <w:noProof/>
                <w:webHidden/>
              </w:rPr>
              <w:fldChar w:fldCharType="begin"/>
            </w:r>
            <w:r w:rsidR="006D656A">
              <w:rPr>
                <w:noProof/>
                <w:webHidden/>
              </w:rPr>
              <w:instrText xml:space="preserve"> PAGEREF _Toc101108471 \h </w:instrText>
            </w:r>
            <w:r w:rsidR="006D656A">
              <w:rPr>
                <w:noProof/>
                <w:webHidden/>
              </w:rPr>
            </w:r>
            <w:r w:rsidR="006D656A">
              <w:rPr>
                <w:noProof/>
                <w:webHidden/>
              </w:rPr>
              <w:fldChar w:fldCharType="separate"/>
            </w:r>
            <w:r>
              <w:rPr>
                <w:noProof/>
                <w:webHidden/>
              </w:rPr>
              <w:t>18</w:t>
            </w:r>
            <w:r w:rsidR="006D656A">
              <w:rPr>
                <w:noProof/>
                <w:webHidden/>
              </w:rPr>
              <w:fldChar w:fldCharType="end"/>
            </w:r>
          </w:hyperlink>
        </w:p>
        <w:p w14:paraId="0BDFF518" w14:textId="23630504"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2" w:history="1">
            <w:r w:rsidR="006D656A" w:rsidRPr="006808B4">
              <w:rPr>
                <w:rStyle w:val="Hyperlink"/>
                <w:i/>
                <w:iCs/>
                <w:noProof/>
              </w:rPr>
              <w:t>Staying Put</w:t>
            </w:r>
            <w:r w:rsidR="006D656A" w:rsidRPr="006808B4">
              <w:rPr>
                <w:rStyle w:val="Hyperlink"/>
                <w:noProof/>
              </w:rPr>
              <w:t xml:space="preserve"> and Foster Care</w:t>
            </w:r>
            <w:r w:rsidR="006D656A">
              <w:rPr>
                <w:noProof/>
                <w:webHidden/>
              </w:rPr>
              <w:tab/>
            </w:r>
            <w:r w:rsidR="006D656A">
              <w:rPr>
                <w:noProof/>
                <w:webHidden/>
              </w:rPr>
              <w:fldChar w:fldCharType="begin"/>
            </w:r>
            <w:r w:rsidR="006D656A">
              <w:rPr>
                <w:noProof/>
                <w:webHidden/>
              </w:rPr>
              <w:instrText xml:space="preserve"> PAGEREF _Toc101108472 \h </w:instrText>
            </w:r>
            <w:r w:rsidR="006D656A">
              <w:rPr>
                <w:noProof/>
                <w:webHidden/>
              </w:rPr>
            </w:r>
            <w:r w:rsidR="006D656A">
              <w:rPr>
                <w:noProof/>
                <w:webHidden/>
              </w:rPr>
              <w:fldChar w:fldCharType="separate"/>
            </w:r>
            <w:r>
              <w:rPr>
                <w:noProof/>
                <w:webHidden/>
              </w:rPr>
              <w:t>24</w:t>
            </w:r>
            <w:r w:rsidR="006D656A">
              <w:rPr>
                <w:noProof/>
                <w:webHidden/>
              </w:rPr>
              <w:fldChar w:fldCharType="end"/>
            </w:r>
          </w:hyperlink>
        </w:p>
        <w:p w14:paraId="29CA4F4B" w14:textId="0BAAEC5D"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3"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_Toc101108473 \h </w:instrText>
            </w:r>
            <w:r w:rsidR="006D656A">
              <w:rPr>
                <w:noProof/>
                <w:webHidden/>
              </w:rPr>
            </w:r>
            <w:r w:rsidR="006D656A">
              <w:rPr>
                <w:noProof/>
                <w:webHidden/>
              </w:rPr>
              <w:fldChar w:fldCharType="separate"/>
            </w:r>
            <w:r>
              <w:rPr>
                <w:noProof/>
                <w:webHidden/>
              </w:rPr>
              <w:t>25</w:t>
            </w:r>
            <w:r w:rsidR="006D656A">
              <w:rPr>
                <w:noProof/>
                <w:webHidden/>
              </w:rPr>
              <w:fldChar w:fldCharType="end"/>
            </w:r>
          </w:hyperlink>
        </w:p>
        <w:p w14:paraId="5150C537" w14:textId="546B4A43"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74" w:history="1">
            <w:r w:rsidR="006D656A" w:rsidRPr="006808B4">
              <w:rPr>
                <w:rStyle w:val="Hyperlink"/>
                <w:noProof/>
                <w:lang w:eastAsia="en-GB"/>
              </w:rPr>
              <w:t xml:space="preserve">Chapter 3: </w:t>
            </w:r>
            <w:r w:rsidR="006D656A" w:rsidRPr="006808B4">
              <w:rPr>
                <w:rStyle w:val="Hyperlink"/>
                <w:noProof/>
              </w:rPr>
              <w:t>Practice Context</w:t>
            </w:r>
            <w:r w:rsidR="006D656A">
              <w:rPr>
                <w:noProof/>
                <w:webHidden/>
              </w:rPr>
              <w:tab/>
            </w:r>
            <w:r w:rsidR="006D656A">
              <w:rPr>
                <w:noProof/>
                <w:webHidden/>
              </w:rPr>
              <w:fldChar w:fldCharType="begin"/>
            </w:r>
            <w:r w:rsidR="006D656A">
              <w:rPr>
                <w:noProof/>
                <w:webHidden/>
              </w:rPr>
              <w:instrText xml:space="preserve"> PAGEREF _Toc101108474 \h </w:instrText>
            </w:r>
            <w:r w:rsidR="006D656A">
              <w:rPr>
                <w:noProof/>
                <w:webHidden/>
              </w:rPr>
            </w:r>
            <w:r w:rsidR="006D656A">
              <w:rPr>
                <w:noProof/>
                <w:webHidden/>
              </w:rPr>
              <w:fldChar w:fldCharType="separate"/>
            </w:r>
            <w:r>
              <w:rPr>
                <w:noProof/>
                <w:webHidden/>
              </w:rPr>
              <w:t>26</w:t>
            </w:r>
            <w:r w:rsidR="006D656A">
              <w:rPr>
                <w:noProof/>
                <w:webHidden/>
              </w:rPr>
              <w:fldChar w:fldCharType="end"/>
            </w:r>
          </w:hyperlink>
        </w:p>
        <w:p w14:paraId="22AAA813" w14:textId="0E072E45"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5"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_Toc101108475 \h </w:instrText>
            </w:r>
            <w:r w:rsidR="006D656A">
              <w:rPr>
                <w:noProof/>
                <w:webHidden/>
              </w:rPr>
            </w:r>
            <w:r w:rsidR="006D656A">
              <w:rPr>
                <w:noProof/>
                <w:webHidden/>
              </w:rPr>
              <w:fldChar w:fldCharType="separate"/>
            </w:r>
            <w:r>
              <w:rPr>
                <w:noProof/>
                <w:webHidden/>
              </w:rPr>
              <w:t>26</w:t>
            </w:r>
            <w:r w:rsidR="006D656A">
              <w:rPr>
                <w:noProof/>
                <w:webHidden/>
              </w:rPr>
              <w:fldChar w:fldCharType="end"/>
            </w:r>
          </w:hyperlink>
        </w:p>
        <w:p w14:paraId="07FE9342" w14:textId="04249D2D"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6" w:history="1">
            <w:r w:rsidR="006D656A" w:rsidRPr="006808B4">
              <w:rPr>
                <w:rStyle w:val="Hyperlink"/>
                <w:noProof/>
              </w:rPr>
              <w:t>The Influence of Neoliberalism</w:t>
            </w:r>
            <w:r w:rsidR="006D656A">
              <w:rPr>
                <w:noProof/>
                <w:webHidden/>
              </w:rPr>
              <w:tab/>
            </w:r>
            <w:r w:rsidR="006D656A">
              <w:rPr>
                <w:noProof/>
                <w:webHidden/>
              </w:rPr>
              <w:fldChar w:fldCharType="begin"/>
            </w:r>
            <w:r w:rsidR="006D656A">
              <w:rPr>
                <w:noProof/>
                <w:webHidden/>
              </w:rPr>
              <w:instrText xml:space="preserve"> PAGEREF _Toc101108476 \h </w:instrText>
            </w:r>
            <w:r w:rsidR="006D656A">
              <w:rPr>
                <w:noProof/>
                <w:webHidden/>
              </w:rPr>
            </w:r>
            <w:r w:rsidR="006D656A">
              <w:rPr>
                <w:noProof/>
                <w:webHidden/>
              </w:rPr>
              <w:fldChar w:fldCharType="separate"/>
            </w:r>
            <w:r>
              <w:rPr>
                <w:noProof/>
                <w:webHidden/>
              </w:rPr>
              <w:t>26</w:t>
            </w:r>
            <w:r w:rsidR="006D656A">
              <w:rPr>
                <w:noProof/>
                <w:webHidden/>
              </w:rPr>
              <w:fldChar w:fldCharType="end"/>
            </w:r>
          </w:hyperlink>
        </w:p>
        <w:p w14:paraId="4C6400D9" w14:textId="3F4BE69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7" w:history="1">
            <w:r w:rsidR="006D656A" w:rsidRPr="006808B4">
              <w:rPr>
                <w:rStyle w:val="Hyperlink"/>
                <w:noProof/>
              </w:rPr>
              <w:t>Austerity</w:t>
            </w:r>
            <w:r w:rsidR="006D656A">
              <w:rPr>
                <w:noProof/>
                <w:webHidden/>
              </w:rPr>
              <w:tab/>
            </w:r>
            <w:r w:rsidR="006D656A">
              <w:rPr>
                <w:noProof/>
                <w:webHidden/>
              </w:rPr>
              <w:fldChar w:fldCharType="begin"/>
            </w:r>
            <w:r w:rsidR="006D656A">
              <w:rPr>
                <w:noProof/>
                <w:webHidden/>
              </w:rPr>
              <w:instrText xml:space="preserve"> PAGEREF _Toc101108477 \h </w:instrText>
            </w:r>
            <w:r w:rsidR="006D656A">
              <w:rPr>
                <w:noProof/>
                <w:webHidden/>
              </w:rPr>
            </w:r>
            <w:r w:rsidR="006D656A">
              <w:rPr>
                <w:noProof/>
                <w:webHidden/>
              </w:rPr>
              <w:fldChar w:fldCharType="separate"/>
            </w:r>
            <w:r>
              <w:rPr>
                <w:noProof/>
                <w:webHidden/>
              </w:rPr>
              <w:t>29</w:t>
            </w:r>
            <w:r w:rsidR="006D656A">
              <w:rPr>
                <w:noProof/>
                <w:webHidden/>
              </w:rPr>
              <w:fldChar w:fldCharType="end"/>
            </w:r>
          </w:hyperlink>
        </w:p>
        <w:p w14:paraId="338175AD" w14:textId="139D230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8" w:history="1">
            <w:r w:rsidR="006D656A" w:rsidRPr="006808B4">
              <w:rPr>
                <w:rStyle w:val="Hyperlink"/>
                <w:noProof/>
              </w:rPr>
              <w:t>Pressures in Practice</w:t>
            </w:r>
            <w:r w:rsidR="006D656A">
              <w:rPr>
                <w:noProof/>
                <w:webHidden/>
              </w:rPr>
              <w:tab/>
            </w:r>
            <w:r w:rsidR="006D656A">
              <w:rPr>
                <w:noProof/>
                <w:webHidden/>
              </w:rPr>
              <w:fldChar w:fldCharType="begin"/>
            </w:r>
            <w:r w:rsidR="006D656A">
              <w:rPr>
                <w:noProof/>
                <w:webHidden/>
              </w:rPr>
              <w:instrText xml:space="preserve"> PAGEREF _Toc101108478 \h </w:instrText>
            </w:r>
            <w:r w:rsidR="006D656A">
              <w:rPr>
                <w:noProof/>
                <w:webHidden/>
              </w:rPr>
            </w:r>
            <w:r w:rsidR="006D656A">
              <w:rPr>
                <w:noProof/>
                <w:webHidden/>
              </w:rPr>
              <w:fldChar w:fldCharType="separate"/>
            </w:r>
            <w:r>
              <w:rPr>
                <w:noProof/>
                <w:webHidden/>
              </w:rPr>
              <w:t>30</w:t>
            </w:r>
            <w:r w:rsidR="006D656A">
              <w:rPr>
                <w:noProof/>
                <w:webHidden/>
              </w:rPr>
              <w:fldChar w:fldCharType="end"/>
            </w:r>
          </w:hyperlink>
        </w:p>
        <w:p w14:paraId="088C3675" w14:textId="0951FE70"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79"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_Toc101108479 \h </w:instrText>
            </w:r>
            <w:r w:rsidR="006D656A">
              <w:rPr>
                <w:noProof/>
                <w:webHidden/>
              </w:rPr>
            </w:r>
            <w:r w:rsidR="006D656A">
              <w:rPr>
                <w:noProof/>
                <w:webHidden/>
              </w:rPr>
              <w:fldChar w:fldCharType="separate"/>
            </w:r>
            <w:r>
              <w:rPr>
                <w:noProof/>
                <w:webHidden/>
              </w:rPr>
              <w:t>36</w:t>
            </w:r>
            <w:r w:rsidR="006D656A">
              <w:rPr>
                <w:noProof/>
                <w:webHidden/>
              </w:rPr>
              <w:fldChar w:fldCharType="end"/>
            </w:r>
          </w:hyperlink>
        </w:p>
        <w:p w14:paraId="0611DA5C" w14:textId="2EA21341"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80" w:history="1">
            <w:r w:rsidR="006D656A" w:rsidRPr="006808B4">
              <w:rPr>
                <w:rStyle w:val="Hyperlink"/>
                <w:noProof/>
                <w:lang w:eastAsia="en-GB"/>
              </w:rPr>
              <w:t>Chapter 4: Literature Review Context</w:t>
            </w:r>
            <w:r w:rsidR="006D656A">
              <w:rPr>
                <w:noProof/>
                <w:webHidden/>
              </w:rPr>
              <w:tab/>
            </w:r>
            <w:r w:rsidR="006D656A">
              <w:rPr>
                <w:noProof/>
                <w:webHidden/>
              </w:rPr>
              <w:fldChar w:fldCharType="begin"/>
            </w:r>
            <w:r w:rsidR="006D656A">
              <w:rPr>
                <w:noProof/>
                <w:webHidden/>
              </w:rPr>
              <w:instrText xml:space="preserve"> PAGEREF _Toc101108480 \h </w:instrText>
            </w:r>
            <w:r w:rsidR="006D656A">
              <w:rPr>
                <w:noProof/>
                <w:webHidden/>
              </w:rPr>
            </w:r>
            <w:r w:rsidR="006D656A">
              <w:rPr>
                <w:noProof/>
                <w:webHidden/>
              </w:rPr>
              <w:fldChar w:fldCharType="separate"/>
            </w:r>
            <w:r>
              <w:rPr>
                <w:noProof/>
                <w:webHidden/>
              </w:rPr>
              <w:t>37</w:t>
            </w:r>
            <w:r w:rsidR="006D656A">
              <w:rPr>
                <w:noProof/>
                <w:webHidden/>
              </w:rPr>
              <w:fldChar w:fldCharType="end"/>
            </w:r>
          </w:hyperlink>
        </w:p>
        <w:p w14:paraId="75F2A335" w14:textId="3C393A04"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1" w:history="1">
            <w:r w:rsidR="006D656A" w:rsidRPr="006808B4">
              <w:rPr>
                <w:rStyle w:val="Hyperlink"/>
                <w:noProof/>
                <w:lang w:eastAsia="en-GB"/>
              </w:rPr>
              <w:t>Chapter Introduction</w:t>
            </w:r>
            <w:r w:rsidR="006D656A">
              <w:rPr>
                <w:noProof/>
                <w:webHidden/>
              </w:rPr>
              <w:tab/>
            </w:r>
            <w:r w:rsidR="006D656A">
              <w:rPr>
                <w:noProof/>
                <w:webHidden/>
              </w:rPr>
              <w:fldChar w:fldCharType="begin"/>
            </w:r>
            <w:r w:rsidR="006D656A">
              <w:rPr>
                <w:noProof/>
                <w:webHidden/>
              </w:rPr>
              <w:instrText xml:space="preserve"> PAGEREF _Toc101108481 \h </w:instrText>
            </w:r>
            <w:r w:rsidR="006D656A">
              <w:rPr>
                <w:noProof/>
                <w:webHidden/>
              </w:rPr>
            </w:r>
            <w:r w:rsidR="006D656A">
              <w:rPr>
                <w:noProof/>
                <w:webHidden/>
              </w:rPr>
              <w:fldChar w:fldCharType="separate"/>
            </w:r>
            <w:r>
              <w:rPr>
                <w:noProof/>
                <w:webHidden/>
              </w:rPr>
              <w:t>37</w:t>
            </w:r>
            <w:r w:rsidR="006D656A">
              <w:rPr>
                <w:noProof/>
                <w:webHidden/>
              </w:rPr>
              <w:fldChar w:fldCharType="end"/>
            </w:r>
          </w:hyperlink>
        </w:p>
        <w:p w14:paraId="786C1366" w14:textId="3B495161"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2" w:history="1">
            <w:r w:rsidR="006D656A" w:rsidRPr="006808B4">
              <w:rPr>
                <w:rStyle w:val="Hyperlink"/>
                <w:rFonts w:eastAsia="Times New Roman"/>
                <w:noProof/>
                <w:lang w:eastAsia="en-GB"/>
              </w:rPr>
              <w:t>Decision-Making</w:t>
            </w:r>
            <w:r w:rsidR="006D656A">
              <w:rPr>
                <w:noProof/>
                <w:webHidden/>
              </w:rPr>
              <w:tab/>
            </w:r>
            <w:r w:rsidR="006D656A">
              <w:rPr>
                <w:noProof/>
                <w:webHidden/>
              </w:rPr>
              <w:fldChar w:fldCharType="begin"/>
            </w:r>
            <w:r w:rsidR="006D656A">
              <w:rPr>
                <w:noProof/>
                <w:webHidden/>
              </w:rPr>
              <w:instrText xml:space="preserve"> PAGEREF _Toc101108482 \h </w:instrText>
            </w:r>
            <w:r w:rsidR="006D656A">
              <w:rPr>
                <w:noProof/>
                <w:webHidden/>
              </w:rPr>
            </w:r>
            <w:r w:rsidR="006D656A">
              <w:rPr>
                <w:noProof/>
                <w:webHidden/>
              </w:rPr>
              <w:fldChar w:fldCharType="separate"/>
            </w:r>
            <w:r>
              <w:rPr>
                <w:noProof/>
                <w:webHidden/>
              </w:rPr>
              <w:t>39</w:t>
            </w:r>
            <w:r w:rsidR="006D656A">
              <w:rPr>
                <w:noProof/>
                <w:webHidden/>
              </w:rPr>
              <w:fldChar w:fldCharType="end"/>
            </w:r>
          </w:hyperlink>
        </w:p>
        <w:p w14:paraId="653126AA" w14:textId="1E270291"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3" w:history="1">
            <w:r w:rsidR="006D656A" w:rsidRPr="006808B4">
              <w:rPr>
                <w:rStyle w:val="Hyperlink"/>
                <w:noProof/>
              </w:rPr>
              <w:t>Children and Young People’s Experience of Participation</w:t>
            </w:r>
            <w:r w:rsidR="006D656A">
              <w:rPr>
                <w:noProof/>
                <w:webHidden/>
              </w:rPr>
              <w:tab/>
            </w:r>
            <w:r w:rsidR="006D656A">
              <w:rPr>
                <w:noProof/>
                <w:webHidden/>
              </w:rPr>
              <w:fldChar w:fldCharType="begin"/>
            </w:r>
            <w:r w:rsidR="006D656A">
              <w:rPr>
                <w:noProof/>
                <w:webHidden/>
              </w:rPr>
              <w:instrText xml:space="preserve"> PAGEREF _Toc101108483 \h </w:instrText>
            </w:r>
            <w:r w:rsidR="006D656A">
              <w:rPr>
                <w:noProof/>
                <w:webHidden/>
              </w:rPr>
            </w:r>
            <w:r w:rsidR="006D656A">
              <w:rPr>
                <w:noProof/>
                <w:webHidden/>
              </w:rPr>
              <w:fldChar w:fldCharType="separate"/>
            </w:r>
            <w:r>
              <w:rPr>
                <w:noProof/>
                <w:webHidden/>
              </w:rPr>
              <w:t>45</w:t>
            </w:r>
            <w:r w:rsidR="006D656A">
              <w:rPr>
                <w:noProof/>
                <w:webHidden/>
              </w:rPr>
              <w:fldChar w:fldCharType="end"/>
            </w:r>
          </w:hyperlink>
        </w:p>
        <w:p w14:paraId="29A53647" w14:textId="098A7746"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4" w:history="1">
            <w:r w:rsidR="006D656A" w:rsidRPr="006808B4">
              <w:rPr>
                <w:rStyle w:val="Hyperlink"/>
                <w:noProof/>
              </w:rPr>
              <w:t>Leaving Care</w:t>
            </w:r>
            <w:r w:rsidR="006D656A">
              <w:rPr>
                <w:noProof/>
                <w:webHidden/>
              </w:rPr>
              <w:tab/>
            </w:r>
            <w:r w:rsidR="006D656A">
              <w:rPr>
                <w:noProof/>
                <w:webHidden/>
              </w:rPr>
              <w:fldChar w:fldCharType="begin"/>
            </w:r>
            <w:r w:rsidR="006D656A">
              <w:rPr>
                <w:noProof/>
                <w:webHidden/>
              </w:rPr>
              <w:instrText xml:space="preserve"> PAGEREF _Toc101108484 \h </w:instrText>
            </w:r>
            <w:r w:rsidR="006D656A">
              <w:rPr>
                <w:noProof/>
                <w:webHidden/>
              </w:rPr>
            </w:r>
            <w:r w:rsidR="006D656A">
              <w:rPr>
                <w:noProof/>
                <w:webHidden/>
              </w:rPr>
              <w:fldChar w:fldCharType="separate"/>
            </w:r>
            <w:r>
              <w:rPr>
                <w:noProof/>
                <w:webHidden/>
              </w:rPr>
              <w:t>49</w:t>
            </w:r>
            <w:r w:rsidR="006D656A">
              <w:rPr>
                <w:noProof/>
                <w:webHidden/>
              </w:rPr>
              <w:fldChar w:fldCharType="end"/>
            </w:r>
          </w:hyperlink>
        </w:p>
        <w:p w14:paraId="4220188F" w14:textId="672E53D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5"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_Toc101108485 \h </w:instrText>
            </w:r>
            <w:r w:rsidR="006D656A">
              <w:rPr>
                <w:noProof/>
                <w:webHidden/>
              </w:rPr>
            </w:r>
            <w:r w:rsidR="006D656A">
              <w:rPr>
                <w:noProof/>
                <w:webHidden/>
              </w:rPr>
              <w:fldChar w:fldCharType="separate"/>
            </w:r>
            <w:r>
              <w:rPr>
                <w:noProof/>
                <w:webHidden/>
              </w:rPr>
              <w:t>59</w:t>
            </w:r>
            <w:r w:rsidR="006D656A">
              <w:rPr>
                <w:noProof/>
                <w:webHidden/>
              </w:rPr>
              <w:fldChar w:fldCharType="end"/>
            </w:r>
          </w:hyperlink>
        </w:p>
        <w:p w14:paraId="645B0CD3" w14:textId="574ACB0A"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86" w:history="1">
            <w:r w:rsidR="006D656A" w:rsidRPr="006808B4">
              <w:rPr>
                <w:rStyle w:val="Hyperlink"/>
                <w:noProof/>
                <w:lang w:eastAsia="en-GB"/>
              </w:rPr>
              <w:t>Chapter 5: Theoretical Context</w:t>
            </w:r>
            <w:r w:rsidR="006D656A">
              <w:rPr>
                <w:noProof/>
                <w:webHidden/>
              </w:rPr>
              <w:tab/>
            </w:r>
            <w:r w:rsidR="006D656A">
              <w:rPr>
                <w:noProof/>
                <w:webHidden/>
              </w:rPr>
              <w:fldChar w:fldCharType="begin"/>
            </w:r>
            <w:r w:rsidR="006D656A">
              <w:rPr>
                <w:noProof/>
                <w:webHidden/>
              </w:rPr>
              <w:instrText xml:space="preserve"> PAGEREF _Toc101108486 \h </w:instrText>
            </w:r>
            <w:r w:rsidR="006D656A">
              <w:rPr>
                <w:noProof/>
                <w:webHidden/>
              </w:rPr>
            </w:r>
            <w:r w:rsidR="006D656A">
              <w:rPr>
                <w:noProof/>
                <w:webHidden/>
              </w:rPr>
              <w:fldChar w:fldCharType="separate"/>
            </w:r>
            <w:r>
              <w:rPr>
                <w:noProof/>
                <w:webHidden/>
              </w:rPr>
              <w:t>61</w:t>
            </w:r>
            <w:r w:rsidR="006D656A">
              <w:rPr>
                <w:noProof/>
                <w:webHidden/>
              </w:rPr>
              <w:fldChar w:fldCharType="end"/>
            </w:r>
          </w:hyperlink>
        </w:p>
        <w:p w14:paraId="1407E38E" w14:textId="47E722D6"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7"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_Toc101108487 \h </w:instrText>
            </w:r>
            <w:r w:rsidR="006D656A">
              <w:rPr>
                <w:noProof/>
                <w:webHidden/>
              </w:rPr>
            </w:r>
            <w:r w:rsidR="006D656A">
              <w:rPr>
                <w:noProof/>
                <w:webHidden/>
              </w:rPr>
              <w:fldChar w:fldCharType="separate"/>
            </w:r>
            <w:r>
              <w:rPr>
                <w:noProof/>
                <w:webHidden/>
              </w:rPr>
              <w:t>61</w:t>
            </w:r>
            <w:r w:rsidR="006D656A">
              <w:rPr>
                <w:noProof/>
                <w:webHidden/>
              </w:rPr>
              <w:fldChar w:fldCharType="end"/>
            </w:r>
          </w:hyperlink>
        </w:p>
        <w:p w14:paraId="0DB17D74" w14:textId="1A1E4B7F"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8" w:history="1">
            <w:r w:rsidR="006D656A" w:rsidRPr="006808B4">
              <w:rPr>
                <w:rStyle w:val="Hyperlink"/>
                <w:noProof/>
              </w:rPr>
              <w:t>Social Work and Power</w:t>
            </w:r>
            <w:r w:rsidR="006D656A">
              <w:rPr>
                <w:noProof/>
                <w:webHidden/>
              </w:rPr>
              <w:tab/>
            </w:r>
            <w:r w:rsidR="006D656A">
              <w:rPr>
                <w:noProof/>
                <w:webHidden/>
              </w:rPr>
              <w:fldChar w:fldCharType="begin"/>
            </w:r>
            <w:r w:rsidR="006D656A">
              <w:rPr>
                <w:noProof/>
                <w:webHidden/>
              </w:rPr>
              <w:instrText xml:space="preserve"> PAGEREF _Toc101108488 \h </w:instrText>
            </w:r>
            <w:r w:rsidR="006D656A">
              <w:rPr>
                <w:noProof/>
                <w:webHidden/>
              </w:rPr>
            </w:r>
            <w:r w:rsidR="006D656A">
              <w:rPr>
                <w:noProof/>
                <w:webHidden/>
              </w:rPr>
              <w:fldChar w:fldCharType="separate"/>
            </w:r>
            <w:r>
              <w:rPr>
                <w:noProof/>
                <w:webHidden/>
              </w:rPr>
              <w:t>61</w:t>
            </w:r>
            <w:r w:rsidR="006D656A">
              <w:rPr>
                <w:noProof/>
                <w:webHidden/>
              </w:rPr>
              <w:fldChar w:fldCharType="end"/>
            </w:r>
          </w:hyperlink>
        </w:p>
        <w:p w14:paraId="6D268DD3" w14:textId="0097DF12"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89" w:history="1">
            <w:r w:rsidR="006D656A" w:rsidRPr="006808B4">
              <w:rPr>
                <w:rStyle w:val="Hyperlink"/>
                <w:noProof/>
              </w:rPr>
              <w:t>Foucault – An Introduction</w:t>
            </w:r>
            <w:r w:rsidR="006D656A">
              <w:rPr>
                <w:noProof/>
                <w:webHidden/>
              </w:rPr>
              <w:tab/>
            </w:r>
            <w:r w:rsidR="006D656A">
              <w:rPr>
                <w:noProof/>
                <w:webHidden/>
              </w:rPr>
              <w:fldChar w:fldCharType="begin"/>
            </w:r>
            <w:r w:rsidR="006D656A">
              <w:rPr>
                <w:noProof/>
                <w:webHidden/>
              </w:rPr>
              <w:instrText xml:space="preserve"> PAGEREF _Toc101108489 \h </w:instrText>
            </w:r>
            <w:r w:rsidR="006D656A">
              <w:rPr>
                <w:noProof/>
                <w:webHidden/>
              </w:rPr>
            </w:r>
            <w:r w:rsidR="006D656A">
              <w:rPr>
                <w:noProof/>
                <w:webHidden/>
              </w:rPr>
              <w:fldChar w:fldCharType="separate"/>
            </w:r>
            <w:r>
              <w:rPr>
                <w:noProof/>
                <w:webHidden/>
              </w:rPr>
              <w:t>66</w:t>
            </w:r>
            <w:r w:rsidR="006D656A">
              <w:rPr>
                <w:noProof/>
                <w:webHidden/>
              </w:rPr>
              <w:fldChar w:fldCharType="end"/>
            </w:r>
          </w:hyperlink>
        </w:p>
        <w:p w14:paraId="7B1BCAD0" w14:textId="3281FAEB"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0" w:history="1">
            <w:r w:rsidR="006D656A" w:rsidRPr="006808B4">
              <w:rPr>
                <w:rStyle w:val="Hyperlink"/>
                <w:rFonts w:eastAsia="Times New Roman"/>
                <w:noProof/>
                <w:shd w:val="clear" w:color="auto" w:fill="FFFFFF"/>
              </w:rPr>
              <w:t>What Does it Mean to be a Child?</w:t>
            </w:r>
            <w:r w:rsidR="006D656A">
              <w:rPr>
                <w:noProof/>
                <w:webHidden/>
              </w:rPr>
              <w:tab/>
            </w:r>
            <w:r w:rsidR="006D656A">
              <w:rPr>
                <w:noProof/>
                <w:webHidden/>
              </w:rPr>
              <w:fldChar w:fldCharType="begin"/>
            </w:r>
            <w:r w:rsidR="006D656A">
              <w:rPr>
                <w:noProof/>
                <w:webHidden/>
              </w:rPr>
              <w:instrText xml:space="preserve"> PAGEREF _Toc101108490 \h </w:instrText>
            </w:r>
            <w:r w:rsidR="006D656A">
              <w:rPr>
                <w:noProof/>
                <w:webHidden/>
              </w:rPr>
            </w:r>
            <w:r w:rsidR="006D656A">
              <w:rPr>
                <w:noProof/>
                <w:webHidden/>
              </w:rPr>
              <w:fldChar w:fldCharType="separate"/>
            </w:r>
            <w:r>
              <w:rPr>
                <w:noProof/>
                <w:webHidden/>
              </w:rPr>
              <w:t>76</w:t>
            </w:r>
            <w:r w:rsidR="006D656A">
              <w:rPr>
                <w:noProof/>
                <w:webHidden/>
              </w:rPr>
              <w:fldChar w:fldCharType="end"/>
            </w:r>
          </w:hyperlink>
        </w:p>
        <w:p w14:paraId="744094CE" w14:textId="3FCA9625"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1" w:history="1">
            <w:r w:rsidR="006D656A" w:rsidRPr="006808B4">
              <w:rPr>
                <w:rStyle w:val="Hyperlink"/>
                <w:rFonts w:eastAsia="Times New Roman"/>
                <w:noProof/>
                <w:shd w:val="clear" w:color="auto" w:fill="FFFFFF"/>
              </w:rPr>
              <w:t>Article 12 and the Language of Participation</w:t>
            </w:r>
            <w:r w:rsidR="006D656A">
              <w:rPr>
                <w:noProof/>
                <w:webHidden/>
              </w:rPr>
              <w:tab/>
            </w:r>
            <w:r w:rsidR="006D656A">
              <w:rPr>
                <w:noProof/>
                <w:webHidden/>
              </w:rPr>
              <w:fldChar w:fldCharType="begin"/>
            </w:r>
            <w:r w:rsidR="006D656A">
              <w:rPr>
                <w:noProof/>
                <w:webHidden/>
              </w:rPr>
              <w:instrText xml:space="preserve"> PAGEREF _Toc101108491 \h </w:instrText>
            </w:r>
            <w:r w:rsidR="006D656A">
              <w:rPr>
                <w:noProof/>
                <w:webHidden/>
              </w:rPr>
            </w:r>
            <w:r w:rsidR="006D656A">
              <w:rPr>
                <w:noProof/>
                <w:webHidden/>
              </w:rPr>
              <w:fldChar w:fldCharType="separate"/>
            </w:r>
            <w:r>
              <w:rPr>
                <w:noProof/>
                <w:webHidden/>
              </w:rPr>
              <w:t>79</w:t>
            </w:r>
            <w:r w:rsidR="006D656A">
              <w:rPr>
                <w:noProof/>
                <w:webHidden/>
              </w:rPr>
              <w:fldChar w:fldCharType="end"/>
            </w:r>
          </w:hyperlink>
        </w:p>
        <w:p w14:paraId="6C999DCA" w14:textId="3D63E963"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2"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_Toc101108492 \h </w:instrText>
            </w:r>
            <w:r w:rsidR="006D656A">
              <w:rPr>
                <w:noProof/>
                <w:webHidden/>
              </w:rPr>
            </w:r>
            <w:r w:rsidR="006D656A">
              <w:rPr>
                <w:noProof/>
                <w:webHidden/>
              </w:rPr>
              <w:fldChar w:fldCharType="separate"/>
            </w:r>
            <w:r>
              <w:rPr>
                <w:noProof/>
                <w:webHidden/>
              </w:rPr>
              <w:t>83</w:t>
            </w:r>
            <w:r w:rsidR="006D656A">
              <w:rPr>
                <w:noProof/>
                <w:webHidden/>
              </w:rPr>
              <w:fldChar w:fldCharType="end"/>
            </w:r>
          </w:hyperlink>
        </w:p>
        <w:p w14:paraId="5C47516E" w14:textId="5E82CACF" w:rsidR="006D656A" w:rsidRDefault="00E26E21">
          <w:pPr>
            <w:pStyle w:val="TOC1"/>
            <w:tabs>
              <w:tab w:val="right" w:leader="dot" w:pos="9010"/>
            </w:tabs>
            <w:rPr>
              <w:rFonts w:asciiTheme="minorHAnsi" w:eastAsiaTheme="minorEastAsia" w:hAnsiTheme="minorHAnsi" w:cstheme="minorBidi"/>
              <w:b w:val="0"/>
              <w:bCs w:val="0"/>
              <w:i w:val="0"/>
              <w:iCs w:val="0"/>
              <w:noProof/>
              <w:lang w:eastAsia="en-GB"/>
            </w:rPr>
          </w:pPr>
          <w:hyperlink w:anchor="_Toc101108493" w:history="1">
            <w:r w:rsidR="006D656A" w:rsidRPr="006808B4">
              <w:rPr>
                <w:rStyle w:val="Hyperlink"/>
                <w:noProof/>
              </w:rPr>
              <w:t>Part Two: Research Design</w:t>
            </w:r>
            <w:r w:rsidR="006D656A">
              <w:rPr>
                <w:noProof/>
                <w:webHidden/>
              </w:rPr>
              <w:tab/>
            </w:r>
            <w:r w:rsidR="006D656A">
              <w:rPr>
                <w:noProof/>
                <w:webHidden/>
              </w:rPr>
              <w:fldChar w:fldCharType="begin"/>
            </w:r>
            <w:r w:rsidR="006D656A">
              <w:rPr>
                <w:noProof/>
                <w:webHidden/>
              </w:rPr>
              <w:instrText xml:space="preserve"> PAGEREF _Toc101108493 \h </w:instrText>
            </w:r>
            <w:r w:rsidR="006D656A">
              <w:rPr>
                <w:noProof/>
                <w:webHidden/>
              </w:rPr>
            </w:r>
            <w:r w:rsidR="006D656A">
              <w:rPr>
                <w:noProof/>
                <w:webHidden/>
              </w:rPr>
              <w:fldChar w:fldCharType="separate"/>
            </w:r>
            <w:r>
              <w:rPr>
                <w:noProof/>
                <w:webHidden/>
              </w:rPr>
              <w:t>84</w:t>
            </w:r>
            <w:r w:rsidR="006D656A">
              <w:rPr>
                <w:noProof/>
                <w:webHidden/>
              </w:rPr>
              <w:fldChar w:fldCharType="end"/>
            </w:r>
          </w:hyperlink>
        </w:p>
        <w:p w14:paraId="370BDD53" w14:textId="768652D4"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494" w:history="1">
            <w:r w:rsidR="006D656A" w:rsidRPr="006808B4">
              <w:rPr>
                <w:rStyle w:val="Hyperlink"/>
                <w:noProof/>
              </w:rPr>
              <w:t>Chapter 6: Research Methodology</w:t>
            </w:r>
            <w:r w:rsidR="006D656A">
              <w:rPr>
                <w:noProof/>
                <w:webHidden/>
              </w:rPr>
              <w:tab/>
            </w:r>
            <w:r w:rsidR="006D656A">
              <w:rPr>
                <w:noProof/>
                <w:webHidden/>
              </w:rPr>
              <w:fldChar w:fldCharType="begin"/>
            </w:r>
            <w:r w:rsidR="006D656A">
              <w:rPr>
                <w:noProof/>
                <w:webHidden/>
              </w:rPr>
              <w:instrText xml:space="preserve"> PAGEREF _Toc101108494 \h </w:instrText>
            </w:r>
            <w:r w:rsidR="006D656A">
              <w:rPr>
                <w:noProof/>
                <w:webHidden/>
              </w:rPr>
            </w:r>
            <w:r w:rsidR="006D656A">
              <w:rPr>
                <w:noProof/>
                <w:webHidden/>
              </w:rPr>
              <w:fldChar w:fldCharType="separate"/>
            </w:r>
            <w:r>
              <w:rPr>
                <w:noProof/>
                <w:webHidden/>
              </w:rPr>
              <w:t>85</w:t>
            </w:r>
            <w:r w:rsidR="006D656A">
              <w:rPr>
                <w:noProof/>
                <w:webHidden/>
              </w:rPr>
              <w:fldChar w:fldCharType="end"/>
            </w:r>
          </w:hyperlink>
        </w:p>
        <w:p w14:paraId="5D36965D" w14:textId="062459DA"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5"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_Toc101108495 \h </w:instrText>
            </w:r>
            <w:r w:rsidR="006D656A">
              <w:rPr>
                <w:noProof/>
                <w:webHidden/>
              </w:rPr>
            </w:r>
            <w:r w:rsidR="006D656A">
              <w:rPr>
                <w:noProof/>
                <w:webHidden/>
              </w:rPr>
              <w:fldChar w:fldCharType="separate"/>
            </w:r>
            <w:r>
              <w:rPr>
                <w:noProof/>
                <w:webHidden/>
              </w:rPr>
              <w:t>85</w:t>
            </w:r>
            <w:r w:rsidR="006D656A">
              <w:rPr>
                <w:noProof/>
                <w:webHidden/>
              </w:rPr>
              <w:fldChar w:fldCharType="end"/>
            </w:r>
          </w:hyperlink>
        </w:p>
        <w:p w14:paraId="12334621" w14:textId="47083151"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6" w:history="1">
            <w:r w:rsidR="006D656A" w:rsidRPr="006808B4">
              <w:rPr>
                <w:rStyle w:val="Hyperlink"/>
                <w:noProof/>
              </w:rPr>
              <w:t>Research Questions</w:t>
            </w:r>
            <w:r w:rsidR="006D656A">
              <w:rPr>
                <w:noProof/>
                <w:webHidden/>
              </w:rPr>
              <w:tab/>
            </w:r>
            <w:r w:rsidR="006D656A">
              <w:rPr>
                <w:noProof/>
                <w:webHidden/>
              </w:rPr>
              <w:fldChar w:fldCharType="begin"/>
            </w:r>
            <w:r w:rsidR="006D656A">
              <w:rPr>
                <w:noProof/>
                <w:webHidden/>
              </w:rPr>
              <w:instrText xml:space="preserve"> PAGEREF _Toc101108496 \h </w:instrText>
            </w:r>
            <w:r w:rsidR="006D656A">
              <w:rPr>
                <w:noProof/>
                <w:webHidden/>
              </w:rPr>
            </w:r>
            <w:r w:rsidR="006D656A">
              <w:rPr>
                <w:noProof/>
                <w:webHidden/>
              </w:rPr>
              <w:fldChar w:fldCharType="separate"/>
            </w:r>
            <w:r>
              <w:rPr>
                <w:noProof/>
                <w:webHidden/>
              </w:rPr>
              <w:t>85</w:t>
            </w:r>
            <w:r w:rsidR="006D656A">
              <w:rPr>
                <w:noProof/>
                <w:webHidden/>
              </w:rPr>
              <w:fldChar w:fldCharType="end"/>
            </w:r>
          </w:hyperlink>
        </w:p>
        <w:p w14:paraId="54161962" w14:textId="0C2BA3A9"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7" w:history="1">
            <w:r w:rsidR="006D656A" w:rsidRPr="006808B4">
              <w:rPr>
                <w:rStyle w:val="Hyperlink"/>
                <w:noProof/>
              </w:rPr>
              <w:t>The Researcher’s Position</w:t>
            </w:r>
            <w:r w:rsidR="006D656A">
              <w:rPr>
                <w:noProof/>
                <w:webHidden/>
              </w:rPr>
              <w:tab/>
            </w:r>
            <w:r w:rsidR="006D656A">
              <w:rPr>
                <w:noProof/>
                <w:webHidden/>
              </w:rPr>
              <w:fldChar w:fldCharType="begin"/>
            </w:r>
            <w:r w:rsidR="006D656A">
              <w:rPr>
                <w:noProof/>
                <w:webHidden/>
              </w:rPr>
              <w:instrText xml:space="preserve"> PAGEREF _Toc101108497 \h </w:instrText>
            </w:r>
            <w:r w:rsidR="006D656A">
              <w:rPr>
                <w:noProof/>
                <w:webHidden/>
              </w:rPr>
            </w:r>
            <w:r w:rsidR="006D656A">
              <w:rPr>
                <w:noProof/>
                <w:webHidden/>
              </w:rPr>
              <w:fldChar w:fldCharType="separate"/>
            </w:r>
            <w:r>
              <w:rPr>
                <w:noProof/>
                <w:webHidden/>
              </w:rPr>
              <w:t>86</w:t>
            </w:r>
            <w:r w:rsidR="006D656A">
              <w:rPr>
                <w:noProof/>
                <w:webHidden/>
              </w:rPr>
              <w:fldChar w:fldCharType="end"/>
            </w:r>
          </w:hyperlink>
        </w:p>
        <w:p w14:paraId="6ED8A3AF" w14:textId="7E65923A"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8" w:history="1">
            <w:r w:rsidR="006D656A" w:rsidRPr="006808B4">
              <w:rPr>
                <w:rStyle w:val="Hyperlink"/>
                <w:noProof/>
              </w:rPr>
              <w:t>Methodology</w:t>
            </w:r>
            <w:r w:rsidR="006D656A">
              <w:rPr>
                <w:noProof/>
                <w:webHidden/>
              </w:rPr>
              <w:tab/>
            </w:r>
            <w:r w:rsidR="006D656A">
              <w:rPr>
                <w:noProof/>
                <w:webHidden/>
              </w:rPr>
              <w:fldChar w:fldCharType="begin"/>
            </w:r>
            <w:r w:rsidR="006D656A">
              <w:rPr>
                <w:noProof/>
                <w:webHidden/>
              </w:rPr>
              <w:instrText xml:space="preserve"> PAGEREF _Toc101108498 \h </w:instrText>
            </w:r>
            <w:r w:rsidR="006D656A">
              <w:rPr>
                <w:noProof/>
                <w:webHidden/>
              </w:rPr>
            </w:r>
            <w:r w:rsidR="006D656A">
              <w:rPr>
                <w:noProof/>
                <w:webHidden/>
              </w:rPr>
              <w:fldChar w:fldCharType="separate"/>
            </w:r>
            <w:r>
              <w:rPr>
                <w:noProof/>
                <w:webHidden/>
              </w:rPr>
              <w:t>88</w:t>
            </w:r>
            <w:r w:rsidR="006D656A">
              <w:rPr>
                <w:noProof/>
                <w:webHidden/>
              </w:rPr>
              <w:fldChar w:fldCharType="end"/>
            </w:r>
          </w:hyperlink>
        </w:p>
        <w:p w14:paraId="080C5DAC" w14:textId="4F6150D3"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499" w:history="1">
            <w:r w:rsidR="006D656A" w:rsidRPr="006808B4">
              <w:rPr>
                <w:rStyle w:val="Hyperlink"/>
                <w:noProof/>
              </w:rPr>
              <w:t>Young People as Advisors</w:t>
            </w:r>
            <w:r w:rsidR="006D656A">
              <w:rPr>
                <w:noProof/>
                <w:webHidden/>
              </w:rPr>
              <w:tab/>
            </w:r>
            <w:r w:rsidR="006D656A">
              <w:rPr>
                <w:noProof/>
                <w:webHidden/>
              </w:rPr>
              <w:fldChar w:fldCharType="begin"/>
            </w:r>
            <w:r w:rsidR="006D656A">
              <w:rPr>
                <w:noProof/>
                <w:webHidden/>
              </w:rPr>
              <w:instrText xml:space="preserve"> PAGEREF _Toc101108499 \h </w:instrText>
            </w:r>
            <w:r w:rsidR="006D656A">
              <w:rPr>
                <w:noProof/>
                <w:webHidden/>
              </w:rPr>
            </w:r>
            <w:r w:rsidR="006D656A">
              <w:rPr>
                <w:noProof/>
                <w:webHidden/>
              </w:rPr>
              <w:fldChar w:fldCharType="separate"/>
            </w:r>
            <w:r>
              <w:rPr>
                <w:noProof/>
                <w:webHidden/>
              </w:rPr>
              <w:t>90</w:t>
            </w:r>
            <w:r w:rsidR="006D656A">
              <w:rPr>
                <w:noProof/>
                <w:webHidden/>
              </w:rPr>
              <w:fldChar w:fldCharType="end"/>
            </w:r>
          </w:hyperlink>
        </w:p>
        <w:p w14:paraId="5D7254F1" w14:textId="727D59B0"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0" w:history="1">
            <w:r w:rsidR="006D656A" w:rsidRPr="006808B4">
              <w:rPr>
                <w:rStyle w:val="Hyperlink"/>
                <w:noProof/>
              </w:rPr>
              <w:t>Participant Selection</w:t>
            </w:r>
            <w:r w:rsidR="006D656A">
              <w:rPr>
                <w:noProof/>
                <w:webHidden/>
              </w:rPr>
              <w:tab/>
            </w:r>
            <w:r w:rsidR="006D656A">
              <w:rPr>
                <w:noProof/>
                <w:webHidden/>
              </w:rPr>
              <w:fldChar w:fldCharType="begin"/>
            </w:r>
            <w:r w:rsidR="006D656A">
              <w:rPr>
                <w:noProof/>
                <w:webHidden/>
              </w:rPr>
              <w:instrText xml:space="preserve"> PAGEREF _Toc101108500 \h </w:instrText>
            </w:r>
            <w:r w:rsidR="006D656A">
              <w:rPr>
                <w:noProof/>
                <w:webHidden/>
              </w:rPr>
            </w:r>
            <w:r w:rsidR="006D656A">
              <w:rPr>
                <w:noProof/>
                <w:webHidden/>
              </w:rPr>
              <w:fldChar w:fldCharType="separate"/>
            </w:r>
            <w:r>
              <w:rPr>
                <w:noProof/>
                <w:webHidden/>
              </w:rPr>
              <w:t>94</w:t>
            </w:r>
            <w:r w:rsidR="006D656A">
              <w:rPr>
                <w:noProof/>
                <w:webHidden/>
              </w:rPr>
              <w:fldChar w:fldCharType="end"/>
            </w:r>
          </w:hyperlink>
        </w:p>
        <w:p w14:paraId="06318A01" w14:textId="26781B23"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1" w:history="1">
            <w:r w:rsidR="006D656A" w:rsidRPr="006808B4">
              <w:rPr>
                <w:rStyle w:val="Hyperlink"/>
                <w:noProof/>
              </w:rPr>
              <w:t>Data Construction</w:t>
            </w:r>
            <w:r w:rsidR="006D656A">
              <w:rPr>
                <w:noProof/>
                <w:webHidden/>
              </w:rPr>
              <w:tab/>
            </w:r>
            <w:r w:rsidR="006D656A">
              <w:rPr>
                <w:noProof/>
                <w:webHidden/>
              </w:rPr>
              <w:fldChar w:fldCharType="begin"/>
            </w:r>
            <w:r w:rsidR="006D656A">
              <w:rPr>
                <w:noProof/>
                <w:webHidden/>
              </w:rPr>
              <w:instrText xml:space="preserve"> PAGEREF _Toc101108501 \h </w:instrText>
            </w:r>
            <w:r w:rsidR="006D656A">
              <w:rPr>
                <w:noProof/>
                <w:webHidden/>
              </w:rPr>
            </w:r>
            <w:r w:rsidR="006D656A">
              <w:rPr>
                <w:noProof/>
                <w:webHidden/>
              </w:rPr>
              <w:fldChar w:fldCharType="separate"/>
            </w:r>
            <w:r>
              <w:rPr>
                <w:noProof/>
                <w:webHidden/>
              </w:rPr>
              <w:t>96</w:t>
            </w:r>
            <w:r w:rsidR="006D656A">
              <w:rPr>
                <w:noProof/>
                <w:webHidden/>
              </w:rPr>
              <w:fldChar w:fldCharType="end"/>
            </w:r>
          </w:hyperlink>
        </w:p>
        <w:p w14:paraId="358803C8" w14:textId="1FF7E405"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2" w:history="1">
            <w:r w:rsidR="006D656A" w:rsidRPr="006808B4">
              <w:rPr>
                <w:rStyle w:val="Hyperlink"/>
                <w:noProof/>
              </w:rPr>
              <w:t>Quality</w:t>
            </w:r>
            <w:r w:rsidR="006D656A">
              <w:rPr>
                <w:noProof/>
                <w:webHidden/>
              </w:rPr>
              <w:tab/>
            </w:r>
            <w:r w:rsidR="006D656A">
              <w:rPr>
                <w:noProof/>
                <w:webHidden/>
              </w:rPr>
              <w:fldChar w:fldCharType="begin"/>
            </w:r>
            <w:r w:rsidR="006D656A">
              <w:rPr>
                <w:noProof/>
                <w:webHidden/>
              </w:rPr>
              <w:instrText xml:space="preserve"> PAGEREF _Toc101108502 \h </w:instrText>
            </w:r>
            <w:r w:rsidR="006D656A">
              <w:rPr>
                <w:noProof/>
                <w:webHidden/>
              </w:rPr>
            </w:r>
            <w:r w:rsidR="006D656A">
              <w:rPr>
                <w:noProof/>
                <w:webHidden/>
              </w:rPr>
              <w:fldChar w:fldCharType="separate"/>
            </w:r>
            <w:r>
              <w:rPr>
                <w:noProof/>
                <w:webHidden/>
              </w:rPr>
              <w:t>99</w:t>
            </w:r>
            <w:r w:rsidR="006D656A">
              <w:rPr>
                <w:noProof/>
                <w:webHidden/>
              </w:rPr>
              <w:fldChar w:fldCharType="end"/>
            </w:r>
          </w:hyperlink>
        </w:p>
        <w:p w14:paraId="3E05EB12" w14:textId="26B53D69"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3" w:history="1">
            <w:r w:rsidR="006D656A" w:rsidRPr="006808B4">
              <w:rPr>
                <w:rStyle w:val="Hyperlink"/>
                <w:noProof/>
              </w:rPr>
              <w:t>Ethical Considerations</w:t>
            </w:r>
            <w:r w:rsidR="006D656A">
              <w:rPr>
                <w:noProof/>
                <w:webHidden/>
              </w:rPr>
              <w:tab/>
            </w:r>
            <w:r w:rsidR="006D656A">
              <w:rPr>
                <w:noProof/>
                <w:webHidden/>
              </w:rPr>
              <w:fldChar w:fldCharType="begin"/>
            </w:r>
            <w:r w:rsidR="006D656A">
              <w:rPr>
                <w:noProof/>
                <w:webHidden/>
              </w:rPr>
              <w:instrText xml:space="preserve"> PAGEREF _Toc101108503 \h </w:instrText>
            </w:r>
            <w:r w:rsidR="006D656A">
              <w:rPr>
                <w:noProof/>
                <w:webHidden/>
              </w:rPr>
            </w:r>
            <w:r w:rsidR="006D656A">
              <w:rPr>
                <w:noProof/>
                <w:webHidden/>
              </w:rPr>
              <w:fldChar w:fldCharType="separate"/>
            </w:r>
            <w:r>
              <w:rPr>
                <w:noProof/>
                <w:webHidden/>
              </w:rPr>
              <w:t>103</w:t>
            </w:r>
            <w:r w:rsidR="006D656A">
              <w:rPr>
                <w:noProof/>
                <w:webHidden/>
              </w:rPr>
              <w:fldChar w:fldCharType="end"/>
            </w:r>
          </w:hyperlink>
        </w:p>
        <w:p w14:paraId="0417DC19" w14:textId="6764C297"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4" w:history="1">
            <w:r w:rsidR="006D656A" w:rsidRPr="006808B4">
              <w:rPr>
                <w:rStyle w:val="Hyperlink"/>
                <w:noProof/>
              </w:rPr>
              <w:t>Data Analysis</w:t>
            </w:r>
            <w:r w:rsidR="006D656A">
              <w:rPr>
                <w:noProof/>
                <w:webHidden/>
              </w:rPr>
              <w:tab/>
            </w:r>
            <w:r w:rsidR="006D656A">
              <w:rPr>
                <w:noProof/>
                <w:webHidden/>
              </w:rPr>
              <w:fldChar w:fldCharType="begin"/>
            </w:r>
            <w:r w:rsidR="006D656A">
              <w:rPr>
                <w:noProof/>
                <w:webHidden/>
              </w:rPr>
              <w:instrText xml:space="preserve"> PAGEREF _Toc101108504 \h </w:instrText>
            </w:r>
            <w:r w:rsidR="006D656A">
              <w:rPr>
                <w:noProof/>
                <w:webHidden/>
              </w:rPr>
            </w:r>
            <w:r w:rsidR="006D656A">
              <w:rPr>
                <w:noProof/>
                <w:webHidden/>
              </w:rPr>
              <w:fldChar w:fldCharType="separate"/>
            </w:r>
            <w:r>
              <w:rPr>
                <w:noProof/>
                <w:webHidden/>
              </w:rPr>
              <w:t>107</w:t>
            </w:r>
            <w:r w:rsidR="006D656A">
              <w:rPr>
                <w:noProof/>
                <w:webHidden/>
              </w:rPr>
              <w:fldChar w:fldCharType="end"/>
            </w:r>
          </w:hyperlink>
        </w:p>
        <w:p w14:paraId="2263544B" w14:textId="0B20FAF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5"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_Toc101108505 \h </w:instrText>
            </w:r>
            <w:r w:rsidR="006D656A">
              <w:rPr>
                <w:noProof/>
                <w:webHidden/>
              </w:rPr>
            </w:r>
            <w:r w:rsidR="006D656A">
              <w:rPr>
                <w:noProof/>
                <w:webHidden/>
              </w:rPr>
              <w:fldChar w:fldCharType="separate"/>
            </w:r>
            <w:r>
              <w:rPr>
                <w:noProof/>
                <w:webHidden/>
              </w:rPr>
              <w:t>111</w:t>
            </w:r>
            <w:r w:rsidR="006D656A">
              <w:rPr>
                <w:noProof/>
                <w:webHidden/>
              </w:rPr>
              <w:fldChar w:fldCharType="end"/>
            </w:r>
          </w:hyperlink>
        </w:p>
        <w:p w14:paraId="57A59756" w14:textId="7DBDEEA2" w:rsidR="006D656A" w:rsidRDefault="00E26E21">
          <w:pPr>
            <w:pStyle w:val="TOC1"/>
            <w:tabs>
              <w:tab w:val="right" w:leader="dot" w:pos="9010"/>
            </w:tabs>
            <w:rPr>
              <w:rFonts w:asciiTheme="minorHAnsi" w:eastAsiaTheme="minorEastAsia" w:hAnsiTheme="minorHAnsi" w:cstheme="minorBidi"/>
              <w:b w:val="0"/>
              <w:bCs w:val="0"/>
              <w:i w:val="0"/>
              <w:iCs w:val="0"/>
              <w:noProof/>
              <w:lang w:eastAsia="en-GB"/>
            </w:rPr>
          </w:pPr>
          <w:hyperlink w:anchor="_Toc101108506" w:history="1">
            <w:r w:rsidR="006D656A" w:rsidRPr="006808B4">
              <w:rPr>
                <w:rStyle w:val="Hyperlink"/>
                <w:noProof/>
              </w:rPr>
              <w:t>Part Three: Constructed Themes</w:t>
            </w:r>
            <w:r w:rsidR="006D656A">
              <w:rPr>
                <w:noProof/>
                <w:webHidden/>
              </w:rPr>
              <w:tab/>
            </w:r>
            <w:r w:rsidR="006D656A">
              <w:rPr>
                <w:noProof/>
                <w:webHidden/>
              </w:rPr>
              <w:fldChar w:fldCharType="begin"/>
            </w:r>
            <w:r w:rsidR="006D656A">
              <w:rPr>
                <w:noProof/>
                <w:webHidden/>
              </w:rPr>
              <w:instrText xml:space="preserve"> PAGEREF _Toc101108506 \h </w:instrText>
            </w:r>
            <w:r w:rsidR="006D656A">
              <w:rPr>
                <w:noProof/>
                <w:webHidden/>
              </w:rPr>
            </w:r>
            <w:r w:rsidR="006D656A">
              <w:rPr>
                <w:noProof/>
                <w:webHidden/>
              </w:rPr>
              <w:fldChar w:fldCharType="separate"/>
            </w:r>
            <w:r>
              <w:rPr>
                <w:noProof/>
                <w:webHidden/>
              </w:rPr>
              <w:t>112</w:t>
            </w:r>
            <w:r w:rsidR="006D656A">
              <w:rPr>
                <w:noProof/>
                <w:webHidden/>
              </w:rPr>
              <w:fldChar w:fldCharType="end"/>
            </w:r>
          </w:hyperlink>
        </w:p>
        <w:p w14:paraId="06ABB322" w14:textId="01871B77"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07" w:history="1">
            <w:r w:rsidR="006D656A" w:rsidRPr="006808B4">
              <w:rPr>
                <w:rStyle w:val="Hyperlink"/>
                <w:noProof/>
              </w:rPr>
              <w:t>Chapter 7: Situated Agency</w:t>
            </w:r>
            <w:r w:rsidR="006D656A">
              <w:rPr>
                <w:noProof/>
                <w:webHidden/>
              </w:rPr>
              <w:tab/>
            </w:r>
            <w:r w:rsidR="006D656A">
              <w:rPr>
                <w:noProof/>
                <w:webHidden/>
              </w:rPr>
              <w:fldChar w:fldCharType="begin"/>
            </w:r>
            <w:r w:rsidR="006D656A">
              <w:rPr>
                <w:noProof/>
                <w:webHidden/>
              </w:rPr>
              <w:instrText xml:space="preserve"> PAGEREF _Toc101108507 \h </w:instrText>
            </w:r>
            <w:r w:rsidR="006D656A">
              <w:rPr>
                <w:noProof/>
                <w:webHidden/>
              </w:rPr>
            </w:r>
            <w:r w:rsidR="006D656A">
              <w:rPr>
                <w:noProof/>
                <w:webHidden/>
              </w:rPr>
              <w:fldChar w:fldCharType="separate"/>
            </w:r>
            <w:r>
              <w:rPr>
                <w:noProof/>
                <w:webHidden/>
              </w:rPr>
              <w:t>115</w:t>
            </w:r>
            <w:r w:rsidR="006D656A">
              <w:rPr>
                <w:noProof/>
                <w:webHidden/>
              </w:rPr>
              <w:fldChar w:fldCharType="end"/>
            </w:r>
          </w:hyperlink>
        </w:p>
        <w:p w14:paraId="0403E09E" w14:textId="14448E80"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8" w:history="1">
            <w:r w:rsidR="006D656A" w:rsidRPr="006808B4">
              <w:rPr>
                <w:rStyle w:val="Hyperlink"/>
                <w:noProof/>
              </w:rPr>
              <w:t>‘I have my own mind’</w:t>
            </w:r>
            <w:r w:rsidR="006D656A">
              <w:rPr>
                <w:noProof/>
                <w:webHidden/>
              </w:rPr>
              <w:tab/>
            </w:r>
            <w:r w:rsidR="006D656A">
              <w:rPr>
                <w:noProof/>
                <w:webHidden/>
              </w:rPr>
              <w:fldChar w:fldCharType="begin"/>
            </w:r>
            <w:r w:rsidR="006D656A">
              <w:rPr>
                <w:noProof/>
                <w:webHidden/>
              </w:rPr>
              <w:instrText xml:space="preserve"> PAGEREF _Toc101108508 \h </w:instrText>
            </w:r>
            <w:r w:rsidR="006D656A">
              <w:rPr>
                <w:noProof/>
                <w:webHidden/>
              </w:rPr>
            </w:r>
            <w:r w:rsidR="006D656A">
              <w:rPr>
                <w:noProof/>
                <w:webHidden/>
              </w:rPr>
              <w:fldChar w:fldCharType="separate"/>
            </w:r>
            <w:r>
              <w:rPr>
                <w:noProof/>
                <w:webHidden/>
              </w:rPr>
              <w:t>116</w:t>
            </w:r>
            <w:r w:rsidR="006D656A">
              <w:rPr>
                <w:noProof/>
                <w:webHidden/>
              </w:rPr>
              <w:fldChar w:fldCharType="end"/>
            </w:r>
          </w:hyperlink>
        </w:p>
        <w:p w14:paraId="23CCC8E5" w14:textId="29DF231B"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09" w:history="1">
            <w:r w:rsidR="006D656A" w:rsidRPr="006808B4">
              <w:rPr>
                <w:rStyle w:val="Hyperlink"/>
                <w:noProof/>
              </w:rPr>
              <w:t>‘It’s for paperwork not for real’</w:t>
            </w:r>
            <w:r w:rsidR="006D656A">
              <w:rPr>
                <w:noProof/>
                <w:webHidden/>
              </w:rPr>
              <w:tab/>
            </w:r>
            <w:r w:rsidR="006D656A">
              <w:rPr>
                <w:noProof/>
                <w:webHidden/>
              </w:rPr>
              <w:fldChar w:fldCharType="begin"/>
            </w:r>
            <w:r w:rsidR="006D656A">
              <w:rPr>
                <w:noProof/>
                <w:webHidden/>
              </w:rPr>
              <w:instrText xml:space="preserve"> PAGEREF _Toc101108509 \h </w:instrText>
            </w:r>
            <w:r w:rsidR="006D656A">
              <w:rPr>
                <w:noProof/>
                <w:webHidden/>
              </w:rPr>
            </w:r>
            <w:r w:rsidR="006D656A">
              <w:rPr>
                <w:noProof/>
                <w:webHidden/>
              </w:rPr>
              <w:fldChar w:fldCharType="separate"/>
            </w:r>
            <w:r>
              <w:rPr>
                <w:noProof/>
                <w:webHidden/>
              </w:rPr>
              <w:t>125</w:t>
            </w:r>
            <w:r w:rsidR="006D656A">
              <w:rPr>
                <w:noProof/>
                <w:webHidden/>
              </w:rPr>
              <w:fldChar w:fldCharType="end"/>
            </w:r>
          </w:hyperlink>
        </w:p>
        <w:p w14:paraId="0243B537" w14:textId="2A64D41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0" w:history="1">
            <w:r w:rsidR="006D656A" w:rsidRPr="006808B4">
              <w:rPr>
                <w:rStyle w:val="Hyperlink"/>
                <w:noProof/>
              </w:rPr>
              <w:t>‘There’s no turning back’</w:t>
            </w:r>
            <w:r w:rsidR="006D656A">
              <w:rPr>
                <w:noProof/>
                <w:webHidden/>
              </w:rPr>
              <w:tab/>
            </w:r>
            <w:r w:rsidR="006D656A">
              <w:rPr>
                <w:noProof/>
                <w:webHidden/>
              </w:rPr>
              <w:fldChar w:fldCharType="begin"/>
            </w:r>
            <w:r w:rsidR="006D656A">
              <w:rPr>
                <w:noProof/>
                <w:webHidden/>
              </w:rPr>
              <w:instrText xml:space="preserve"> PAGEREF _Toc101108510 \h </w:instrText>
            </w:r>
            <w:r w:rsidR="006D656A">
              <w:rPr>
                <w:noProof/>
                <w:webHidden/>
              </w:rPr>
            </w:r>
            <w:r w:rsidR="006D656A">
              <w:rPr>
                <w:noProof/>
                <w:webHidden/>
              </w:rPr>
              <w:fldChar w:fldCharType="separate"/>
            </w:r>
            <w:r>
              <w:rPr>
                <w:noProof/>
                <w:webHidden/>
              </w:rPr>
              <w:t>132</w:t>
            </w:r>
            <w:r w:rsidR="006D656A">
              <w:rPr>
                <w:noProof/>
                <w:webHidden/>
              </w:rPr>
              <w:fldChar w:fldCharType="end"/>
            </w:r>
          </w:hyperlink>
        </w:p>
        <w:p w14:paraId="7A8B9F0C" w14:textId="4307480A"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11" w:history="1">
            <w:r w:rsidR="006D656A" w:rsidRPr="006808B4">
              <w:rPr>
                <w:rStyle w:val="Hyperlink"/>
                <w:noProof/>
              </w:rPr>
              <w:t>Chapter 8: Problematic Misalignment</w:t>
            </w:r>
            <w:r w:rsidR="006D656A">
              <w:rPr>
                <w:noProof/>
                <w:webHidden/>
              </w:rPr>
              <w:tab/>
            </w:r>
            <w:r w:rsidR="006D656A">
              <w:rPr>
                <w:noProof/>
                <w:webHidden/>
              </w:rPr>
              <w:fldChar w:fldCharType="begin"/>
            </w:r>
            <w:r w:rsidR="006D656A">
              <w:rPr>
                <w:noProof/>
                <w:webHidden/>
              </w:rPr>
              <w:instrText xml:space="preserve"> PAGEREF _Toc101108511 \h </w:instrText>
            </w:r>
            <w:r w:rsidR="006D656A">
              <w:rPr>
                <w:noProof/>
                <w:webHidden/>
              </w:rPr>
            </w:r>
            <w:r w:rsidR="006D656A">
              <w:rPr>
                <w:noProof/>
                <w:webHidden/>
              </w:rPr>
              <w:fldChar w:fldCharType="separate"/>
            </w:r>
            <w:r>
              <w:rPr>
                <w:noProof/>
                <w:webHidden/>
              </w:rPr>
              <w:t>138</w:t>
            </w:r>
            <w:r w:rsidR="006D656A">
              <w:rPr>
                <w:noProof/>
                <w:webHidden/>
              </w:rPr>
              <w:fldChar w:fldCharType="end"/>
            </w:r>
          </w:hyperlink>
        </w:p>
        <w:p w14:paraId="596185AC" w14:textId="4AB841A0"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2" w:history="1">
            <w:r w:rsidR="006D656A" w:rsidRPr="006808B4">
              <w:rPr>
                <w:rStyle w:val="Hyperlink"/>
                <w:noProof/>
              </w:rPr>
              <w:t>‘It’s like they don’t get what it’s like for us’</w:t>
            </w:r>
            <w:r w:rsidR="006D656A">
              <w:rPr>
                <w:noProof/>
                <w:webHidden/>
              </w:rPr>
              <w:tab/>
            </w:r>
            <w:r w:rsidR="006D656A">
              <w:rPr>
                <w:noProof/>
                <w:webHidden/>
              </w:rPr>
              <w:fldChar w:fldCharType="begin"/>
            </w:r>
            <w:r w:rsidR="006D656A">
              <w:rPr>
                <w:noProof/>
                <w:webHidden/>
              </w:rPr>
              <w:instrText xml:space="preserve"> PAGEREF _Toc101108512 \h </w:instrText>
            </w:r>
            <w:r w:rsidR="006D656A">
              <w:rPr>
                <w:noProof/>
                <w:webHidden/>
              </w:rPr>
            </w:r>
            <w:r w:rsidR="006D656A">
              <w:rPr>
                <w:noProof/>
                <w:webHidden/>
              </w:rPr>
              <w:fldChar w:fldCharType="separate"/>
            </w:r>
            <w:r>
              <w:rPr>
                <w:noProof/>
                <w:webHidden/>
              </w:rPr>
              <w:t>138</w:t>
            </w:r>
            <w:r w:rsidR="006D656A">
              <w:rPr>
                <w:noProof/>
                <w:webHidden/>
              </w:rPr>
              <w:fldChar w:fldCharType="end"/>
            </w:r>
          </w:hyperlink>
        </w:p>
        <w:p w14:paraId="0D520110" w14:textId="2394A27D"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3" w:history="1">
            <w:r w:rsidR="006D656A" w:rsidRPr="006808B4">
              <w:rPr>
                <w:rStyle w:val="Hyperlink"/>
                <w:noProof/>
              </w:rPr>
              <w:t>‘Making decisions with my eyes shut and my hand over my mouth’</w:t>
            </w:r>
            <w:r w:rsidR="006D656A">
              <w:rPr>
                <w:noProof/>
                <w:webHidden/>
              </w:rPr>
              <w:tab/>
            </w:r>
            <w:r w:rsidR="006D656A">
              <w:rPr>
                <w:noProof/>
                <w:webHidden/>
              </w:rPr>
              <w:fldChar w:fldCharType="begin"/>
            </w:r>
            <w:r w:rsidR="006D656A">
              <w:rPr>
                <w:noProof/>
                <w:webHidden/>
              </w:rPr>
              <w:instrText xml:space="preserve"> PAGEREF _Toc101108513 \h </w:instrText>
            </w:r>
            <w:r w:rsidR="006D656A">
              <w:rPr>
                <w:noProof/>
                <w:webHidden/>
              </w:rPr>
            </w:r>
            <w:r w:rsidR="006D656A">
              <w:rPr>
                <w:noProof/>
                <w:webHidden/>
              </w:rPr>
              <w:fldChar w:fldCharType="separate"/>
            </w:r>
            <w:r>
              <w:rPr>
                <w:noProof/>
                <w:webHidden/>
              </w:rPr>
              <w:t>146</w:t>
            </w:r>
            <w:r w:rsidR="006D656A">
              <w:rPr>
                <w:noProof/>
                <w:webHidden/>
              </w:rPr>
              <w:fldChar w:fldCharType="end"/>
            </w:r>
          </w:hyperlink>
        </w:p>
        <w:p w14:paraId="1DFF73AB" w14:textId="2923FF2C"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4" w:history="1">
            <w:r w:rsidR="006D656A" w:rsidRPr="006808B4">
              <w:rPr>
                <w:rStyle w:val="Hyperlink"/>
                <w:noProof/>
              </w:rPr>
              <w:t>‘It’s like a countdown, a ticking clock’</w:t>
            </w:r>
            <w:r w:rsidR="006D656A">
              <w:rPr>
                <w:noProof/>
                <w:webHidden/>
              </w:rPr>
              <w:tab/>
            </w:r>
            <w:r w:rsidR="006D656A">
              <w:rPr>
                <w:noProof/>
                <w:webHidden/>
              </w:rPr>
              <w:fldChar w:fldCharType="begin"/>
            </w:r>
            <w:r w:rsidR="006D656A">
              <w:rPr>
                <w:noProof/>
                <w:webHidden/>
              </w:rPr>
              <w:instrText xml:space="preserve"> PAGEREF _Toc101108514 \h </w:instrText>
            </w:r>
            <w:r w:rsidR="006D656A">
              <w:rPr>
                <w:noProof/>
                <w:webHidden/>
              </w:rPr>
            </w:r>
            <w:r w:rsidR="006D656A">
              <w:rPr>
                <w:noProof/>
                <w:webHidden/>
              </w:rPr>
              <w:fldChar w:fldCharType="separate"/>
            </w:r>
            <w:r>
              <w:rPr>
                <w:noProof/>
                <w:webHidden/>
              </w:rPr>
              <w:t>158</w:t>
            </w:r>
            <w:r w:rsidR="006D656A">
              <w:rPr>
                <w:noProof/>
                <w:webHidden/>
              </w:rPr>
              <w:fldChar w:fldCharType="end"/>
            </w:r>
          </w:hyperlink>
        </w:p>
        <w:p w14:paraId="6C052B14" w14:textId="74A87E69"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15" w:history="1">
            <w:r w:rsidR="006D656A" w:rsidRPr="006808B4">
              <w:rPr>
                <w:rStyle w:val="Hyperlink"/>
                <w:noProof/>
              </w:rPr>
              <w:t>Chapter 9: The Proceduralisation of Moving On</w:t>
            </w:r>
            <w:r w:rsidR="006D656A">
              <w:rPr>
                <w:noProof/>
                <w:webHidden/>
              </w:rPr>
              <w:tab/>
            </w:r>
            <w:r w:rsidR="006D656A">
              <w:rPr>
                <w:noProof/>
                <w:webHidden/>
              </w:rPr>
              <w:fldChar w:fldCharType="begin"/>
            </w:r>
            <w:r w:rsidR="006D656A">
              <w:rPr>
                <w:noProof/>
                <w:webHidden/>
              </w:rPr>
              <w:instrText xml:space="preserve"> PAGEREF _Toc101108515 \h </w:instrText>
            </w:r>
            <w:r w:rsidR="006D656A">
              <w:rPr>
                <w:noProof/>
                <w:webHidden/>
              </w:rPr>
            </w:r>
            <w:r w:rsidR="006D656A">
              <w:rPr>
                <w:noProof/>
                <w:webHidden/>
              </w:rPr>
              <w:fldChar w:fldCharType="separate"/>
            </w:r>
            <w:r>
              <w:rPr>
                <w:noProof/>
                <w:webHidden/>
              </w:rPr>
              <w:t>165</w:t>
            </w:r>
            <w:r w:rsidR="006D656A">
              <w:rPr>
                <w:noProof/>
                <w:webHidden/>
              </w:rPr>
              <w:fldChar w:fldCharType="end"/>
            </w:r>
          </w:hyperlink>
        </w:p>
        <w:p w14:paraId="1D5294CE" w14:textId="34200BFB"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6" w:history="1">
            <w:r w:rsidR="006D656A" w:rsidRPr="006808B4">
              <w:rPr>
                <w:rStyle w:val="Hyperlink"/>
                <w:noProof/>
              </w:rPr>
              <w:t>‘What is the limit to that love’</w:t>
            </w:r>
            <w:r w:rsidR="006D656A">
              <w:rPr>
                <w:noProof/>
                <w:webHidden/>
              </w:rPr>
              <w:tab/>
            </w:r>
            <w:r w:rsidR="006D656A">
              <w:rPr>
                <w:noProof/>
                <w:webHidden/>
              </w:rPr>
              <w:fldChar w:fldCharType="begin"/>
            </w:r>
            <w:r w:rsidR="006D656A">
              <w:rPr>
                <w:noProof/>
                <w:webHidden/>
              </w:rPr>
              <w:instrText xml:space="preserve"> PAGEREF _Toc101108516 \h </w:instrText>
            </w:r>
            <w:r w:rsidR="006D656A">
              <w:rPr>
                <w:noProof/>
                <w:webHidden/>
              </w:rPr>
            </w:r>
            <w:r w:rsidR="006D656A">
              <w:rPr>
                <w:noProof/>
                <w:webHidden/>
              </w:rPr>
              <w:fldChar w:fldCharType="separate"/>
            </w:r>
            <w:r>
              <w:rPr>
                <w:noProof/>
                <w:webHidden/>
              </w:rPr>
              <w:t>165</w:t>
            </w:r>
            <w:r w:rsidR="006D656A">
              <w:rPr>
                <w:noProof/>
                <w:webHidden/>
              </w:rPr>
              <w:fldChar w:fldCharType="end"/>
            </w:r>
          </w:hyperlink>
        </w:p>
        <w:p w14:paraId="0423641A" w14:textId="44321767"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7" w:history="1">
            <w:r w:rsidR="006D656A" w:rsidRPr="006808B4">
              <w:rPr>
                <w:rStyle w:val="Hyperlink"/>
                <w:noProof/>
              </w:rPr>
              <w:t>‘It’s weird to have a contract with a family’</w:t>
            </w:r>
            <w:r w:rsidR="006D656A">
              <w:rPr>
                <w:noProof/>
                <w:webHidden/>
              </w:rPr>
              <w:tab/>
            </w:r>
            <w:r w:rsidR="006D656A">
              <w:rPr>
                <w:noProof/>
                <w:webHidden/>
              </w:rPr>
              <w:fldChar w:fldCharType="begin"/>
            </w:r>
            <w:r w:rsidR="006D656A">
              <w:rPr>
                <w:noProof/>
                <w:webHidden/>
              </w:rPr>
              <w:instrText xml:space="preserve"> PAGEREF _Toc101108517 \h </w:instrText>
            </w:r>
            <w:r w:rsidR="006D656A">
              <w:rPr>
                <w:noProof/>
                <w:webHidden/>
              </w:rPr>
            </w:r>
            <w:r w:rsidR="006D656A">
              <w:rPr>
                <w:noProof/>
                <w:webHidden/>
              </w:rPr>
              <w:fldChar w:fldCharType="separate"/>
            </w:r>
            <w:r>
              <w:rPr>
                <w:noProof/>
                <w:webHidden/>
              </w:rPr>
              <w:t>172</w:t>
            </w:r>
            <w:r w:rsidR="006D656A">
              <w:rPr>
                <w:noProof/>
                <w:webHidden/>
              </w:rPr>
              <w:fldChar w:fldCharType="end"/>
            </w:r>
          </w:hyperlink>
        </w:p>
        <w:p w14:paraId="5CC3F4F0" w14:textId="581A774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18" w:history="1">
            <w:r w:rsidR="006D656A" w:rsidRPr="006808B4">
              <w:rPr>
                <w:rStyle w:val="Hyperlink"/>
                <w:noProof/>
              </w:rPr>
              <w:t>‘Just putting the washing machine on, is not enough’</w:t>
            </w:r>
            <w:r w:rsidR="006D656A">
              <w:rPr>
                <w:noProof/>
                <w:webHidden/>
              </w:rPr>
              <w:tab/>
            </w:r>
            <w:r w:rsidR="006D656A">
              <w:rPr>
                <w:noProof/>
                <w:webHidden/>
              </w:rPr>
              <w:fldChar w:fldCharType="begin"/>
            </w:r>
            <w:r w:rsidR="006D656A">
              <w:rPr>
                <w:noProof/>
                <w:webHidden/>
              </w:rPr>
              <w:instrText xml:space="preserve"> PAGEREF _Toc101108518 \h </w:instrText>
            </w:r>
            <w:r w:rsidR="006D656A">
              <w:rPr>
                <w:noProof/>
                <w:webHidden/>
              </w:rPr>
            </w:r>
            <w:r w:rsidR="006D656A">
              <w:rPr>
                <w:noProof/>
                <w:webHidden/>
              </w:rPr>
              <w:fldChar w:fldCharType="separate"/>
            </w:r>
            <w:r>
              <w:rPr>
                <w:noProof/>
                <w:webHidden/>
              </w:rPr>
              <w:t>176</w:t>
            </w:r>
            <w:r w:rsidR="006D656A">
              <w:rPr>
                <w:noProof/>
                <w:webHidden/>
              </w:rPr>
              <w:fldChar w:fldCharType="end"/>
            </w:r>
          </w:hyperlink>
        </w:p>
        <w:p w14:paraId="64987D91" w14:textId="78D67DAE" w:rsidR="006D656A" w:rsidRDefault="00E26E21">
          <w:pPr>
            <w:pStyle w:val="TOC1"/>
            <w:tabs>
              <w:tab w:val="right" w:leader="dot" w:pos="9010"/>
            </w:tabs>
            <w:rPr>
              <w:rFonts w:asciiTheme="minorHAnsi" w:eastAsiaTheme="minorEastAsia" w:hAnsiTheme="minorHAnsi" w:cstheme="minorBidi"/>
              <w:b w:val="0"/>
              <w:bCs w:val="0"/>
              <w:i w:val="0"/>
              <w:iCs w:val="0"/>
              <w:noProof/>
              <w:lang w:eastAsia="en-GB"/>
            </w:rPr>
          </w:pPr>
          <w:hyperlink w:anchor="_Toc101108519" w:history="1">
            <w:r w:rsidR="006D656A" w:rsidRPr="006808B4">
              <w:rPr>
                <w:rStyle w:val="Hyperlink"/>
                <w:noProof/>
              </w:rPr>
              <w:t>Part Four: Interpretation and Next Steps</w:t>
            </w:r>
            <w:r w:rsidR="006D656A">
              <w:rPr>
                <w:noProof/>
                <w:webHidden/>
              </w:rPr>
              <w:tab/>
            </w:r>
            <w:r w:rsidR="006D656A">
              <w:rPr>
                <w:noProof/>
                <w:webHidden/>
              </w:rPr>
              <w:fldChar w:fldCharType="begin"/>
            </w:r>
            <w:r w:rsidR="006D656A">
              <w:rPr>
                <w:noProof/>
                <w:webHidden/>
              </w:rPr>
              <w:instrText xml:space="preserve"> PAGEREF _Toc101108519 \h </w:instrText>
            </w:r>
            <w:r w:rsidR="006D656A">
              <w:rPr>
                <w:noProof/>
                <w:webHidden/>
              </w:rPr>
            </w:r>
            <w:r w:rsidR="006D656A">
              <w:rPr>
                <w:noProof/>
                <w:webHidden/>
              </w:rPr>
              <w:fldChar w:fldCharType="separate"/>
            </w:r>
            <w:r>
              <w:rPr>
                <w:noProof/>
                <w:webHidden/>
              </w:rPr>
              <w:t>183</w:t>
            </w:r>
            <w:r w:rsidR="006D656A">
              <w:rPr>
                <w:noProof/>
                <w:webHidden/>
              </w:rPr>
              <w:fldChar w:fldCharType="end"/>
            </w:r>
          </w:hyperlink>
        </w:p>
        <w:p w14:paraId="49161079" w14:textId="40819AE5"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20" w:history="1">
            <w:r w:rsidR="006D656A" w:rsidRPr="006808B4">
              <w:rPr>
                <w:rStyle w:val="Hyperlink"/>
                <w:noProof/>
              </w:rPr>
              <w:t>Chapter 10: Discussion</w:t>
            </w:r>
            <w:r w:rsidR="006D656A">
              <w:rPr>
                <w:noProof/>
                <w:webHidden/>
              </w:rPr>
              <w:tab/>
            </w:r>
            <w:r w:rsidR="006D656A">
              <w:rPr>
                <w:noProof/>
                <w:webHidden/>
              </w:rPr>
              <w:fldChar w:fldCharType="begin"/>
            </w:r>
            <w:r w:rsidR="006D656A">
              <w:rPr>
                <w:noProof/>
                <w:webHidden/>
              </w:rPr>
              <w:instrText xml:space="preserve"> PAGEREF _Toc101108520 \h </w:instrText>
            </w:r>
            <w:r w:rsidR="006D656A">
              <w:rPr>
                <w:noProof/>
                <w:webHidden/>
              </w:rPr>
            </w:r>
            <w:r w:rsidR="006D656A">
              <w:rPr>
                <w:noProof/>
                <w:webHidden/>
              </w:rPr>
              <w:fldChar w:fldCharType="separate"/>
            </w:r>
            <w:r>
              <w:rPr>
                <w:noProof/>
                <w:webHidden/>
              </w:rPr>
              <w:t>184</w:t>
            </w:r>
            <w:r w:rsidR="006D656A">
              <w:rPr>
                <w:noProof/>
                <w:webHidden/>
              </w:rPr>
              <w:fldChar w:fldCharType="end"/>
            </w:r>
          </w:hyperlink>
        </w:p>
        <w:p w14:paraId="6E82C1E7" w14:textId="37BE59CB"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1"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_Toc101108521 \h </w:instrText>
            </w:r>
            <w:r w:rsidR="006D656A">
              <w:rPr>
                <w:noProof/>
                <w:webHidden/>
              </w:rPr>
            </w:r>
            <w:r w:rsidR="006D656A">
              <w:rPr>
                <w:noProof/>
                <w:webHidden/>
              </w:rPr>
              <w:fldChar w:fldCharType="separate"/>
            </w:r>
            <w:r>
              <w:rPr>
                <w:noProof/>
                <w:webHidden/>
              </w:rPr>
              <w:t>184</w:t>
            </w:r>
            <w:r w:rsidR="006D656A">
              <w:rPr>
                <w:noProof/>
                <w:webHidden/>
              </w:rPr>
              <w:fldChar w:fldCharType="end"/>
            </w:r>
          </w:hyperlink>
        </w:p>
        <w:p w14:paraId="2955B3DB" w14:textId="16AFFBC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2" w:history="1">
            <w:r w:rsidR="006D656A" w:rsidRPr="006808B4">
              <w:rPr>
                <w:rStyle w:val="Hyperlink"/>
                <w:noProof/>
              </w:rPr>
              <w:t>Decisions in the Margin</w:t>
            </w:r>
            <w:r w:rsidR="006D656A">
              <w:rPr>
                <w:noProof/>
                <w:webHidden/>
              </w:rPr>
              <w:tab/>
            </w:r>
            <w:r w:rsidR="006D656A">
              <w:rPr>
                <w:noProof/>
                <w:webHidden/>
              </w:rPr>
              <w:fldChar w:fldCharType="begin"/>
            </w:r>
            <w:r w:rsidR="006D656A">
              <w:rPr>
                <w:noProof/>
                <w:webHidden/>
              </w:rPr>
              <w:instrText xml:space="preserve"> PAGEREF _Toc101108522 \h </w:instrText>
            </w:r>
            <w:r w:rsidR="006D656A">
              <w:rPr>
                <w:noProof/>
                <w:webHidden/>
              </w:rPr>
            </w:r>
            <w:r w:rsidR="006D656A">
              <w:rPr>
                <w:noProof/>
                <w:webHidden/>
              </w:rPr>
              <w:fldChar w:fldCharType="separate"/>
            </w:r>
            <w:r>
              <w:rPr>
                <w:noProof/>
                <w:webHidden/>
              </w:rPr>
              <w:t>184</w:t>
            </w:r>
            <w:r w:rsidR="006D656A">
              <w:rPr>
                <w:noProof/>
                <w:webHidden/>
              </w:rPr>
              <w:fldChar w:fldCharType="end"/>
            </w:r>
          </w:hyperlink>
        </w:p>
        <w:p w14:paraId="57E192A0" w14:textId="53F6B21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3" w:history="1">
            <w:r w:rsidR="006D656A" w:rsidRPr="006808B4">
              <w:rPr>
                <w:rStyle w:val="Hyperlink"/>
                <w:noProof/>
              </w:rPr>
              <w:t>Curated information</w:t>
            </w:r>
            <w:r w:rsidR="006D656A">
              <w:rPr>
                <w:noProof/>
                <w:webHidden/>
              </w:rPr>
              <w:tab/>
            </w:r>
            <w:r w:rsidR="006D656A">
              <w:rPr>
                <w:noProof/>
                <w:webHidden/>
              </w:rPr>
              <w:fldChar w:fldCharType="begin"/>
            </w:r>
            <w:r w:rsidR="006D656A">
              <w:rPr>
                <w:noProof/>
                <w:webHidden/>
              </w:rPr>
              <w:instrText xml:space="preserve"> PAGEREF _Toc101108523 \h </w:instrText>
            </w:r>
            <w:r w:rsidR="006D656A">
              <w:rPr>
                <w:noProof/>
                <w:webHidden/>
              </w:rPr>
            </w:r>
            <w:r w:rsidR="006D656A">
              <w:rPr>
                <w:noProof/>
                <w:webHidden/>
              </w:rPr>
              <w:fldChar w:fldCharType="separate"/>
            </w:r>
            <w:r>
              <w:rPr>
                <w:noProof/>
                <w:webHidden/>
              </w:rPr>
              <w:t>194</w:t>
            </w:r>
            <w:r w:rsidR="006D656A">
              <w:rPr>
                <w:noProof/>
                <w:webHidden/>
              </w:rPr>
              <w:fldChar w:fldCharType="end"/>
            </w:r>
          </w:hyperlink>
        </w:p>
        <w:p w14:paraId="03C2FB91" w14:textId="40E9402B"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4" w:history="1">
            <w:r w:rsidR="006D656A" w:rsidRPr="006808B4">
              <w:rPr>
                <w:rStyle w:val="Hyperlink"/>
                <w:noProof/>
              </w:rPr>
              <w:t xml:space="preserve">The inadvertent consequences of </w:t>
            </w:r>
            <w:r w:rsidR="006D656A" w:rsidRPr="006808B4">
              <w:rPr>
                <w:rStyle w:val="Hyperlink"/>
                <w:i/>
                <w:iCs/>
                <w:noProof/>
              </w:rPr>
              <w:t>Staying Put</w:t>
            </w:r>
            <w:r w:rsidR="006D656A">
              <w:rPr>
                <w:noProof/>
                <w:webHidden/>
              </w:rPr>
              <w:tab/>
            </w:r>
            <w:r w:rsidR="006D656A">
              <w:rPr>
                <w:noProof/>
                <w:webHidden/>
              </w:rPr>
              <w:fldChar w:fldCharType="begin"/>
            </w:r>
            <w:r w:rsidR="006D656A">
              <w:rPr>
                <w:noProof/>
                <w:webHidden/>
              </w:rPr>
              <w:instrText xml:space="preserve"> PAGEREF _Toc101108524 \h </w:instrText>
            </w:r>
            <w:r w:rsidR="006D656A">
              <w:rPr>
                <w:noProof/>
                <w:webHidden/>
              </w:rPr>
            </w:r>
            <w:r w:rsidR="006D656A">
              <w:rPr>
                <w:noProof/>
                <w:webHidden/>
              </w:rPr>
              <w:fldChar w:fldCharType="separate"/>
            </w:r>
            <w:r>
              <w:rPr>
                <w:noProof/>
                <w:webHidden/>
              </w:rPr>
              <w:t>196</w:t>
            </w:r>
            <w:r w:rsidR="006D656A">
              <w:rPr>
                <w:noProof/>
                <w:webHidden/>
              </w:rPr>
              <w:fldChar w:fldCharType="end"/>
            </w:r>
          </w:hyperlink>
        </w:p>
        <w:p w14:paraId="6A398B51" w14:textId="390AC686"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5" w:history="1">
            <w:r w:rsidR="006D656A" w:rsidRPr="006808B4">
              <w:rPr>
                <w:rStyle w:val="Hyperlink"/>
                <w:noProof/>
              </w:rPr>
              <w:t>Leaving Care</w:t>
            </w:r>
            <w:r w:rsidR="006D656A">
              <w:rPr>
                <w:noProof/>
                <w:webHidden/>
              </w:rPr>
              <w:tab/>
            </w:r>
            <w:r w:rsidR="006D656A">
              <w:rPr>
                <w:noProof/>
                <w:webHidden/>
              </w:rPr>
              <w:fldChar w:fldCharType="begin"/>
            </w:r>
            <w:r w:rsidR="006D656A">
              <w:rPr>
                <w:noProof/>
                <w:webHidden/>
              </w:rPr>
              <w:instrText xml:space="preserve"> PAGEREF _Toc101108525 \h </w:instrText>
            </w:r>
            <w:r w:rsidR="006D656A">
              <w:rPr>
                <w:noProof/>
                <w:webHidden/>
              </w:rPr>
            </w:r>
            <w:r w:rsidR="006D656A">
              <w:rPr>
                <w:noProof/>
                <w:webHidden/>
              </w:rPr>
              <w:fldChar w:fldCharType="separate"/>
            </w:r>
            <w:r>
              <w:rPr>
                <w:noProof/>
                <w:webHidden/>
              </w:rPr>
              <w:t>199</w:t>
            </w:r>
            <w:r w:rsidR="006D656A">
              <w:rPr>
                <w:noProof/>
                <w:webHidden/>
              </w:rPr>
              <w:fldChar w:fldCharType="end"/>
            </w:r>
          </w:hyperlink>
        </w:p>
        <w:p w14:paraId="3CA2919F" w14:textId="4FD839F4"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6"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_Toc101108526 \h </w:instrText>
            </w:r>
            <w:r w:rsidR="006D656A">
              <w:rPr>
                <w:noProof/>
                <w:webHidden/>
              </w:rPr>
            </w:r>
            <w:r w:rsidR="006D656A">
              <w:rPr>
                <w:noProof/>
                <w:webHidden/>
              </w:rPr>
              <w:fldChar w:fldCharType="separate"/>
            </w:r>
            <w:r>
              <w:rPr>
                <w:noProof/>
                <w:webHidden/>
              </w:rPr>
              <w:t>202</w:t>
            </w:r>
            <w:r w:rsidR="006D656A">
              <w:rPr>
                <w:noProof/>
                <w:webHidden/>
              </w:rPr>
              <w:fldChar w:fldCharType="end"/>
            </w:r>
          </w:hyperlink>
        </w:p>
        <w:p w14:paraId="43B94984" w14:textId="2F125C0B"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27" w:history="1">
            <w:r w:rsidR="006D656A" w:rsidRPr="006808B4">
              <w:rPr>
                <w:rStyle w:val="Hyperlink"/>
                <w:noProof/>
              </w:rPr>
              <w:t>Chapter 11: Reflections and Limitations</w:t>
            </w:r>
            <w:r w:rsidR="006D656A">
              <w:rPr>
                <w:noProof/>
                <w:webHidden/>
              </w:rPr>
              <w:tab/>
            </w:r>
            <w:r w:rsidR="006D656A">
              <w:rPr>
                <w:noProof/>
                <w:webHidden/>
              </w:rPr>
              <w:fldChar w:fldCharType="begin"/>
            </w:r>
            <w:r w:rsidR="006D656A">
              <w:rPr>
                <w:noProof/>
                <w:webHidden/>
              </w:rPr>
              <w:instrText xml:space="preserve"> PAGEREF _Toc101108527 \h </w:instrText>
            </w:r>
            <w:r w:rsidR="006D656A">
              <w:rPr>
                <w:noProof/>
                <w:webHidden/>
              </w:rPr>
            </w:r>
            <w:r w:rsidR="006D656A">
              <w:rPr>
                <w:noProof/>
                <w:webHidden/>
              </w:rPr>
              <w:fldChar w:fldCharType="separate"/>
            </w:r>
            <w:r>
              <w:rPr>
                <w:noProof/>
                <w:webHidden/>
              </w:rPr>
              <w:t>203</w:t>
            </w:r>
            <w:r w:rsidR="006D656A">
              <w:rPr>
                <w:noProof/>
                <w:webHidden/>
              </w:rPr>
              <w:fldChar w:fldCharType="end"/>
            </w:r>
          </w:hyperlink>
        </w:p>
        <w:p w14:paraId="3646351B" w14:textId="39CA2EA5"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8"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_Toc101108528 \h </w:instrText>
            </w:r>
            <w:r w:rsidR="006D656A">
              <w:rPr>
                <w:noProof/>
                <w:webHidden/>
              </w:rPr>
            </w:r>
            <w:r w:rsidR="006D656A">
              <w:rPr>
                <w:noProof/>
                <w:webHidden/>
              </w:rPr>
              <w:fldChar w:fldCharType="separate"/>
            </w:r>
            <w:r>
              <w:rPr>
                <w:noProof/>
                <w:webHidden/>
              </w:rPr>
              <w:t>203</w:t>
            </w:r>
            <w:r w:rsidR="006D656A">
              <w:rPr>
                <w:noProof/>
                <w:webHidden/>
              </w:rPr>
              <w:fldChar w:fldCharType="end"/>
            </w:r>
          </w:hyperlink>
        </w:p>
        <w:p w14:paraId="3E7012B8" w14:textId="7FC4E16E"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29" w:history="1">
            <w:r w:rsidR="006D656A" w:rsidRPr="006808B4">
              <w:rPr>
                <w:rStyle w:val="Hyperlink"/>
                <w:noProof/>
              </w:rPr>
              <w:t>Research Limitations</w:t>
            </w:r>
            <w:r w:rsidR="006D656A">
              <w:rPr>
                <w:noProof/>
                <w:webHidden/>
              </w:rPr>
              <w:tab/>
            </w:r>
            <w:r w:rsidR="006D656A">
              <w:rPr>
                <w:noProof/>
                <w:webHidden/>
              </w:rPr>
              <w:fldChar w:fldCharType="begin"/>
            </w:r>
            <w:r w:rsidR="006D656A">
              <w:rPr>
                <w:noProof/>
                <w:webHidden/>
              </w:rPr>
              <w:instrText xml:space="preserve"> PAGEREF _Toc101108529 \h </w:instrText>
            </w:r>
            <w:r w:rsidR="006D656A">
              <w:rPr>
                <w:noProof/>
                <w:webHidden/>
              </w:rPr>
            </w:r>
            <w:r w:rsidR="006D656A">
              <w:rPr>
                <w:noProof/>
                <w:webHidden/>
              </w:rPr>
              <w:fldChar w:fldCharType="separate"/>
            </w:r>
            <w:r>
              <w:rPr>
                <w:noProof/>
                <w:webHidden/>
              </w:rPr>
              <w:t>208</w:t>
            </w:r>
            <w:r w:rsidR="006D656A">
              <w:rPr>
                <w:noProof/>
                <w:webHidden/>
              </w:rPr>
              <w:fldChar w:fldCharType="end"/>
            </w:r>
          </w:hyperlink>
        </w:p>
        <w:p w14:paraId="6C8AE260" w14:textId="600B1031"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30" w:history="1">
            <w:r w:rsidR="006D656A" w:rsidRPr="006808B4">
              <w:rPr>
                <w:rStyle w:val="Hyperlink"/>
                <w:noProof/>
              </w:rPr>
              <w:t>Chapter 12: Conclusion</w:t>
            </w:r>
            <w:r w:rsidR="006D656A">
              <w:rPr>
                <w:noProof/>
                <w:webHidden/>
              </w:rPr>
              <w:tab/>
            </w:r>
            <w:r w:rsidR="006D656A">
              <w:rPr>
                <w:noProof/>
                <w:webHidden/>
              </w:rPr>
              <w:fldChar w:fldCharType="begin"/>
            </w:r>
            <w:r w:rsidR="006D656A">
              <w:rPr>
                <w:noProof/>
                <w:webHidden/>
              </w:rPr>
              <w:instrText xml:space="preserve"> PAGEREF _Toc101108530 \h </w:instrText>
            </w:r>
            <w:r w:rsidR="006D656A">
              <w:rPr>
                <w:noProof/>
                <w:webHidden/>
              </w:rPr>
            </w:r>
            <w:r w:rsidR="006D656A">
              <w:rPr>
                <w:noProof/>
                <w:webHidden/>
              </w:rPr>
              <w:fldChar w:fldCharType="separate"/>
            </w:r>
            <w:r>
              <w:rPr>
                <w:noProof/>
                <w:webHidden/>
              </w:rPr>
              <w:t>210</w:t>
            </w:r>
            <w:r w:rsidR="006D656A">
              <w:rPr>
                <w:noProof/>
                <w:webHidden/>
              </w:rPr>
              <w:fldChar w:fldCharType="end"/>
            </w:r>
          </w:hyperlink>
        </w:p>
        <w:p w14:paraId="271B6C4C" w14:textId="7814F626"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1" w:history="1">
            <w:r w:rsidR="006D656A" w:rsidRPr="006808B4">
              <w:rPr>
                <w:rStyle w:val="Hyperlink"/>
                <w:noProof/>
              </w:rPr>
              <w:t>Chapter Introduction</w:t>
            </w:r>
            <w:r w:rsidR="006D656A">
              <w:rPr>
                <w:noProof/>
                <w:webHidden/>
              </w:rPr>
              <w:tab/>
            </w:r>
            <w:r w:rsidR="006D656A">
              <w:rPr>
                <w:noProof/>
                <w:webHidden/>
              </w:rPr>
              <w:fldChar w:fldCharType="begin"/>
            </w:r>
            <w:r w:rsidR="006D656A">
              <w:rPr>
                <w:noProof/>
                <w:webHidden/>
              </w:rPr>
              <w:instrText xml:space="preserve"> PAGEREF _Toc101108531 \h </w:instrText>
            </w:r>
            <w:r w:rsidR="006D656A">
              <w:rPr>
                <w:noProof/>
                <w:webHidden/>
              </w:rPr>
            </w:r>
            <w:r w:rsidR="006D656A">
              <w:rPr>
                <w:noProof/>
                <w:webHidden/>
              </w:rPr>
              <w:fldChar w:fldCharType="separate"/>
            </w:r>
            <w:r>
              <w:rPr>
                <w:noProof/>
                <w:webHidden/>
              </w:rPr>
              <w:t>210</w:t>
            </w:r>
            <w:r w:rsidR="006D656A">
              <w:rPr>
                <w:noProof/>
                <w:webHidden/>
              </w:rPr>
              <w:fldChar w:fldCharType="end"/>
            </w:r>
          </w:hyperlink>
        </w:p>
        <w:p w14:paraId="621656FB" w14:textId="7FA5391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2" w:history="1">
            <w:r w:rsidR="006D656A" w:rsidRPr="006808B4">
              <w:rPr>
                <w:rStyle w:val="Hyperlink"/>
                <w:noProof/>
              </w:rPr>
              <w:t>Summary</w:t>
            </w:r>
            <w:r w:rsidR="006D656A">
              <w:rPr>
                <w:noProof/>
                <w:webHidden/>
              </w:rPr>
              <w:tab/>
            </w:r>
            <w:r w:rsidR="006D656A">
              <w:rPr>
                <w:noProof/>
                <w:webHidden/>
              </w:rPr>
              <w:fldChar w:fldCharType="begin"/>
            </w:r>
            <w:r w:rsidR="006D656A">
              <w:rPr>
                <w:noProof/>
                <w:webHidden/>
              </w:rPr>
              <w:instrText xml:space="preserve"> PAGEREF _Toc101108532 \h </w:instrText>
            </w:r>
            <w:r w:rsidR="006D656A">
              <w:rPr>
                <w:noProof/>
                <w:webHidden/>
              </w:rPr>
            </w:r>
            <w:r w:rsidR="006D656A">
              <w:rPr>
                <w:noProof/>
                <w:webHidden/>
              </w:rPr>
              <w:fldChar w:fldCharType="separate"/>
            </w:r>
            <w:r>
              <w:rPr>
                <w:noProof/>
                <w:webHidden/>
              </w:rPr>
              <w:t>210</w:t>
            </w:r>
            <w:r w:rsidR="006D656A">
              <w:rPr>
                <w:noProof/>
                <w:webHidden/>
              </w:rPr>
              <w:fldChar w:fldCharType="end"/>
            </w:r>
          </w:hyperlink>
        </w:p>
        <w:p w14:paraId="0E13BDF1" w14:textId="1FD2DCDD"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3" w:history="1">
            <w:r w:rsidR="006D656A" w:rsidRPr="006808B4">
              <w:rPr>
                <w:rStyle w:val="Hyperlink"/>
                <w:noProof/>
              </w:rPr>
              <w:t>Learning from this Study</w:t>
            </w:r>
            <w:r w:rsidR="006D656A">
              <w:rPr>
                <w:noProof/>
                <w:webHidden/>
              </w:rPr>
              <w:tab/>
            </w:r>
            <w:r w:rsidR="006D656A">
              <w:rPr>
                <w:noProof/>
                <w:webHidden/>
              </w:rPr>
              <w:fldChar w:fldCharType="begin"/>
            </w:r>
            <w:r w:rsidR="006D656A">
              <w:rPr>
                <w:noProof/>
                <w:webHidden/>
              </w:rPr>
              <w:instrText xml:space="preserve"> PAGEREF _Toc101108533 \h </w:instrText>
            </w:r>
            <w:r w:rsidR="006D656A">
              <w:rPr>
                <w:noProof/>
                <w:webHidden/>
              </w:rPr>
            </w:r>
            <w:r w:rsidR="006D656A">
              <w:rPr>
                <w:noProof/>
                <w:webHidden/>
              </w:rPr>
              <w:fldChar w:fldCharType="separate"/>
            </w:r>
            <w:r>
              <w:rPr>
                <w:noProof/>
                <w:webHidden/>
              </w:rPr>
              <w:t>211</w:t>
            </w:r>
            <w:r w:rsidR="006D656A">
              <w:rPr>
                <w:noProof/>
                <w:webHidden/>
              </w:rPr>
              <w:fldChar w:fldCharType="end"/>
            </w:r>
          </w:hyperlink>
        </w:p>
        <w:p w14:paraId="266A8977" w14:textId="160ED0A9"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4" w:history="1">
            <w:r w:rsidR="006D656A" w:rsidRPr="006808B4">
              <w:rPr>
                <w:rStyle w:val="Hyperlink"/>
                <w:noProof/>
              </w:rPr>
              <w:t>Contribution to Knowledge</w:t>
            </w:r>
            <w:r w:rsidR="006D656A">
              <w:rPr>
                <w:noProof/>
                <w:webHidden/>
              </w:rPr>
              <w:tab/>
            </w:r>
            <w:r w:rsidR="006D656A">
              <w:rPr>
                <w:noProof/>
                <w:webHidden/>
              </w:rPr>
              <w:fldChar w:fldCharType="begin"/>
            </w:r>
            <w:r w:rsidR="006D656A">
              <w:rPr>
                <w:noProof/>
                <w:webHidden/>
              </w:rPr>
              <w:instrText xml:space="preserve"> PAGEREF _Toc101108534 \h </w:instrText>
            </w:r>
            <w:r w:rsidR="006D656A">
              <w:rPr>
                <w:noProof/>
                <w:webHidden/>
              </w:rPr>
            </w:r>
            <w:r w:rsidR="006D656A">
              <w:rPr>
                <w:noProof/>
                <w:webHidden/>
              </w:rPr>
              <w:fldChar w:fldCharType="separate"/>
            </w:r>
            <w:r>
              <w:rPr>
                <w:noProof/>
                <w:webHidden/>
              </w:rPr>
              <w:t>213</w:t>
            </w:r>
            <w:r w:rsidR="006D656A">
              <w:rPr>
                <w:noProof/>
                <w:webHidden/>
              </w:rPr>
              <w:fldChar w:fldCharType="end"/>
            </w:r>
          </w:hyperlink>
        </w:p>
        <w:p w14:paraId="60285592" w14:textId="10A8DCF1"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5" w:history="1">
            <w:r w:rsidR="006D656A" w:rsidRPr="006808B4">
              <w:rPr>
                <w:rStyle w:val="Hyperlink"/>
                <w:noProof/>
              </w:rPr>
              <w:t>Messages for Practice</w:t>
            </w:r>
            <w:r w:rsidR="006D656A">
              <w:rPr>
                <w:noProof/>
                <w:webHidden/>
              </w:rPr>
              <w:tab/>
            </w:r>
            <w:r w:rsidR="006D656A">
              <w:rPr>
                <w:noProof/>
                <w:webHidden/>
              </w:rPr>
              <w:fldChar w:fldCharType="begin"/>
            </w:r>
            <w:r w:rsidR="006D656A">
              <w:rPr>
                <w:noProof/>
                <w:webHidden/>
              </w:rPr>
              <w:instrText xml:space="preserve"> PAGEREF _Toc101108535 \h </w:instrText>
            </w:r>
            <w:r w:rsidR="006D656A">
              <w:rPr>
                <w:noProof/>
                <w:webHidden/>
              </w:rPr>
            </w:r>
            <w:r w:rsidR="006D656A">
              <w:rPr>
                <w:noProof/>
                <w:webHidden/>
              </w:rPr>
              <w:fldChar w:fldCharType="separate"/>
            </w:r>
            <w:r>
              <w:rPr>
                <w:noProof/>
                <w:webHidden/>
              </w:rPr>
              <w:t>216</w:t>
            </w:r>
            <w:r w:rsidR="006D656A">
              <w:rPr>
                <w:noProof/>
                <w:webHidden/>
              </w:rPr>
              <w:fldChar w:fldCharType="end"/>
            </w:r>
          </w:hyperlink>
        </w:p>
        <w:p w14:paraId="0667BCDA" w14:textId="1F6E7498"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6" w:history="1">
            <w:r w:rsidR="006D656A" w:rsidRPr="006808B4">
              <w:rPr>
                <w:rStyle w:val="Hyperlink"/>
                <w:noProof/>
              </w:rPr>
              <w:t>Suggestions for Further Research</w:t>
            </w:r>
            <w:r w:rsidR="006D656A">
              <w:rPr>
                <w:noProof/>
                <w:webHidden/>
              </w:rPr>
              <w:tab/>
            </w:r>
            <w:r w:rsidR="006D656A">
              <w:rPr>
                <w:noProof/>
                <w:webHidden/>
              </w:rPr>
              <w:fldChar w:fldCharType="begin"/>
            </w:r>
            <w:r w:rsidR="006D656A">
              <w:rPr>
                <w:noProof/>
                <w:webHidden/>
              </w:rPr>
              <w:instrText xml:space="preserve"> PAGEREF _Toc101108536 \h </w:instrText>
            </w:r>
            <w:r w:rsidR="006D656A">
              <w:rPr>
                <w:noProof/>
                <w:webHidden/>
              </w:rPr>
            </w:r>
            <w:r w:rsidR="006D656A">
              <w:rPr>
                <w:noProof/>
                <w:webHidden/>
              </w:rPr>
              <w:fldChar w:fldCharType="separate"/>
            </w:r>
            <w:r>
              <w:rPr>
                <w:noProof/>
                <w:webHidden/>
              </w:rPr>
              <w:t>221</w:t>
            </w:r>
            <w:r w:rsidR="006D656A">
              <w:rPr>
                <w:noProof/>
                <w:webHidden/>
              </w:rPr>
              <w:fldChar w:fldCharType="end"/>
            </w:r>
          </w:hyperlink>
        </w:p>
        <w:p w14:paraId="54C49F81" w14:textId="038081F0" w:rsidR="006D656A" w:rsidRDefault="00E26E21">
          <w:pPr>
            <w:pStyle w:val="TOC3"/>
            <w:tabs>
              <w:tab w:val="right" w:leader="dot" w:pos="9010"/>
            </w:tabs>
            <w:rPr>
              <w:rFonts w:asciiTheme="minorHAnsi" w:eastAsiaTheme="minorEastAsia" w:hAnsiTheme="minorHAnsi" w:cstheme="minorBidi"/>
              <w:noProof/>
              <w:sz w:val="24"/>
              <w:szCs w:val="24"/>
              <w:lang w:eastAsia="en-GB"/>
            </w:rPr>
          </w:pPr>
          <w:hyperlink w:anchor="_Toc101108537" w:history="1">
            <w:r w:rsidR="006D656A" w:rsidRPr="006808B4">
              <w:rPr>
                <w:rStyle w:val="Hyperlink"/>
                <w:noProof/>
              </w:rPr>
              <w:t>Chapter Summary</w:t>
            </w:r>
            <w:r w:rsidR="006D656A">
              <w:rPr>
                <w:noProof/>
                <w:webHidden/>
              </w:rPr>
              <w:tab/>
            </w:r>
            <w:r w:rsidR="006D656A">
              <w:rPr>
                <w:noProof/>
                <w:webHidden/>
              </w:rPr>
              <w:fldChar w:fldCharType="begin"/>
            </w:r>
            <w:r w:rsidR="006D656A">
              <w:rPr>
                <w:noProof/>
                <w:webHidden/>
              </w:rPr>
              <w:instrText xml:space="preserve"> PAGEREF _Toc101108537 \h </w:instrText>
            </w:r>
            <w:r w:rsidR="006D656A">
              <w:rPr>
                <w:noProof/>
                <w:webHidden/>
              </w:rPr>
            </w:r>
            <w:r w:rsidR="006D656A">
              <w:rPr>
                <w:noProof/>
                <w:webHidden/>
              </w:rPr>
              <w:fldChar w:fldCharType="separate"/>
            </w:r>
            <w:r>
              <w:rPr>
                <w:noProof/>
                <w:webHidden/>
              </w:rPr>
              <w:t>222</w:t>
            </w:r>
            <w:r w:rsidR="006D656A">
              <w:rPr>
                <w:noProof/>
                <w:webHidden/>
              </w:rPr>
              <w:fldChar w:fldCharType="end"/>
            </w:r>
          </w:hyperlink>
        </w:p>
        <w:p w14:paraId="16280D6E" w14:textId="1593BB04"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38" w:history="1">
            <w:r w:rsidR="006D656A" w:rsidRPr="006808B4">
              <w:rPr>
                <w:rStyle w:val="Hyperlink"/>
                <w:noProof/>
              </w:rPr>
              <w:t>References</w:t>
            </w:r>
            <w:r w:rsidR="006D656A">
              <w:rPr>
                <w:noProof/>
                <w:webHidden/>
              </w:rPr>
              <w:tab/>
            </w:r>
            <w:r w:rsidR="006D656A">
              <w:rPr>
                <w:noProof/>
                <w:webHidden/>
              </w:rPr>
              <w:fldChar w:fldCharType="begin"/>
            </w:r>
            <w:r w:rsidR="006D656A">
              <w:rPr>
                <w:noProof/>
                <w:webHidden/>
              </w:rPr>
              <w:instrText xml:space="preserve"> PAGEREF _Toc101108538 \h </w:instrText>
            </w:r>
            <w:r w:rsidR="006D656A">
              <w:rPr>
                <w:noProof/>
                <w:webHidden/>
              </w:rPr>
            </w:r>
            <w:r w:rsidR="006D656A">
              <w:rPr>
                <w:noProof/>
                <w:webHidden/>
              </w:rPr>
              <w:fldChar w:fldCharType="separate"/>
            </w:r>
            <w:r>
              <w:rPr>
                <w:noProof/>
                <w:webHidden/>
              </w:rPr>
              <w:t>224</w:t>
            </w:r>
            <w:r w:rsidR="006D656A">
              <w:rPr>
                <w:noProof/>
                <w:webHidden/>
              </w:rPr>
              <w:fldChar w:fldCharType="end"/>
            </w:r>
          </w:hyperlink>
        </w:p>
        <w:p w14:paraId="1997E837" w14:textId="709BDCA5" w:rsidR="006D656A" w:rsidRDefault="00E26E21">
          <w:pPr>
            <w:pStyle w:val="TOC2"/>
            <w:tabs>
              <w:tab w:val="right" w:leader="dot" w:pos="9010"/>
            </w:tabs>
            <w:rPr>
              <w:rFonts w:asciiTheme="minorHAnsi" w:eastAsiaTheme="minorEastAsia" w:hAnsiTheme="minorHAnsi" w:cstheme="minorBidi"/>
              <w:b w:val="0"/>
              <w:bCs w:val="0"/>
              <w:noProof/>
              <w:sz w:val="24"/>
              <w:szCs w:val="24"/>
              <w:lang w:eastAsia="en-GB"/>
            </w:rPr>
          </w:pPr>
          <w:hyperlink w:anchor="_Toc101108539" w:history="1">
            <w:r w:rsidR="006D656A" w:rsidRPr="006808B4">
              <w:rPr>
                <w:rStyle w:val="Hyperlink"/>
                <w:noProof/>
              </w:rPr>
              <w:t>Appendices</w:t>
            </w:r>
            <w:r w:rsidR="006D656A">
              <w:rPr>
                <w:noProof/>
                <w:webHidden/>
              </w:rPr>
              <w:tab/>
            </w:r>
            <w:r w:rsidR="006D656A">
              <w:rPr>
                <w:noProof/>
                <w:webHidden/>
              </w:rPr>
              <w:fldChar w:fldCharType="begin"/>
            </w:r>
            <w:r w:rsidR="006D656A">
              <w:rPr>
                <w:noProof/>
                <w:webHidden/>
              </w:rPr>
              <w:instrText xml:space="preserve"> PAGEREF _Toc101108539 \h </w:instrText>
            </w:r>
            <w:r w:rsidR="006D656A">
              <w:rPr>
                <w:noProof/>
                <w:webHidden/>
              </w:rPr>
            </w:r>
            <w:r w:rsidR="006D656A">
              <w:rPr>
                <w:noProof/>
                <w:webHidden/>
              </w:rPr>
              <w:fldChar w:fldCharType="separate"/>
            </w:r>
            <w:r>
              <w:rPr>
                <w:noProof/>
                <w:webHidden/>
              </w:rPr>
              <w:t>272</w:t>
            </w:r>
            <w:r w:rsidR="006D656A">
              <w:rPr>
                <w:noProof/>
                <w:webHidden/>
              </w:rPr>
              <w:fldChar w:fldCharType="end"/>
            </w:r>
          </w:hyperlink>
        </w:p>
        <w:p w14:paraId="343755F6" w14:textId="73B442BF" w:rsidR="00931B56" w:rsidRDefault="00D419BD">
          <w:r>
            <w:rPr>
              <w:rFonts w:asciiTheme="minorHAnsi" w:hAnsiTheme="minorHAnsi"/>
              <w:b/>
              <w:bCs/>
              <w:sz w:val="24"/>
              <w:szCs w:val="24"/>
            </w:rPr>
            <w:fldChar w:fldCharType="end"/>
          </w:r>
        </w:p>
      </w:sdtContent>
    </w:sdt>
    <w:p w14:paraId="0D705F59" w14:textId="77777777" w:rsidR="002C1BB9" w:rsidRDefault="002C1BB9">
      <w:pPr>
        <w:spacing w:after="0" w:line="240" w:lineRule="auto"/>
      </w:pPr>
      <w:r>
        <w:br w:type="page"/>
      </w:r>
    </w:p>
    <w:p w14:paraId="5B91E687" w14:textId="3E3AC5A8" w:rsidR="00466E4A" w:rsidRPr="00A7702A" w:rsidRDefault="001C4BF5" w:rsidP="005A4909">
      <w:pPr>
        <w:pStyle w:val="Heading3"/>
      </w:pPr>
      <w:r>
        <w:lastRenderedPageBreak/>
        <w:t>List</w:t>
      </w:r>
      <w:r w:rsidR="00466E4A" w:rsidRPr="00A7702A">
        <w:t xml:space="preserve"> of Figure</w:t>
      </w:r>
      <w:r w:rsidR="00982E58" w:rsidRPr="00A7702A">
        <w:t>s</w:t>
      </w:r>
    </w:p>
    <w:p w14:paraId="541854B4" w14:textId="12AD2D3C" w:rsidR="006D656A" w:rsidRDefault="00466E4A">
      <w:pPr>
        <w:pStyle w:val="TableofFigures"/>
        <w:tabs>
          <w:tab w:val="right" w:leader="dot" w:pos="9010"/>
        </w:tabs>
        <w:rPr>
          <w:rFonts w:asciiTheme="minorHAnsi" w:eastAsiaTheme="minorEastAsia" w:hAnsiTheme="minorHAnsi" w:cstheme="minorBidi"/>
          <w:noProof/>
          <w:sz w:val="24"/>
          <w:szCs w:val="24"/>
          <w:lang w:eastAsia="en-GB"/>
        </w:rPr>
      </w:pPr>
      <w:r>
        <w:fldChar w:fldCharType="begin"/>
      </w:r>
      <w:r>
        <w:instrText xml:space="preserve"> TOC \h \z \c "Figure" </w:instrText>
      </w:r>
      <w:r>
        <w:fldChar w:fldCharType="separate"/>
      </w:r>
      <w:hyperlink w:anchor="_Toc101108541" w:history="1">
        <w:r w:rsidR="006D656A" w:rsidRPr="00C64F96">
          <w:rPr>
            <w:rStyle w:val="Hyperlink"/>
            <w:noProof/>
          </w:rPr>
          <w:t>Figure 1: Resilience Diamond (Stein, 2005)</w:t>
        </w:r>
        <w:r w:rsidR="006D656A">
          <w:rPr>
            <w:noProof/>
            <w:webHidden/>
          </w:rPr>
          <w:tab/>
        </w:r>
        <w:r w:rsidR="006D656A">
          <w:rPr>
            <w:noProof/>
            <w:webHidden/>
          </w:rPr>
          <w:fldChar w:fldCharType="begin"/>
        </w:r>
        <w:r w:rsidR="006D656A">
          <w:rPr>
            <w:noProof/>
            <w:webHidden/>
          </w:rPr>
          <w:instrText xml:space="preserve"> PAGEREF _Toc101108541 \h </w:instrText>
        </w:r>
        <w:r w:rsidR="006D656A">
          <w:rPr>
            <w:noProof/>
            <w:webHidden/>
          </w:rPr>
        </w:r>
        <w:r w:rsidR="006D656A">
          <w:rPr>
            <w:noProof/>
            <w:webHidden/>
          </w:rPr>
          <w:fldChar w:fldCharType="separate"/>
        </w:r>
        <w:r w:rsidR="00E26E21">
          <w:rPr>
            <w:noProof/>
            <w:webHidden/>
          </w:rPr>
          <w:t>5</w:t>
        </w:r>
        <w:r w:rsidR="006D656A">
          <w:rPr>
            <w:noProof/>
            <w:webHidden/>
          </w:rPr>
          <w:fldChar w:fldCharType="end"/>
        </w:r>
      </w:hyperlink>
    </w:p>
    <w:p w14:paraId="44765F9F" w14:textId="42A0A365"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2" w:history="1">
        <w:r w:rsidR="006D656A" w:rsidRPr="00C64F96">
          <w:rPr>
            <w:rStyle w:val="Hyperlink"/>
            <w:noProof/>
          </w:rPr>
          <w:t>Figure 2: Options for young people leaving care (Munro et al., 2012)</w:t>
        </w:r>
        <w:r w:rsidR="006D656A">
          <w:rPr>
            <w:noProof/>
            <w:webHidden/>
          </w:rPr>
          <w:tab/>
        </w:r>
        <w:r w:rsidR="006D656A">
          <w:rPr>
            <w:noProof/>
            <w:webHidden/>
          </w:rPr>
          <w:fldChar w:fldCharType="begin"/>
        </w:r>
        <w:r w:rsidR="006D656A">
          <w:rPr>
            <w:noProof/>
            <w:webHidden/>
          </w:rPr>
          <w:instrText xml:space="preserve"> PAGEREF _Toc101108542 \h </w:instrText>
        </w:r>
        <w:r w:rsidR="006D656A">
          <w:rPr>
            <w:noProof/>
            <w:webHidden/>
          </w:rPr>
        </w:r>
        <w:r w:rsidR="006D656A">
          <w:rPr>
            <w:noProof/>
            <w:webHidden/>
          </w:rPr>
          <w:fldChar w:fldCharType="separate"/>
        </w:r>
        <w:r>
          <w:rPr>
            <w:noProof/>
            <w:webHidden/>
          </w:rPr>
          <w:t>7</w:t>
        </w:r>
        <w:r w:rsidR="006D656A">
          <w:rPr>
            <w:noProof/>
            <w:webHidden/>
          </w:rPr>
          <w:fldChar w:fldCharType="end"/>
        </w:r>
      </w:hyperlink>
    </w:p>
    <w:p w14:paraId="0C3F35A0" w14:textId="1EE05477"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3" w:history="1">
        <w:r w:rsidR="006D656A" w:rsidRPr="00C64F96">
          <w:rPr>
            <w:rStyle w:val="Hyperlink"/>
            <w:noProof/>
          </w:rPr>
          <w:t>Figure 3: Definitions of care leaving (DfE, 2015, p. 22)</w:t>
        </w:r>
        <w:r w:rsidR="006D656A">
          <w:rPr>
            <w:noProof/>
            <w:webHidden/>
          </w:rPr>
          <w:tab/>
        </w:r>
        <w:r w:rsidR="006D656A">
          <w:rPr>
            <w:noProof/>
            <w:webHidden/>
          </w:rPr>
          <w:fldChar w:fldCharType="begin"/>
        </w:r>
        <w:r w:rsidR="006D656A">
          <w:rPr>
            <w:noProof/>
            <w:webHidden/>
          </w:rPr>
          <w:instrText xml:space="preserve"> PAGEREF _Toc101108543 \h </w:instrText>
        </w:r>
        <w:r w:rsidR="006D656A">
          <w:rPr>
            <w:noProof/>
            <w:webHidden/>
          </w:rPr>
        </w:r>
        <w:r w:rsidR="006D656A">
          <w:rPr>
            <w:noProof/>
            <w:webHidden/>
          </w:rPr>
          <w:fldChar w:fldCharType="separate"/>
        </w:r>
        <w:r>
          <w:rPr>
            <w:noProof/>
            <w:webHidden/>
          </w:rPr>
          <w:t>9</w:t>
        </w:r>
        <w:r w:rsidR="006D656A">
          <w:rPr>
            <w:noProof/>
            <w:webHidden/>
          </w:rPr>
          <w:fldChar w:fldCharType="end"/>
        </w:r>
      </w:hyperlink>
    </w:p>
    <w:p w14:paraId="6FF8ECF3" w14:textId="050593E5"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4" w:history="1">
        <w:r w:rsidR="006D656A" w:rsidRPr="00C64F96">
          <w:rPr>
            <w:rStyle w:val="Hyperlink"/>
            <w:noProof/>
          </w:rPr>
          <w:t>Figure 4: Everyday Spaces Participation Model (Lundy, 2007, cited in Department of Children and Youth Affairs (2015))</w:t>
        </w:r>
        <w:r w:rsidR="006D656A">
          <w:rPr>
            <w:noProof/>
            <w:webHidden/>
          </w:rPr>
          <w:tab/>
        </w:r>
        <w:r w:rsidR="006D656A">
          <w:rPr>
            <w:noProof/>
            <w:webHidden/>
          </w:rPr>
          <w:fldChar w:fldCharType="begin"/>
        </w:r>
        <w:r w:rsidR="006D656A">
          <w:rPr>
            <w:noProof/>
            <w:webHidden/>
          </w:rPr>
          <w:instrText xml:space="preserve"> PAGEREF _Toc101108544 \h </w:instrText>
        </w:r>
        <w:r w:rsidR="006D656A">
          <w:rPr>
            <w:noProof/>
            <w:webHidden/>
          </w:rPr>
        </w:r>
        <w:r w:rsidR="006D656A">
          <w:rPr>
            <w:noProof/>
            <w:webHidden/>
          </w:rPr>
          <w:fldChar w:fldCharType="separate"/>
        </w:r>
        <w:r>
          <w:rPr>
            <w:noProof/>
            <w:webHidden/>
          </w:rPr>
          <w:t>80</w:t>
        </w:r>
        <w:r w:rsidR="006D656A">
          <w:rPr>
            <w:noProof/>
            <w:webHidden/>
          </w:rPr>
          <w:fldChar w:fldCharType="end"/>
        </w:r>
      </w:hyperlink>
    </w:p>
    <w:p w14:paraId="3BA71E77" w14:textId="33CB38FF"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5" w:history="1">
        <w:r w:rsidR="006D656A" w:rsidRPr="00C64F96">
          <w:rPr>
            <w:rStyle w:val="Hyperlink"/>
            <w:noProof/>
          </w:rPr>
          <w:t>Figure 5: Gatekeeping decision makers</w:t>
        </w:r>
        <w:r w:rsidR="006D656A">
          <w:rPr>
            <w:noProof/>
            <w:webHidden/>
          </w:rPr>
          <w:tab/>
        </w:r>
        <w:r w:rsidR="006D656A">
          <w:rPr>
            <w:noProof/>
            <w:webHidden/>
          </w:rPr>
          <w:fldChar w:fldCharType="begin"/>
        </w:r>
        <w:r w:rsidR="006D656A">
          <w:rPr>
            <w:noProof/>
            <w:webHidden/>
          </w:rPr>
          <w:instrText xml:space="preserve"> PAGEREF _Toc101108545 \h </w:instrText>
        </w:r>
        <w:r w:rsidR="006D656A">
          <w:rPr>
            <w:noProof/>
            <w:webHidden/>
          </w:rPr>
        </w:r>
        <w:r w:rsidR="006D656A">
          <w:rPr>
            <w:noProof/>
            <w:webHidden/>
          </w:rPr>
          <w:fldChar w:fldCharType="separate"/>
        </w:r>
        <w:r>
          <w:rPr>
            <w:noProof/>
            <w:webHidden/>
          </w:rPr>
          <w:t>93</w:t>
        </w:r>
        <w:r w:rsidR="006D656A">
          <w:rPr>
            <w:noProof/>
            <w:webHidden/>
          </w:rPr>
          <w:fldChar w:fldCharType="end"/>
        </w:r>
      </w:hyperlink>
    </w:p>
    <w:p w14:paraId="15487C32" w14:textId="0D3A9341"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6" w:history="1">
        <w:r w:rsidR="006D656A" w:rsidRPr="00C64F96">
          <w:rPr>
            <w:rStyle w:val="Hyperlink"/>
            <w:noProof/>
          </w:rPr>
          <w:t>Figure 6: Detail of gatekeeping process</w:t>
        </w:r>
        <w:r w:rsidR="006D656A">
          <w:rPr>
            <w:noProof/>
            <w:webHidden/>
          </w:rPr>
          <w:tab/>
        </w:r>
        <w:r w:rsidR="006D656A">
          <w:rPr>
            <w:noProof/>
            <w:webHidden/>
          </w:rPr>
          <w:fldChar w:fldCharType="begin"/>
        </w:r>
        <w:r w:rsidR="006D656A">
          <w:rPr>
            <w:noProof/>
            <w:webHidden/>
          </w:rPr>
          <w:instrText xml:space="preserve"> PAGEREF _Toc101108546 \h </w:instrText>
        </w:r>
        <w:r w:rsidR="006D656A">
          <w:rPr>
            <w:noProof/>
            <w:webHidden/>
          </w:rPr>
        </w:r>
        <w:r w:rsidR="006D656A">
          <w:rPr>
            <w:noProof/>
            <w:webHidden/>
          </w:rPr>
          <w:fldChar w:fldCharType="separate"/>
        </w:r>
        <w:r>
          <w:rPr>
            <w:noProof/>
            <w:webHidden/>
          </w:rPr>
          <w:t>94</w:t>
        </w:r>
        <w:r w:rsidR="006D656A">
          <w:rPr>
            <w:noProof/>
            <w:webHidden/>
          </w:rPr>
          <w:fldChar w:fldCharType="end"/>
        </w:r>
      </w:hyperlink>
    </w:p>
    <w:p w14:paraId="18D15026" w14:textId="14064D1A"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7" w:history="1">
        <w:r w:rsidR="006D656A" w:rsidRPr="00C64F96">
          <w:rPr>
            <w:rStyle w:val="Hyperlink"/>
            <w:noProof/>
          </w:rPr>
          <w:t>Figure 7: Section of mind map showing themes</w:t>
        </w:r>
        <w:r w:rsidR="006D656A">
          <w:rPr>
            <w:noProof/>
            <w:webHidden/>
          </w:rPr>
          <w:tab/>
        </w:r>
        <w:r w:rsidR="006D656A">
          <w:rPr>
            <w:noProof/>
            <w:webHidden/>
          </w:rPr>
          <w:fldChar w:fldCharType="begin"/>
        </w:r>
        <w:r w:rsidR="006D656A">
          <w:rPr>
            <w:noProof/>
            <w:webHidden/>
          </w:rPr>
          <w:instrText xml:space="preserve"> PAGEREF _Toc101108547 \h </w:instrText>
        </w:r>
        <w:r w:rsidR="006D656A">
          <w:rPr>
            <w:noProof/>
            <w:webHidden/>
          </w:rPr>
        </w:r>
        <w:r w:rsidR="006D656A">
          <w:rPr>
            <w:noProof/>
            <w:webHidden/>
          </w:rPr>
          <w:fldChar w:fldCharType="separate"/>
        </w:r>
        <w:r>
          <w:rPr>
            <w:noProof/>
            <w:webHidden/>
          </w:rPr>
          <w:t>111</w:t>
        </w:r>
        <w:r w:rsidR="006D656A">
          <w:rPr>
            <w:noProof/>
            <w:webHidden/>
          </w:rPr>
          <w:fldChar w:fldCharType="end"/>
        </w:r>
      </w:hyperlink>
    </w:p>
    <w:p w14:paraId="30FC8E4F" w14:textId="3A8A1149"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8" w:history="1">
        <w:r w:rsidR="006D656A" w:rsidRPr="00C64F96">
          <w:rPr>
            <w:rStyle w:val="Hyperlink"/>
            <w:noProof/>
          </w:rPr>
          <w:t>Figure 8: Theme 1 - Situated Agency</w:t>
        </w:r>
        <w:r w:rsidR="006D656A">
          <w:rPr>
            <w:noProof/>
            <w:webHidden/>
          </w:rPr>
          <w:tab/>
        </w:r>
        <w:r w:rsidR="006D656A">
          <w:rPr>
            <w:noProof/>
            <w:webHidden/>
          </w:rPr>
          <w:fldChar w:fldCharType="begin"/>
        </w:r>
        <w:r w:rsidR="006D656A">
          <w:rPr>
            <w:noProof/>
            <w:webHidden/>
          </w:rPr>
          <w:instrText xml:space="preserve"> PAGEREF _Toc101108548 \h </w:instrText>
        </w:r>
        <w:r w:rsidR="006D656A">
          <w:rPr>
            <w:noProof/>
            <w:webHidden/>
          </w:rPr>
        </w:r>
        <w:r w:rsidR="006D656A">
          <w:rPr>
            <w:noProof/>
            <w:webHidden/>
          </w:rPr>
          <w:fldChar w:fldCharType="separate"/>
        </w:r>
        <w:r>
          <w:rPr>
            <w:noProof/>
            <w:webHidden/>
          </w:rPr>
          <w:t>115</w:t>
        </w:r>
        <w:r w:rsidR="006D656A">
          <w:rPr>
            <w:noProof/>
            <w:webHidden/>
          </w:rPr>
          <w:fldChar w:fldCharType="end"/>
        </w:r>
      </w:hyperlink>
    </w:p>
    <w:p w14:paraId="63EC31A2" w14:textId="0D3F66A7"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49" w:history="1">
        <w:r w:rsidR="006D656A" w:rsidRPr="00C64F96">
          <w:rPr>
            <w:rStyle w:val="Hyperlink"/>
            <w:noProof/>
          </w:rPr>
          <w:t>Figure 9: Theme 2 - Problematic Misalignment</w:t>
        </w:r>
        <w:r w:rsidR="006D656A">
          <w:rPr>
            <w:noProof/>
            <w:webHidden/>
          </w:rPr>
          <w:tab/>
        </w:r>
        <w:r w:rsidR="006D656A">
          <w:rPr>
            <w:noProof/>
            <w:webHidden/>
          </w:rPr>
          <w:fldChar w:fldCharType="begin"/>
        </w:r>
        <w:r w:rsidR="006D656A">
          <w:rPr>
            <w:noProof/>
            <w:webHidden/>
          </w:rPr>
          <w:instrText xml:space="preserve"> PAGEREF _Toc101108549 \h </w:instrText>
        </w:r>
        <w:r w:rsidR="006D656A">
          <w:rPr>
            <w:noProof/>
            <w:webHidden/>
          </w:rPr>
        </w:r>
        <w:r w:rsidR="006D656A">
          <w:rPr>
            <w:noProof/>
            <w:webHidden/>
          </w:rPr>
          <w:fldChar w:fldCharType="separate"/>
        </w:r>
        <w:r>
          <w:rPr>
            <w:noProof/>
            <w:webHidden/>
          </w:rPr>
          <w:t>138</w:t>
        </w:r>
        <w:r w:rsidR="006D656A">
          <w:rPr>
            <w:noProof/>
            <w:webHidden/>
          </w:rPr>
          <w:fldChar w:fldCharType="end"/>
        </w:r>
      </w:hyperlink>
    </w:p>
    <w:p w14:paraId="7738F1E2" w14:textId="5EF6D671"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0" w:history="1">
        <w:r w:rsidR="006D656A" w:rsidRPr="00C64F96">
          <w:rPr>
            <w:rStyle w:val="Hyperlink"/>
            <w:noProof/>
          </w:rPr>
          <w:t>Figure 10: Theme 3 - The Proceduralisaion of Moving On</w:t>
        </w:r>
        <w:r w:rsidR="006D656A">
          <w:rPr>
            <w:noProof/>
            <w:webHidden/>
          </w:rPr>
          <w:tab/>
        </w:r>
        <w:r w:rsidR="006D656A">
          <w:rPr>
            <w:noProof/>
            <w:webHidden/>
          </w:rPr>
          <w:fldChar w:fldCharType="begin"/>
        </w:r>
        <w:r w:rsidR="006D656A">
          <w:rPr>
            <w:noProof/>
            <w:webHidden/>
          </w:rPr>
          <w:instrText xml:space="preserve"> PAGEREF _Toc101108550 \h </w:instrText>
        </w:r>
        <w:r w:rsidR="006D656A">
          <w:rPr>
            <w:noProof/>
            <w:webHidden/>
          </w:rPr>
        </w:r>
        <w:r w:rsidR="006D656A">
          <w:rPr>
            <w:noProof/>
            <w:webHidden/>
          </w:rPr>
          <w:fldChar w:fldCharType="separate"/>
        </w:r>
        <w:r>
          <w:rPr>
            <w:noProof/>
            <w:webHidden/>
          </w:rPr>
          <w:t>165</w:t>
        </w:r>
        <w:r w:rsidR="006D656A">
          <w:rPr>
            <w:noProof/>
            <w:webHidden/>
          </w:rPr>
          <w:fldChar w:fldCharType="end"/>
        </w:r>
      </w:hyperlink>
    </w:p>
    <w:p w14:paraId="5EA469BB" w14:textId="58B01127" w:rsidR="006D656A"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1" w:history="1">
        <w:r w:rsidR="006D656A" w:rsidRPr="00C64F96">
          <w:rPr>
            <w:rStyle w:val="Hyperlink"/>
            <w:noProof/>
          </w:rPr>
          <w:t>Figure 11: Reflective Conversation Plan</w:t>
        </w:r>
        <w:r w:rsidR="006D656A">
          <w:rPr>
            <w:noProof/>
            <w:webHidden/>
          </w:rPr>
          <w:tab/>
        </w:r>
        <w:r w:rsidR="006D656A">
          <w:rPr>
            <w:noProof/>
            <w:webHidden/>
          </w:rPr>
          <w:fldChar w:fldCharType="begin"/>
        </w:r>
        <w:r w:rsidR="006D656A">
          <w:rPr>
            <w:noProof/>
            <w:webHidden/>
          </w:rPr>
          <w:instrText xml:space="preserve"> PAGEREF _Toc101108551 \h </w:instrText>
        </w:r>
        <w:r w:rsidR="006D656A">
          <w:rPr>
            <w:noProof/>
            <w:webHidden/>
          </w:rPr>
        </w:r>
        <w:r w:rsidR="006D656A">
          <w:rPr>
            <w:noProof/>
            <w:webHidden/>
          </w:rPr>
          <w:fldChar w:fldCharType="separate"/>
        </w:r>
        <w:r>
          <w:rPr>
            <w:noProof/>
            <w:webHidden/>
          </w:rPr>
          <w:t>218</w:t>
        </w:r>
        <w:r w:rsidR="006D656A">
          <w:rPr>
            <w:noProof/>
            <w:webHidden/>
          </w:rPr>
          <w:fldChar w:fldCharType="end"/>
        </w:r>
      </w:hyperlink>
    </w:p>
    <w:p w14:paraId="34F74EEF" w14:textId="647903DF" w:rsidR="00466E4A" w:rsidRDefault="00466E4A" w:rsidP="00466E4A">
      <w:r>
        <w:fldChar w:fldCharType="end"/>
      </w:r>
    </w:p>
    <w:p w14:paraId="7757CBC1" w14:textId="62A41C81" w:rsidR="00982E58" w:rsidRPr="00A7702A" w:rsidRDefault="001C4BF5" w:rsidP="005A4909">
      <w:pPr>
        <w:pStyle w:val="Heading3"/>
      </w:pPr>
      <w:r>
        <w:t xml:space="preserve">List </w:t>
      </w:r>
      <w:r w:rsidR="00466E4A" w:rsidRPr="00A7702A">
        <w:t>of Tables</w:t>
      </w:r>
    </w:p>
    <w:p w14:paraId="7DFA7A14" w14:textId="04AC65CD" w:rsidR="006D656A" w:rsidRPr="001319C5" w:rsidRDefault="00A864C7">
      <w:pPr>
        <w:pStyle w:val="TableofFigures"/>
        <w:tabs>
          <w:tab w:val="right" w:leader="dot" w:pos="9010"/>
        </w:tabs>
        <w:rPr>
          <w:rFonts w:asciiTheme="minorHAnsi" w:eastAsiaTheme="minorEastAsia" w:hAnsiTheme="minorHAnsi" w:cstheme="minorBidi"/>
          <w:noProof/>
          <w:sz w:val="24"/>
          <w:szCs w:val="24"/>
          <w:lang w:eastAsia="en-GB"/>
        </w:rPr>
      </w:pPr>
      <w:r w:rsidRPr="001319C5">
        <w:rPr>
          <w:sz w:val="40"/>
          <w:szCs w:val="32"/>
        </w:rPr>
        <w:fldChar w:fldCharType="begin"/>
      </w:r>
      <w:r w:rsidRPr="001319C5">
        <w:rPr>
          <w:sz w:val="40"/>
          <w:szCs w:val="32"/>
        </w:rPr>
        <w:instrText xml:space="preserve"> TOC \h \z \c "Table" </w:instrText>
      </w:r>
      <w:r w:rsidRPr="001319C5">
        <w:rPr>
          <w:sz w:val="40"/>
          <w:szCs w:val="32"/>
        </w:rPr>
        <w:fldChar w:fldCharType="separate"/>
      </w:r>
      <w:hyperlink w:anchor="_Toc101108552" w:history="1">
        <w:r w:rsidR="006D656A" w:rsidRPr="001319C5">
          <w:rPr>
            <w:rStyle w:val="Hyperlink"/>
            <w:noProof/>
          </w:rPr>
          <w:t>Table 1: Number and % of young people in Staying Put arrangements (DfE, 2017; DfE, 2020)</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_Toc101108552 \h </w:instrText>
        </w:r>
        <w:r w:rsidR="006D656A" w:rsidRPr="001319C5">
          <w:rPr>
            <w:noProof/>
            <w:webHidden/>
          </w:rPr>
        </w:r>
        <w:r w:rsidR="006D656A" w:rsidRPr="001319C5">
          <w:rPr>
            <w:noProof/>
            <w:webHidden/>
          </w:rPr>
          <w:fldChar w:fldCharType="separate"/>
        </w:r>
        <w:r w:rsidR="00E26E21">
          <w:rPr>
            <w:noProof/>
            <w:webHidden/>
          </w:rPr>
          <w:t>10</w:t>
        </w:r>
        <w:r w:rsidR="006D656A" w:rsidRPr="001319C5">
          <w:rPr>
            <w:noProof/>
            <w:webHidden/>
          </w:rPr>
          <w:fldChar w:fldCharType="end"/>
        </w:r>
      </w:hyperlink>
    </w:p>
    <w:p w14:paraId="0D2A4C9A" w14:textId="36B47FBF"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3" w:history="1">
        <w:r w:rsidR="006D656A" w:rsidRPr="001319C5">
          <w:rPr>
            <w:rStyle w:val="Hyperlink"/>
            <w:noProof/>
          </w:rPr>
          <w:t>Table 2: Numbers of looked after children and young people in England and Wales (DfE, 2020)</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_Toc101108553 \h </w:instrText>
        </w:r>
        <w:r w:rsidR="006D656A" w:rsidRPr="001319C5">
          <w:rPr>
            <w:noProof/>
            <w:webHidden/>
          </w:rPr>
        </w:r>
        <w:r w:rsidR="006D656A" w:rsidRPr="001319C5">
          <w:rPr>
            <w:noProof/>
            <w:webHidden/>
          </w:rPr>
          <w:fldChar w:fldCharType="separate"/>
        </w:r>
        <w:r>
          <w:rPr>
            <w:noProof/>
            <w:webHidden/>
          </w:rPr>
          <w:t>32</w:t>
        </w:r>
        <w:r w:rsidR="006D656A" w:rsidRPr="001319C5">
          <w:rPr>
            <w:noProof/>
            <w:webHidden/>
          </w:rPr>
          <w:fldChar w:fldCharType="end"/>
        </w:r>
      </w:hyperlink>
    </w:p>
    <w:p w14:paraId="2AC962D3" w14:textId="162CFF0A"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4" w:history="1">
        <w:r w:rsidR="006D656A" w:rsidRPr="001319C5">
          <w:rPr>
            <w:rStyle w:val="Hyperlink"/>
            <w:noProof/>
          </w:rPr>
          <w:t>Table 3: Social worker workforce data (DfE, 2021)</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_Toc101108554 \h </w:instrText>
        </w:r>
        <w:r w:rsidR="006D656A" w:rsidRPr="001319C5">
          <w:rPr>
            <w:noProof/>
            <w:webHidden/>
          </w:rPr>
        </w:r>
        <w:r w:rsidR="006D656A" w:rsidRPr="001319C5">
          <w:rPr>
            <w:noProof/>
            <w:webHidden/>
          </w:rPr>
          <w:fldChar w:fldCharType="separate"/>
        </w:r>
        <w:r>
          <w:rPr>
            <w:noProof/>
            <w:webHidden/>
          </w:rPr>
          <w:t>34</w:t>
        </w:r>
        <w:r w:rsidR="006D656A" w:rsidRPr="001319C5">
          <w:rPr>
            <w:noProof/>
            <w:webHidden/>
          </w:rPr>
          <w:fldChar w:fldCharType="end"/>
        </w:r>
      </w:hyperlink>
    </w:p>
    <w:p w14:paraId="0AE0F8F2" w14:textId="70651F2F"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5" w:history="1">
        <w:r w:rsidR="006D656A" w:rsidRPr="001319C5">
          <w:rPr>
            <w:rStyle w:val="Hyperlink"/>
            <w:noProof/>
          </w:rPr>
          <w:t>Table 4: Inclusion/exclusion criteria</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_Toc101108555 \h </w:instrText>
        </w:r>
        <w:r w:rsidR="006D656A" w:rsidRPr="001319C5">
          <w:rPr>
            <w:noProof/>
            <w:webHidden/>
          </w:rPr>
        </w:r>
        <w:r w:rsidR="006D656A" w:rsidRPr="001319C5">
          <w:rPr>
            <w:noProof/>
            <w:webHidden/>
          </w:rPr>
          <w:fldChar w:fldCharType="separate"/>
        </w:r>
        <w:r>
          <w:rPr>
            <w:noProof/>
            <w:webHidden/>
          </w:rPr>
          <w:t>39</w:t>
        </w:r>
        <w:r w:rsidR="006D656A" w:rsidRPr="001319C5">
          <w:rPr>
            <w:noProof/>
            <w:webHidden/>
          </w:rPr>
          <w:fldChar w:fldCharType="end"/>
        </w:r>
      </w:hyperlink>
    </w:p>
    <w:p w14:paraId="73BB098B" w14:textId="6EAF4090"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6" w:history="1">
        <w:r w:rsidR="006D656A" w:rsidRPr="001319C5">
          <w:rPr>
            <w:rStyle w:val="Hyperlink"/>
            <w:noProof/>
          </w:rPr>
          <w:t>Table 5: Participant selection criteria</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_Toc101108556 \h </w:instrText>
        </w:r>
        <w:r w:rsidR="006D656A" w:rsidRPr="001319C5">
          <w:rPr>
            <w:noProof/>
            <w:webHidden/>
          </w:rPr>
        </w:r>
        <w:r w:rsidR="006D656A" w:rsidRPr="001319C5">
          <w:rPr>
            <w:noProof/>
            <w:webHidden/>
          </w:rPr>
          <w:fldChar w:fldCharType="separate"/>
        </w:r>
        <w:r>
          <w:rPr>
            <w:noProof/>
            <w:webHidden/>
          </w:rPr>
          <w:t>95</w:t>
        </w:r>
        <w:r w:rsidR="006D656A" w:rsidRPr="001319C5">
          <w:rPr>
            <w:noProof/>
            <w:webHidden/>
          </w:rPr>
          <w:fldChar w:fldCharType="end"/>
        </w:r>
      </w:hyperlink>
    </w:p>
    <w:p w14:paraId="696A0B16" w14:textId="1DFE11B1"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7" w:history="1">
        <w:r w:rsidR="006D656A" w:rsidRPr="001319C5">
          <w:rPr>
            <w:rStyle w:val="Hyperlink"/>
            <w:noProof/>
          </w:rPr>
          <w:t>Table 6: Quality Measure: Credibility</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_Toc101108557 \h </w:instrText>
        </w:r>
        <w:r w:rsidR="006D656A" w:rsidRPr="001319C5">
          <w:rPr>
            <w:noProof/>
            <w:webHidden/>
          </w:rPr>
        </w:r>
        <w:r w:rsidR="006D656A" w:rsidRPr="001319C5">
          <w:rPr>
            <w:noProof/>
            <w:webHidden/>
          </w:rPr>
          <w:fldChar w:fldCharType="separate"/>
        </w:r>
        <w:r>
          <w:rPr>
            <w:noProof/>
            <w:webHidden/>
          </w:rPr>
          <w:t>100</w:t>
        </w:r>
        <w:r w:rsidR="006D656A" w:rsidRPr="001319C5">
          <w:rPr>
            <w:noProof/>
            <w:webHidden/>
          </w:rPr>
          <w:fldChar w:fldCharType="end"/>
        </w:r>
      </w:hyperlink>
    </w:p>
    <w:p w14:paraId="243832EB" w14:textId="1AF0FA8F"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8" w:history="1">
        <w:r w:rsidR="006D656A" w:rsidRPr="001319C5">
          <w:rPr>
            <w:rStyle w:val="Hyperlink"/>
            <w:noProof/>
          </w:rPr>
          <w:t>Table 7: Quality Measure: Transferability</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_Toc101108558 \h </w:instrText>
        </w:r>
        <w:r w:rsidR="006D656A" w:rsidRPr="001319C5">
          <w:rPr>
            <w:noProof/>
            <w:webHidden/>
          </w:rPr>
        </w:r>
        <w:r w:rsidR="006D656A" w:rsidRPr="001319C5">
          <w:rPr>
            <w:noProof/>
            <w:webHidden/>
          </w:rPr>
          <w:fldChar w:fldCharType="separate"/>
        </w:r>
        <w:r>
          <w:rPr>
            <w:noProof/>
            <w:webHidden/>
          </w:rPr>
          <w:t>101</w:t>
        </w:r>
        <w:r w:rsidR="006D656A" w:rsidRPr="001319C5">
          <w:rPr>
            <w:noProof/>
            <w:webHidden/>
          </w:rPr>
          <w:fldChar w:fldCharType="end"/>
        </w:r>
      </w:hyperlink>
    </w:p>
    <w:p w14:paraId="1B0638BD" w14:textId="20516A31"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59" w:history="1">
        <w:r w:rsidR="006D656A" w:rsidRPr="001319C5">
          <w:rPr>
            <w:rStyle w:val="Hyperlink"/>
            <w:noProof/>
          </w:rPr>
          <w:t>Table 8: Quality Measure: Dependability</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_Toc101108559 \h </w:instrText>
        </w:r>
        <w:r w:rsidR="006D656A" w:rsidRPr="001319C5">
          <w:rPr>
            <w:noProof/>
            <w:webHidden/>
          </w:rPr>
        </w:r>
        <w:r w:rsidR="006D656A" w:rsidRPr="001319C5">
          <w:rPr>
            <w:noProof/>
            <w:webHidden/>
          </w:rPr>
          <w:fldChar w:fldCharType="separate"/>
        </w:r>
        <w:r>
          <w:rPr>
            <w:noProof/>
            <w:webHidden/>
          </w:rPr>
          <w:t>102</w:t>
        </w:r>
        <w:r w:rsidR="006D656A" w:rsidRPr="001319C5">
          <w:rPr>
            <w:noProof/>
            <w:webHidden/>
          </w:rPr>
          <w:fldChar w:fldCharType="end"/>
        </w:r>
      </w:hyperlink>
    </w:p>
    <w:p w14:paraId="58BB7C8E" w14:textId="7C498D4C"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60" w:history="1">
        <w:r w:rsidR="006D656A" w:rsidRPr="001319C5">
          <w:rPr>
            <w:rStyle w:val="Hyperlink"/>
            <w:noProof/>
          </w:rPr>
          <w:t>Table 9: Quality Measure: Confirmability</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_Toc101108560 \h </w:instrText>
        </w:r>
        <w:r w:rsidR="006D656A" w:rsidRPr="001319C5">
          <w:rPr>
            <w:noProof/>
            <w:webHidden/>
          </w:rPr>
        </w:r>
        <w:r w:rsidR="006D656A" w:rsidRPr="001319C5">
          <w:rPr>
            <w:noProof/>
            <w:webHidden/>
          </w:rPr>
          <w:fldChar w:fldCharType="separate"/>
        </w:r>
        <w:r>
          <w:rPr>
            <w:noProof/>
            <w:webHidden/>
          </w:rPr>
          <w:t>103</w:t>
        </w:r>
        <w:r w:rsidR="006D656A" w:rsidRPr="001319C5">
          <w:rPr>
            <w:noProof/>
            <w:webHidden/>
          </w:rPr>
          <w:fldChar w:fldCharType="end"/>
        </w:r>
      </w:hyperlink>
    </w:p>
    <w:p w14:paraId="2BA641E2" w14:textId="27B527C2"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61" w:history="1">
        <w:r w:rsidR="006D656A" w:rsidRPr="001319C5">
          <w:rPr>
            <w:rStyle w:val="Hyperlink"/>
            <w:noProof/>
          </w:rPr>
          <w:t>Table 10: Stage 3 – Excerpt of Coding – complete</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_Toc101108561 \h </w:instrText>
        </w:r>
        <w:r w:rsidR="006D656A" w:rsidRPr="001319C5">
          <w:rPr>
            <w:noProof/>
            <w:webHidden/>
          </w:rPr>
        </w:r>
        <w:r w:rsidR="006D656A" w:rsidRPr="001319C5">
          <w:rPr>
            <w:noProof/>
            <w:webHidden/>
          </w:rPr>
          <w:fldChar w:fldCharType="separate"/>
        </w:r>
        <w:r>
          <w:rPr>
            <w:noProof/>
            <w:webHidden/>
          </w:rPr>
          <w:t>109</w:t>
        </w:r>
        <w:r w:rsidR="006D656A" w:rsidRPr="001319C5">
          <w:rPr>
            <w:noProof/>
            <w:webHidden/>
          </w:rPr>
          <w:fldChar w:fldCharType="end"/>
        </w:r>
      </w:hyperlink>
    </w:p>
    <w:p w14:paraId="243A3CF7" w14:textId="35B2F7FD" w:rsidR="006D656A" w:rsidRPr="001319C5" w:rsidRDefault="00E26E21">
      <w:pPr>
        <w:pStyle w:val="TableofFigures"/>
        <w:tabs>
          <w:tab w:val="right" w:leader="dot" w:pos="9010"/>
        </w:tabs>
        <w:rPr>
          <w:rFonts w:asciiTheme="minorHAnsi" w:eastAsiaTheme="minorEastAsia" w:hAnsiTheme="minorHAnsi" w:cstheme="minorBidi"/>
          <w:noProof/>
          <w:sz w:val="24"/>
          <w:szCs w:val="24"/>
          <w:lang w:eastAsia="en-GB"/>
        </w:rPr>
      </w:pPr>
      <w:hyperlink w:anchor="_Toc101108562" w:history="1">
        <w:r w:rsidR="006D656A" w:rsidRPr="001319C5">
          <w:rPr>
            <w:rStyle w:val="Hyperlink"/>
            <w:noProof/>
          </w:rPr>
          <w:t>Table 11: Participant basic information</w:t>
        </w:r>
        <w:r w:rsidR="006D656A" w:rsidRPr="001319C5">
          <w:rPr>
            <w:noProof/>
            <w:webHidden/>
          </w:rPr>
          <w:tab/>
        </w:r>
        <w:r w:rsidR="006D656A" w:rsidRPr="001319C5">
          <w:rPr>
            <w:noProof/>
            <w:webHidden/>
          </w:rPr>
          <w:fldChar w:fldCharType="begin"/>
        </w:r>
        <w:r w:rsidR="006D656A" w:rsidRPr="001319C5">
          <w:rPr>
            <w:noProof/>
            <w:webHidden/>
          </w:rPr>
          <w:instrText xml:space="preserve"> PAGEREF _Toc101108562 \h </w:instrText>
        </w:r>
        <w:r w:rsidR="006D656A" w:rsidRPr="001319C5">
          <w:rPr>
            <w:noProof/>
            <w:webHidden/>
          </w:rPr>
        </w:r>
        <w:r w:rsidR="006D656A" w:rsidRPr="001319C5">
          <w:rPr>
            <w:noProof/>
            <w:webHidden/>
          </w:rPr>
          <w:fldChar w:fldCharType="separate"/>
        </w:r>
        <w:r>
          <w:rPr>
            <w:noProof/>
            <w:webHidden/>
          </w:rPr>
          <w:t>113</w:t>
        </w:r>
        <w:r w:rsidR="006D656A" w:rsidRPr="001319C5">
          <w:rPr>
            <w:noProof/>
            <w:webHidden/>
          </w:rPr>
          <w:fldChar w:fldCharType="end"/>
        </w:r>
      </w:hyperlink>
    </w:p>
    <w:p w14:paraId="372B1111" w14:textId="69419C9B" w:rsidR="008F658C" w:rsidRDefault="00A864C7" w:rsidP="008F658C">
      <w:pPr>
        <w:pStyle w:val="Heading3"/>
      </w:pPr>
      <w:r w:rsidRPr="001319C5">
        <w:rPr>
          <w:rFonts w:cs="Arial"/>
          <w:sz w:val="40"/>
          <w:szCs w:val="32"/>
        </w:rPr>
        <w:fldChar w:fldCharType="end"/>
      </w:r>
    </w:p>
    <w:p w14:paraId="22A45174" w14:textId="77777777" w:rsidR="006D656A" w:rsidRDefault="006D656A">
      <w:pPr>
        <w:spacing w:after="0" w:line="240" w:lineRule="auto"/>
        <w:rPr>
          <w:rFonts w:eastAsiaTheme="majorEastAsia" w:cs="Times New Roman (Headings CS)"/>
          <w:b/>
          <w:color w:val="000000" w:themeColor="text1"/>
          <w:szCs w:val="24"/>
        </w:rPr>
      </w:pPr>
      <w:r>
        <w:br w:type="page"/>
      </w:r>
    </w:p>
    <w:p w14:paraId="37D89A4E" w14:textId="2EEF051F" w:rsidR="00F671C0" w:rsidRDefault="005B667D" w:rsidP="008F658C">
      <w:pPr>
        <w:pStyle w:val="Heading3"/>
      </w:pPr>
      <w:r w:rsidRPr="008F658C">
        <w:lastRenderedPageBreak/>
        <w:t xml:space="preserve">List of </w:t>
      </w:r>
      <w:r w:rsidR="00171972" w:rsidRPr="008F658C">
        <w:t>Appendices</w:t>
      </w:r>
    </w:p>
    <w:p w14:paraId="3460B5BA" w14:textId="116DCB67" w:rsidR="008F658C" w:rsidRDefault="00F671C0" w:rsidP="008F658C">
      <w:pPr>
        <w:pStyle w:val="Appendixlist"/>
      </w:pPr>
      <w:r>
        <w:t xml:space="preserve">Appendix 1: </w:t>
      </w:r>
      <w:r w:rsidR="00F274D4">
        <w:t>Partic</w:t>
      </w:r>
      <w:r w:rsidR="00252F8B">
        <w:t>i</w:t>
      </w:r>
      <w:r w:rsidR="00F274D4">
        <w:t xml:space="preserve">pant Information – Advisory </w:t>
      </w:r>
      <w:r>
        <w:t xml:space="preserve">Group </w:t>
      </w:r>
    </w:p>
    <w:p w14:paraId="4172802C" w14:textId="6D582B36" w:rsidR="00F671C0" w:rsidRPr="00252F8B" w:rsidRDefault="00F671C0" w:rsidP="00252F8B">
      <w:pPr>
        <w:pStyle w:val="Appendixlist"/>
      </w:pPr>
      <w:r w:rsidRPr="00252F8B">
        <w:t>Appendix 2: Consent Form</w:t>
      </w:r>
      <w:r w:rsidR="00653C00">
        <w:t xml:space="preserve"> – Advisory </w:t>
      </w:r>
      <w:r w:rsidR="00653C00" w:rsidRPr="00252F8B">
        <w:t>Group</w:t>
      </w:r>
    </w:p>
    <w:p w14:paraId="030610D6" w14:textId="7891DF7B" w:rsidR="00F671C0" w:rsidRPr="00252F8B" w:rsidRDefault="00F671C0" w:rsidP="00252F8B">
      <w:pPr>
        <w:pStyle w:val="Appendixlist"/>
      </w:pPr>
      <w:r w:rsidRPr="00252F8B">
        <w:t>Appendix 3: Topic Guide</w:t>
      </w:r>
    </w:p>
    <w:p w14:paraId="0F3769B9" w14:textId="3A2A21D0" w:rsidR="00F671C0" w:rsidRPr="00252F8B" w:rsidRDefault="00F671C0" w:rsidP="00252F8B">
      <w:pPr>
        <w:pStyle w:val="Appendixlist"/>
      </w:pPr>
      <w:r w:rsidRPr="00252F8B">
        <w:t>Appendix 4: Topic Guide</w:t>
      </w:r>
      <w:r w:rsidR="00653C00">
        <w:t xml:space="preserve"> – Young People</w:t>
      </w:r>
    </w:p>
    <w:p w14:paraId="22D92295" w14:textId="7AAC6C71" w:rsidR="00F671C0" w:rsidRPr="00252F8B" w:rsidRDefault="00F671C0" w:rsidP="00252F8B">
      <w:pPr>
        <w:pStyle w:val="Appendixlist"/>
      </w:pPr>
      <w:r w:rsidRPr="00252F8B">
        <w:t>Appendix 5: Ethics Panel Approval Dates</w:t>
      </w:r>
    </w:p>
    <w:p w14:paraId="43C92D20" w14:textId="06A1EFCE" w:rsidR="00F671C0" w:rsidRPr="00252F8B" w:rsidRDefault="00F671C0" w:rsidP="00252F8B">
      <w:pPr>
        <w:pStyle w:val="Appendixlist"/>
      </w:pPr>
      <w:r w:rsidRPr="00252F8B">
        <w:t>Appendix 6: Written Information for the Local Authority</w:t>
      </w:r>
    </w:p>
    <w:p w14:paraId="0D795A27" w14:textId="289F53FC" w:rsidR="00F671C0" w:rsidRPr="00252F8B" w:rsidRDefault="00F671C0" w:rsidP="00252F8B">
      <w:pPr>
        <w:pStyle w:val="Appendixlist"/>
      </w:pPr>
      <w:r w:rsidRPr="00252F8B">
        <w:t xml:space="preserve">Appendix 7: Art Materials </w:t>
      </w:r>
    </w:p>
    <w:p w14:paraId="0365ACA3" w14:textId="12A9BC77" w:rsidR="00F671C0" w:rsidRPr="00252F8B" w:rsidRDefault="00F671C0" w:rsidP="00252F8B">
      <w:pPr>
        <w:pStyle w:val="Appendixlist"/>
      </w:pPr>
      <w:r w:rsidRPr="00252F8B">
        <w:t>Appendix 8: Participant Information Sheet</w:t>
      </w:r>
    </w:p>
    <w:p w14:paraId="266EBC8C" w14:textId="0A3A7DE3" w:rsidR="00227512" w:rsidRPr="00252F8B" w:rsidRDefault="00F671C0" w:rsidP="00252F8B">
      <w:pPr>
        <w:pStyle w:val="Appendixlist"/>
      </w:pPr>
      <w:r w:rsidRPr="00252F8B">
        <w:t>Appendix 9: Participant Consent Form</w:t>
      </w:r>
    </w:p>
    <w:p w14:paraId="5E541551" w14:textId="77777777" w:rsidR="006D656A" w:rsidRDefault="006D656A" w:rsidP="00453E12">
      <w:pPr>
        <w:spacing w:after="0" w:line="240" w:lineRule="auto"/>
      </w:pPr>
    </w:p>
    <w:p w14:paraId="7C434E90" w14:textId="77777777" w:rsidR="006D656A" w:rsidRDefault="006D656A" w:rsidP="00453E12">
      <w:pPr>
        <w:spacing w:after="0" w:line="240" w:lineRule="auto"/>
      </w:pPr>
    </w:p>
    <w:p w14:paraId="31D2F315" w14:textId="5AC2BFC2" w:rsidR="00453E12" w:rsidRDefault="00227512" w:rsidP="00453E12">
      <w:pPr>
        <w:spacing w:after="0" w:line="240" w:lineRule="auto"/>
      </w:pPr>
      <w:r>
        <w:t>COPYRIGHT</w:t>
      </w:r>
      <w:r w:rsidR="00F671C0">
        <w:t xml:space="preserve"> - </w:t>
      </w:r>
      <w:r>
        <w:t xml:space="preserve">Attention </w:t>
      </w:r>
      <w:r w:rsidR="005C5CBA">
        <w:t>i</w:t>
      </w:r>
      <w:r>
        <w:t xml:space="preserve">s drawn to the fact that copyright of this thesis rests with Anglia Ruskin University for one year and thereafter with Sally </w:t>
      </w:r>
      <w:r w:rsidR="00F671C0">
        <w:t>Pritchard. The</w:t>
      </w:r>
      <w:r>
        <w:t xml:space="preserve"> copy of this thesis has been supplied on condition that anyone who consults it is bound by copyright.</w:t>
      </w:r>
    </w:p>
    <w:p w14:paraId="7643B89F" w14:textId="77777777" w:rsidR="00453E12" w:rsidRDefault="00453E12">
      <w:pPr>
        <w:spacing w:after="0" w:line="240" w:lineRule="auto"/>
      </w:pPr>
      <w:r>
        <w:br w:type="page"/>
      </w:r>
    </w:p>
    <w:p w14:paraId="3F5E9C9E" w14:textId="04C43577" w:rsidR="00A63286" w:rsidRPr="000F0AFB" w:rsidRDefault="00982E58" w:rsidP="00453E12">
      <w:pPr>
        <w:pStyle w:val="ChapterHeading1"/>
      </w:pPr>
      <w:bookmarkStart w:id="0" w:name="_Toc101108461"/>
      <w:r>
        <w:lastRenderedPageBreak/>
        <w:t>Preface</w:t>
      </w:r>
      <w:bookmarkEnd w:id="0"/>
    </w:p>
    <w:p w14:paraId="68584FE3" w14:textId="77777777" w:rsidR="00982E58" w:rsidRDefault="00982E58" w:rsidP="00982E58">
      <w:r>
        <w:t xml:space="preserve">This preface addresses two omissions from the body of my thesis — the global pandemic and Review of Children’s Social Care. </w:t>
      </w:r>
    </w:p>
    <w:p w14:paraId="02517CC7" w14:textId="64D70AAF" w:rsidR="00982E58" w:rsidRDefault="00982E58" w:rsidP="00982E58">
      <w:r>
        <w:t>This study was conducted between 2016 and 2020. At the point of submission, we were 20 months into a global pandemic which had led to dramatic changes in the way people interacted and how social work was delivered. As all the interviews were carried out between November 2019 and February 2020, the young people had not yet been affected by Covid-19. The only impact on this study was the curtailment of involvement with the young people’s advisory group, as they understandably stopped supporting external projects to focus on individual support. For these reasons there is limited reference to the pandemic throughout the thesis, despite the significance of these world events, the strain on social work services and the consequences for young people leaving care during this time.</w:t>
      </w:r>
    </w:p>
    <w:p w14:paraId="46F82EB7" w14:textId="442FF3A3" w:rsidR="00982E58" w:rsidRDefault="00982E58" w:rsidP="00982E58">
      <w:r>
        <w:t>The second omission is reference to the Review of Children’s Social Care. Although anticipated for some time the review was officially launched in January 2021 and due to conclude after submission of this thesis. At the time of writing initial findings had been issued</w:t>
      </w:r>
      <w:r w:rsidR="00235135">
        <w:t xml:space="preserve"> but</w:t>
      </w:r>
      <w:r>
        <w:t xml:space="preserve"> the impact of the review or significance for this study is uncertain, </w:t>
      </w:r>
      <w:r w:rsidR="00923695">
        <w:t xml:space="preserve">therefore </w:t>
      </w:r>
      <w:r w:rsidR="00AB22B3">
        <w:t>it is not discussed in the thesis.</w:t>
      </w:r>
    </w:p>
    <w:p w14:paraId="04ADDBCA" w14:textId="77777777" w:rsidR="00A63286" w:rsidRPr="00A63286" w:rsidRDefault="00A63286" w:rsidP="008E4AF2"/>
    <w:p w14:paraId="1B6D76EC" w14:textId="77777777" w:rsidR="00E650DA" w:rsidRDefault="00E650DA" w:rsidP="006E3485"/>
    <w:p w14:paraId="040EFA8A" w14:textId="77777777" w:rsidR="00E650DA" w:rsidRDefault="00E650DA" w:rsidP="006E3485"/>
    <w:p w14:paraId="2EB6DC94" w14:textId="77777777" w:rsidR="00E650DA" w:rsidRDefault="00E650DA" w:rsidP="006E3485"/>
    <w:p w14:paraId="7A064893" w14:textId="77777777" w:rsidR="00E650DA" w:rsidRDefault="00E650DA" w:rsidP="006E3485"/>
    <w:p w14:paraId="5393C3EA" w14:textId="77777777" w:rsidR="00E650DA" w:rsidRDefault="00E650DA" w:rsidP="006E3485"/>
    <w:p w14:paraId="4D2C7DE8" w14:textId="77777777" w:rsidR="00E650DA" w:rsidRDefault="00E650DA" w:rsidP="006E3485"/>
    <w:p w14:paraId="2C6A873B" w14:textId="77777777" w:rsidR="00E650DA" w:rsidRDefault="00E650DA" w:rsidP="006E3485"/>
    <w:p w14:paraId="6D612DDC" w14:textId="45D8DBE1" w:rsidR="00982E58" w:rsidRPr="000F0AFB" w:rsidRDefault="00154868" w:rsidP="00127FD5">
      <w:pPr>
        <w:pStyle w:val="ChapterHeading1"/>
      </w:pPr>
      <w:bookmarkStart w:id="1" w:name="_Toc101108462"/>
      <w:r>
        <w:lastRenderedPageBreak/>
        <w:t>Glossary</w:t>
      </w:r>
      <w:bookmarkEnd w:id="1"/>
    </w:p>
    <w:p w14:paraId="6EFE6FFA" w14:textId="32169DEC" w:rsidR="00982E58" w:rsidRDefault="00982E58" w:rsidP="00684A55">
      <w:r>
        <w:t>Throughout the thesis relevant terminology is written in full</w:t>
      </w:r>
      <w:r w:rsidR="00235135">
        <w:t>, and s</w:t>
      </w:r>
      <w:r w:rsidR="00684A55">
        <w:t xml:space="preserve">ometimes terms commonly used in practice are included </w:t>
      </w:r>
      <w:r w:rsidR="0020537E">
        <w:t>and</w:t>
      </w:r>
      <w:r w:rsidR="00684A55">
        <w:t xml:space="preserve"> used interchangeably</w:t>
      </w:r>
      <w:r w:rsidR="00235135">
        <w:t xml:space="preserve"> with t</w:t>
      </w:r>
      <w:r w:rsidR="004B0C92">
        <w:t>erms</w:t>
      </w:r>
      <w:r w:rsidR="00235135">
        <w:t xml:space="preserve"> identified in legislation</w:t>
      </w:r>
      <w:r w:rsidR="00684A55">
        <w:t>. To help the reader I have listed the terms below</w:t>
      </w:r>
      <w:r w:rsidR="004537B3">
        <w:t xml:space="preserve"> and how they are used in this study</w:t>
      </w:r>
      <w:r w:rsidR="0020537E">
        <w:t xml:space="preserve">, </w:t>
      </w:r>
      <w:r w:rsidR="00200194">
        <w:t>including</w:t>
      </w:r>
      <w:r w:rsidR="0020537E">
        <w:t xml:space="preserve"> the professionals involved with the young person as they reach </w:t>
      </w:r>
      <w:r w:rsidR="00A05900">
        <w:t>legal adulthood.</w:t>
      </w:r>
      <w:r w:rsidR="00200194">
        <w:t xml:space="preserve"> </w:t>
      </w:r>
      <w:r w:rsidR="000109A4">
        <w:t xml:space="preserve">Key terms are noted in </w:t>
      </w:r>
      <w:r w:rsidR="000109A4" w:rsidRPr="000109A4">
        <w:rPr>
          <w:i/>
          <w:iCs/>
        </w:rPr>
        <w:t>italics</w:t>
      </w:r>
      <w:r w:rsidR="000109A4">
        <w:t xml:space="preserve"> through</w:t>
      </w:r>
      <w:r w:rsidR="000A39B9">
        <w:t>out</w:t>
      </w:r>
      <w:r w:rsidR="000109A4">
        <w:t xml:space="preserve"> the thesis.</w:t>
      </w:r>
    </w:p>
    <w:tbl>
      <w:tblPr>
        <w:tblStyle w:val="TableGrid"/>
        <w:tblW w:w="9351" w:type="dxa"/>
        <w:tblBorders>
          <w:top w:val="single" w:sz="4" w:space="0" w:color="D0CECE" w:themeColor="background2" w:themeShade="E6"/>
          <w:left w:val="none" w:sz="0" w:space="0" w:color="auto"/>
          <w:bottom w:val="single" w:sz="4" w:space="0" w:color="D0CECE" w:themeColor="background2" w:themeShade="E6"/>
          <w:right w:val="none" w:sz="0" w:space="0" w:color="auto"/>
          <w:insideH w:val="single" w:sz="4" w:space="0" w:color="D0CECE" w:themeColor="background2" w:themeShade="E6"/>
          <w:insideV w:val="none" w:sz="0" w:space="0" w:color="auto"/>
        </w:tblBorders>
        <w:tblCellMar>
          <w:top w:w="198" w:type="dxa"/>
          <w:bottom w:w="198" w:type="dxa"/>
        </w:tblCellMar>
        <w:tblLook w:val="04A0" w:firstRow="1" w:lastRow="0" w:firstColumn="1" w:lastColumn="0" w:noHBand="0" w:noVBand="1"/>
      </w:tblPr>
      <w:tblGrid>
        <w:gridCol w:w="2547"/>
        <w:gridCol w:w="6804"/>
      </w:tblGrid>
      <w:tr w:rsidR="004061D1" w14:paraId="2294654B" w14:textId="77777777" w:rsidTr="00EC08A2">
        <w:tc>
          <w:tcPr>
            <w:tcW w:w="2547" w:type="dxa"/>
          </w:tcPr>
          <w:p w14:paraId="2A1CB421" w14:textId="74FD515D" w:rsidR="004061D1" w:rsidRDefault="00EE7D2B" w:rsidP="00127FD5">
            <w:pPr>
              <w:pStyle w:val="Tableheading"/>
            </w:pPr>
            <w:r>
              <w:t>E</w:t>
            </w:r>
            <w:r w:rsidR="004061D1">
              <w:t>xtended care</w:t>
            </w:r>
          </w:p>
        </w:tc>
        <w:tc>
          <w:tcPr>
            <w:tcW w:w="6804" w:type="dxa"/>
          </w:tcPr>
          <w:p w14:paraId="2A373260" w14:textId="6E27C63A" w:rsidR="00EE7D2B" w:rsidRDefault="00057BE9" w:rsidP="00127FD5">
            <w:pPr>
              <w:pStyle w:val="Tablecontent"/>
            </w:pPr>
            <w:r>
              <w:t>Generic term for</w:t>
            </w:r>
            <w:r w:rsidR="00997637">
              <w:t xml:space="preserve"> </w:t>
            </w:r>
            <w:r>
              <w:t>scheme</w:t>
            </w:r>
            <w:r w:rsidR="00997637">
              <w:t>s</w:t>
            </w:r>
            <w:r>
              <w:t xml:space="preserve"> </w:t>
            </w:r>
            <w:r w:rsidR="004B47CC">
              <w:t>enabling young pe</w:t>
            </w:r>
            <w:r w:rsidR="00997637">
              <w:t>ople</w:t>
            </w:r>
            <w:r w:rsidR="004B47CC">
              <w:t xml:space="preserve"> to remain in existing placement</w:t>
            </w:r>
            <w:r w:rsidR="00997637">
              <w:t xml:space="preserve">s </w:t>
            </w:r>
            <w:r>
              <w:t xml:space="preserve">at age 18. England </w:t>
            </w:r>
            <w:r w:rsidR="004B47CC">
              <w:t>currently has</w:t>
            </w:r>
            <w:r>
              <w:t xml:space="preserve"> two schemes – </w:t>
            </w:r>
            <w:r w:rsidRPr="00227512">
              <w:rPr>
                <w:i/>
                <w:iCs/>
              </w:rPr>
              <w:t>Staying Put</w:t>
            </w:r>
            <w:r>
              <w:t xml:space="preserve"> for young people in foster care and </w:t>
            </w:r>
            <w:r w:rsidRPr="00227512">
              <w:rPr>
                <w:i/>
                <w:iCs/>
              </w:rPr>
              <w:t>Staying Close</w:t>
            </w:r>
            <w:r>
              <w:t xml:space="preserve"> for young people in residential care.</w:t>
            </w:r>
            <w:r w:rsidR="00F5583A">
              <w:t xml:space="preserve"> </w:t>
            </w:r>
          </w:p>
        </w:tc>
      </w:tr>
      <w:tr w:rsidR="004061D1" w14:paraId="46FD3FBF" w14:textId="77777777" w:rsidTr="00EC08A2">
        <w:tc>
          <w:tcPr>
            <w:tcW w:w="2547" w:type="dxa"/>
          </w:tcPr>
          <w:p w14:paraId="7F8EE834" w14:textId="3FCB82D1" w:rsidR="004061D1" w:rsidRDefault="004061D1" w:rsidP="00127FD5">
            <w:pPr>
              <w:pStyle w:val="Tableheading"/>
            </w:pPr>
            <w:r>
              <w:t>Foster carer</w:t>
            </w:r>
          </w:p>
        </w:tc>
        <w:tc>
          <w:tcPr>
            <w:tcW w:w="6804" w:type="dxa"/>
          </w:tcPr>
          <w:p w14:paraId="286F0AC7" w14:textId="34FA375A" w:rsidR="00DD4BD7" w:rsidRDefault="00DB2F5E" w:rsidP="00732697">
            <w:pPr>
              <w:pStyle w:val="tablecontent-singlespaced"/>
            </w:pPr>
            <w:r>
              <w:t xml:space="preserve">Also referred to as carer. </w:t>
            </w:r>
            <w:r w:rsidR="00EC298F">
              <w:t>A person</w:t>
            </w:r>
            <w:r w:rsidR="00997637">
              <w:t>/</w:t>
            </w:r>
            <w:r w:rsidR="00EC298F">
              <w:t xml:space="preserve">people who are </w:t>
            </w:r>
            <w:r w:rsidR="004B47CC">
              <w:t xml:space="preserve">assessed, </w:t>
            </w:r>
            <w:r w:rsidR="00997637">
              <w:t>approved,</w:t>
            </w:r>
            <w:r w:rsidR="00F91811">
              <w:t xml:space="preserve"> and registered by a local authority or independent </w:t>
            </w:r>
            <w:r w:rsidR="00997637">
              <w:t xml:space="preserve">fostering </w:t>
            </w:r>
            <w:r w:rsidR="00F91811">
              <w:t xml:space="preserve">agency to provide a </w:t>
            </w:r>
            <w:r w:rsidR="004B47CC">
              <w:t xml:space="preserve">familial </w:t>
            </w:r>
            <w:r w:rsidR="00F91811">
              <w:t>placement for a young person in care. They are tasked with care</w:t>
            </w:r>
            <w:r w:rsidR="00997637">
              <w:t xml:space="preserve">, </w:t>
            </w:r>
            <w:proofErr w:type="gramStart"/>
            <w:r w:rsidR="00997637">
              <w:t>guidance</w:t>
            </w:r>
            <w:proofErr w:type="gramEnd"/>
            <w:r w:rsidR="00F91811">
              <w:t xml:space="preserve"> </w:t>
            </w:r>
            <w:r w:rsidR="00997637">
              <w:t xml:space="preserve">and support </w:t>
            </w:r>
            <w:r w:rsidR="00F91811">
              <w:t xml:space="preserve">for </w:t>
            </w:r>
            <w:r w:rsidR="00F91811" w:rsidRPr="00732697">
              <w:t>the</w:t>
            </w:r>
            <w:r w:rsidR="00F91811">
              <w:t xml:space="preserve"> young person on a day-to-day basis. </w:t>
            </w:r>
          </w:p>
        </w:tc>
      </w:tr>
      <w:tr w:rsidR="004061D1" w14:paraId="17D74146" w14:textId="77777777" w:rsidTr="00EC08A2">
        <w:tc>
          <w:tcPr>
            <w:tcW w:w="2547" w:type="dxa"/>
          </w:tcPr>
          <w:p w14:paraId="4D717C1D" w14:textId="7D665B59" w:rsidR="004061D1" w:rsidRPr="004B47CC" w:rsidRDefault="004061D1" w:rsidP="00127FD5">
            <w:pPr>
              <w:pStyle w:val="Tableheading"/>
            </w:pPr>
            <w:r>
              <w:t>Independent Fostering Agency</w:t>
            </w:r>
            <w:r w:rsidR="00DB2F5E">
              <w:t xml:space="preserve"> (IFA)</w:t>
            </w:r>
          </w:p>
        </w:tc>
        <w:tc>
          <w:tcPr>
            <w:tcW w:w="6804" w:type="dxa"/>
          </w:tcPr>
          <w:p w14:paraId="15B33A7B" w14:textId="17279216" w:rsidR="004061D1" w:rsidRPr="00732697" w:rsidRDefault="00F91811" w:rsidP="00732697">
            <w:pPr>
              <w:pStyle w:val="tablecontent-singlespaced"/>
            </w:pPr>
            <w:r>
              <w:t xml:space="preserve">An agency outside of a local authority, run by a charity or business to assess, </w:t>
            </w:r>
            <w:r w:rsidR="00997637">
              <w:t>approve,</w:t>
            </w:r>
            <w:r>
              <w:t xml:space="preserve"> and support foster carers. </w:t>
            </w:r>
          </w:p>
        </w:tc>
      </w:tr>
      <w:tr w:rsidR="004061D1" w14:paraId="19EEEBE5" w14:textId="77777777" w:rsidTr="00EC08A2">
        <w:tc>
          <w:tcPr>
            <w:tcW w:w="2547" w:type="dxa"/>
          </w:tcPr>
          <w:p w14:paraId="2CE75150" w14:textId="455CA90A" w:rsidR="004061D1" w:rsidRDefault="004061D1" w:rsidP="00127FD5">
            <w:pPr>
              <w:pStyle w:val="Tableheading"/>
            </w:pPr>
            <w:r>
              <w:t>Independent Reviewing Officer</w:t>
            </w:r>
          </w:p>
        </w:tc>
        <w:tc>
          <w:tcPr>
            <w:tcW w:w="6804" w:type="dxa"/>
          </w:tcPr>
          <w:p w14:paraId="412740D4" w14:textId="3C2EAEA1" w:rsidR="00EE7D2B" w:rsidRDefault="00DB2F5E" w:rsidP="00732697">
            <w:pPr>
              <w:pStyle w:val="tablecontent-singlespaced"/>
            </w:pPr>
            <w:r>
              <w:t>A</w:t>
            </w:r>
            <w:r w:rsidR="0049273B">
              <w:t xml:space="preserve">lso </w:t>
            </w:r>
            <w:r>
              <w:t>referred to</w:t>
            </w:r>
            <w:r w:rsidR="0049273B">
              <w:t xml:space="preserve"> as review manager. Person that </w:t>
            </w:r>
            <w:r w:rsidR="0049273B" w:rsidRPr="00732697">
              <w:t>chairs</w:t>
            </w:r>
            <w:r w:rsidR="0049273B">
              <w:t xml:space="preserve"> the </w:t>
            </w:r>
            <w:r w:rsidR="004B47CC">
              <w:t>s</w:t>
            </w:r>
            <w:r w:rsidR="0049273B">
              <w:t xml:space="preserve">tatutory </w:t>
            </w:r>
            <w:r w:rsidR="004B47CC">
              <w:t>r</w:t>
            </w:r>
            <w:r w:rsidR="0049273B">
              <w:t xml:space="preserve">eview </w:t>
            </w:r>
            <w:r w:rsidR="004B47CC">
              <w:t>m</w:t>
            </w:r>
            <w:r w:rsidR="0049273B">
              <w:t xml:space="preserve">eeting. They </w:t>
            </w:r>
            <w:r w:rsidR="00057BE9">
              <w:t>work for the local authority and are independent from the social worker</w:t>
            </w:r>
            <w:r w:rsidR="00997637">
              <w:t>/</w:t>
            </w:r>
            <w:r w:rsidR="00057BE9">
              <w:t>personal advisor.</w:t>
            </w:r>
          </w:p>
        </w:tc>
      </w:tr>
      <w:tr w:rsidR="004061D1" w14:paraId="1FFB3EE3" w14:textId="77777777" w:rsidTr="00EC08A2">
        <w:tc>
          <w:tcPr>
            <w:tcW w:w="2547" w:type="dxa"/>
          </w:tcPr>
          <w:p w14:paraId="4066A6B6" w14:textId="0ECDAC1E" w:rsidR="004061D1" w:rsidRDefault="004061D1" w:rsidP="00127FD5">
            <w:pPr>
              <w:pStyle w:val="Tableheading"/>
            </w:pPr>
            <w:r>
              <w:t>Leaving care</w:t>
            </w:r>
          </w:p>
        </w:tc>
        <w:tc>
          <w:tcPr>
            <w:tcW w:w="6804" w:type="dxa"/>
          </w:tcPr>
          <w:p w14:paraId="3D166A5D" w14:textId="65EE28C2" w:rsidR="00EE7D2B" w:rsidRDefault="00F91811" w:rsidP="00732697">
            <w:pPr>
              <w:pStyle w:val="tablecontent-singlespaced"/>
            </w:pPr>
            <w:r>
              <w:t xml:space="preserve">Also associated with the term care leaver. Refers to the move from a care placement between the age of 16-25. Depending on </w:t>
            </w:r>
            <w:r w:rsidR="00F5583A">
              <w:t xml:space="preserve">how long the young person has been looked after/in care determines the level of support they receive. </w:t>
            </w:r>
          </w:p>
        </w:tc>
      </w:tr>
      <w:tr w:rsidR="004061D1" w14:paraId="0BC1567F" w14:textId="77777777" w:rsidTr="00EC08A2">
        <w:tc>
          <w:tcPr>
            <w:tcW w:w="2547" w:type="dxa"/>
          </w:tcPr>
          <w:p w14:paraId="77620A1B" w14:textId="4AE217AA" w:rsidR="004061D1" w:rsidRDefault="004061D1" w:rsidP="00127FD5">
            <w:pPr>
              <w:pStyle w:val="Tableheading"/>
            </w:pPr>
            <w:r>
              <w:t>Looked after</w:t>
            </w:r>
          </w:p>
        </w:tc>
        <w:tc>
          <w:tcPr>
            <w:tcW w:w="6804" w:type="dxa"/>
          </w:tcPr>
          <w:p w14:paraId="072AB07D" w14:textId="7C9E853F" w:rsidR="00EE7D2B" w:rsidRDefault="00F5583A" w:rsidP="00732697">
            <w:pPr>
              <w:pStyle w:val="tablecontent-singlespaced"/>
            </w:pPr>
            <w:r>
              <w:t xml:space="preserve">Also </w:t>
            </w:r>
            <w:r w:rsidR="00DB2F5E">
              <w:t>referred to as</w:t>
            </w:r>
            <w:r>
              <w:t xml:space="preserve"> in care. Legal definition of a child who is cared for by a local authority either with agreement by the child’s </w:t>
            </w:r>
            <w:r w:rsidRPr="00732697">
              <w:t>parent</w:t>
            </w:r>
            <w:r>
              <w:t>(s) or where a court order has been issued.</w:t>
            </w:r>
          </w:p>
        </w:tc>
      </w:tr>
      <w:tr w:rsidR="004061D1" w14:paraId="72B95BA3" w14:textId="77777777" w:rsidTr="00EC08A2">
        <w:tc>
          <w:tcPr>
            <w:tcW w:w="2547" w:type="dxa"/>
          </w:tcPr>
          <w:p w14:paraId="54B7FC58" w14:textId="5EB2BA49" w:rsidR="004061D1" w:rsidRDefault="004061D1" w:rsidP="00127FD5">
            <w:pPr>
              <w:pStyle w:val="Tableheading"/>
            </w:pPr>
            <w:r>
              <w:t>Participant</w:t>
            </w:r>
          </w:p>
          <w:p w14:paraId="359C3BA3" w14:textId="77777777" w:rsidR="004061D1" w:rsidRPr="00B11F27" w:rsidRDefault="004061D1" w:rsidP="00127FD5">
            <w:pPr>
              <w:pStyle w:val="Tableheading"/>
            </w:pPr>
          </w:p>
        </w:tc>
        <w:tc>
          <w:tcPr>
            <w:tcW w:w="6804" w:type="dxa"/>
          </w:tcPr>
          <w:p w14:paraId="45A8AB1D" w14:textId="686ABBDE" w:rsidR="00EE7D2B" w:rsidRDefault="00F5583A" w:rsidP="00732697">
            <w:pPr>
              <w:pStyle w:val="tablecontent-singlespaced"/>
            </w:pPr>
            <w:r>
              <w:t xml:space="preserve">The young people who took part in my study. Term used to recognise </w:t>
            </w:r>
            <w:r w:rsidRPr="00F5583A">
              <w:t xml:space="preserve">their choice in taking part in the research, but also </w:t>
            </w:r>
            <w:r>
              <w:t xml:space="preserve">in </w:t>
            </w:r>
            <w:r w:rsidR="00997637">
              <w:t>appreciation</w:t>
            </w:r>
            <w:r>
              <w:t xml:space="preserve"> that they were </w:t>
            </w:r>
            <w:r w:rsidRPr="00F5583A">
              <w:t xml:space="preserve">active in the </w:t>
            </w:r>
            <w:r w:rsidRPr="00732697">
              <w:t>research</w:t>
            </w:r>
            <w:r w:rsidRPr="00F5583A">
              <w:t xml:space="preserve"> relationship (Simmons, 2009).</w:t>
            </w:r>
          </w:p>
        </w:tc>
      </w:tr>
      <w:tr w:rsidR="00EE7D2B" w14:paraId="24183E64" w14:textId="77777777" w:rsidTr="00EC08A2">
        <w:tc>
          <w:tcPr>
            <w:tcW w:w="2547" w:type="dxa"/>
          </w:tcPr>
          <w:p w14:paraId="64B72B3E" w14:textId="7A42EFFA" w:rsidR="00EE7D2B" w:rsidRDefault="00EE7D2B" w:rsidP="00127FD5">
            <w:pPr>
              <w:pStyle w:val="Tableheading"/>
            </w:pPr>
            <w:r>
              <w:lastRenderedPageBreak/>
              <w:t>Pathway Plan</w:t>
            </w:r>
          </w:p>
        </w:tc>
        <w:tc>
          <w:tcPr>
            <w:tcW w:w="6804" w:type="dxa"/>
          </w:tcPr>
          <w:p w14:paraId="6202E501" w14:textId="61B628C2" w:rsidR="00EE7D2B" w:rsidRDefault="00EE7D2B" w:rsidP="00732697">
            <w:pPr>
              <w:pStyle w:val="tablecontent-singlespaced"/>
            </w:pPr>
            <w:r>
              <w:t>Name of the plan for young people as they approach their 18</w:t>
            </w:r>
            <w:r w:rsidRPr="00EE7D2B">
              <w:rPr>
                <w:vertAlign w:val="superscript"/>
              </w:rPr>
              <w:t>th</w:t>
            </w:r>
            <w:r>
              <w:t xml:space="preserve"> birthday. The plan should be made with the young person and include details about housing, education, support, finances, health, practical </w:t>
            </w:r>
            <w:proofErr w:type="gramStart"/>
            <w:r>
              <w:t>skills</w:t>
            </w:r>
            <w:proofErr w:type="gramEnd"/>
            <w:r>
              <w:t xml:space="preserve"> and </w:t>
            </w:r>
            <w:r w:rsidR="00997637">
              <w:t>contingency measures</w:t>
            </w:r>
            <w:r>
              <w:t>.</w:t>
            </w:r>
          </w:p>
        </w:tc>
      </w:tr>
      <w:tr w:rsidR="004061D1" w14:paraId="770A47A6" w14:textId="77777777" w:rsidTr="00EC08A2">
        <w:tc>
          <w:tcPr>
            <w:tcW w:w="2547" w:type="dxa"/>
          </w:tcPr>
          <w:p w14:paraId="1DBC2AAF" w14:textId="606E15B0" w:rsidR="004061D1" w:rsidRDefault="004061D1" w:rsidP="00127FD5">
            <w:pPr>
              <w:pStyle w:val="Tableheading"/>
            </w:pPr>
            <w:r>
              <w:t>Personal advisor</w:t>
            </w:r>
            <w:r w:rsidR="00DB2F5E">
              <w:t xml:space="preserve"> (PA)</w:t>
            </w:r>
          </w:p>
          <w:p w14:paraId="1BF4E944" w14:textId="77777777" w:rsidR="004061D1" w:rsidRDefault="004061D1" w:rsidP="00127FD5">
            <w:pPr>
              <w:pStyle w:val="Tableheading"/>
            </w:pPr>
          </w:p>
        </w:tc>
        <w:tc>
          <w:tcPr>
            <w:tcW w:w="6804" w:type="dxa"/>
          </w:tcPr>
          <w:p w14:paraId="1DA5A727" w14:textId="24469702" w:rsidR="00EE7D2B" w:rsidRDefault="0049273B" w:rsidP="00732697">
            <w:pPr>
              <w:pStyle w:val="tablecontent-singlespaced"/>
            </w:pPr>
            <w:r>
              <w:t>A worker who is allocated to the young person as or before they leave care. Their role is to ensure that the young person’s pathway plan is carried out/updated and to a</w:t>
            </w:r>
            <w:r w:rsidR="00732697">
              <w:t xml:space="preserve">dvise and support the young person about all aspects of their life after they have turned 18. They should provide support until the young person is 25. </w:t>
            </w:r>
          </w:p>
        </w:tc>
      </w:tr>
      <w:tr w:rsidR="001A5699" w14:paraId="1314C4C7" w14:textId="77777777" w:rsidTr="00EC08A2">
        <w:tc>
          <w:tcPr>
            <w:tcW w:w="2547" w:type="dxa"/>
          </w:tcPr>
          <w:p w14:paraId="724C1F60" w14:textId="5C25729B" w:rsidR="001A5699" w:rsidRDefault="001A5699" w:rsidP="00127FD5">
            <w:pPr>
              <w:pStyle w:val="Tableheading"/>
            </w:pPr>
            <w:r>
              <w:t>Service use</w:t>
            </w:r>
            <w:r w:rsidR="00127FD5">
              <w:t>r</w:t>
            </w:r>
          </w:p>
        </w:tc>
        <w:tc>
          <w:tcPr>
            <w:tcW w:w="6804" w:type="dxa"/>
          </w:tcPr>
          <w:p w14:paraId="6D5C9032" w14:textId="23CE30DA" w:rsidR="00EE7D2B" w:rsidRDefault="004537B3" w:rsidP="00732697">
            <w:pPr>
              <w:pStyle w:val="tablecontent-singlespaced"/>
            </w:pPr>
            <w:r>
              <w:t xml:space="preserve">Generic term used to </w:t>
            </w:r>
            <w:r w:rsidRPr="00732697">
              <w:t>describe</w:t>
            </w:r>
            <w:r>
              <w:t xml:space="preserve"> people who use social work services.</w:t>
            </w:r>
          </w:p>
        </w:tc>
      </w:tr>
      <w:tr w:rsidR="004061D1" w14:paraId="7C394683" w14:textId="77777777" w:rsidTr="00EC08A2">
        <w:tc>
          <w:tcPr>
            <w:tcW w:w="2547" w:type="dxa"/>
          </w:tcPr>
          <w:p w14:paraId="56C5F0C5" w14:textId="63539D5F" w:rsidR="004061D1" w:rsidRDefault="004061D1" w:rsidP="00127FD5">
            <w:pPr>
              <w:pStyle w:val="Tableheading"/>
            </w:pPr>
            <w:r>
              <w:t>Social worker</w:t>
            </w:r>
          </w:p>
          <w:p w14:paraId="62D8FD19" w14:textId="77777777" w:rsidR="004061D1" w:rsidRDefault="004061D1" w:rsidP="00127FD5">
            <w:pPr>
              <w:pStyle w:val="Tableheading"/>
            </w:pPr>
          </w:p>
        </w:tc>
        <w:tc>
          <w:tcPr>
            <w:tcW w:w="6804" w:type="dxa"/>
          </w:tcPr>
          <w:p w14:paraId="397297E0" w14:textId="1ED0B2D9" w:rsidR="00EE7D2B" w:rsidRDefault="004537B3" w:rsidP="00732697">
            <w:pPr>
              <w:pStyle w:val="tablecontent-singlespaced"/>
            </w:pPr>
            <w:r>
              <w:t>A</w:t>
            </w:r>
            <w:r w:rsidRPr="004537B3">
              <w:t xml:space="preserve"> qualified, registered profession</w:t>
            </w:r>
            <w:r>
              <w:t>al</w:t>
            </w:r>
            <w:r w:rsidRPr="004537B3">
              <w:t xml:space="preserve"> with a protected title</w:t>
            </w:r>
            <w:r>
              <w:t xml:space="preserve">. Job is to </w:t>
            </w:r>
            <w:r w:rsidR="00F5583A">
              <w:t xml:space="preserve">assess, support, advise, </w:t>
            </w:r>
            <w:r w:rsidR="00997637">
              <w:t>assist,</w:t>
            </w:r>
            <w:r w:rsidR="00732697">
              <w:t xml:space="preserve"> and represent the young person during their care experience. They </w:t>
            </w:r>
            <w:r w:rsidR="00127E4A">
              <w:t xml:space="preserve">are responsible for the completion of the pathway plan with the young person </w:t>
            </w:r>
            <w:r w:rsidR="00732697">
              <w:t>even if there is a separate personal advisor.</w:t>
            </w:r>
          </w:p>
        </w:tc>
      </w:tr>
      <w:tr w:rsidR="001A5699" w14:paraId="0E49AFF1" w14:textId="77777777" w:rsidTr="00EC08A2">
        <w:trPr>
          <w:trHeight w:val="2121"/>
        </w:trPr>
        <w:tc>
          <w:tcPr>
            <w:tcW w:w="2547" w:type="dxa"/>
          </w:tcPr>
          <w:p w14:paraId="64CF555C" w14:textId="15D0FFE6" w:rsidR="001A5699" w:rsidRPr="00B11F27" w:rsidRDefault="001A5699" w:rsidP="00127FD5">
            <w:pPr>
              <w:pStyle w:val="Tableheading"/>
            </w:pPr>
            <w:r w:rsidRPr="00B11F27">
              <w:t xml:space="preserve">Statutory </w:t>
            </w:r>
            <w:r w:rsidR="002B1E21">
              <w:t>r</w:t>
            </w:r>
            <w:r w:rsidRPr="00B11F27">
              <w:t xml:space="preserve">eview </w:t>
            </w:r>
            <w:r w:rsidR="002B1E21">
              <w:t>m</w:t>
            </w:r>
            <w:r w:rsidRPr="00B11F27">
              <w:t>eeting</w:t>
            </w:r>
          </w:p>
        </w:tc>
        <w:tc>
          <w:tcPr>
            <w:tcW w:w="6804" w:type="dxa"/>
          </w:tcPr>
          <w:p w14:paraId="010A96D9" w14:textId="6A169180" w:rsidR="001A5699" w:rsidRPr="00B11F27" w:rsidRDefault="001A5699" w:rsidP="00B11F27">
            <w:pPr>
              <w:pStyle w:val="tablecontent-singlespaced"/>
            </w:pPr>
            <w:r w:rsidRPr="00B11F27">
              <w:t>Also referred to as review meeting or child in care review. A meeting chaired by an Independent Reviewing Officer (review manager) including young people, social worker, foster carer, parent, other involved professionals to review the young person’s care</w:t>
            </w:r>
            <w:r w:rsidR="0049273B" w:rsidRPr="00B11F27">
              <w:t>/pathway</w:t>
            </w:r>
            <w:r w:rsidRPr="00B11F27">
              <w:t xml:space="preserve"> plan. They occur one month after a placement move, then three months after the move. Thereafter they are held on a six-monthly basis. Meeting can take place in the </w:t>
            </w:r>
            <w:r w:rsidR="004537B3" w:rsidRPr="00B11F27">
              <w:t>placement</w:t>
            </w:r>
            <w:r w:rsidRPr="00B11F27">
              <w:t xml:space="preserve"> or school</w:t>
            </w:r>
            <w:r w:rsidR="004537B3" w:rsidRPr="00B11F27">
              <w:t xml:space="preserve">. Young person can choose </w:t>
            </w:r>
            <w:r w:rsidR="007162FC" w:rsidRPr="00B11F27">
              <w:t>whether</w:t>
            </w:r>
            <w:r w:rsidR="004537B3" w:rsidRPr="00B11F27">
              <w:t xml:space="preserve"> to attend.</w:t>
            </w:r>
          </w:p>
        </w:tc>
      </w:tr>
      <w:tr w:rsidR="004061D1" w14:paraId="4719B663" w14:textId="77777777" w:rsidTr="00EC08A2">
        <w:tc>
          <w:tcPr>
            <w:tcW w:w="2547" w:type="dxa"/>
          </w:tcPr>
          <w:p w14:paraId="28B3CA28" w14:textId="34BE75AE" w:rsidR="004061D1" w:rsidRDefault="004061D1" w:rsidP="00127FD5">
            <w:pPr>
              <w:pStyle w:val="Tableheading"/>
            </w:pPr>
            <w:r>
              <w:t xml:space="preserve">Young </w:t>
            </w:r>
            <w:r w:rsidR="002B1E21">
              <w:t>p</w:t>
            </w:r>
            <w:r>
              <w:t>erson</w:t>
            </w:r>
          </w:p>
          <w:p w14:paraId="22984633" w14:textId="77777777" w:rsidR="004061D1" w:rsidRDefault="004061D1" w:rsidP="00127FD5">
            <w:pPr>
              <w:pStyle w:val="Tableheading"/>
            </w:pPr>
          </w:p>
        </w:tc>
        <w:tc>
          <w:tcPr>
            <w:tcW w:w="6804" w:type="dxa"/>
          </w:tcPr>
          <w:p w14:paraId="46C9CF12" w14:textId="3D47780A" w:rsidR="004061D1" w:rsidRDefault="00732697" w:rsidP="00732697">
            <w:pPr>
              <w:pStyle w:val="tablecontent-singlespaced"/>
            </w:pPr>
            <w:r>
              <w:t xml:space="preserve">Term used in </w:t>
            </w:r>
            <w:r w:rsidRPr="001319C5">
              <w:t xml:space="preserve">this study to mean someone who is in care or leaving care over the age of 15. </w:t>
            </w:r>
            <w:r w:rsidR="00127E4A" w:rsidRPr="001319C5">
              <w:t>Defined by the United Nations (198</w:t>
            </w:r>
            <w:r w:rsidR="002476D8" w:rsidRPr="001319C5">
              <w:t>1</w:t>
            </w:r>
            <w:r w:rsidR="00127E4A" w:rsidRPr="001319C5">
              <w:t xml:space="preserve">, p. 15) as being aged between 15-24 years. </w:t>
            </w:r>
            <w:r w:rsidRPr="001319C5">
              <w:t>In my study the term also refers to the study participants.</w:t>
            </w:r>
          </w:p>
        </w:tc>
      </w:tr>
    </w:tbl>
    <w:p w14:paraId="183C8E29" w14:textId="77777777" w:rsidR="00200194" w:rsidRDefault="00200194" w:rsidP="001A5699">
      <w:pPr>
        <w:spacing w:line="240" w:lineRule="auto"/>
      </w:pPr>
    </w:p>
    <w:p w14:paraId="32A7F34F" w14:textId="5549F9E6" w:rsidR="00154351" w:rsidRDefault="00732697" w:rsidP="00154351">
      <w:r>
        <w:t>Abbreviation</w:t>
      </w:r>
      <w:r w:rsidR="004B47CC">
        <w:t xml:space="preserve">s </w:t>
      </w:r>
      <w:r w:rsidR="00B11F27">
        <w:t>of</w:t>
      </w:r>
      <w:r w:rsidR="004B47CC">
        <w:t xml:space="preserve"> government departments responsible for children’s social work services.</w:t>
      </w:r>
    </w:p>
    <w:tbl>
      <w:tblPr>
        <w:tblStyle w:val="TableGrid"/>
        <w:tblW w:w="9351" w:type="dxa"/>
        <w:tblBorders>
          <w:top w:val="single" w:sz="4" w:space="0" w:color="D0CECE" w:themeColor="background2" w:themeShade="E6"/>
          <w:left w:val="none" w:sz="0" w:space="0" w:color="auto"/>
          <w:bottom w:val="single" w:sz="4" w:space="0" w:color="D0CECE" w:themeColor="background2" w:themeShade="E6"/>
          <w:right w:val="none" w:sz="0" w:space="0" w:color="auto"/>
          <w:insideH w:val="single" w:sz="4" w:space="0" w:color="D0CECE" w:themeColor="background2" w:themeShade="E6"/>
          <w:insideV w:val="none" w:sz="0" w:space="0" w:color="auto"/>
        </w:tblBorders>
        <w:tblCellMar>
          <w:top w:w="198" w:type="dxa"/>
          <w:bottom w:w="198" w:type="dxa"/>
        </w:tblCellMar>
        <w:tblLook w:val="04A0" w:firstRow="1" w:lastRow="0" w:firstColumn="1" w:lastColumn="0" w:noHBand="0" w:noVBand="1"/>
      </w:tblPr>
      <w:tblGrid>
        <w:gridCol w:w="2552"/>
        <w:gridCol w:w="6799"/>
      </w:tblGrid>
      <w:tr w:rsidR="00732697" w14:paraId="1657BEF3" w14:textId="77777777" w:rsidTr="00BC0C44">
        <w:tc>
          <w:tcPr>
            <w:tcW w:w="2552" w:type="dxa"/>
          </w:tcPr>
          <w:p w14:paraId="60544128" w14:textId="2746402F" w:rsidR="004B47CC" w:rsidRDefault="004B47CC" w:rsidP="0047298A">
            <w:pPr>
              <w:pStyle w:val="Tableheading"/>
            </w:pPr>
            <w:r>
              <w:t>DfE</w:t>
            </w:r>
          </w:p>
        </w:tc>
        <w:tc>
          <w:tcPr>
            <w:tcW w:w="6799" w:type="dxa"/>
          </w:tcPr>
          <w:p w14:paraId="1B549152" w14:textId="38D681B7" w:rsidR="004B47CC" w:rsidRPr="004B47CC" w:rsidRDefault="004B47CC" w:rsidP="0047298A">
            <w:pPr>
              <w:pStyle w:val="tablecontent-singlespaced"/>
            </w:pPr>
            <w:r>
              <w:t xml:space="preserve">Department for </w:t>
            </w:r>
            <w:r w:rsidRPr="004B47CC">
              <w:t>Educatio</w:t>
            </w:r>
            <w:r>
              <w:t>n (2010-current)</w:t>
            </w:r>
          </w:p>
        </w:tc>
      </w:tr>
      <w:tr w:rsidR="0047298A" w14:paraId="11A35AC5" w14:textId="77777777" w:rsidTr="00BC0C44">
        <w:tc>
          <w:tcPr>
            <w:tcW w:w="2552" w:type="dxa"/>
          </w:tcPr>
          <w:p w14:paraId="68FB234F" w14:textId="781A629E" w:rsidR="0047298A" w:rsidRDefault="0047298A" w:rsidP="0047298A">
            <w:pPr>
              <w:pStyle w:val="Tableheading"/>
            </w:pPr>
            <w:r>
              <w:t>DfCSF</w:t>
            </w:r>
          </w:p>
        </w:tc>
        <w:tc>
          <w:tcPr>
            <w:tcW w:w="6799" w:type="dxa"/>
          </w:tcPr>
          <w:p w14:paraId="058670D5" w14:textId="4AD257E0" w:rsidR="0047298A" w:rsidRDefault="0047298A" w:rsidP="0047298A">
            <w:pPr>
              <w:pStyle w:val="tablecontent-singlespaced"/>
            </w:pPr>
            <w:r>
              <w:t xml:space="preserve">Department for Children, </w:t>
            </w:r>
            <w:proofErr w:type="gramStart"/>
            <w:r>
              <w:t>Schools</w:t>
            </w:r>
            <w:proofErr w:type="gramEnd"/>
            <w:r>
              <w:t xml:space="preserve"> and Families (2007-2010)</w:t>
            </w:r>
          </w:p>
        </w:tc>
      </w:tr>
      <w:tr w:rsidR="0047298A" w14:paraId="57D743EF" w14:textId="77777777" w:rsidTr="00BC0C44">
        <w:tc>
          <w:tcPr>
            <w:tcW w:w="2552" w:type="dxa"/>
          </w:tcPr>
          <w:p w14:paraId="611DDE03" w14:textId="4A06F49F" w:rsidR="0047298A" w:rsidRDefault="0047298A" w:rsidP="0047298A">
            <w:pPr>
              <w:pStyle w:val="Tableheading"/>
            </w:pPr>
            <w:r>
              <w:t>DfES</w:t>
            </w:r>
          </w:p>
        </w:tc>
        <w:tc>
          <w:tcPr>
            <w:tcW w:w="6799" w:type="dxa"/>
          </w:tcPr>
          <w:p w14:paraId="51DAF434" w14:textId="70FD19DF" w:rsidR="0047298A" w:rsidRDefault="0047298A" w:rsidP="0047298A">
            <w:pPr>
              <w:pStyle w:val="tablecontent-singlespaced"/>
            </w:pPr>
            <w:r>
              <w:t>Department for Education and Skills (2001-2007)</w:t>
            </w:r>
          </w:p>
        </w:tc>
      </w:tr>
    </w:tbl>
    <w:p w14:paraId="3D490D86" w14:textId="1EF52A9D" w:rsidR="00D44778" w:rsidRPr="00451B7E" w:rsidRDefault="000C0170" w:rsidP="00451B7E">
      <w:pPr>
        <w:jc w:val="right"/>
        <w:rPr>
          <w:sz w:val="13"/>
          <w:szCs w:val="13"/>
        </w:rPr>
        <w:sectPr w:rsidR="00D44778" w:rsidRPr="00451B7E" w:rsidSect="0066350E">
          <w:footerReference w:type="even" r:id="rId8"/>
          <w:footerReference w:type="default" r:id="rId9"/>
          <w:pgSz w:w="11900" w:h="16840"/>
          <w:pgMar w:top="1440" w:right="1440" w:bottom="1298" w:left="1440" w:header="709" w:footer="0" w:gutter="0"/>
          <w:pgBorders w:display="firstPage" w:offsetFrom="page">
            <w:top w:val="single" w:sz="24" w:space="24" w:color="auto"/>
            <w:left w:val="single" w:sz="24" w:space="24" w:color="auto"/>
            <w:bottom w:val="single" w:sz="24" w:space="24" w:color="auto"/>
            <w:right w:val="single" w:sz="24" w:space="24" w:color="auto"/>
          </w:pgBorders>
          <w:pgNumType w:fmt="lowerRoman" w:start="0"/>
          <w:cols w:space="708"/>
          <w:titlePg/>
          <w:docGrid w:linePitch="360"/>
        </w:sectPr>
      </w:pPr>
      <w:r>
        <w:rPr>
          <w:noProof/>
        </w:rPr>
        <w:lastRenderedPageBreak/>
        <w:drawing>
          <wp:inline distT="0" distB="0" distL="0" distR="0" wp14:anchorId="3AB047B0" wp14:editId="4FC70690">
            <wp:extent cx="5727700" cy="5692775"/>
            <wp:effectExtent l="0" t="0" r="0" b="0"/>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27700" cy="5692775"/>
                    </a:xfrm>
                    <a:prstGeom prst="rect">
                      <a:avLst/>
                    </a:prstGeom>
                  </pic:spPr>
                </pic:pic>
              </a:graphicData>
            </a:graphic>
          </wp:inline>
        </w:drawing>
      </w:r>
      <w:r w:rsidR="00990CA8" w:rsidRPr="00451B7E">
        <w:rPr>
          <w:sz w:val="13"/>
          <w:szCs w:val="13"/>
        </w:rPr>
        <w:t xml:space="preserve">© Harry Venning - http://www.harryvenning.co.uk/index.html </w:t>
      </w:r>
    </w:p>
    <w:p w14:paraId="3C69AC9B" w14:textId="487B4D16" w:rsidR="00A63286" w:rsidRPr="00A63286" w:rsidRDefault="00937944" w:rsidP="00EC08A2">
      <w:pPr>
        <w:pStyle w:val="ChapterHeading1"/>
      </w:pPr>
      <w:bookmarkStart w:id="2" w:name="_Toc101108463"/>
      <w:r w:rsidRPr="00F70A5A">
        <w:lastRenderedPageBreak/>
        <w:t>Chapter 1</w:t>
      </w:r>
      <w:r w:rsidR="008431BA">
        <w:t xml:space="preserve">: </w:t>
      </w:r>
      <w:r w:rsidRPr="00F70A5A">
        <w:t>Introduction</w:t>
      </w:r>
      <w:bookmarkEnd w:id="2"/>
    </w:p>
    <w:p w14:paraId="77D142B1" w14:textId="42E459D2" w:rsidR="00937944" w:rsidRPr="00AB22B3" w:rsidRDefault="00322E3B" w:rsidP="006E3485">
      <w:pPr>
        <w:pStyle w:val="Quote"/>
        <w:rPr>
          <w:sz w:val="22"/>
        </w:rPr>
      </w:pPr>
      <w:r w:rsidRPr="00AB22B3">
        <w:rPr>
          <w:sz w:val="22"/>
        </w:rPr>
        <w:t>“</w:t>
      </w:r>
      <w:r w:rsidR="00937944" w:rsidRPr="00AB22B3">
        <w:rPr>
          <w:sz w:val="22"/>
        </w:rPr>
        <w:t>If I was living with my birth family</w:t>
      </w:r>
      <w:r w:rsidRPr="00AB22B3">
        <w:rPr>
          <w:sz w:val="22"/>
        </w:rPr>
        <w:t xml:space="preserve"> </w:t>
      </w:r>
      <w:r w:rsidR="00937944" w:rsidRPr="00AB22B3">
        <w:rPr>
          <w:sz w:val="22"/>
        </w:rPr>
        <w:t>…</w:t>
      </w:r>
      <w:r w:rsidRPr="00AB22B3">
        <w:rPr>
          <w:sz w:val="22"/>
        </w:rPr>
        <w:t xml:space="preserve"> </w:t>
      </w:r>
      <w:r w:rsidR="00937944" w:rsidRPr="00AB22B3">
        <w:rPr>
          <w:sz w:val="22"/>
        </w:rPr>
        <w:t>or I was another person turning 18, you wouldn't be kicked out</w:t>
      </w:r>
      <w:r w:rsidRPr="00AB22B3">
        <w:rPr>
          <w:sz w:val="22"/>
        </w:rPr>
        <w:t xml:space="preserve"> </w:t>
      </w:r>
      <w:r w:rsidR="00937944" w:rsidRPr="00AB22B3">
        <w:rPr>
          <w:sz w:val="22"/>
        </w:rPr>
        <w:t>…</w:t>
      </w:r>
      <w:r w:rsidRPr="00AB22B3">
        <w:rPr>
          <w:sz w:val="22"/>
        </w:rPr>
        <w:t xml:space="preserve"> </w:t>
      </w:r>
      <w:r w:rsidR="00937944" w:rsidRPr="00AB22B3">
        <w:rPr>
          <w:sz w:val="22"/>
        </w:rPr>
        <w:t xml:space="preserve">you would just stay there until you were comfortable to leave, I always thought that was what the Staying Put scenario </w:t>
      </w:r>
      <w:r w:rsidRPr="00AB22B3">
        <w:rPr>
          <w:sz w:val="22"/>
        </w:rPr>
        <w:t>was</w:t>
      </w:r>
      <w:r w:rsidR="004E74B3">
        <w:rPr>
          <w:sz w:val="22"/>
        </w:rPr>
        <w:t>.</w:t>
      </w:r>
      <w:r w:rsidRPr="00AB22B3">
        <w:rPr>
          <w:sz w:val="22"/>
        </w:rPr>
        <w:t>”</w:t>
      </w:r>
    </w:p>
    <w:p w14:paraId="31F86CB9" w14:textId="77777777" w:rsidR="00937944" w:rsidRPr="00AB22B3" w:rsidRDefault="00937944" w:rsidP="006E3485">
      <w:pPr>
        <w:pStyle w:val="Quotecitation"/>
        <w:rPr>
          <w:sz w:val="22"/>
        </w:rPr>
      </w:pPr>
      <w:r w:rsidRPr="00AB22B3">
        <w:rPr>
          <w:sz w:val="22"/>
        </w:rPr>
        <w:t>- Hannah</w:t>
      </w:r>
    </w:p>
    <w:p w14:paraId="73E6CBE8" w14:textId="6CA43450" w:rsidR="00937944" w:rsidRPr="00937944" w:rsidRDefault="00937944" w:rsidP="006E3485">
      <w:pPr>
        <w:pStyle w:val="Heading2"/>
      </w:pPr>
      <w:bookmarkStart w:id="3" w:name="_Toc101108464"/>
      <w:r w:rsidRPr="00FA741F">
        <w:t>Overview</w:t>
      </w:r>
      <w:bookmarkEnd w:id="3"/>
    </w:p>
    <w:p w14:paraId="14A38081" w14:textId="1C4E0EC3" w:rsidR="00937944" w:rsidRDefault="00937944">
      <w:r>
        <w:t>The experience of young people leaving care has been described as ‘instant adulthood’ (Stein, 2006, p. 274), ‘accelerated and compressed’ (Stein 2016, p. v) and like falling off a ‘cliff edge’ (Cameron, et al.</w:t>
      </w:r>
      <w:r w:rsidR="00015D04">
        <w:t>,</w:t>
      </w:r>
      <w:r>
        <w:t xml:space="preserve"> 2018, p. 8). Measures to improve this transition have included schemes for young people in residential</w:t>
      </w:r>
      <w:r w:rsidRPr="0055657A">
        <w:t xml:space="preserve"> </w:t>
      </w:r>
      <w:r>
        <w:t>and foster care to extend their time in placement.</w:t>
      </w:r>
    </w:p>
    <w:p w14:paraId="5F857F0C" w14:textId="65A7F3AE" w:rsidR="00937944" w:rsidRPr="00AD5189" w:rsidRDefault="00991685">
      <w:r>
        <w:t xml:space="preserve">My </w:t>
      </w:r>
      <w:r w:rsidR="00937944">
        <w:t xml:space="preserve">study focused on the experiences of young people deciding whether or not </w:t>
      </w:r>
      <w:r w:rsidR="00AD5189">
        <w:t xml:space="preserve">to </w:t>
      </w:r>
      <w:r w:rsidR="00937944">
        <w:t xml:space="preserve">remain with their foster carers under </w:t>
      </w:r>
      <w:r w:rsidR="009166B2">
        <w:t>Englan</w:t>
      </w:r>
      <w:r w:rsidR="00EB645B">
        <w:t>d’s</w:t>
      </w:r>
      <w:r w:rsidR="00937944">
        <w:t xml:space="preserve"> </w:t>
      </w:r>
      <w:r w:rsidR="00937944" w:rsidRPr="00E6018C">
        <w:rPr>
          <w:i/>
          <w:iCs/>
        </w:rPr>
        <w:t>Staying Put</w:t>
      </w:r>
      <w:r w:rsidR="00937944">
        <w:t xml:space="preserve"> </w:t>
      </w:r>
      <w:r w:rsidR="00087385">
        <w:t>duty</w:t>
      </w:r>
      <w:r w:rsidR="00937944">
        <w:t xml:space="preserve">. </w:t>
      </w:r>
      <w:r w:rsidR="00937944" w:rsidRPr="00E6018C">
        <w:rPr>
          <w:i/>
          <w:iCs/>
        </w:rPr>
        <w:t>Staying Put</w:t>
      </w:r>
      <w:r w:rsidR="00937944">
        <w:t xml:space="preserve"> refers to the arrangement for young people in foster care, </w:t>
      </w:r>
      <w:r w:rsidR="00087385">
        <w:t>that</w:t>
      </w:r>
      <w:r w:rsidR="00937944">
        <w:t xml:space="preserve"> enables them to continue living with their carers until they are 21</w:t>
      </w:r>
      <w:r w:rsidR="00AD5189">
        <w:t xml:space="preserve"> years old</w:t>
      </w:r>
      <w:r w:rsidR="00937944">
        <w:t xml:space="preserve"> (s.</w:t>
      </w:r>
      <w:r w:rsidR="008D2A32">
        <w:t xml:space="preserve"> </w:t>
      </w:r>
      <w:r w:rsidR="00937944">
        <w:t>98, Children and Families Act, 2014).</w:t>
      </w:r>
      <w:r w:rsidR="00937944" w:rsidRPr="00CC70B6">
        <w:t xml:space="preserve"> </w:t>
      </w:r>
      <w:r w:rsidR="00AD5189">
        <w:t xml:space="preserve">This thesis </w:t>
      </w:r>
      <w:r w:rsidR="00937944">
        <w:t>explore</w:t>
      </w:r>
      <w:r w:rsidR="00AD5189">
        <w:t>s</w:t>
      </w:r>
      <w:r w:rsidR="00937944">
        <w:t xml:space="preserve"> three core questions</w:t>
      </w:r>
      <w:r w:rsidR="00AD5189">
        <w:t xml:space="preserve"> about decisions made about </w:t>
      </w:r>
      <w:r w:rsidR="00AD5189" w:rsidRPr="00AD5189">
        <w:rPr>
          <w:i/>
          <w:iCs/>
        </w:rPr>
        <w:t>Staying Put</w:t>
      </w:r>
      <w:r w:rsidR="00AD5189">
        <w:t>:</w:t>
      </w:r>
    </w:p>
    <w:p w14:paraId="610B0428" w14:textId="030A4327" w:rsidR="00937944" w:rsidRDefault="00937944" w:rsidP="00B3304A">
      <w:pPr>
        <w:pStyle w:val="ListParagraph"/>
      </w:pPr>
      <w:r>
        <w:t>How much influence does the young person feel they have in making th</w:t>
      </w:r>
      <w:r w:rsidR="00AD5189">
        <w:t>e</w:t>
      </w:r>
      <w:r>
        <w:t xml:space="preserve"> decision</w:t>
      </w:r>
      <w:r w:rsidR="00AD5189">
        <w:t xml:space="preserve"> to stay put or not</w:t>
      </w:r>
      <w:r>
        <w:t>?</w:t>
      </w:r>
    </w:p>
    <w:p w14:paraId="0CB4A927" w14:textId="78F0E200" w:rsidR="00937944" w:rsidRDefault="00713B5C" w:rsidP="00B3304A">
      <w:pPr>
        <w:pStyle w:val="ListParagraph"/>
      </w:pPr>
      <w:r>
        <w:t>Which</w:t>
      </w:r>
      <w:r w:rsidR="00937944">
        <w:t xml:space="preserve"> factors inform and influence this decision</w:t>
      </w:r>
      <w:r w:rsidR="00FC73D6">
        <w:t>?</w:t>
      </w:r>
    </w:p>
    <w:p w14:paraId="09C9F5BE" w14:textId="5260E289" w:rsidR="00937944" w:rsidRDefault="00937944" w:rsidP="00B3304A">
      <w:pPr>
        <w:pStyle w:val="ListParagraph"/>
      </w:pPr>
      <w:r>
        <w:t>What are the</w:t>
      </w:r>
      <w:r w:rsidR="00AD5189">
        <w:t xml:space="preserve"> young people’s </w:t>
      </w:r>
      <w:r>
        <w:t xml:space="preserve">thoughts and feelings about making this decision? </w:t>
      </w:r>
    </w:p>
    <w:p w14:paraId="0997015F" w14:textId="77777777" w:rsidR="001F4617" w:rsidRDefault="00937944">
      <w:r>
        <w:t xml:space="preserve">These three questions were considered in the context of contemporary literature about the role young people take in making decisions about their lives </w:t>
      </w:r>
      <w:r w:rsidR="00087385">
        <w:t xml:space="preserve">in care </w:t>
      </w:r>
      <w:r>
        <w:t xml:space="preserve">and the growing body of work about the leaving care experience. Rather than focus on </w:t>
      </w:r>
      <w:r w:rsidR="006F16B3">
        <w:t>outcome measures common to other leaving care research</w:t>
      </w:r>
      <w:r>
        <w:t xml:space="preserve">, I </w:t>
      </w:r>
      <w:r w:rsidR="001C0EC9">
        <w:t>wanted to explore</w:t>
      </w:r>
      <w:r w:rsidR="006F16B3">
        <w:t xml:space="preserve"> how the</w:t>
      </w:r>
      <w:r>
        <w:t xml:space="preserve"> </w:t>
      </w:r>
      <w:r w:rsidR="006F16B3" w:rsidRPr="006F16B3">
        <w:rPr>
          <w:i/>
          <w:iCs/>
        </w:rPr>
        <w:t>Staying Put</w:t>
      </w:r>
      <w:r w:rsidR="006F16B3">
        <w:t xml:space="preserve"> </w:t>
      </w:r>
      <w:r>
        <w:t>policy</w:t>
      </w:r>
      <w:r w:rsidR="006F16B3">
        <w:t xml:space="preserve"> was applied</w:t>
      </w:r>
      <w:r>
        <w:t xml:space="preserve"> by </w:t>
      </w:r>
      <w:r w:rsidR="006F16B3">
        <w:t xml:space="preserve">talking with </w:t>
      </w:r>
      <w:r>
        <w:t>young people</w:t>
      </w:r>
      <w:r w:rsidRPr="00D81E7C">
        <w:t xml:space="preserve"> </w:t>
      </w:r>
      <w:r>
        <w:t xml:space="preserve">who had already made their decision. </w:t>
      </w:r>
      <w:r w:rsidR="001C0EC9">
        <w:t xml:space="preserve">I was also interested in </w:t>
      </w:r>
      <w:r w:rsidR="001C0EC9" w:rsidRPr="001C0EC9">
        <w:t xml:space="preserve">the way power operates and is exercised within </w:t>
      </w:r>
      <w:r w:rsidR="00DC59B2">
        <w:t>decision-making</w:t>
      </w:r>
      <w:r w:rsidR="001C0EC9" w:rsidRPr="001C0EC9">
        <w:t xml:space="preserve"> processes </w:t>
      </w:r>
      <w:r w:rsidR="001C0EC9">
        <w:t xml:space="preserve">and used a </w:t>
      </w:r>
      <w:r>
        <w:t xml:space="preserve">Foucauldian lens to explore </w:t>
      </w:r>
      <w:r w:rsidR="001C0EC9">
        <w:t xml:space="preserve">the </w:t>
      </w:r>
      <w:r w:rsidR="001C0EC9" w:rsidRPr="001319C5">
        <w:t xml:space="preserve">young person’s </w:t>
      </w:r>
      <w:r w:rsidRPr="001319C5">
        <w:t xml:space="preserve">decision </w:t>
      </w:r>
      <w:r w:rsidR="001C0EC9" w:rsidRPr="001319C5">
        <w:t>about</w:t>
      </w:r>
      <w:r w:rsidRPr="001319C5">
        <w:t xml:space="preserve"> </w:t>
      </w:r>
      <w:r w:rsidRPr="001319C5">
        <w:rPr>
          <w:i/>
          <w:iCs/>
        </w:rPr>
        <w:t>Staying Put</w:t>
      </w:r>
      <w:r w:rsidRPr="001319C5">
        <w:t xml:space="preserve">. </w:t>
      </w:r>
      <w:r w:rsidR="00986879" w:rsidRPr="001319C5">
        <w:t>My decision to b</w:t>
      </w:r>
      <w:r w:rsidR="00052D60" w:rsidRPr="001319C5">
        <w:t xml:space="preserve">ring together the issue of </w:t>
      </w:r>
      <w:r w:rsidR="00052D60" w:rsidRPr="001319C5">
        <w:rPr>
          <w:i/>
          <w:iCs/>
        </w:rPr>
        <w:t>Staying Put</w:t>
      </w:r>
      <w:r w:rsidR="00052D60" w:rsidRPr="001319C5">
        <w:t xml:space="preserve"> and </w:t>
      </w:r>
      <w:r w:rsidR="00DC59B2" w:rsidRPr="001319C5">
        <w:t>decision-making</w:t>
      </w:r>
      <w:r w:rsidR="00052D60" w:rsidRPr="001319C5">
        <w:t xml:space="preserve"> reflected the positioning of the young person as an active decision maker in practice guidance</w:t>
      </w:r>
      <w:r w:rsidR="009C3FD2" w:rsidRPr="001319C5">
        <w:t>,</w:t>
      </w:r>
      <w:r w:rsidR="00052D60" w:rsidRPr="001319C5">
        <w:t xml:space="preserve"> where ‘joint decisions’ are part of the </w:t>
      </w:r>
      <w:r w:rsidR="00440E01" w:rsidRPr="001319C5">
        <w:t>process (The Fostering Network, 2017, p. 5).</w:t>
      </w:r>
      <w:r w:rsidR="00440E01">
        <w:t xml:space="preserve"> </w:t>
      </w:r>
    </w:p>
    <w:p w14:paraId="2ADB6FFE" w14:textId="36A67368" w:rsidR="00937944" w:rsidRPr="007348AC" w:rsidRDefault="001F4617">
      <w:pPr>
        <w:rPr>
          <w:highlight w:val="yellow"/>
        </w:rPr>
      </w:pPr>
      <w:r w:rsidRPr="00D13AE5">
        <w:lastRenderedPageBreak/>
        <w:t>Although this study is about a transition in the young person’s life, the context and background are situated within a children’s services perspective. This is because the decision-making occurs before the young person’s 18th birthday</w:t>
      </w:r>
      <w:r w:rsidR="001B1F6B" w:rsidRPr="00D13AE5">
        <w:t>,</w:t>
      </w:r>
      <w:r w:rsidRPr="00D13AE5">
        <w:t xml:space="preserve"> and they are supported at that time by workers </w:t>
      </w:r>
      <w:r w:rsidR="0048018A" w:rsidRPr="00D13AE5">
        <w:t xml:space="preserve">whose practice is </w:t>
      </w:r>
      <w:r w:rsidRPr="00D13AE5">
        <w:t>grounded in legislation, research and policy pertaining to children.</w:t>
      </w:r>
      <w:r w:rsidR="00B67459" w:rsidRPr="00D13AE5">
        <w:t xml:space="preserve"> </w:t>
      </w:r>
      <w:r w:rsidR="0040683E" w:rsidRPr="00D13AE5">
        <w:t>No p</w:t>
      </w:r>
      <w:r w:rsidR="001A41C8" w:rsidRPr="00D13AE5">
        <w:t>articipants</w:t>
      </w:r>
      <w:r w:rsidR="00B67459" w:rsidRPr="00D13AE5">
        <w:t xml:space="preserve"> </w:t>
      </w:r>
      <w:r w:rsidR="00C328B8" w:rsidRPr="00D13AE5">
        <w:t xml:space="preserve">interviewed for this study </w:t>
      </w:r>
      <w:r w:rsidR="0040683E" w:rsidRPr="00D13AE5">
        <w:t>were considered by their workers to have</w:t>
      </w:r>
      <w:r w:rsidR="00E53223" w:rsidRPr="00D13AE5">
        <w:t xml:space="preserve"> impaired </w:t>
      </w:r>
      <w:r w:rsidR="00F2318A" w:rsidRPr="00D13AE5">
        <w:t>capacity</w:t>
      </w:r>
      <w:r w:rsidR="00537A7F" w:rsidRPr="00D13AE5">
        <w:t xml:space="preserve">, hence the absence of a wider discussion about the </w:t>
      </w:r>
      <w:r w:rsidR="00537A7F" w:rsidRPr="00D13AE5">
        <w:rPr>
          <w:i/>
          <w:iCs/>
        </w:rPr>
        <w:t>Mental Capacity Act</w:t>
      </w:r>
      <w:r w:rsidR="00537A7F" w:rsidRPr="00D13AE5">
        <w:t xml:space="preserve"> in relation to decision-making. Furthermore</w:t>
      </w:r>
      <w:r w:rsidR="007348AC" w:rsidRPr="00D13AE5">
        <w:t>,</w:t>
      </w:r>
      <w:r w:rsidR="00537A7F" w:rsidRPr="00D13AE5">
        <w:t xml:space="preserve"> </w:t>
      </w:r>
      <w:r w:rsidR="00537A7F" w:rsidRPr="00D13AE5">
        <w:rPr>
          <w:i/>
          <w:iCs/>
        </w:rPr>
        <w:t>Staying Put</w:t>
      </w:r>
      <w:r w:rsidR="00537A7F" w:rsidRPr="00D13AE5">
        <w:t xml:space="preserve"> is not </w:t>
      </w:r>
      <w:r w:rsidR="00DD1704" w:rsidRPr="00D13AE5">
        <w:t>offered</w:t>
      </w:r>
      <w:r w:rsidR="00857256" w:rsidRPr="00D13AE5">
        <w:t xml:space="preserve"> by the </w:t>
      </w:r>
      <w:r w:rsidR="00D13AE5" w:rsidRPr="00D13AE5">
        <w:t xml:space="preserve">participating </w:t>
      </w:r>
      <w:r w:rsidR="00857256" w:rsidRPr="00D13AE5">
        <w:t xml:space="preserve">local authorities </w:t>
      </w:r>
      <w:r w:rsidR="00DD1704" w:rsidRPr="00D13AE5">
        <w:t>to young people with learning disabilities</w:t>
      </w:r>
      <w:r w:rsidR="00D13AE5" w:rsidRPr="00D13AE5">
        <w:t>,</w:t>
      </w:r>
      <w:r w:rsidR="00DD1704" w:rsidRPr="00D13AE5">
        <w:t xml:space="preserve"> or where their needs </w:t>
      </w:r>
      <w:r w:rsidR="00DB0097" w:rsidRPr="00D13AE5">
        <w:t>impair their capacity</w:t>
      </w:r>
      <w:r w:rsidR="007348AC" w:rsidRPr="00D13AE5">
        <w:t xml:space="preserve">. </w:t>
      </w:r>
      <w:r w:rsidR="007B7C54" w:rsidRPr="00D13AE5">
        <w:t xml:space="preserve">The choice to locate this study within a specific </w:t>
      </w:r>
      <w:r w:rsidR="003A49D7" w:rsidRPr="00D13AE5">
        <w:t>part of social work is</w:t>
      </w:r>
      <w:r w:rsidRPr="00D13AE5">
        <w:t xml:space="preserve"> not to ignore the overlap of services</w:t>
      </w:r>
      <w:r w:rsidR="001A41C8" w:rsidRPr="00D13AE5">
        <w:t>,</w:t>
      </w:r>
      <w:r w:rsidR="001B1F6B" w:rsidRPr="00D13AE5">
        <w:t xml:space="preserve"> but</w:t>
      </w:r>
      <w:r w:rsidRPr="00D13AE5">
        <w:t xml:space="preserve"> </w:t>
      </w:r>
      <w:r w:rsidR="0048018A" w:rsidRPr="00D13AE5">
        <w:t xml:space="preserve">to </w:t>
      </w:r>
      <w:r w:rsidRPr="00D13AE5">
        <w:t xml:space="preserve">reflect the </w:t>
      </w:r>
      <w:r w:rsidR="001B1F6B" w:rsidRPr="00D13AE5">
        <w:t>environment</w:t>
      </w:r>
      <w:r w:rsidRPr="00D13AE5">
        <w:t xml:space="preserve"> young people inhabit</w:t>
      </w:r>
      <w:r w:rsidR="00A74BF0" w:rsidRPr="00D13AE5">
        <w:t xml:space="preserve"> at the time they are leaving care</w:t>
      </w:r>
      <w:r w:rsidR="00B67459" w:rsidRPr="00D13AE5">
        <w:t xml:space="preserve">. </w:t>
      </w:r>
      <w:r w:rsidR="00937944" w:rsidRPr="00D13AE5">
        <w:t>The</w:t>
      </w:r>
      <w:r w:rsidR="00937944">
        <w:t xml:space="preserve"> remaining sections in this chapter introduce the </w:t>
      </w:r>
      <w:r w:rsidR="00903E0A">
        <w:t>background context</w:t>
      </w:r>
      <w:r w:rsidR="00937944">
        <w:t xml:space="preserve">, my </w:t>
      </w:r>
      <w:r w:rsidR="009C3FD2">
        <w:t xml:space="preserve">relationship with the </w:t>
      </w:r>
      <w:r w:rsidR="009C3FD2" w:rsidRPr="009C3FD2">
        <w:rPr>
          <w:i/>
          <w:iCs/>
        </w:rPr>
        <w:t xml:space="preserve">Staying Put </w:t>
      </w:r>
      <w:r w:rsidR="009C3FD2">
        <w:t>duty</w:t>
      </w:r>
      <w:r w:rsidR="00937944">
        <w:t xml:space="preserve"> and a map of the overall thesis.</w:t>
      </w:r>
    </w:p>
    <w:p w14:paraId="6C527608" w14:textId="2E421F28" w:rsidR="00937944" w:rsidRDefault="00937944" w:rsidP="006E3485">
      <w:pPr>
        <w:pStyle w:val="Heading2"/>
      </w:pPr>
      <w:bookmarkStart w:id="4" w:name="_Toc101108465"/>
      <w:r>
        <w:t>Background</w:t>
      </w:r>
      <w:bookmarkEnd w:id="4"/>
    </w:p>
    <w:p w14:paraId="6A58AF65" w14:textId="690D3D16" w:rsidR="00937944" w:rsidRPr="008268D1" w:rsidRDefault="00937944" w:rsidP="003640A9">
      <w:pPr>
        <w:pStyle w:val="Heading3"/>
      </w:pPr>
      <w:r>
        <w:t xml:space="preserve">Being in </w:t>
      </w:r>
      <w:r w:rsidRPr="003640A9">
        <w:t>Care</w:t>
      </w:r>
    </w:p>
    <w:p w14:paraId="28738475" w14:textId="08D53493" w:rsidR="00937944" w:rsidRDefault="00937944">
      <w:r>
        <w:t xml:space="preserve">To qualify for </w:t>
      </w:r>
      <w:r w:rsidRPr="003F5280">
        <w:rPr>
          <w:i/>
          <w:iCs/>
        </w:rPr>
        <w:t>Staying Put</w:t>
      </w:r>
      <w:r>
        <w:t xml:space="preserve">, young people need to have been </w:t>
      </w:r>
      <w:r w:rsidRPr="0085567E">
        <w:rPr>
          <w:i/>
          <w:iCs/>
        </w:rPr>
        <w:t>looked after</w:t>
      </w:r>
      <w:r>
        <w:t xml:space="preserve"> by the state for a period of 13 weeks after their 14</w:t>
      </w:r>
      <w:r w:rsidRPr="003F5280">
        <w:rPr>
          <w:vertAlign w:val="superscript"/>
        </w:rPr>
        <w:t>th</w:t>
      </w:r>
      <w:r>
        <w:t xml:space="preserve"> birthday (Department for Education</w:t>
      </w:r>
      <w:r w:rsidR="00B11F27">
        <w:t xml:space="preserve"> (DfE)</w:t>
      </w:r>
      <w:r>
        <w:t xml:space="preserve">, 2015). Being </w:t>
      </w:r>
      <w:r w:rsidRPr="00FF7845">
        <w:rPr>
          <w:i/>
          <w:iCs/>
        </w:rPr>
        <w:t>looked after</w:t>
      </w:r>
      <w:r>
        <w:t xml:space="preserve"> is the legal definition for being cared for by a local authority (Brammer, 2020). </w:t>
      </w:r>
      <w:r w:rsidRPr="008268D1">
        <w:t>Children and young people enter the care system for several reasons including</w:t>
      </w:r>
      <w:r>
        <w:t xml:space="preserve"> being </w:t>
      </w:r>
      <w:r w:rsidRPr="008268D1">
        <w:t>abuse</w:t>
      </w:r>
      <w:r>
        <w:t xml:space="preserve">d or </w:t>
      </w:r>
      <w:r w:rsidRPr="008268D1">
        <w:t>neglect</w:t>
      </w:r>
      <w:r>
        <w:t>ed</w:t>
      </w:r>
      <w:r w:rsidRPr="008268D1">
        <w:t>, homeless</w:t>
      </w:r>
      <w:r>
        <w:t>ness</w:t>
      </w:r>
      <w:r w:rsidRPr="008268D1">
        <w:t>,</w:t>
      </w:r>
      <w:r>
        <w:t xml:space="preserve"> needing</w:t>
      </w:r>
      <w:r w:rsidRPr="008268D1">
        <w:t xml:space="preserve"> family support </w:t>
      </w:r>
      <w:r>
        <w:t>or</w:t>
      </w:r>
      <w:r w:rsidRPr="008268D1">
        <w:t xml:space="preserve"> as an unaccompanied person seeking asylum.</w:t>
      </w:r>
      <w:r>
        <w:t xml:space="preserve"> Regardless of whether a child is in care under a voluntary arrangement with a parent’s consent (s.</w:t>
      </w:r>
      <w:r w:rsidR="008D2A32">
        <w:t xml:space="preserve"> </w:t>
      </w:r>
      <w:r>
        <w:t>20, Children Act 1989) or resulting from a court order (s.</w:t>
      </w:r>
      <w:r w:rsidR="008D2A32">
        <w:t xml:space="preserve"> </w:t>
      </w:r>
      <w:r>
        <w:t>31, s.</w:t>
      </w:r>
      <w:r w:rsidR="008D2A32">
        <w:t xml:space="preserve"> </w:t>
      </w:r>
      <w:r>
        <w:t>38, s.</w:t>
      </w:r>
      <w:r w:rsidR="008D2A32">
        <w:t xml:space="preserve"> </w:t>
      </w:r>
      <w:r>
        <w:t xml:space="preserve">44, Children Act, 1989), becoming </w:t>
      </w:r>
      <w:r w:rsidRPr="00C85EF8">
        <w:rPr>
          <w:i/>
          <w:iCs/>
        </w:rPr>
        <w:t>looked after</w:t>
      </w:r>
      <w:r>
        <w:t xml:space="preserve"> by the state means that local authorities assume a parental role in a child’s life. </w:t>
      </w:r>
      <w:r w:rsidR="00087385">
        <w:t>This role is r</w:t>
      </w:r>
      <w:r>
        <w:t xml:space="preserve">eferred to as </w:t>
      </w:r>
      <w:r w:rsidRPr="003B024D">
        <w:rPr>
          <w:i/>
          <w:iCs/>
        </w:rPr>
        <w:t>corporate parent</w:t>
      </w:r>
      <w:r>
        <w:rPr>
          <w:i/>
          <w:iCs/>
        </w:rPr>
        <w:t xml:space="preserve">ing, </w:t>
      </w:r>
      <w:r w:rsidR="00087385" w:rsidRPr="00087385">
        <w:t>where</w:t>
      </w:r>
      <w:r w:rsidR="00087385">
        <w:t>by</w:t>
      </w:r>
      <w:r w:rsidR="00087385" w:rsidRPr="00087385">
        <w:t xml:space="preserve"> </w:t>
      </w:r>
      <w:r w:rsidR="00087385">
        <w:t>local authorities</w:t>
      </w:r>
      <w:r w:rsidRPr="000C06D8">
        <w:t xml:space="preserve"> </w:t>
      </w:r>
      <w:r>
        <w:t xml:space="preserve">are required </w:t>
      </w:r>
      <w:r w:rsidRPr="000C06D8">
        <w:t xml:space="preserve">to </w:t>
      </w:r>
      <w:r w:rsidR="00087385">
        <w:t xml:space="preserve">be collectively responsible for the outcomes of children and young people in their care, as if they were their own children </w:t>
      </w:r>
      <w:r w:rsidRPr="000C06D8">
        <w:t>(Department for Education and Skills</w:t>
      </w:r>
      <w:r w:rsidR="00B11F27">
        <w:t xml:space="preserve"> (DfES)</w:t>
      </w:r>
      <w:r w:rsidRPr="000C06D8">
        <w:t xml:space="preserve"> 2003a</w:t>
      </w:r>
      <w:r>
        <w:t xml:space="preserve">; Children and Social Work Act, 2017; </w:t>
      </w:r>
      <w:r w:rsidR="00B11F27">
        <w:t>DfE</w:t>
      </w:r>
      <w:r>
        <w:t>, 2018</w:t>
      </w:r>
      <w:r w:rsidRPr="000C06D8">
        <w:t>).</w:t>
      </w:r>
      <w:r>
        <w:t xml:space="preserve"> As the designated state organisation, t</w:t>
      </w:r>
      <w:r w:rsidRPr="008268D1">
        <w:t>he local authority</w:t>
      </w:r>
      <w:r>
        <w:t xml:space="preserve"> has legal duties to safeguard and promote the well</w:t>
      </w:r>
      <w:r w:rsidR="000C1156">
        <w:t>-</w:t>
      </w:r>
      <w:r>
        <w:t>being of those they look after (Carr and Goosey, 2021). Therefore, where a child or young person is not able to live with a friend or family member, the local authority has a duty to find an alternative place for them to live.</w:t>
      </w:r>
    </w:p>
    <w:p w14:paraId="796CBDF9" w14:textId="69A963B4" w:rsidR="00937944" w:rsidRDefault="00937944">
      <w:r>
        <w:t xml:space="preserve">Among the range of possible options, foster care is a family-based placement with couples or single people who are registered and regulated under the </w:t>
      </w:r>
      <w:r w:rsidRPr="009C3FD2">
        <w:rPr>
          <w:i/>
          <w:iCs/>
        </w:rPr>
        <w:t xml:space="preserve">Fostering Services (England) </w:t>
      </w:r>
      <w:r w:rsidRPr="009C3FD2">
        <w:rPr>
          <w:i/>
          <w:iCs/>
        </w:rPr>
        <w:lastRenderedPageBreak/>
        <w:t>Regulations 2011</w:t>
      </w:r>
      <w:r>
        <w:t>. Of the 80,080 children and young people in care during 2019</w:t>
      </w:r>
      <w:r w:rsidR="00BD7C6A">
        <w:t>–</w:t>
      </w:r>
      <w:r w:rsidRPr="00D13AE5">
        <w:t>2020, 57</w:t>
      </w:r>
      <w:r w:rsidR="007118C1" w:rsidRPr="00D13AE5">
        <w:t xml:space="preserve"> per cent</w:t>
      </w:r>
      <w:r w:rsidRPr="00D13AE5">
        <w:t xml:space="preserve"> </w:t>
      </w:r>
      <w:r w:rsidR="00087385" w:rsidRPr="00D13AE5">
        <w:t xml:space="preserve">of children and young people </w:t>
      </w:r>
      <w:r w:rsidRPr="00D13AE5">
        <w:t>lived with a foster carer</w:t>
      </w:r>
      <w:r w:rsidR="007110E8" w:rsidRPr="00D13AE5">
        <w:t xml:space="preserve"> outside of their family network</w:t>
      </w:r>
      <w:r>
        <w:t xml:space="preserve"> (</w:t>
      </w:r>
      <w:r w:rsidR="00B11F27">
        <w:t>DfE</w:t>
      </w:r>
      <w:r>
        <w:t xml:space="preserve">, 2020). Living in a foster care placement is often </w:t>
      </w:r>
      <w:r w:rsidR="009C3FD2">
        <w:t xml:space="preserve">promoted </w:t>
      </w:r>
      <w:r w:rsidR="00903E0A">
        <w:t xml:space="preserve">by researchers and </w:t>
      </w:r>
      <w:r w:rsidR="009C3FD2">
        <w:t>go</w:t>
      </w:r>
      <w:r w:rsidR="00903E0A">
        <w:t xml:space="preserve">vernment </w:t>
      </w:r>
      <w:r w:rsidR="009C3FD2">
        <w:t xml:space="preserve">departments </w:t>
      </w:r>
      <w:r>
        <w:t>as a preferable option for children who cannot live with family members</w:t>
      </w:r>
      <w:r w:rsidR="009C3FD2">
        <w:t>,</w:t>
      </w:r>
      <w:r>
        <w:t xml:space="preserve"> as it provides a normalising environment for a child (Sebba et al., 2015) and replicates familial relationships with opportunities for permanency (Schofield, Beek and Ward, 2012). </w:t>
      </w:r>
      <w:r w:rsidR="00903E0A">
        <w:t>The concept of p</w:t>
      </w:r>
      <w:r>
        <w:t>ermanence in long term foster care became legally defined in 2015</w:t>
      </w:r>
      <w:r w:rsidR="00903E0A">
        <w:t>. This change was</w:t>
      </w:r>
      <w:r>
        <w:t xml:space="preserve"> due to the growing evidence</w:t>
      </w:r>
      <w:r w:rsidR="00903E0A">
        <w:t xml:space="preserve"> base that foster care can be </w:t>
      </w:r>
      <w:r>
        <w:t xml:space="preserve">successful </w:t>
      </w:r>
      <w:r w:rsidR="00903E0A">
        <w:t xml:space="preserve">in the </w:t>
      </w:r>
      <w:r>
        <w:t xml:space="preserve">support of children into adulthood (Baginsky, Gorin and Sands, 2017). </w:t>
      </w:r>
      <w:r w:rsidR="00D102D4">
        <w:t>L</w:t>
      </w:r>
      <w:r>
        <w:t xml:space="preserve">ongevity has been </w:t>
      </w:r>
      <w:r w:rsidR="00D102D4">
        <w:t>a longstanding</w:t>
      </w:r>
      <w:r>
        <w:t xml:space="preserve"> goal for </w:t>
      </w:r>
      <w:r w:rsidR="00D102D4">
        <w:t>placement policy</w:t>
      </w:r>
      <w:r>
        <w:t xml:space="preserve">, as the impact of multiple moves is recognised as </w:t>
      </w:r>
      <w:r w:rsidR="00D102D4">
        <w:t xml:space="preserve">being </w:t>
      </w:r>
      <w:r>
        <w:t xml:space="preserve">traumatic and detrimental </w:t>
      </w:r>
      <w:r w:rsidR="00D102D4">
        <w:t xml:space="preserve">to children and young people who cannot return home </w:t>
      </w:r>
      <w:r>
        <w:t xml:space="preserve">(Wilson et al., 2004; </w:t>
      </w:r>
      <w:r w:rsidRPr="00C10C73">
        <w:t xml:space="preserve">Ward, Munro, </w:t>
      </w:r>
      <w:r>
        <w:t>and</w:t>
      </w:r>
      <w:r w:rsidRPr="00C10C73">
        <w:t xml:space="preserve"> Dearden, 2006</w:t>
      </w:r>
      <w:r>
        <w:t xml:space="preserve">; Biehal, 2014). The </w:t>
      </w:r>
      <w:r w:rsidR="00B11F27">
        <w:t>D</w:t>
      </w:r>
      <w:r w:rsidR="00613ABD">
        <w:t xml:space="preserve">epartment </w:t>
      </w:r>
      <w:r w:rsidR="00B11F27">
        <w:t>f</w:t>
      </w:r>
      <w:r w:rsidR="00613ABD">
        <w:t xml:space="preserve">or </w:t>
      </w:r>
      <w:r w:rsidR="00B11F27">
        <w:t>E</w:t>
      </w:r>
      <w:r w:rsidR="00613ABD">
        <w:t>ducation</w:t>
      </w:r>
      <w:r>
        <w:t xml:space="preserve"> state that for a child’s placement to be confirmed as long-term the following conditions need to have been met:</w:t>
      </w:r>
    </w:p>
    <w:p w14:paraId="13DDA9AA" w14:textId="77777777" w:rsidR="00937944" w:rsidRPr="00456769" w:rsidRDefault="00937944" w:rsidP="00B3304A">
      <w:pPr>
        <w:pStyle w:val="ListParagraph"/>
      </w:pPr>
      <w:r w:rsidRPr="00456769">
        <w:t>that foster care is the ‘plan for permanence’ and is recorded in the child’s care plan [regulation 5(a)];</w:t>
      </w:r>
    </w:p>
    <w:p w14:paraId="36EAAD0F" w14:textId="71EC69FB" w:rsidR="00937944" w:rsidRPr="00937944" w:rsidRDefault="00937944" w:rsidP="00B3304A">
      <w:pPr>
        <w:pStyle w:val="ListParagraph"/>
      </w:pPr>
      <w:r w:rsidRPr="00937944">
        <w:t xml:space="preserve">that the foster carer has agreed to act as the child’s foster carer until the child ceases to be </w:t>
      </w:r>
      <w:r w:rsidRPr="00C3022D">
        <w:rPr>
          <w:i/>
          <w:iCs/>
        </w:rPr>
        <w:t>looked after</w:t>
      </w:r>
      <w:r w:rsidRPr="00937944">
        <w:t>; and</w:t>
      </w:r>
      <w:r w:rsidR="00C3022D">
        <w:t xml:space="preserve"> </w:t>
      </w:r>
      <w:r w:rsidRPr="00937944">
        <w:t>that the responsible authority has confirmed the arrangement with the foster carer(s), the birth parents and the child</w:t>
      </w:r>
      <w:r w:rsidR="00613ABD">
        <w:t xml:space="preserve"> (2015b, p. 72).</w:t>
      </w:r>
    </w:p>
    <w:p w14:paraId="0599BECA" w14:textId="16296D69" w:rsidR="00937944" w:rsidRPr="009414F3" w:rsidRDefault="00937944">
      <w:r w:rsidRPr="009414F3">
        <w:t>The change</w:t>
      </w:r>
      <w:r>
        <w:t xml:space="preserve"> to include long-term fostering as a permanent option reinforced the family orientated discourse of foster care as a viable alternative to adoption (Schofield, et al., 2011)</w:t>
      </w:r>
      <w:r w:rsidR="00ED5391">
        <w:t>, and provided</w:t>
      </w:r>
      <w:r>
        <w:t xml:space="preserve"> a stable alternative option to adoption </w:t>
      </w:r>
      <w:r w:rsidR="00ED5391">
        <w:t>for</w:t>
      </w:r>
      <w:r>
        <w:t xml:space="preserve"> young people </w:t>
      </w:r>
      <w:r w:rsidR="004043A0">
        <w:t xml:space="preserve">who </w:t>
      </w:r>
      <w:r>
        <w:t xml:space="preserve">enter the care system beyond the usual age for adoption planning (Biehal, 2014). </w:t>
      </w:r>
      <w:r w:rsidRPr="009414F3">
        <w:t>Placement stability is commonly regarded in terms of longevity and minimal placement moves (Munro and Hardy, 2006)</w:t>
      </w:r>
      <w:r w:rsidR="00456769">
        <w:t xml:space="preserve"> promoting the possibility of bond between carer and child</w:t>
      </w:r>
      <w:r w:rsidRPr="009414F3">
        <w:t>. Within the sphere of placement practice, attachment to a carer is seen as the foundation of child development (Munro and Hardy, 2006). The theory of attachment, built on the work of Bowlby (1969) and Ainsworth et al. (1978), considers the early bonds made between caregiver and child, as the blueprint for their growth and development. Where these bonds are disrupted by abusive or neglectful parenting</w:t>
      </w:r>
      <w:r w:rsidR="00BC0D7C">
        <w:t>,</w:t>
      </w:r>
      <w:r w:rsidRPr="009414F3">
        <w:t xml:space="preserve"> or inconsistency through changes of carer, the child’s internal working model can maladjust and impair their ability to form relationships in the future (Howe, 2005).</w:t>
      </w:r>
    </w:p>
    <w:p w14:paraId="0BB61F23" w14:textId="4C64999F" w:rsidR="008E4AF2" w:rsidRDefault="004F7CE7" w:rsidP="008E4AF2">
      <w:r w:rsidRPr="004F7CE7">
        <w:t xml:space="preserve">Feelings of permanency and belonging can enable children and young people to cope with challenging situations </w:t>
      </w:r>
      <w:r>
        <w:t>and provide a base from which they can thrive. S</w:t>
      </w:r>
      <w:r w:rsidRPr="009414F3">
        <w:t xml:space="preserve">tability </w:t>
      </w:r>
      <w:r>
        <w:t xml:space="preserve">has been </w:t>
      </w:r>
      <w:r>
        <w:lastRenderedPageBreak/>
        <w:t xml:space="preserve">identified </w:t>
      </w:r>
      <w:r w:rsidRPr="009414F3">
        <w:t>as significant in enabling children and young people</w:t>
      </w:r>
      <w:r>
        <w:t xml:space="preserve"> in care</w:t>
      </w:r>
      <w:r w:rsidRPr="009414F3">
        <w:t xml:space="preserve"> to remain in education and become employed (Schofield and Beek, 2005 and 2005b; Schofield et al., 2007; Sinclair et al., 2007; Biehal et al., 2010; Selwyn et al., 2010; Biehal, 201</w:t>
      </w:r>
      <w:r>
        <w:t>4</w:t>
      </w:r>
      <w:r w:rsidRPr="009414F3">
        <w:t xml:space="preserve">; Norgate et al., 2012), and </w:t>
      </w:r>
      <w:r>
        <w:t>help them establish</w:t>
      </w:r>
      <w:r w:rsidRPr="009414F3">
        <w:t xml:space="preserve"> social networks</w:t>
      </w:r>
      <w:r>
        <w:t xml:space="preserve"> including </w:t>
      </w:r>
      <w:r w:rsidRPr="009414F3">
        <w:t>with family members (Wade, 2008; Schofield and Ward, 2011; Ward, 2011)</w:t>
      </w:r>
      <w:r>
        <w:t>. I</w:t>
      </w:r>
      <w:r w:rsidR="00937944" w:rsidRPr="009414F3">
        <w:t xml:space="preserve">nstability </w:t>
      </w:r>
      <w:r>
        <w:t xml:space="preserve">through changes in placement </w:t>
      </w:r>
      <w:r w:rsidR="00937944">
        <w:t xml:space="preserve">for children who </w:t>
      </w:r>
      <w:r w:rsidR="00937944" w:rsidRPr="009414F3">
        <w:t>have experienced abuse or neglect in the family,</w:t>
      </w:r>
      <w:r w:rsidR="00937944">
        <w:t xml:space="preserve"> can</w:t>
      </w:r>
      <w:r w:rsidR="00937944" w:rsidRPr="009414F3">
        <w:t xml:space="preserve"> compound previous experiences and reinforce</w:t>
      </w:r>
      <w:r w:rsidR="00517ACB">
        <w:t xml:space="preserve"> </w:t>
      </w:r>
      <w:r>
        <w:t xml:space="preserve">negative </w:t>
      </w:r>
      <w:r w:rsidR="00517ACB">
        <w:t xml:space="preserve">internal narratives and </w:t>
      </w:r>
      <w:r>
        <w:t xml:space="preserve">existing </w:t>
      </w:r>
      <w:r w:rsidR="00937944" w:rsidRPr="009414F3">
        <w:t xml:space="preserve">attachment patterns, impacting their ability to develop secure relationships (Leathers, 2002). </w:t>
      </w:r>
      <w:r w:rsidR="00937944">
        <w:t>In 2019,</w:t>
      </w:r>
      <w:r w:rsidR="00937944" w:rsidRPr="009414F3">
        <w:t xml:space="preserve"> </w:t>
      </w:r>
      <w:r w:rsidR="00937944">
        <w:t>10.4</w:t>
      </w:r>
      <w:r w:rsidR="007118C1">
        <w:t xml:space="preserve"> per cent</w:t>
      </w:r>
      <w:r w:rsidR="00937944" w:rsidRPr="009414F3">
        <w:t xml:space="preserve"> of </w:t>
      </w:r>
      <w:r w:rsidR="00937944">
        <w:t>children and young people</w:t>
      </w:r>
      <w:r w:rsidR="00937944" w:rsidRPr="009414F3">
        <w:t xml:space="preserve"> </w:t>
      </w:r>
      <w:r w:rsidR="008126B8">
        <w:t xml:space="preserve">in care </w:t>
      </w:r>
      <w:r w:rsidR="00937944" w:rsidRPr="009414F3">
        <w:t>mov</w:t>
      </w:r>
      <w:r w:rsidR="00937944">
        <w:t xml:space="preserve">ed </w:t>
      </w:r>
      <w:r w:rsidR="00937944" w:rsidRPr="009414F3">
        <w:t xml:space="preserve">more than twice within the year and </w:t>
      </w:r>
      <w:r w:rsidR="00937944">
        <w:t>2.7</w:t>
      </w:r>
      <w:r w:rsidR="007118C1">
        <w:t xml:space="preserve"> per cent</w:t>
      </w:r>
      <w:r w:rsidR="00937944" w:rsidRPr="009414F3">
        <w:t xml:space="preserve"> mov</w:t>
      </w:r>
      <w:r w:rsidR="00937944">
        <w:t>ed</w:t>
      </w:r>
      <w:r w:rsidR="00937944" w:rsidRPr="009414F3">
        <w:t xml:space="preserve"> three times</w:t>
      </w:r>
      <w:r w:rsidR="00937944">
        <w:t xml:space="preserve"> (Clarke, 2020)</w:t>
      </w:r>
      <w:r w:rsidR="00937944" w:rsidRPr="009414F3">
        <w:t xml:space="preserve">. These figures illustrate that stability is not </w:t>
      </w:r>
      <w:r w:rsidR="00456769">
        <w:t>guaranteed</w:t>
      </w:r>
      <w:r w:rsidR="00937944" w:rsidRPr="009414F3">
        <w:t xml:space="preserve"> once </w:t>
      </w:r>
      <w:r w:rsidR="00456769">
        <w:t>children and young people</w:t>
      </w:r>
      <w:r w:rsidR="00937944" w:rsidRPr="009414F3">
        <w:t xml:space="preserve"> </w:t>
      </w:r>
      <w:r w:rsidR="00456769">
        <w:t xml:space="preserve">become </w:t>
      </w:r>
      <w:r w:rsidR="00456769" w:rsidRPr="00456769">
        <w:rPr>
          <w:i/>
          <w:iCs/>
        </w:rPr>
        <w:t>looked after</w:t>
      </w:r>
      <w:r w:rsidRPr="004F7CE7">
        <w:t xml:space="preserve"> in placements that may be identified as permanent. </w:t>
      </w:r>
      <w:r w:rsidR="00937944" w:rsidRPr="004F7CE7">
        <w:t xml:space="preserve"> </w:t>
      </w:r>
    </w:p>
    <w:p w14:paraId="2E336523" w14:textId="6A63871E" w:rsidR="00937944" w:rsidRDefault="00937944" w:rsidP="008E4AF2">
      <w:r>
        <w:t xml:space="preserve">Conceptualisations of permanence can be problematic for children in foster care who may move from placement to placement and </w:t>
      </w:r>
      <w:r w:rsidR="00613ABD">
        <w:t>might not want to replace their</w:t>
      </w:r>
      <w:r>
        <w:t xml:space="preserve"> birth family </w:t>
      </w:r>
      <w:r w:rsidR="00613ABD">
        <w:t xml:space="preserve">with an alternative familial unit </w:t>
      </w:r>
      <w:r>
        <w:t xml:space="preserve">(Schofield, Beek and Ward, 2012; Thomas, Jackl and Crowley, 2017). </w:t>
      </w:r>
      <w:r w:rsidR="004F7CE7">
        <w:t>Nevertheless</w:t>
      </w:r>
      <w:r>
        <w:t xml:space="preserve">, </w:t>
      </w:r>
      <w:r w:rsidR="00885DEB">
        <w:t xml:space="preserve">creating enduring </w:t>
      </w:r>
      <w:r>
        <w:t xml:space="preserve">foster carer relationships are embedded in legislation and social work practice (Baginsky, Gorin and Sands, 2017). Expectations of permanence are </w:t>
      </w:r>
      <w:r w:rsidR="006F16B3">
        <w:t>demonstrated</w:t>
      </w:r>
      <w:r>
        <w:t xml:space="preserve"> in the way foster carers are positioned as familial rather than professional (Mitchell, 2020) and by the value social workers place </w:t>
      </w:r>
      <w:r w:rsidR="00885DEB">
        <w:t>on foster care</w:t>
      </w:r>
      <w:r>
        <w:t xml:space="preserve"> placement</w:t>
      </w:r>
      <w:r w:rsidR="00885DEB">
        <w:t>s</w:t>
      </w:r>
      <w:r>
        <w:t xml:space="preserve"> (Schofield, Beek and Ward, 2012). </w:t>
      </w:r>
      <w:r w:rsidR="00885DEB">
        <w:t>In the context of this</w:t>
      </w:r>
      <w:r>
        <w:t xml:space="preserve"> </w:t>
      </w:r>
      <w:r w:rsidR="00885DEB">
        <w:t>family-orientated</w:t>
      </w:r>
      <w:r>
        <w:t xml:space="preserve"> narrative, young people leaving care contemplate the normal destabilising nature of transition </w:t>
      </w:r>
      <w:r w:rsidR="00885DEB">
        <w:t xml:space="preserve">to adulthood </w:t>
      </w:r>
      <w:r>
        <w:t xml:space="preserve">as well as severing ties with a </w:t>
      </w:r>
      <w:r w:rsidR="00885DEB">
        <w:t xml:space="preserve">foster </w:t>
      </w:r>
      <w:r>
        <w:t>family they have been encouraged to think of as permanent.</w:t>
      </w:r>
    </w:p>
    <w:p w14:paraId="66108E74" w14:textId="77EBFD60" w:rsidR="00937944" w:rsidRDefault="00937944" w:rsidP="003640A9">
      <w:pPr>
        <w:pStyle w:val="Heading3"/>
      </w:pPr>
      <w:r>
        <w:t xml:space="preserve">Leaving </w:t>
      </w:r>
      <w:r w:rsidRPr="003640A9">
        <w:t>Care</w:t>
      </w:r>
    </w:p>
    <w:p w14:paraId="2435DF65" w14:textId="12EDD117" w:rsidR="00937944" w:rsidRDefault="00937944">
      <w:r w:rsidRPr="003351BC">
        <w:t>Becoming an adult and developing a sense of independence is commonly a gradual process, where a young person is ‘launched’ from a stable familial base (Nelson, 2019</w:t>
      </w:r>
      <w:r w:rsidR="007D5AC4">
        <w:t>, p. xi</w:t>
      </w:r>
      <w:r w:rsidRPr="003351BC">
        <w:t>). For young people leaving local authority care</w:t>
      </w:r>
      <w:r>
        <w:t>,</w:t>
      </w:r>
      <w:r w:rsidRPr="003351BC">
        <w:t xml:space="preserve"> transition </w:t>
      </w:r>
      <w:r>
        <w:t>is triggered</w:t>
      </w:r>
      <w:r w:rsidRPr="003351BC">
        <w:t xml:space="preserve"> by administrative systems and chronological age markers. </w:t>
      </w:r>
      <w:r>
        <w:t>E</w:t>
      </w:r>
      <w:r w:rsidRPr="003351BC">
        <w:t xml:space="preserve">xperiences of young people leaving </w:t>
      </w:r>
      <w:r w:rsidR="005946F6">
        <w:t xml:space="preserve">their </w:t>
      </w:r>
      <w:r w:rsidRPr="003351BC">
        <w:t xml:space="preserve">care </w:t>
      </w:r>
      <w:r w:rsidR="005946F6">
        <w:t xml:space="preserve">placement </w:t>
      </w:r>
      <w:r>
        <w:t>differ</w:t>
      </w:r>
      <w:r w:rsidRPr="003351BC">
        <w:t xml:space="preserve"> from other young people in the wider population who on average leave home at age 23 (Office for National Statistics, 2019)</w:t>
      </w:r>
      <w:r w:rsidR="00842B3B">
        <w:t>. I</w:t>
      </w:r>
      <w:r w:rsidR="005946F6" w:rsidRPr="00EB0B6B">
        <w:t>n comparison with their peers, transition to adulthood</w:t>
      </w:r>
      <w:r w:rsidR="00842B3B">
        <w:t xml:space="preserve"> from care</w:t>
      </w:r>
      <w:r w:rsidR="005946F6" w:rsidRPr="00EB0B6B">
        <w:t xml:space="preserve"> is condensed into a shorter period and happens at an earlier age (Biehal and Wade, 1996; Stein, 2006b; Wade and Dixon, 2006</w:t>
      </w:r>
      <w:r w:rsidR="005946F6">
        <w:t>; Munro et al., 2012; van Breda et al., 2020</w:t>
      </w:r>
      <w:r w:rsidR="005946F6" w:rsidRPr="00EB0B6B">
        <w:t>).</w:t>
      </w:r>
      <w:r w:rsidR="005946F6">
        <w:t xml:space="preserve"> </w:t>
      </w:r>
      <w:r>
        <w:t>Of the</w:t>
      </w:r>
      <w:r w:rsidRPr="00966DCD">
        <w:t xml:space="preserve"> 80,080 children and young people in </w:t>
      </w:r>
      <w:r>
        <w:t>care</w:t>
      </w:r>
      <w:r w:rsidR="007118C1">
        <w:t xml:space="preserve"> in</w:t>
      </w:r>
      <w:r w:rsidR="005946F6">
        <w:t xml:space="preserve"> December</w:t>
      </w:r>
      <w:r w:rsidR="007118C1">
        <w:t xml:space="preserve"> 2019</w:t>
      </w:r>
      <w:r>
        <w:t xml:space="preserve">, </w:t>
      </w:r>
      <w:r w:rsidRPr="00966DCD">
        <w:t xml:space="preserve">approximately </w:t>
      </w:r>
      <w:r>
        <w:t>2</w:t>
      </w:r>
      <w:r w:rsidR="007118C1">
        <w:t>5 per cent</w:t>
      </w:r>
      <w:r w:rsidRPr="00966DCD">
        <w:t xml:space="preserve"> were aged 16 and over (DfE, 202</w:t>
      </w:r>
      <w:r>
        <w:t>0</w:t>
      </w:r>
      <w:r w:rsidRPr="00966DCD">
        <w:t xml:space="preserve">) and therefore </w:t>
      </w:r>
      <w:r w:rsidR="00842B3B">
        <w:t>approaching</w:t>
      </w:r>
      <w:r w:rsidRPr="00966DCD">
        <w:t xml:space="preserve"> </w:t>
      </w:r>
      <w:r>
        <w:t>the start of th</w:t>
      </w:r>
      <w:r w:rsidR="00842B3B">
        <w:t>is</w:t>
      </w:r>
      <w:r w:rsidRPr="00966DCD">
        <w:t xml:space="preserve"> transition</w:t>
      </w:r>
      <w:r w:rsidR="00842B3B">
        <w:t>al period</w:t>
      </w:r>
      <w:r w:rsidRPr="00966DCD">
        <w:t>.</w:t>
      </w:r>
      <w:r>
        <w:t xml:space="preserve"> Given the difficult childhood experiences of children in care, young people can encounter difficulties in their day</w:t>
      </w:r>
      <w:r w:rsidR="00597FC1">
        <w:t>-</w:t>
      </w:r>
      <w:r>
        <w:t>to</w:t>
      </w:r>
      <w:r w:rsidR="00597FC1">
        <w:t>-</w:t>
      </w:r>
      <w:r>
        <w:t>day lives</w:t>
      </w:r>
      <w:r w:rsidR="005946F6" w:rsidRPr="005946F6">
        <w:t xml:space="preserve"> </w:t>
      </w:r>
      <w:r w:rsidR="00842B3B">
        <w:t xml:space="preserve">once they </w:t>
      </w:r>
      <w:r w:rsidR="00842B3B">
        <w:lastRenderedPageBreak/>
        <w:t>have left care</w:t>
      </w:r>
      <w:r w:rsidR="00190B8C">
        <w:t xml:space="preserve"> and</w:t>
      </w:r>
      <w:r w:rsidR="00DA2ABF">
        <w:t xml:space="preserve"> are</w:t>
      </w:r>
      <w:r w:rsidR="00190B8C">
        <w:t xml:space="preserve"> </w:t>
      </w:r>
      <w:r w:rsidR="005946F6">
        <w:t>living alone or at arm’s length from established familial ties</w:t>
      </w:r>
      <w:r>
        <w:t xml:space="preserve">. Stein, a prolific researcher in this field, </w:t>
      </w:r>
      <w:r w:rsidR="005946F6" w:rsidRPr="005946F6">
        <w:t xml:space="preserve">categorised </w:t>
      </w:r>
      <w:r w:rsidR="008941AE">
        <w:t>young people</w:t>
      </w:r>
      <w:r w:rsidR="005F35CE">
        <w:t>’s experiences</w:t>
      </w:r>
      <w:r w:rsidR="008941AE">
        <w:t xml:space="preserve"> </w:t>
      </w:r>
      <w:r w:rsidR="005946F6" w:rsidRPr="005946F6">
        <w:t xml:space="preserve">into three different </w:t>
      </w:r>
      <w:r w:rsidR="005946F6">
        <w:t>groups</w:t>
      </w:r>
      <w:r w:rsidR="008941AE">
        <w:t xml:space="preserve"> </w:t>
      </w:r>
      <w:r w:rsidR="005946F6" w:rsidRPr="005946F6">
        <w:t xml:space="preserve">associated with their feelings and descriptions of </w:t>
      </w:r>
      <w:r w:rsidR="008941AE">
        <w:t xml:space="preserve">their </w:t>
      </w:r>
      <w:r w:rsidR="005F35CE">
        <w:t>lives</w:t>
      </w:r>
      <w:r w:rsidR="005946F6" w:rsidRPr="005946F6">
        <w:t xml:space="preserve"> </w:t>
      </w:r>
      <w:r w:rsidR="008941AE">
        <w:t xml:space="preserve">before going into care and </w:t>
      </w:r>
      <w:r w:rsidR="005946F6" w:rsidRPr="005946F6">
        <w:t xml:space="preserve">support received </w:t>
      </w:r>
      <w:r w:rsidR="008941AE">
        <w:t>whi</w:t>
      </w:r>
      <w:r w:rsidR="00E84DC9">
        <w:t>l</w:t>
      </w:r>
      <w:r w:rsidR="008941AE">
        <w:t xml:space="preserve">st </w:t>
      </w:r>
      <w:r w:rsidR="005946F6" w:rsidRPr="005946F6">
        <w:t xml:space="preserve">in care </w:t>
      </w:r>
      <w:r w:rsidR="008941AE">
        <w:t xml:space="preserve">(2005). </w:t>
      </w:r>
      <w:r w:rsidRPr="00995899">
        <w:t xml:space="preserve">Detailed in </w:t>
      </w:r>
      <w:r w:rsidR="00CD3816">
        <w:t>F</w:t>
      </w:r>
      <w:r w:rsidRPr="00995899">
        <w:t>igure</w:t>
      </w:r>
      <w:r w:rsidR="00995899" w:rsidRPr="00995899">
        <w:t xml:space="preserve"> </w:t>
      </w:r>
      <w:r w:rsidR="004B444C">
        <w:t>1</w:t>
      </w:r>
      <w:r w:rsidR="0030261B">
        <w:t xml:space="preserve">, </w:t>
      </w:r>
      <w:r>
        <w:t>young people</w:t>
      </w:r>
      <w:r w:rsidR="008941AE">
        <w:t xml:space="preserve"> </w:t>
      </w:r>
      <w:r>
        <w:t xml:space="preserve">can be categorised </w:t>
      </w:r>
      <w:r w:rsidR="008941AE">
        <w:t>in three ways:</w:t>
      </w:r>
      <w:r>
        <w:t xml:space="preserve"> </w:t>
      </w:r>
      <w:r w:rsidRPr="00DD6376">
        <w:rPr>
          <w:i/>
          <w:iCs/>
        </w:rPr>
        <w:t>moving on</w:t>
      </w:r>
      <w:r>
        <w:t xml:space="preserve">, </w:t>
      </w:r>
      <w:r w:rsidRPr="00DD6376">
        <w:rPr>
          <w:i/>
          <w:iCs/>
        </w:rPr>
        <w:t>survivor</w:t>
      </w:r>
      <w:r>
        <w:t xml:space="preserve"> or </w:t>
      </w:r>
      <w:r w:rsidR="002F6C29">
        <w:rPr>
          <w:i/>
          <w:iCs/>
        </w:rPr>
        <w:t>struggler</w:t>
      </w:r>
      <w:r w:rsidR="008941AE">
        <w:rPr>
          <w:i/>
          <w:iCs/>
        </w:rPr>
        <w:t>,</w:t>
      </w:r>
      <w:r w:rsidR="008941AE">
        <w:t xml:space="preserve"> to describe their leaving care experience.</w:t>
      </w:r>
    </w:p>
    <w:p w14:paraId="73968F1B" w14:textId="3A2FC962" w:rsidR="00937944" w:rsidRDefault="001E4507">
      <w:r>
        <w:rPr>
          <w:noProof/>
        </w:rPr>
        <w:drawing>
          <wp:inline distT="0" distB="0" distL="0" distR="0" wp14:anchorId="564D98DB" wp14:editId="014E8022">
            <wp:extent cx="5727700" cy="4288155"/>
            <wp:effectExtent l="0" t="0" r="0" b="4445"/>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27700" cy="4288155"/>
                    </a:xfrm>
                    <a:prstGeom prst="rect">
                      <a:avLst/>
                    </a:prstGeom>
                  </pic:spPr>
                </pic:pic>
              </a:graphicData>
            </a:graphic>
          </wp:inline>
        </w:drawing>
      </w:r>
    </w:p>
    <w:p w14:paraId="62B76ADC" w14:textId="0803683C" w:rsidR="000916A5" w:rsidRDefault="000916A5" w:rsidP="000916A5">
      <w:pPr>
        <w:pStyle w:val="Caption"/>
      </w:pPr>
      <w:bookmarkStart w:id="5" w:name="_Toc101108541"/>
      <w:r>
        <w:t xml:space="preserve">Figure </w:t>
      </w:r>
      <w:fldSimple w:instr=" SEQ Figure \* ARABIC ">
        <w:r w:rsidR="00E26E21">
          <w:rPr>
            <w:noProof/>
          </w:rPr>
          <w:t>1</w:t>
        </w:r>
      </w:fldSimple>
      <w:r w:rsidR="00A04019">
        <w:t>:</w:t>
      </w:r>
      <w:r w:rsidRPr="000916A5">
        <w:t xml:space="preserve"> </w:t>
      </w:r>
      <w:r w:rsidRPr="00852A9D">
        <w:t>Resilience Diamond (Stein, 2005)</w:t>
      </w:r>
      <w:bookmarkEnd w:id="5"/>
    </w:p>
    <w:p w14:paraId="7FB74C1B" w14:textId="034A8E23" w:rsidR="008941AE" w:rsidRDefault="00190B8C" w:rsidP="008941AE">
      <w:r w:rsidRPr="00293443">
        <w:t xml:space="preserve">Stein’s leaving care typology highlights the differing </w:t>
      </w:r>
      <w:r w:rsidR="005F35CE">
        <w:t xml:space="preserve">positions </w:t>
      </w:r>
      <w:r w:rsidRPr="00293443">
        <w:t xml:space="preserve">of young people </w:t>
      </w:r>
      <w:r w:rsidR="00293443" w:rsidRPr="00293443">
        <w:t xml:space="preserve">depending on their experiences </w:t>
      </w:r>
      <w:r w:rsidR="009736F9">
        <w:t xml:space="preserve">when </w:t>
      </w:r>
      <w:r w:rsidR="00293443" w:rsidRPr="00293443">
        <w:t xml:space="preserve">living with their birth families. </w:t>
      </w:r>
      <w:r w:rsidR="005F35CE">
        <w:t>Pre</w:t>
      </w:r>
      <w:r w:rsidR="00CB5A5B">
        <w:t xml:space="preserve"> </w:t>
      </w:r>
      <w:r w:rsidR="005F35CE">
        <w:t xml:space="preserve">care experiences should be understood when thinking about young people’s outcomes on leaving care as reflected in Stein’s </w:t>
      </w:r>
      <w:r w:rsidR="008941AE" w:rsidRPr="00293443">
        <w:t xml:space="preserve">critique of the </w:t>
      </w:r>
      <w:r w:rsidRPr="00293443">
        <w:t>presentation</w:t>
      </w:r>
      <w:r w:rsidR="008941AE" w:rsidRPr="00293443">
        <w:t xml:space="preserve"> of the care system in the </w:t>
      </w:r>
      <w:r w:rsidR="008941AE" w:rsidRPr="00293443">
        <w:rPr>
          <w:i/>
          <w:iCs/>
        </w:rPr>
        <w:t>White Paper,</w:t>
      </w:r>
      <w:r w:rsidR="008941AE" w:rsidRPr="00293443">
        <w:t xml:space="preserve"> </w:t>
      </w:r>
      <w:r w:rsidR="008941AE" w:rsidRPr="00293443">
        <w:rPr>
          <w:i/>
          <w:iCs/>
        </w:rPr>
        <w:t>Care Matters</w:t>
      </w:r>
      <w:r w:rsidR="005F35CE">
        <w:rPr>
          <w:i/>
          <w:iCs/>
        </w:rPr>
        <w:t xml:space="preserve">. </w:t>
      </w:r>
      <w:r w:rsidR="005F35CE" w:rsidRPr="005F35CE">
        <w:t xml:space="preserve">He </w:t>
      </w:r>
      <w:r w:rsidR="00293443" w:rsidRPr="005F35CE">
        <w:t xml:space="preserve">referred to </w:t>
      </w:r>
      <w:r w:rsidR="005F35CE">
        <w:t>the varied nature of young people’s lives before care</w:t>
      </w:r>
      <w:r w:rsidR="009736F9" w:rsidRPr="005F35CE">
        <w:t xml:space="preserve"> </w:t>
      </w:r>
      <w:r w:rsidR="00293443" w:rsidRPr="005F35CE">
        <w:t xml:space="preserve">and </w:t>
      </w:r>
      <w:r w:rsidR="008941AE" w:rsidRPr="005F35CE">
        <w:t xml:space="preserve">suggested that </w:t>
      </w:r>
      <w:r w:rsidR="005F35CE">
        <w:t xml:space="preserve">their </w:t>
      </w:r>
      <w:r w:rsidR="008941AE" w:rsidRPr="005F35CE">
        <w:t>outcomes needed to be seen</w:t>
      </w:r>
      <w:r w:rsidR="008941AE" w:rsidRPr="00293443">
        <w:t xml:space="preserve"> in a wider context, rather than blaming the care system for society’s problems</w:t>
      </w:r>
      <w:r w:rsidRPr="00293443">
        <w:t xml:space="preserve"> (</w:t>
      </w:r>
      <w:r w:rsidR="00293443" w:rsidRPr="00293443">
        <w:t xml:space="preserve">Stein, </w:t>
      </w:r>
      <w:r w:rsidRPr="00293443">
        <w:t>2006b)</w:t>
      </w:r>
      <w:r w:rsidR="008941AE" w:rsidRPr="00293443">
        <w:t>. He argued</w:t>
      </w:r>
      <w:r w:rsidRPr="00293443">
        <w:t xml:space="preserve"> that the characterisation of care as wholly detrimental was inaccurate and </w:t>
      </w:r>
      <w:r w:rsidR="008941AE" w:rsidRPr="00293443">
        <w:t xml:space="preserve">that poor outcomes are not pre-determined as many young </w:t>
      </w:r>
      <w:r w:rsidR="008941AE" w:rsidRPr="00293443">
        <w:lastRenderedPageBreak/>
        <w:t>people leaving care make successful transitions rather than survive or struggle</w:t>
      </w:r>
      <w:r w:rsidR="005F35CE">
        <w:t xml:space="preserve"> </w:t>
      </w:r>
      <w:r w:rsidR="005F35CE" w:rsidRPr="00293443">
        <w:t>(Stein, 2006b).</w:t>
      </w:r>
    </w:p>
    <w:p w14:paraId="0115C307" w14:textId="37644100" w:rsidR="00937944" w:rsidRDefault="00190B8C" w:rsidP="006E3485">
      <w:r>
        <w:t xml:space="preserve">Notwithstanding Stein’s </w:t>
      </w:r>
      <w:r w:rsidR="00885DEB">
        <w:t xml:space="preserve">recognition that some young people successfully manage the leaving care transition, </w:t>
      </w:r>
      <w:r w:rsidR="005F35CE">
        <w:t>for</w:t>
      </w:r>
      <w:r w:rsidR="00937944" w:rsidRPr="005C3160">
        <w:t xml:space="preserve"> other young people, becoming a legal adult </w:t>
      </w:r>
      <w:r w:rsidR="00937944">
        <w:t xml:space="preserve">can lead to difficult social, health, relationship and financial issues without the safety net of a trusted parent or carer. </w:t>
      </w:r>
      <w:r w:rsidR="00E3243A">
        <w:t xml:space="preserve">For some young people the transition </w:t>
      </w:r>
      <w:r w:rsidR="005F35CE" w:rsidRPr="005F35CE">
        <w:t>has become a ‘signal to cut off support’ when leaving a care placement (Brihelm-Crookall et al., 2020, p. 17)</w:t>
      </w:r>
      <w:r w:rsidR="00E3243A">
        <w:t xml:space="preserve"> and o</w:t>
      </w:r>
      <w:r w:rsidR="00937944">
        <w:t>n a practical level, problems in gaining work or sustaining a course (Furey and Harris Evans, 2021), managing a tenancy (</w:t>
      </w:r>
      <w:r w:rsidR="00937944" w:rsidRPr="00835BB4">
        <w:t>Whalen, 2015)</w:t>
      </w:r>
      <w:r w:rsidR="00937944">
        <w:t xml:space="preserve"> and coping with finances (Atkinson and Hyde, 2019). Although an incomplete picture, government data reported that in </w:t>
      </w:r>
      <w:r w:rsidR="00937944" w:rsidRPr="00A725AE">
        <w:t>England</w:t>
      </w:r>
      <w:r w:rsidR="004D7AB9">
        <w:t>,</w:t>
      </w:r>
      <w:r w:rsidR="00937944" w:rsidRPr="00A725AE">
        <w:t xml:space="preserve"> 3</w:t>
      </w:r>
      <w:r w:rsidR="00937944">
        <w:t>9</w:t>
      </w:r>
      <w:r w:rsidR="007118C1">
        <w:t xml:space="preserve"> per cent</w:t>
      </w:r>
      <w:r w:rsidR="00937944" w:rsidRPr="00A725AE">
        <w:t xml:space="preserve"> who leave care aged 19 to 21 </w:t>
      </w:r>
      <w:r w:rsidR="00937944">
        <w:t xml:space="preserve">were not </w:t>
      </w:r>
      <w:r w:rsidR="00937944" w:rsidRPr="00A725AE">
        <w:t xml:space="preserve">in education, training or employment, compared with </w:t>
      </w:r>
      <w:r w:rsidR="00937944">
        <w:t>13</w:t>
      </w:r>
      <w:r w:rsidR="007118C1">
        <w:t xml:space="preserve"> per cent</w:t>
      </w:r>
      <w:r w:rsidR="00937944">
        <w:t xml:space="preserve"> for all</w:t>
      </w:r>
      <w:r w:rsidR="00937944" w:rsidRPr="00A725AE">
        <w:t xml:space="preserve"> young people (</w:t>
      </w:r>
      <w:r w:rsidR="00B11F27">
        <w:t>DfE</w:t>
      </w:r>
      <w:r w:rsidR="00937944">
        <w:t>, 2020</w:t>
      </w:r>
      <w:r w:rsidR="00937944" w:rsidRPr="00A725AE">
        <w:t xml:space="preserve">), placing </w:t>
      </w:r>
      <w:r w:rsidR="00937944">
        <w:t>young people</w:t>
      </w:r>
      <w:r w:rsidR="00937944" w:rsidRPr="00A725AE">
        <w:t xml:space="preserve"> at </w:t>
      </w:r>
      <w:r w:rsidR="00937944">
        <w:t xml:space="preserve">greater </w:t>
      </w:r>
      <w:r w:rsidR="00937944" w:rsidRPr="00A725AE">
        <w:t>risk of poverty and social exclusion (Powell, 2018).</w:t>
      </w:r>
      <w:r w:rsidR="00937944">
        <w:t xml:space="preserve"> In summary</w:t>
      </w:r>
      <w:r w:rsidR="000F7928">
        <w:t>,</w:t>
      </w:r>
      <w:r w:rsidR="00937944">
        <w:t xml:space="preserve"> c</w:t>
      </w:r>
      <w:r w:rsidR="00937944" w:rsidRPr="00300222">
        <w:t xml:space="preserve">hildren and young people who have been </w:t>
      </w:r>
      <w:r w:rsidR="00937944">
        <w:t>in care</w:t>
      </w:r>
      <w:r w:rsidR="00937944" w:rsidRPr="00300222">
        <w:t xml:space="preserve"> are one of the groups at </w:t>
      </w:r>
      <w:r w:rsidR="00937944">
        <w:t>‘</w:t>
      </w:r>
      <w:r w:rsidR="00937944" w:rsidRPr="00300222">
        <w:t>highest risk of social exclusion as adults</w:t>
      </w:r>
      <w:r w:rsidR="00937944">
        <w:t>’</w:t>
      </w:r>
      <w:r w:rsidR="00937944" w:rsidRPr="00300222">
        <w:t xml:space="preserve"> (Jackson and Cameron</w:t>
      </w:r>
      <w:r w:rsidR="00937944">
        <w:t xml:space="preserve">, </w:t>
      </w:r>
      <w:r w:rsidR="00937944" w:rsidRPr="00300222">
        <w:t>2012</w:t>
      </w:r>
      <w:r w:rsidR="00937944">
        <w:t>,</w:t>
      </w:r>
      <w:r w:rsidR="00937944" w:rsidRPr="00300222">
        <w:t xml:space="preserve"> p. 1107)</w:t>
      </w:r>
      <w:r w:rsidR="00937944">
        <w:t>.</w:t>
      </w:r>
    </w:p>
    <w:p w14:paraId="52A1E767" w14:textId="5890F837" w:rsidR="00937944" w:rsidRDefault="00937944">
      <w:pPr>
        <w:pStyle w:val="Heading3"/>
      </w:pPr>
      <w:r>
        <w:t>Staying Put</w:t>
      </w:r>
    </w:p>
    <w:p w14:paraId="5BDDE799" w14:textId="270376B9" w:rsidR="00937944" w:rsidRDefault="00937944">
      <w:r>
        <w:t xml:space="preserve">Borne </w:t>
      </w:r>
      <w:r w:rsidRPr="008E4AF2">
        <w:t xml:space="preserve">out of concerns about </w:t>
      </w:r>
      <w:r w:rsidR="00293443">
        <w:t>poor outcome</w:t>
      </w:r>
      <w:r w:rsidR="009736F9">
        <w:t>s</w:t>
      </w:r>
      <w:r w:rsidR="00293443">
        <w:t xml:space="preserve"> and treatment of children in </w:t>
      </w:r>
      <w:r w:rsidRPr="008E4AF2">
        <w:t xml:space="preserve">the care system, in 2007 the </w:t>
      </w:r>
      <w:r w:rsidRPr="0008555F">
        <w:rPr>
          <w:i/>
          <w:iCs/>
        </w:rPr>
        <w:t>White Paper, Care Matters: a time for change</w:t>
      </w:r>
      <w:r w:rsidRPr="008E4AF2">
        <w:t xml:space="preserve"> (</w:t>
      </w:r>
      <w:r w:rsidR="00B11F27">
        <w:t>DfES</w:t>
      </w:r>
      <w:r w:rsidRPr="008E4AF2">
        <w:t>, 2007),</w:t>
      </w:r>
      <w:r w:rsidRPr="006F400E">
        <w:t xml:space="preserve"> </w:t>
      </w:r>
      <w:r>
        <w:t xml:space="preserve">was published and aimed for ‘high levels of parenting and support’ </w:t>
      </w:r>
      <w:r w:rsidR="00A90789">
        <w:t xml:space="preserve">to enable children to remain with their families </w:t>
      </w:r>
      <w:r>
        <w:t>(Frost and Parton, 2010, p. 106).</w:t>
      </w:r>
      <w:r w:rsidR="00A90789" w:rsidRPr="00A90789">
        <w:t xml:space="preserve"> </w:t>
      </w:r>
      <w:r w:rsidR="004D6B39">
        <w:t xml:space="preserve">Referring throughout to attachment, stability and resilience as core themes for improving the quality of care, </w:t>
      </w:r>
      <w:r w:rsidR="004D6B39" w:rsidRPr="004D6B39">
        <w:rPr>
          <w:i/>
          <w:iCs/>
        </w:rPr>
        <w:t>Care Matters</w:t>
      </w:r>
      <w:r w:rsidR="004D6B39">
        <w:t xml:space="preserve"> set out measures to</w:t>
      </w:r>
      <w:r w:rsidR="004D6B39" w:rsidRPr="006F400E">
        <w:t xml:space="preserve"> </w:t>
      </w:r>
      <w:r w:rsidR="004D6B39">
        <w:t>improve the lives of c</w:t>
      </w:r>
      <w:r w:rsidR="004D6B39" w:rsidRPr="006F400E">
        <w:t xml:space="preserve">hildren and young people </w:t>
      </w:r>
      <w:r w:rsidR="004D6B39">
        <w:t xml:space="preserve">and counter perceived shortcomings in the care system. In addition to supporting families at home, recommendations also included policies to address poor educational outcomes, </w:t>
      </w:r>
      <w:r w:rsidR="009736F9">
        <w:t>children’s health and well</w:t>
      </w:r>
      <w:r w:rsidR="00D102D4">
        <w:t>-</w:t>
      </w:r>
      <w:r w:rsidR="009736F9">
        <w:t xml:space="preserve">being, </w:t>
      </w:r>
      <w:r w:rsidR="004D6B39">
        <w:t>placement matching</w:t>
      </w:r>
      <w:r w:rsidR="009736F9">
        <w:t xml:space="preserve"> </w:t>
      </w:r>
      <w:r w:rsidR="004D6B39">
        <w:t xml:space="preserve">and leaving care. </w:t>
      </w:r>
      <w:r w:rsidR="00A90789">
        <w:t xml:space="preserve">Reflecting the themes of attachment and stability, one of the measures identified was a pilot scheme to enable young people </w:t>
      </w:r>
      <w:r w:rsidR="004D6B39">
        <w:t xml:space="preserve">in foster care </w:t>
      </w:r>
      <w:r w:rsidR="00A90789">
        <w:t xml:space="preserve">to continue to stay with their </w:t>
      </w:r>
      <w:r w:rsidR="004D6B39">
        <w:t xml:space="preserve">foster </w:t>
      </w:r>
      <w:r w:rsidR="00A90789">
        <w:t>carers until their 21</w:t>
      </w:r>
      <w:r w:rsidR="00A90789" w:rsidRPr="001E62BE">
        <w:rPr>
          <w:vertAlign w:val="superscript"/>
        </w:rPr>
        <w:t>st</w:t>
      </w:r>
      <w:r w:rsidR="00A90789">
        <w:t xml:space="preserve"> birthday. </w:t>
      </w:r>
      <w:r w:rsidR="005537DE">
        <w:t xml:space="preserve">Extending care reflects the theme of </w:t>
      </w:r>
      <w:r w:rsidR="005537DE">
        <w:rPr>
          <w:color w:val="000000" w:themeColor="text1"/>
        </w:rPr>
        <w:t>s</w:t>
      </w:r>
      <w:r w:rsidRPr="009414F3">
        <w:rPr>
          <w:color w:val="000000" w:themeColor="text1"/>
        </w:rPr>
        <w:t xml:space="preserve">tability </w:t>
      </w:r>
      <w:r w:rsidR="005537DE">
        <w:rPr>
          <w:color w:val="000000" w:themeColor="text1"/>
        </w:rPr>
        <w:t xml:space="preserve">which </w:t>
      </w:r>
      <w:r w:rsidRPr="009414F3">
        <w:rPr>
          <w:color w:val="000000" w:themeColor="text1"/>
        </w:rPr>
        <w:t>is consistent</w:t>
      </w:r>
      <w:r w:rsidR="005537DE">
        <w:rPr>
          <w:color w:val="000000" w:themeColor="text1"/>
        </w:rPr>
        <w:t>ly raised</w:t>
      </w:r>
      <w:r w:rsidRPr="009414F3">
        <w:rPr>
          <w:color w:val="000000" w:themeColor="text1"/>
        </w:rPr>
        <w:t xml:space="preserve"> in leaving care research </w:t>
      </w:r>
      <w:r w:rsidR="009736F9">
        <w:rPr>
          <w:color w:val="000000" w:themeColor="text1"/>
        </w:rPr>
        <w:t xml:space="preserve">where instability is linked </w:t>
      </w:r>
      <w:r w:rsidRPr="009414F3">
        <w:rPr>
          <w:color w:val="000000" w:themeColor="text1"/>
        </w:rPr>
        <w:t xml:space="preserve">to poor outcomes for </w:t>
      </w:r>
      <w:r w:rsidR="00E16B03">
        <w:rPr>
          <w:color w:val="000000" w:themeColor="text1"/>
        </w:rPr>
        <w:t xml:space="preserve">young people leaving </w:t>
      </w:r>
      <w:r w:rsidRPr="009414F3">
        <w:rPr>
          <w:color w:val="000000" w:themeColor="text1"/>
        </w:rPr>
        <w:t xml:space="preserve">care (Ward, Munro, and Dearden, 2006; Ward, 2009). </w:t>
      </w:r>
      <w:r w:rsidR="00A77665">
        <w:rPr>
          <w:color w:val="000000" w:themeColor="text1"/>
        </w:rPr>
        <w:t>Although</w:t>
      </w:r>
      <w:r w:rsidR="004D6B39">
        <w:rPr>
          <w:color w:val="000000" w:themeColor="text1"/>
        </w:rPr>
        <w:t xml:space="preserve">, </w:t>
      </w:r>
      <w:r w:rsidRPr="009414F3">
        <w:rPr>
          <w:color w:val="000000" w:themeColor="text1"/>
        </w:rPr>
        <w:t xml:space="preserve">research does not </w:t>
      </w:r>
      <w:r w:rsidR="00A77665">
        <w:rPr>
          <w:color w:val="000000" w:themeColor="text1"/>
        </w:rPr>
        <w:t xml:space="preserve">always </w:t>
      </w:r>
      <w:r w:rsidRPr="009414F3">
        <w:rPr>
          <w:color w:val="000000" w:themeColor="text1"/>
        </w:rPr>
        <w:t xml:space="preserve">define placement stability (Unrau, 2007), nor how extensive or longstanding relationships need to be, consistency is deemed critical for ensuring positive life chances for </w:t>
      </w:r>
      <w:r w:rsidR="00E16B03">
        <w:rPr>
          <w:color w:val="000000" w:themeColor="text1"/>
        </w:rPr>
        <w:t xml:space="preserve">young people leaving </w:t>
      </w:r>
      <w:r w:rsidRPr="009414F3">
        <w:rPr>
          <w:color w:val="000000" w:themeColor="text1"/>
        </w:rPr>
        <w:t xml:space="preserve">care. </w:t>
      </w:r>
      <w:r w:rsidRPr="009414F3">
        <w:t>The question of stability has been an enduring factor in placement practice for the reasons noted</w:t>
      </w:r>
      <w:r>
        <w:t xml:space="preserve"> earlier</w:t>
      </w:r>
      <w:r w:rsidR="004D6B39">
        <w:t xml:space="preserve">, however </w:t>
      </w:r>
      <w:r w:rsidR="004D6B39" w:rsidRPr="009414F3">
        <w:t>the</w:t>
      </w:r>
      <w:r w:rsidRPr="009414F3">
        <w:t xml:space="preserve"> introduction of </w:t>
      </w:r>
      <w:r w:rsidRPr="006E3485">
        <w:rPr>
          <w:i/>
          <w:iCs/>
        </w:rPr>
        <w:t>Staying Put</w:t>
      </w:r>
      <w:r w:rsidRPr="009414F3">
        <w:t xml:space="preserve"> </w:t>
      </w:r>
      <w:r w:rsidR="002F6C29">
        <w:t>established</w:t>
      </w:r>
      <w:r w:rsidRPr="009414F3">
        <w:t xml:space="preserve"> this concept </w:t>
      </w:r>
      <w:r w:rsidR="00367C72">
        <w:t>within</w:t>
      </w:r>
      <w:r w:rsidRPr="009414F3">
        <w:t xml:space="preserve"> leaving care services.</w:t>
      </w:r>
      <w:r w:rsidR="009736F9">
        <w:t xml:space="preserve"> </w:t>
      </w:r>
      <w:r w:rsidRPr="009414F3">
        <w:t xml:space="preserve">When </w:t>
      </w:r>
      <w:r w:rsidR="006B0ECD">
        <w:t xml:space="preserve">a </w:t>
      </w:r>
      <w:r w:rsidR="006B0ECD">
        <w:lastRenderedPageBreak/>
        <w:t xml:space="preserve">young person’s </w:t>
      </w:r>
      <w:r w:rsidRPr="009414F3">
        <w:t>legal status changes from child to adult, other life changes are also likely</w:t>
      </w:r>
      <w:r>
        <w:t>,</w:t>
      </w:r>
      <w:r w:rsidRPr="009414F3">
        <w:t xml:space="preserve"> for example a change of </w:t>
      </w:r>
      <w:r>
        <w:t>s</w:t>
      </w:r>
      <w:r w:rsidRPr="009414F3">
        <w:t xml:space="preserve">ocial </w:t>
      </w:r>
      <w:r>
        <w:t>w</w:t>
      </w:r>
      <w:r w:rsidRPr="009414F3">
        <w:t>orker, reaching the end of their education placement</w:t>
      </w:r>
      <w:r w:rsidR="00E3243A">
        <w:t>, accessing different health services</w:t>
      </w:r>
      <w:r w:rsidRPr="009414F3">
        <w:t xml:space="preserve"> and possible changes in how they see themselves as young adults (Ward, 2011). Where</w:t>
      </w:r>
      <w:r w:rsidR="00E3243A">
        <w:t xml:space="preserve"> multiple changes</w:t>
      </w:r>
      <w:r w:rsidRPr="009414F3">
        <w:t xml:space="preserve"> coincide, or where a move is unexpected and unplanned, research suggests that this can have a detrimental impact on the child or young person’s feelings of being able to cope, consequently impacting on the success of any subsequent placement (Sellick</w:t>
      </w:r>
      <w:r w:rsidR="00B934BF">
        <w:t>, Thoburn and Philpot</w:t>
      </w:r>
      <w:r w:rsidRPr="009414F3">
        <w:t xml:space="preserve">, 2004; Kelly and Hodson, 2008). Continuity offered through the </w:t>
      </w:r>
      <w:r w:rsidRPr="006E3485">
        <w:rPr>
          <w:i/>
          <w:iCs/>
        </w:rPr>
        <w:t>Staying Put</w:t>
      </w:r>
      <w:r w:rsidRPr="009414F3">
        <w:t xml:space="preserve"> scheme aims to counter </w:t>
      </w:r>
      <w:r w:rsidR="00E3243A">
        <w:t xml:space="preserve">these </w:t>
      </w:r>
      <w:r w:rsidRPr="009414F3">
        <w:t xml:space="preserve">concerns about changes in placement at this </w:t>
      </w:r>
      <w:r w:rsidR="009736F9">
        <w:t xml:space="preserve">multifaceted </w:t>
      </w:r>
      <w:r w:rsidRPr="009414F3">
        <w:t>transition point.</w:t>
      </w:r>
    </w:p>
    <w:p w14:paraId="19F848C0" w14:textId="56224412" w:rsidR="002F6C29" w:rsidRDefault="00937944">
      <w:r>
        <w:t>Organisations representing foster carers and young people’s groups welcomed the</w:t>
      </w:r>
      <w:r w:rsidR="00BE6569">
        <w:t xml:space="preserve"> pilot of</w:t>
      </w:r>
      <w:r>
        <w:t xml:space="preserve"> </w:t>
      </w:r>
      <w:r w:rsidR="006B0ECD" w:rsidRPr="006B0ECD">
        <w:rPr>
          <w:i/>
          <w:iCs/>
        </w:rPr>
        <w:t>Staying Put</w:t>
      </w:r>
      <w:r>
        <w:t xml:space="preserve"> as it validated an existing, albeit unfunded and unrecognised practice</w:t>
      </w:r>
      <w:r w:rsidR="00D718B6">
        <w:t xml:space="preserve"> of remaining with foster carers</w:t>
      </w:r>
      <w:r>
        <w:t xml:space="preserve"> (Munro et al., 2012). </w:t>
      </w:r>
      <w:r w:rsidR="00CB1BFF">
        <w:t xml:space="preserve">Other than unofficially staying with their foster carers, Figure </w:t>
      </w:r>
      <w:r w:rsidR="00997208">
        <w:t>2</w:t>
      </w:r>
      <w:r w:rsidR="00CB1BFF">
        <w:t xml:space="preserve"> sets out the options y</w:t>
      </w:r>
      <w:r w:rsidR="002F6C29">
        <w:t xml:space="preserve">oung people </w:t>
      </w:r>
      <w:r w:rsidR="00D718B6">
        <w:t xml:space="preserve">had </w:t>
      </w:r>
      <w:r w:rsidR="00CB1BFF">
        <w:t>when</w:t>
      </w:r>
      <w:r w:rsidR="00D718B6">
        <w:t xml:space="preserve"> </w:t>
      </w:r>
      <w:r w:rsidR="002F6C29">
        <w:t>leav</w:t>
      </w:r>
      <w:r w:rsidR="00D718B6">
        <w:t>ing</w:t>
      </w:r>
      <w:r w:rsidR="002F6C29">
        <w:t xml:space="preserve"> their care placement</w:t>
      </w:r>
      <w:r w:rsidR="00CB1BFF">
        <w:t>.</w:t>
      </w:r>
    </w:p>
    <w:p w14:paraId="09CD8467" w14:textId="096F6A70" w:rsidR="002F6C29" w:rsidRDefault="002F6C29">
      <w:r>
        <w:rPr>
          <w:noProof/>
        </w:rPr>
        <w:drawing>
          <wp:inline distT="0" distB="0" distL="0" distR="0" wp14:anchorId="1252FBC5" wp14:editId="34F35907">
            <wp:extent cx="5486400" cy="3200400"/>
            <wp:effectExtent l="0" t="0" r="0" b="19050"/>
            <wp:docPr id="1" name="Diagram 1" descr="diagram showing the options for young people leaving care pre 20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52535AC5" w14:textId="51FA5EF6" w:rsidR="0055110D" w:rsidRDefault="0055110D" w:rsidP="0055110D">
      <w:pPr>
        <w:pStyle w:val="Caption"/>
      </w:pPr>
      <w:bookmarkStart w:id="6" w:name="_Toc101108542"/>
      <w:r>
        <w:t xml:space="preserve">Figure </w:t>
      </w:r>
      <w:fldSimple w:instr=" SEQ Figure \* ARABIC ">
        <w:r w:rsidR="00E26E21">
          <w:rPr>
            <w:noProof/>
          </w:rPr>
          <w:t>2</w:t>
        </w:r>
      </w:fldSimple>
      <w:r w:rsidR="00891D8B">
        <w:t>:</w:t>
      </w:r>
      <w:r w:rsidRPr="0055110D">
        <w:t xml:space="preserve"> Options for young people leaving care (Munro et al., 2012)</w:t>
      </w:r>
      <w:bookmarkEnd w:id="6"/>
    </w:p>
    <w:p w14:paraId="0B0AD425" w14:textId="4E571DF9" w:rsidR="00937944" w:rsidRDefault="00CB1BFF">
      <w:r>
        <w:t xml:space="preserve">Figure </w:t>
      </w:r>
      <w:r w:rsidR="00997208">
        <w:t>2</w:t>
      </w:r>
      <w:r>
        <w:t xml:space="preserve"> includes the official </w:t>
      </w:r>
      <w:r w:rsidR="00D82703">
        <w:t xml:space="preserve">options young people had at the time, but there were also concerns about rising numbers of young people living in </w:t>
      </w:r>
      <w:r w:rsidR="009736F9">
        <w:t xml:space="preserve">a </w:t>
      </w:r>
      <w:r w:rsidR="00D82703">
        <w:t>bed and breakfast and sofa surfing with friends or relatives (Browne, 200</w:t>
      </w:r>
      <w:r w:rsidR="00924685">
        <w:t>8).</w:t>
      </w:r>
      <w:r w:rsidR="00D82703">
        <w:t xml:space="preserve"> </w:t>
      </w:r>
      <w:r w:rsidR="0074524C" w:rsidRPr="0074524C">
        <w:rPr>
          <w:i/>
          <w:iCs/>
        </w:rPr>
        <w:t>Staying Put</w:t>
      </w:r>
      <w:r w:rsidR="0074524C">
        <w:rPr>
          <w:i/>
          <w:iCs/>
        </w:rPr>
        <w:t xml:space="preserve"> </w:t>
      </w:r>
      <w:r w:rsidR="0074524C">
        <w:t>provided another option for young people and recognised that for some</w:t>
      </w:r>
      <w:r w:rsidR="004043A0">
        <w:t>,</w:t>
      </w:r>
      <w:r w:rsidR="0074524C">
        <w:t xml:space="preserve"> living independently was </w:t>
      </w:r>
      <w:r w:rsidR="009736F9">
        <w:t>in</w:t>
      </w:r>
      <w:r w:rsidR="0074524C">
        <w:t xml:space="preserve">appropriate. The </w:t>
      </w:r>
      <w:r w:rsidR="0074524C">
        <w:lastRenderedPageBreak/>
        <w:t xml:space="preserve">pilot of </w:t>
      </w:r>
      <w:r w:rsidR="0074524C" w:rsidRPr="0074524C">
        <w:rPr>
          <w:i/>
          <w:iCs/>
        </w:rPr>
        <w:t>Staying Put</w:t>
      </w:r>
      <w:r w:rsidR="0074524C">
        <w:t xml:space="preserve"> involved 11 local authorities in England and the </w:t>
      </w:r>
      <w:r w:rsidR="00937944">
        <w:t>evaluation of the pilot focused on the following objectives (Munro et al., 2012, p. 6):</w:t>
      </w:r>
    </w:p>
    <w:p w14:paraId="71321E8D" w14:textId="5567CF3B" w:rsidR="00937944" w:rsidRPr="007612E6" w:rsidRDefault="00937944" w:rsidP="00B3304A">
      <w:pPr>
        <w:pStyle w:val="ListParagraph"/>
      </w:pPr>
      <w:r w:rsidRPr="00CF022A">
        <w:t xml:space="preserve">enable young people to build on and nurture their attachments to their foster carers, so that they can move to independence at their own pace and be supported to make the transition to adulthood in a more gradual way just like other young people who can rely on their own families for this support; </w:t>
      </w:r>
      <w:r w:rsidRPr="007612E6">
        <w:tab/>
      </w:r>
    </w:p>
    <w:p w14:paraId="2ACAFF56" w14:textId="77777777" w:rsidR="00937944" w:rsidRPr="007612E6" w:rsidRDefault="00937944" w:rsidP="00B3304A">
      <w:pPr>
        <w:pStyle w:val="ListParagraph"/>
      </w:pPr>
      <w:r w:rsidRPr="007612E6">
        <w:t xml:space="preserve">provide the stability and support necessary for young people to achieve in education, training and employment; and </w:t>
      </w:r>
    </w:p>
    <w:p w14:paraId="795A0E22" w14:textId="77777777" w:rsidR="00937944" w:rsidRPr="007612E6" w:rsidRDefault="00937944" w:rsidP="00B3304A">
      <w:pPr>
        <w:pStyle w:val="ListParagraph"/>
      </w:pPr>
      <w:r w:rsidRPr="007612E6">
        <w:t>give weight to young people’s views about the timing of moves to greater independence from their final care placement.</w:t>
      </w:r>
    </w:p>
    <w:p w14:paraId="53A3AE1D" w14:textId="77777777" w:rsidR="00937944" w:rsidRDefault="00937944" w:rsidP="008E4AF2">
      <w:r>
        <w:t xml:space="preserve">At the end of the pilot Munro and colleagues concluded that </w:t>
      </w:r>
      <w:r w:rsidRPr="001E62BE">
        <w:rPr>
          <w:i/>
          <w:iCs/>
        </w:rPr>
        <w:t>Staying Put</w:t>
      </w:r>
      <w:r>
        <w:t xml:space="preserve"> empowered young people to have ‘greater control of the timing of their transition’ (2012, p. 105). </w:t>
      </w:r>
    </w:p>
    <w:p w14:paraId="528D666C" w14:textId="0D10ADF8" w:rsidR="00A7702A" w:rsidRDefault="00937944" w:rsidP="008E4AF2">
      <w:r>
        <w:t xml:space="preserve">Following the evaluation, a </w:t>
      </w:r>
      <w:r w:rsidR="0074524C">
        <w:t xml:space="preserve">statutory </w:t>
      </w:r>
      <w:r>
        <w:t xml:space="preserve">duty to make provision for and support </w:t>
      </w:r>
      <w:r w:rsidRPr="00D16ACB">
        <w:rPr>
          <w:i/>
          <w:iCs/>
        </w:rPr>
        <w:t>Staying Put</w:t>
      </w:r>
      <w:r>
        <w:t xml:space="preserve"> was introduced in the </w:t>
      </w:r>
      <w:r w:rsidRPr="00BE6569">
        <w:rPr>
          <w:i/>
          <w:iCs/>
        </w:rPr>
        <w:t>Children and Families Act 2014</w:t>
      </w:r>
      <w:r>
        <w:t xml:space="preserve">. As previously stated, </w:t>
      </w:r>
      <w:r w:rsidR="0074524C">
        <w:t xml:space="preserve">for a young person to be eligible for support under </w:t>
      </w:r>
      <w:r w:rsidR="0074524C" w:rsidRPr="00E3243A">
        <w:rPr>
          <w:i/>
          <w:iCs/>
        </w:rPr>
        <w:t>Staying Put</w:t>
      </w:r>
      <w:r w:rsidR="0074524C">
        <w:t xml:space="preserve"> they must have been in care for a </w:t>
      </w:r>
      <w:r>
        <w:t xml:space="preserve">period of 13 weeks </w:t>
      </w:r>
      <w:r w:rsidR="00A77665">
        <w:t>following</w:t>
      </w:r>
      <w:r>
        <w:t xml:space="preserve"> their 14</w:t>
      </w:r>
      <w:r w:rsidRPr="008F4799">
        <w:rPr>
          <w:vertAlign w:val="superscript"/>
        </w:rPr>
        <w:t>th</w:t>
      </w:r>
      <w:r>
        <w:t xml:space="preserve"> birthday and </w:t>
      </w:r>
      <w:r w:rsidR="0074524C">
        <w:t>also</w:t>
      </w:r>
      <w:r>
        <w:t xml:space="preserve"> remain with the same carer when they turn 18. This qualifying period relates to the definition of </w:t>
      </w:r>
      <w:r w:rsidR="0074524C">
        <w:t xml:space="preserve">a </w:t>
      </w:r>
      <w:r>
        <w:t xml:space="preserve">care leaver </w:t>
      </w:r>
      <w:r w:rsidR="0074524C">
        <w:t>stipulated in</w:t>
      </w:r>
      <w:r>
        <w:t xml:space="preserve"> the </w:t>
      </w:r>
      <w:r w:rsidRPr="00BE6569">
        <w:rPr>
          <w:i/>
          <w:iCs/>
        </w:rPr>
        <w:t>Children (Leaving Care) Act 2000</w:t>
      </w:r>
      <w:r>
        <w:t xml:space="preserve"> detailed </w:t>
      </w:r>
      <w:r w:rsidR="00BE6569">
        <w:t xml:space="preserve">in Figure </w:t>
      </w:r>
      <w:r w:rsidR="00997208">
        <w:t>3</w:t>
      </w:r>
      <w:r w:rsidR="00BE6569">
        <w:t>:</w:t>
      </w:r>
    </w:p>
    <w:p w14:paraId="09A54831" w14:textId="0D355869" w:rsidR="00F93BF8" w:rsidRDefault="00631A8C" w:rsidP="008E4AF2">
      <w:r>
        <w:rPr>
          <w:noProof/>
        </w:rPr>
        <w:lastRenderedPageBreak/>
        <w:drawing>
          <wp:inline distT="0" distB="0" distL="0" distR="0" wp14:anchorId="7815E9BE" wp14:editId="5385C04F">
            <wp:extent cx="5447087" cy="3235037"/>
            <wp:effectExtent l="0" t="0" r="1270" b="3810"/>
            <wp:docPr id="18" name="Picture 1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473129" cy="3250504"/>
                    </a:xfrm>
                    <a:prstGeom prst="rect">
                      <a:avLst/>
                    </a:prstGeom>
                  </pic:spPr>
                </pic:pic>
              </a:graphicData>
            </a:graphic>
          </wp:inline>
        </w:drawing>
      </w:r>
    </w:p>
    <w:p w14:paraId="4933A01D" w14:textId="5F02CDDD" w:rsidR="0055110D" w:rsidRDefault="0055110D" w:rsidP="0055110D">
      <w:pPr>
        <w:pStyle w:val="Caption"/>
      </w:pPr>
      <w:bookmarkStart w:id="7" w:name="_Toc101108543"/>
      <w:r>
        <w:t xml:space="preserve">Figure </w:t>
      </w:r>
      <w:fldSimple w:instr=" SEQ Figure \* ARABIC ">
        <w:r w:rsidR="00E26E21">
          <w:rPr>
            <w:noProof/>
          </w:rPr>
          <w:t>3</w:t>
        </w:r>
      </w:fldSimple>
      <w:r>
        <w:t>:</w:t>
      </w:r>
      <w:r w:rsidRPr="0055110D">
        <w:t xml:space="preserve"> Definitions of </w:t>
      </w:r>
      <w:r w:rsidR="00432F9F">
        <w:t>c</w:t>
      </w:r>
      <w:r w:rsidRPr="0055110D">
        <w:t xml:space="preserve">are </w:t>
      </w:r>
      <w:r w:rsidR="00432F9F">
        <w:t>l</w:t>
      </w:r>
      <w:r w:rsidRPr="0055110D">
        <w:t>eaving (DfE, 2015, p. 22)</w:t>
      </w:r>
      <w:bookmarkEnd w:id="7"/>
    </w:p>
    <w:p w14:paraId="161B2756" w14:textId="29A43DB1" w:rsidR="00937944" w:rsidRDefault="00937944" w:rsidP="00931B56">
      <w:r>
        <w:t xml:space="preserve">Although it is discretionary for local authorities to provide a </w:t>
      </w:r>
      <w:r w:rsidRPr="00E2626A">
        <w:rPr>
          <w:i/>
          <w:iCs/>
        </w:rPr>
        <w:t>Staying Put</w:t>
      </w:r>
      <w:r>
        <w:t xml:space="preserve"> arrangement for any young person, the duty only relates to </w:t>
      </w:r>
      <w:r w:rsidRPr="00576EFE">
        <w:rPr>
          <w:i/>
          <w:iCs/>
        </w:rPr>
        <w:t>former relevant children</w:t>
      </w:r>
      <w:r w:rsidRPr="006E3485">
        <w:t xml:space="preserve"> as defined in Figure</w:t>
      </w:r>
      <w:r w:rsidR="00C26A3A" w:rsidRPr="006E3485">
        <w:t xml:space="preserve"> </w:t>
      </w:r>
      <w:r w:rsidR="00997208">
        <w:t>3</w:t>
      </w:r>
      <w:r w:rsidRPr="006E3485">
        <w:t>.</w:t>
      </w:r>
      <w:r w:rsidRPr="00C26A3A">
        <w:t xml:space="preserve"> </w:t>
      </w:r>
      <w:r>
        <w:t>The legal distinction</w:t>
      </w:r>
      <w:r w:rsidR="00052D60">
        <w:t xml:space="preserve"> between child and adult </w:t>
      </w:r>
      <w:r w:rsidR="009736F9">
        <w:t xml:space="preserve">is </w:t>
      </w:r>
      <w:r w:rsidR="00052D60">
        <w:t xml:space="preserve">also significant </w:t>
      </w:r>
      <w:r>
        <w:t xml:space="preserve">as </w:t>
      </w:r>
      <w:r w:rsidR="00052D60">
        <w:t>the young person is no</w:t>
      </w:r>
      <w:r>
        <w:t xml:space="preserve"> longer defined as a </w:t>
      </w:r>
      <w:r w:rsidRPr="00576EFE">
        <w:rPr>
          <w:i/>
          <w:iCs/>
        </w:rPr>
        <w:t>looked after</w:t>
      </w:r>
      <w:r>
        <w:t xml:space="preserve"> child after their 18</w:t>
      </w:r>
      <w:r w:rsidRPr="00576EFE">
        <w:rPr>
          <w:vertAlign w:val="superscript"/>
        </w:rPr>
        <w:t>th</w:t>
      </w:r>
      <w:r>
        <w:t xml:space="preserve"> birthday. Therefore, foster carers are referred to as former foster carers and the placement must be referred to as an </w:t>
      </w:r>
      <w:r w:rsidRPr="006B0ECD">
        <w:rPr>
          <w:i/>
          <w:iCs/>
        </w:rPr>
        <w:t xml:space="preserve">arrangement </w:t>
      </w:r>
      <w:r>
        <w:t xml:space="preserve">as the young person is legally an adult. </w:t>
      </w:r>
      <w:r w:rsidR="00DA3C1C">
        <w:t xml:space="preserve">Young people are expected to contribute to the costs of the arrangement either via state benefits or a proportion of their income. </w:t>
      </w:r>
      <w:r>
        <w:t xml:space="preserve">These technical details became necessary due to the existing legislation and regulation of foster care, both of which work to the definition of a child being under the age of 18. The </w:t>
      </w:r>
      <w:r w:rsidR="00B11F27">
        <w:t>DfE</w:t>
      </w:r>
      <w:r>
        <w:t xml:space="preserve"> (2015) recommend that </w:t>
      </w:r>
      <w:r w:rsidRPr="00E2626A">
        <w:rPr>
          <w:i/>
          <w:iCs/>
        </w:rPr>
        <w:t>Staying Put</w:t>
      </w:r>
      <w:r>
        <w:t xml:space="preserve"> is discussed with young people prior to their 16</w:t>
      </w:r>
      <w:r w:rsidRPr="00A37EA0">
        <w:rPr>
          <w:vertAlign w:val="superscript"/>
        </w:rPr>
        <w:t>th</w:t>
      </w:r>
      <w:r>
        <w:t xml:space="preserve"> birthday</w:t>
      </w:r>
      <w:r w:rsidR="00052D60">
        <w:t>,</w:t>
      </w:r>
      <w:r>
        <w:t xml:space="preserve"> and The Fostering Network (</w:t>
      </w:r>
      <w:r w:rsidR="005E7E25">
        <w:t>2017</w:t>
      </w:r>
      <w:r>
        <w:t>) advocate an ongoing dialogue that is incorporated into any planning discussions</w:t>
      </w:r>
      <w:r w:rsidR="006B0ECD">
        <w:t xml:space="preserve"> through the statutory review meeting</w:t>
      </w:r>
      <w:r>
        <w:t xml:space="preserve">. </w:t>
      </w:r>
      <w:r w:rsidR="006B0ECD">
        <w:t xml:space="preserve">In practice guidance </w:t>
      </w:r>
      <w:r w:rsidR="00052D60">
        <w:t xml:space="preserve">about </w:t>
      </w:r>
      <w:r w:rsidRPr="00E2626A">
        <w:rPr>
          <w:i/>
          <w:iCs/>
        </w:rPr>
        <w:t>Staying Put</w:t>
      </w:r>
      <w:r w:rsidR="006B0ECD">
        <w:t xml:space="preserve">, </w:t>
      </w:r>
      <w:r>
        <w:t xml:space="preserve">the prevailing message is that </w:t>
      </w:r>
      <w:r w:rsidRPr="00D72962">
        <w:t xml:space="preserve">the young person </w:t>
      </w:r>
      <w:r w:rsidR="00460B00">
        <w:t>can</w:t>
      </w:r>
      <w:r>
        <w:t xml:space="preserve"> ‘</w:t>
      </w:r>
      <w:r w:rsidRPr="00D72962">
        <w:t>make the joint decision to establish the arrangement</w:t>
      </w:r>
      <w:r>
        <w:t xml:space="preserve">’ (The Fostering Network, </w:t>
      </w:r>
      <w:r w:rsidR="005E7E25">
        <w:t>2017</w:t>
      </w:r>
      <w:r>
        <w:t>, p. 5)</w:t>
      </w:r>
      <w:r w:rsidR="00052D60">
        <w:t xml:space="preserve"> </w:t>
      </w:r>
      <w:r w:rsidR="00DA480B">
        <w:t>but</w:t>
      </w:r>
      <w:r w:rsidR="00052D60">
        <w:t xml:space="preserve"> if they </w:t>
      </w:r>
      <w:r w:rsidR="00EB38D4">
        <w:t xml:space="preserve">leave </w:t>
      </w:r>
      <w:r w:rsidR="00460B00">
        <w:t xml:space="preserve">their placement </w:t>
      </w:r>
      <w:r w:rsidR="00D8364B">
        <w:t>before their 21</w:t>
      </w:r>
      <w:r w:rsidR="00D8364B" w:rsidRPr="00D8364B">
        <w:rPr>
          <w:vertAlign w:val="superscript"/>
        </w:rPr>
        <w:t>st</w:t>
      </w:r>
      <w:r w:rsidR="00D8364B">
        <w:t xml:space="preserve"> birthday, they would not be automatically allowed to return </w:t>
      </w:r>
      <w:r w:rsidR="00D8364B" w:rsidRPr="009D1E93">
        <w:t>(DfE, D</w:t>
      </w:r>
      <w:r w:rsidR="00B11F27">
        <w:t xml:space="preserve">epartment for </w:t>
      </w:r>
      <w:r w:rsidR="00D8364B" w:rsidRPr="009D1E93">
        <w:t>W</w:t>
      </w:r>
      <w:r w:rsidR="00B11F27">
        <w:t xml:space="preserve">ork and </w:t>
      </w:r>
      <w:r w:rsidR="00D8364B" w:rsidRPr="009D1E93">
        <w:t>P</w:t>
      </w:r>
      <w:r w:rsidR="00B11F27">
        <w:t>ensions</w:t>
      </w:r>
      <w:r w:rsidR="00D8364B" w:rsidRPr="009D1E93">
        <w:t xml:space="preserve"> and H</w:t>
      </w:r>
      <w:r w:rsidR="00B11F27">
        <w:t xml:space="preserve">er </w:t>
      </w:r>
      <w:r w:rsidR="00D8364B" w:rsidRPr="009D1E93">
        <w:t>M</w:t>
      </w:r>
      <w:r w:rsidR="00B11F27">
        <w:t xml:space="preserve">ajesty’s </w:t>
      </w:r>
      <w:r w:rsidR="00D8364B" w:rsidRPr="009D1E93">
        <w:t>R</w:t>
      </w:r>
      <w:r w:rsidR="00B11F27">
        <w:t>evenue and Customs</w:t>
      </w:r>
      <w:r w:rsidR="00D8364B">
        <w:t>, 2013)</w:t>
      </w:r>
      <w:r w:rsidR="00052D60">
        <w:t xml:space="preserve">. These guidelines emphasise the importance of the young person’s decision at this point in their care pathway. </w:t>
      </w:r>
    </w:p>
    <w:p w14:paraId="446A2564" w14:textId="469882D6" w:rsidR="003402C3" w:rsidRDefault="00937944">
      <w:r w:rsidRPr="00300222">
        <w:lastRenderedPageBreak/>
        <w:t xml:space="preserve">Initial </w:t>
      </w:r>
      <w:r w:rsidR="00F0010F">
        <w:t xml:space="preserve">take up of </w:t>
      </w:r>
      <w:r w:rsidR="00F0010F" w:rsidRPr="00F0010F">
        <w:rPr>
          <w:i/>
          <w:iCs/>
        </w:rPr>
        <w:t>Staying Put</w:t>
      </w:r>
      <w:r w:rsidR="00F0010F">
        <w:t xml:space="preserve"> </w:t>
      </w:r>
      <w:r>
        <w:t xml:space="preserve">by young people was </w:t>
      </w:r>
      <w:r w:rsidRPr="00300222">
        <w:t>goo</w:t>
      </w:r>
      <w:r>
        <w:t>d</w:t>
      </w:r>
      <w:r w:rsidRPr="00300222">
        <w:t xml:space="preserve">, </w:t>
      </w:r>
      <w:r>
        <w:t xml:space="preserve">however </w:t>
      </w:r>
      <w:r w:rsidRPr="00300222">
        <w:t xml:space="preserve">by 2018 numbers </w:t>
      </w:r>
      <w:r>
        <w:t xml:space="preserve">of </w:t>
      </w:r>
      <w:r w:rsidR="00F0010F" w:rsidRPr="00F0010F">
        <w:rPr>
          <w:i/>
          <w:iCs/>
        </w:rPr>
        <w:t>Staying Put</w:t>
      </w:r>
      <w:r w:rsidR="00F0010F">
        <w:t xml:space="preserve"> arrangements</w:t>
      </w:r>
      <w:r>
        <w:t xml:space="preserve"> </w:t>
      </w:r>
      <w:r w:rsidRPr="00300222">
        <w:t xml:space="preserve">were </w:t>
      </w:r>
      <w:r w:rsidR="003402C3">
        <w:t>levelling out</w:t>
      </w:r>
      <w:r w:rsidRPr="00300222">
        <w:t xml:space="preserve"> (</w:t>
      </w:r>
      <w:r w:rsidR="005E17B9">
        <w:t>Donovan</w:t>
      </w:r>
      <w:r w:rsidRPr="00300222">
        <w:t xml:space="preserve">, 2018) and have </w:t>
      </w:r>
      <w:r w:rsidR="00A77665">
        <w:t xml:space="preserve">since </w:t>
      </w:r>
      <w:r>
        <w:t xml:space="preserve">remained at </w:t>
      </w:r>
      <w:r w:rsidR="00A77665">
        <w:t xml:space="preserve">a </w:t>
      </w:r>
      <w:r>
        <w:t xml:space="preserve">similar </w:t>
      </w:r>
      <w:r w:rsidR="00E3243A">
        <w:t>amount</w:t>
      </w:r>
      <w:r>
        <w:t xml:space="preserve"> (Action for Children, 2020).</w:t>
      </w:r>
      <w:r w:rsidR="003402C3">
        <w:t xml:space="preserve"> Table </w:t>
      </w:r>
      <w:r w:rsidR="00997208">
        <w:t>1</w:t>
      </w:r>
      <w:r w:rsidR="003402C3">
        <w:t xml:space="preserve"> shows the number of young people </w:t>
      </w:r>
      <w:r w:rsidR="003402C3" w:rsidRPr="00A77665">
        <w:rPr>
          <w:i/>
          <w:iCs/>
        </w:rPr>
        <w:t>Staying Put</w:t>
      </w:r>
      <w:r w:rsidR="003402C3">
        <w:t xml:space="preserve"> and as a percentage of young people leaving foster care</w:t>
      </w:r>
      <w:r w:rsidR="000566A6">
        <w:t xml:space="preserve">. The figure calculated at 18 years is based on the number of young people </w:t>
      </w:r>
      <w:r w:rsidR="00CA4AED">
        <w:t>still with their carers after three months</w:t>
      </w:r>
      <w:r w:rsidR="003402C3">
        <w:t>.</w:t>
      </w:r>
    </w:p>
    <w:tbl>
      <w:tblPr>
        <w:tblStyle w:val="TableGrid"/>
        <w:tblW w:w="0" w:type="auto"/>
        <w:tblCellMar>
          <w:top w:w="108" w:type="dxa"/>
          <w:bottom w:w="108" w:type="dxa"/>
        </w:tblCellMar>
        <w:tblLook w:val="04A0" w:firstRow="1" w:lastRow="0" w:firstColumn="1" w:lastColumn="0" w:noHBand="0" w:noVBand="1"/>
      </w:tblPr>
      <w:tblGrid>
        <w:gridCol w:w="2134"/>
        <w:gridCol w:w="1146"/>
        <w:gridCol w:w="1147"/>
        <w:gridCol w:w="1147"/>
        <w:gridCol w:w="1147"/>
        <w:gridCol w:w="1147"/>
        <w:gridCol w:w="1147"/>
      </w:tblGrid>
      <w:tr w:rsidR="00B043E3" w14:paraId="740A5BDB" w14:textId="46BC7F00" w:rsidTr="00DC5EF6">
        <w:trPr>
          <w:trHeight w:val="275"/>
        </w:trPr>
        <w:tc>
          <w:tcPr>
            <w:tcW w:w="2134" w:type="dxa"/>
            <w:tcBorders>
              <w:top w:val="nil"/>
              <w:left w:val="nil"/>
              <w:bottom w:val="single" w:sz="4" w:space="0" w:color="auto"/>
              <w:right w:val="single" w:sz="4" w:space="0" w:color="auto"/>
            </w:tcBorders>
            <w:shd w:val="clear" w:color="auto" w:fill="auto"/>
            <w:vAlign w:val="center"/>
          </w:tcPr>
          <w:p w14:paraId="6AD5CD88" w14:textId="77777777" w:rsidR="003402C3" w:rsidRDefault="003402C3" w:rsidP="00B043E3">
            <w:pPr>
              <w:jc w:val="center"/>
            </w:pPr>
          </w:p>
        </w:tc>
        <w:tc>
          <w:tcPr>
            <w:tcW w:w="1146" w:type="dxa"/>
            <w:tcBorders>
              <w:left w:val="single" w:sz="4" w:space="0" w:color="auto"/>
            </w:tcBorders>
            <w:shd w:val="clear" w:color="auto" w:fill="F2F2F2" w:themeFill="background1" w:themeFillShade="F2"/>
            <w:vAlign w:val="center"/>
          </w:tcPr>
          <w:p w14:paraId="273ADB5C" w14:textId="564820B2" w:rsidR="003402C3" w:rsidRPr="007302D5" w:rsidRDefault="003402C3" w:rsidP="00B043E3">
            <w:pPr>
              <w:pStyle w:val="Tableheading"/>
              <w:jc w:val="center"/>
            </w:pPr>
            <w:r w:rsidRPr="007302D5">
              <w:t>2015</w:t>
            </w:r>
          </w:p>
        </w:tc>
        <w:tc>
          <w:tcPr>
            <w:tcW w:w="1147" w:type="dxa"/>
            <w:shd w:val="clear" w:color="auto" w:fill="F2F2F2" w:themeFill="background1" w:themeFillShade="F2"/>
            <w:vAlign w:val="center"/>
          </w:tcPr>
          <w:p w14:paraId="17FE2321" w14:textId="30466D6E" w:rsidR="003402C3" w:rsidRPr="007302D5" w:rsidRDefault="003402C3" w:rsidP="00B043E3">
            <w:pPr>
              <w:pStyle w:val="Tableheading"/>
              <w:jc w:val="center"/>
            </w:pPr>
            <w:r w:rsidRPr="007302D5">
              <w:t>2016</w:t>
            </w:r>
          </w:p>
        </w:tc>
        <w:tc>
          <w:tcPr>
            <w:tcW w:w="1147" w:type="dxa"/>
            <w:shd w:val="clear" w:color="auto" w:fill="F2F2F2" w:themeFill="background1" w:themeFillShade="F2"/>
            <w:vAlign w:val="center"/>
          </w:tcPr>
          <w:p w14:paraId="0B966024" w14:textId="4186DA87" w:rsidR="003402C3" w:rsidRPr="007302D5" w:rsidRDefault="003402C3" w:rsidP="00B043E3">
            <w:pPr>
              <w:pStyle w:val="Tableheading"/>
              <w:jc w:val="center"/>
            </w:pPr>
            <w:r w:rsidRPr="007302D5">
              <w:t>2017</w:t>
            </w:r>
          </w:p>
        </w:tc>
        <w:tc>
          <w:tcPr>
            <w:tcW w:w="1147" w:type="dxa"/>
            <w:shd w:val="clear" w:color="auto" w:fill="F2F2F2" w:themeFill="background1" w:themeFillShade="F2"/>
            <w:vAlign w:val="center"/>
          </w:tcPr>
          <w:p w14:paraId="22F2EC91" w14:textId="50000B65" w:rsidR="003402C3" w:rsidRPr="007302D5" w:rsidRDefault="003402C3" w:rsidP="00B043E3">
            <w:pPr>
              <w:pStyle w:val="Tableheading"/>
              <w:jc w:val="center"/>
            </w:pPr>
            <w:r w:rsidRPr="007302D5">
              <w:t>2018</w:t>
            </w:r>
          </w:p>
        </w:tc>
        <w:tc>
          <w:tcPr>
            <w:tcW w:w="1147" w:type="dxa"/>
            <w:shd w:val="clear" w:color="auto" w:fill="F2F2F2" w:themeFill="background1" w:themeFillShade="F2"/>
            <w:vAlign w:val="center"/>
          </w:tcPr>
          <w:p w14:paraId="5C6A45F3" w14:textId="54BF9661" w:rsidR="003402C3" w:rsidRPr="007302D5" w:rsidRDefault="003402C3" w:rsidP="00B043E3">
            <w:pPr>
              <w:pStyle w:val="Tableheading"/>
              <w:jc w:val="center"/>
            </w:pPr>
            <w:r w:rsidRPr="007302D5">
              <w:t>2019</w:t>
            </w:r>
          </w:p>
        </w:tc>
        <w:tc>
          <w:tcPr>
            <w:tcW w:w="1147" w:type="dxa"/>
            <w:shd w:val="clear" w:color="auto" w:fill="F2F2F2" w:themeFill="background1" w:themeFillShade="F2"/>
            <w:vAlign w:val="center"/>
          </w:tcPr>
          <w:p w14:paraId="48610AC7" w14:textId="6B9D2608" w:rsidR="003402C3" w:rsidRPr="007302D5" w:rsidRDefault="003402C3" w:rsidP="00B043E3">
            <w:pPr>
              <w:pStyle w:val="Tableheading"/>
              <w:jc w:val="center"/>
            </w:pPr>
            <w:r w:rsidRPr="007302D5">
              <w:t>2020</w:t>
            </w:r>
          </w:p>
        </w:tc>
      </w:tr>
      <w:tr w:rsidR="003402C3" w14:paraId="5628D65A" w14:textId="4DE73DB9" w:rsidTr="00DC5EF6">
        <w:trPr>
          <w:trHeight w:val="698"/>
        </w:trPr>
        <w:tc>
          <w:tcPr>
            <w:tcW w:w="2134" w:type="dxa"/>
            <w:tcBorders>
              <w:top w:val="single" w:sz="4" w:space="0" w:color="auto"/>
            </w:tcBorders>
            <w:shd w:val="clear" w:color="auto" w:fill="auto"/>
            <w:vAlign w:val="center"/>
          </w:tcPr>
          <w:p w14:paraId="4C72E5EE" w14:textId="0CD7217A" w:rsidR="003402C3" w:rsidRPr="003402C3" w:rsidRDefault="003402C3" w:rsidP="00B043E3">
            <w:pPr>
              <w:pStyle w:val="Tableheading"/>
              <w:jc w:val="center"/>
            </w:pPr>
            <w:r w:rsidRPr="003402C3">
              <w:t>Number</w:t>
            </w:r>
            <w:r w:rsidR="000566A6">
              <w:t xml:space="preserve"> and %</w:t>
            </w:r>
            <w:r w:rsidRPr="003402C3">
              <w:t xml:space="preserve"> of Young People </w:t>
            </w:r>
            <w:r w:rsidRPr="000566A6">
              <w:rPr>
                <w:i/>
                <w:iCs/>
              </w:rPr>
              <w:t>Staying Put</w:t>
            </w:r>
            <w:r w:rsidRPr="003402C3">
              <w:t xml:space="preserve"> at</w:t>
            </w:r>
            <w:r w:rsidR="00CA4AED">
              <w:t xml:space="preserve"> </w:t>
            </w:r>
            <w:r w:rsidRPr="003402C3">
              <w:t>18</w:t>
            </w:r>
          </w:p>
        </w:tc>
        <w:tc>
          <w:tcPr>
            <w:tcW w:w="1146" w:type="dxa"/>
            <w:shd w:val="clear" w:color="auto" w:fill="auto"/>
            <w:vAlign w:val="center"/>
          </w:tcPr>
          <w:p w14:paraId="5B288BF3" w14:textId="77777777" w:rsidR="003402C3" w:rsidRDefault="003402C3" w:rsidP="00B043E3">
            <w:pPr>
              <w:pStyle w:val="Tablecontent"/>
              <w:jc w:val="center"/>
            </w:pPr>
            <w:r>
              <w:t>1580</w:t>
            </w:r>
          </w:p>
          <w:p w14:paraId="6EEBC196" w14:textId="3D8DD566" w:rsidR="000566A6" w:rsidRDefault="000566A6" w:rsidP="00B043E3">
            <w:pPr>
              <w:pStyle w:val="Tablecontent"/>
              <w:jc w:val="center"/>
            </w:pPr>
            <w:r>
              <w:t>49%</w:t>
            </w:r>
          </w:p>
        </w:tc>
        <w:tc>
          <w:tcPr>
            <w:tcW w:w="1147" w:type="dxa"/>
            <w:shd w:val="clear" w:color="auto" w:fill="auto"/>
            <w:vAlign w:val="center"/>
          </w:tcPr>
          <w:p w14:paraId="32BF64F3" w14:textId="77777777" w:rsidR="003402C3" w:rsidRDefault="003402C3" w:rsidP="00B043E3">
            <w:pPr>
              <w:pStyle w:val="Tablecontent"/>
              <w:jc w:val="center"/>
            </w:pPr>
            <w:r>
              <w:t>1440</w:t>
            </w:r>
          </w:p>
          <w:p w14:paraId="656E876F" w14:textId="73909C03" w:rsidR="000566A6" w:rsidRDefault="000566A6" w:rsidP="00B043E3">
            <w:pPr>
              <w:pStyle w:val="Tablecontent"/>
              <w:jc w:val="center"/>
            </w:pPr>
            <w:r>
              <w:t>54%</w:t>
            </w:r>
          </w:p>
        </w:tc>
        <w:tc>
          <w:tcPr>
            <w:tcW w:w="1147" w:type="dxa"/>
            <w:shd w:val="clear" w:color="auto" w:fill="auto"/>
            <w:vAlign w:val="center"/>
          </w:tcPr>
          <w:p w14:paraId="47B10852" w14:textId="77777777" w:rsidR="003402C3" w:rsidRDefault="003402C3" w:rsidP="00B043E3">
            <w:pPr>
              <w:pStyle w:val="Tablecontent"/>
              <w:jc w:val="center"/>
            </w:pPr>
            <w:r>
              <w:t>1630</w:t>
            </w:r>
          </w:p>
          <w:p w14:paraId="5C4E958C" w14:textId="6D9910F2" w:rsidR="000566A6" w:rsidRDefault="000566A6" w:rsidP="00B043E3">
            <w:pPr>
              <w:pStyle w:val="Tablecontent"/>
              <w:jc w:val="center"/>
            </w:pPr>
            <w:r>
              <w:t>51%</w:t>
            </w:r>
          </w:p>
        </w:tc>
        <w:tc>
          <w:tcPr>
            <w:tcW w:w="1147" w:type="dxa"/>
            <w:shd w:val="clear" w:color="auto" w:fill="auto"/>
            <w:vAlign w:val="center"/>
          </w:tcPr>
          <w:p w14:paraId="18ACD39E" w14:textId="77777777" w:rsidR="003402C3" w:rsidRDefault="003402C3" w:rsidP="00B043E3">
            <w:pPr>
              <w:pStyle w:val="Tablecontent"/>
              <w:jc w:val="center"/>
            </w:pPr>
            <w:r>
              <w:t>1810</w:t>
            </w:r>
          </w:p>
          <w:p w14:paraId="4DCC0F19" w14:textId="393F1D4E" w:rsidR="000566A6" w:rsidRDefault="000566A6" w:rsidP="00B043E3">
            <w:pPr>
              <w:pStyle w:val="Tablecontent"/>
              <w:jc w:val="center"/>
            </w:pPr>
            <w:r>
              <w:t>55%</w:t>
            </w:r>
          </w:p>
        </w:tc>
        <w:tc>
          <w:tcPr>
            <w:tcW w:w="1147" w:type="dxa"/>
            <w:shd w:val="clear" w:color="auto" w:fill="auto"/>
            <w:vAlign w:val="center"/>
          </w:tcPr>
          <w:p w14:paraId="42FD7E9F" w14:textId="77777777" w:rsidR="003402C3" w:rsidRDefault="003402C3" w:rsidP="00B043E3">
            <w:pPr>
              <w:pStyle w:val="Tablecontent"/>
              <w:jc w:val="center"/>
            </w:pPr>
            <w:r>
              <w:t>1970</w:t>
            </w:r>
          </w:p>
          <w:p w14:paraId="286C19DC" w14:textId="11EF794C" w:rsidR="000566A6" w:rsidRDefault="000566A6" w:rsidP="00B043E3">
            <w:pPr>
              <w:pStyle w:val="Tablecontent"/>
              <w:jc w:val="center"/>
            </w:pPr>
            <w:r>
              <w:t>57%</w:t>
            </w:r>
          </w:p>
        </w:tc>
        <w:tc>
          <w:tcPr>
            <w:tcW w:w="1147" w:type="dxa"/>
            <w:shd w:val="clear" w:color="auto" w:fill="auto"/>
            <w:vAlign w:val="center"/>
          </w:tcPr>
          <w:p w14:paraId="7BF6EF76" w14:textId="77777777" w:rsidR="003402C3" w:rsidRDefault="003402C3" w:rsidP="00B043E3">
            <w:pPr>
              <w:pStyle w:val="Tablecontent"/>
              <w:jc w:val="center"/>
            </w:pPr>
            <w:r>
              <w:t>1970</w:t>
            </w:r>
          </w:p>
          <w:p w14:paraId="3B37BC59" w14:textId="4B4D7E06" w:rsidR="000566A6" w:rsidRDefault="000566A6" w:rsidP="00B043E3">
            <w:pPr>
              <w:pStyle w:val="Tablecontent"/>
              <w:jc w:val="center"/>
            </w:pPr>
            <w:r>
              <w:t>58%</w:t>
            </w:r>
          </w:p>
        </w:tc>
      </w:tr>
      <w:tr w:rsidR="000566A6" w14:paraId="4010192A" w14:textId="77777777" w:rsidTr="00DC5EF6">
        <w:tc>
          <w:tcPr>
            <w:tcW w:w="2134" w:type="dxa"/>
            <w:tcBorders>
              <w:top w:val="single" w:sz="4" w:space="0" w:color="auto"/>
            </w:tcBorders>
            <w:shd w:val="clear" w:color="auto" w:fill="auto"/>
            <w:vAlign w:val="center"/>
          </w:tcPr>
          <w:p w14:paraId="5ACB7900" w14:textId="6FA7B19E" w:rsidR="000566A6" w:rsidRPr="003402C3" w:rsidRDefault="00CA4AED" w:rsidP="00B043E3">
            <w:pPr>
              <w:pStyle w:val="Tableheading"/>
              <w:jc w:val="center"/>
            </w:pPr>
            <w:r w:rsidRPr="003402C3">
              <w:t>Number</w:t>
            </w:r>
            <w:r>
              <w:t xml:space="preserve"> and %</w:t>
            </w:r>
            <w:r w:rsidRPr="003402C3">
              <w:t xml:space="preserve"> of Young People </w:t>
            </w:r>
            <w:r w:rsidRPr="000566A6">
              <w:rPr>
                <w:i/>
                <w:iCs/>
              </w:rPr>
              <w:t>Staying Put</w:t>
            </w:r>
            <w:r w:rsidRPr="003402C3">
              <w:t xml:space="preserve"> at</w:t>
            </w:r>
            <w:r>
              <w:t xml:space="preserve"> 19</w:t>
            </w:r>
          </w:p>
        </w:tc>
        <w:tc>
          <w:tcPr>
            <w:tcW w:w="1146" w:type="dxa"/>
            <w:shd w:val="clear" w:color="auto" w:fill="auto"/>
            <w:vAlign w:val="center"/>
          </w:tcPr>
          <w:p w14:paraId="526E76F4" w14:textId="77777777" w:rsidR="000566A6" w:rsidRDefault="00CA4AED" w:rsidP="00B043E3">
            <w:pPr>
              <w:pStyle w:val="Tablecontent"/>
              <w:jc w:val="center"/>
            </w:pPr>
            <w:r>
              <w:t>560</w:t>
            </w:r>
          </w:p>
          <w:p w14:paraId="4AEDE53E" w14:textId="12A2C5AB" w:rsidR="00CA4AED" w:rsidRDefault="00CA4AED" w:rsidP="00B043E3">
            <w:pPr>
              <w:pStyle w:val="Tablecontent"/>
              <w:jc w:val="center"/>
            </w:pPr>
            <w:r>
              <w:t>22%</w:t>
            </w:r>
          </w:p>
        </w:tc>
        <w:tc>
          <w:tcPr>
            <w:tcW w:w="1147" w:type="dxa"/>
            <w:shd w:val="clear" w:color="auto" w:fill="auto"/>
            <w:vAlign w:val="center"/>
          </w:tcPr>
          <w:p w14:paraId="747986E4" w14:textId="77777777" w:rsidR="000566A6" w:rsidRDefault="00CA4AED" w:rsidP="00B043E3">
            <w:pPr>
              <w:pStyle w:val="Tablecontent"/>
              <w:jc w:val="center"/>
            </w:pPr>
            <w:r>
              <w:t>820</w:t>
            </w:r>
          </w:p>
          <w:p w14:paraId="2380591C" w14:textId="5EBE0E3F" w:rsidR="00CA4AED" w:rsidRDefault="00CA4AED" w:rsidP="00B043E3">
            <w:pPr>
              <w:pStyle w:val="Tablecontent"/>
              <w:jc w:val="center"/>
            </w:pPr>
            <w:r>
              <w:t>30%</w:t>
            </w:r>
          </w:p>
        </w:tc>
        <w:tc>
          <w:tcPr>
            <w:tcW w:w="1147" w:type="dxa"/>
            <w:shd w:val="clear" w:color="auto" w:fill="auto"/>
            <w:vAlign w:val="center"/>
          </w:tcPr>
          <w:p w14:paraId="6A338A0E" w14:textId="77777777" w:rsidR="000566A6" w:rsidRDefault="00CA4AED" w:rsidP="00B043E3">
            <w:pPr>
              <w:pStyle w:val="Tablecontent"/>
              <w:jc w:val="center"/>
            </w:pPr>
            <w:r>
              <w:t>940</w:t>
            </w:r>
          </w:p>
          <w:p w14:paraId="0DE75BFE" w14:textId="7E72055A" w:rsidR="00CA4AED" w:rsidRDefault="00CA4AED" w:rsidP="00B043E3">
            <w:pPr>
              <w:pStyle w:val="Tablecontent"/>
              <w:jc w:val="center"/>
            </w:pPr>
            <w:r>
              <w:t>30%</w:t>
            </w:r>
          </w:p>
        </w:tc>
        <w:tc>
          <w:tcPr>
            <w:tcW w:w="1147" w:type="dxa"/>
            <w:shd w:val="clear" w:color="auto" w:fill="auto"/>
            <w:vAlign w:val="center"/>
          </w:tcPr>
          <w:p w14:paraId="0CF8DD81" w14:textId="26DA0189" w:rsidR="000566A6" w:rsidRDefault="006F4D5F" w:rsidP="00B043E3">
            <w:pPr>
              <w:pStyle w:val="Tablecontent"/>
              <w:jc w:val="center"/>
            </w:pPr>
            <w:r>
              <w:t>970</w:t>
            </w:r>
          </w:p>
          <w:p w14:paraId="7FC0EA6C" w14:textId="066B86E9" w:rsidR="00CA4AED" w:rsidRDefault="00CA4AED" w:rsidP="00B043E3">
            <w:pPr>
              <w:pStyle w:val="Tablecontent"/>
              <w:jc w:val="center"/>
            </w:pPr>
            <w:r>
              <w:t>31%</w:t>
            </w:r>
          </w:p>
        </w:tc>
        <w:tc>
          <w:tcPr>
            <w:tcW w:w="1147" w:type="dxa"/>
            <w:shd w:val="clear" w:color="auto" w:fill="auto"/>
            <w:vAlign w:val="center"/>
          </w:tcPr>
          <w:p w14:paraId="70F5CC68" w14:textId="2D781F75" w:rsidR="000566A6" w:rsidRDefault="006F4D5F" w:rsidP="00B043E3">
            <w:pPr>
              <w:pStyle w:val="Tablecontent"/>
              <w:jc w:val="center"/>
            </w:pPr>
            <w:r>
              <w:t>1050</w:t>
            </w:r>
          </w:p>
          <w:p w14:paraId="26EE388F" w14:textId="18603151" w:rsidR="00CA4AED" w:rsidRDefault="00CA4AED" w:rsidP="00B043E3">
            <w:pPr>
              <w:pStyle w:val="Tablecontent"/>
              <w:jc w:val="center"/>
            </w:pPr>
            <w:r>
              <w:t>32%</w:t>
            </w:r>
          </w:p>
        </w:tc>
        <w:tc>
          <w:tcPr>
            <w:tcW w:w="1147" w:type="dxa"/>
            <w:shd w:val="clear" w:color="auto" w:fill="auto"/>
            <w:vAlign w:val="center"/>
          </w:tcPr>
          <w:p w14:paraId="5C41C8D8" w14:textId="2D2F2A3B" w:rsidR="000566A6" w:rsidRDefault="006F4D5F" w:rsidP="00B043E3">
            <w:pPr>
              <w:pStyle w:val="Tablecontent"/>
              <w:jc w:val="center"/>
            </w:pPr>
            <w:r>
              <w:t>1170</w:t>
            </w:r>
          </w:p>
          <w:p w14:paraId="1BFC7B3A" w14:textId="2DFD8E28" w:rsidR="00CA4AED" w:rsidRDefault="00CA4AED" w:rsidP="00B043E3">
            <w:pPr>
              <w:pStyle w:val="Tablecontent"/>
              <w:jc w:val="center"/>
            </w:pPr>
            <w:r>
              <w:t>34%</w:t>
            </w:r>
          </w:p>
        </w:tc>
      </w:tr>
      <w:tr w:rsidR="000566A6" w14:paraId="7D9A89D9" w14:textId="77777777" w:rsidTr="00DC5EF6">
        <w:tc>
          <w:tcPr>
            <w:tcW w:w="2134" w:type="dxa"/>
            <w:tcBorders>
              <w:top w:val="single" w:sz="4" w:space="0" w:color="auto"/>
            </w:tcBorders>
            <w:shd w:val="clear" w:color="auto" w:fill="auto"/>
            <w:vAlign w:val="center"/>
          </w:tcPr>
          <w:p w14:paraId="2B88824F" w14:textId="5800B199" w:rsidR="000566A6" w:rsidRPr="003402C3" w:rsidRDefault="00CA4AED" w:rsidP="00B043E3">
            <w:pPr>
              <w:pStyle w:val="Tableheading"/>
              <w:jc w:val="center"/>
            </w:pPr>
            <w:r w:rsidRPr="003402C3">
              <w:t>Number</w:t>
            </w:r>
            <w:r>
              <w:t xml:space="preserve"> and %</w:t>
            </w:r>
            <w:r w:rsidRPr="003402C3">
              <w:t xml:space="preserve"> of Young People </w:t>
            </w:r>
            <w:r w:rsidRPr="000566A6">
              <w:rPr>
                <w:i/>
                <w:iCs/>
              </w:rPr>
              <w:t>Staying Put</w:t>
            </w:r>
            <w:r w:rsidRPr="003402C3">
              <w:t xml:space="preserve"> at</w:t>
            </w:r>
            <w:r>
              <w:t xml:space="preserve"> 20</w:t>
            </w:r>
          </w:p>
        </w:tc>
        <w:tc>
          <w:tcPr>
            <w:tcW w:w="1146" w:type="dxa"/>
            <w:shd w:val="clear" w:color="auto" w:fill="auto"/>
            <w:vAlign w:val="center"/>
          </w:tcPr>
          <w:p w14:paraId="3F8F5BFC" w14:textId="77777777" w:rsidR="000566A6" w:rsidRDefault="00CA4AED" w:rsidP="00B043E3">
            <w:pPr>
              <w:pStyle w:val="Tablecontent"/>
              <w:jc w:val="center"/>
            </w:pPr>
            <w:r>
              <w:t>330</w:t>
            </w:r>
          </w:p>
          <w:p w14:paraId="2EFBE7B1" w14:textId="792D0492" w:rsidR="00CA4AED" w:rsidRDefault="00CA4AED" w:rsidP="00B043E3">
            <w:pPr>
              <w:pStyle w:val="Tablecontent"/>
              <w:jc w:val="center"/>
            </w:pPr>
            <w:r>
              <w:t>13%</w:t>
            </w:r>
          </w:p>
        </w:tc>
        <w:tc>
          <w:tcPr>
            <w:tcW w:w="1147" w:type="dxa"/>
            <w:shd w:val="clear" w:color="auto" w:fill="auto"/>
            <w:vAlign w:val="center"/>
          </w:tcPr>
          <w:p w14:paraId="014B93A6" w14:textId="77777777" w:rsidR="000566A6" w:rsidRDefault="00CA4AED" w:rsidP="00B043E3">
            <w:pPr>
              <w:pStyle w:val="Tablecontent"/>
              <w:jc w:val="center"/>
            </w:pPr>
            <w:r>
              <w:t>410</w:t>
            </w:r>
          </w:p>
          <w:p w14:paraId="10F446B9" w14:textId="54829CDC" w:rsidR="00CA4AED" w:rsidRDefault="00CA4AED" w:rsidP="00B043E3">
            <w:pPr>
              <w:pStyle w:val="Tablecontent"/>
              <w:jc w:val="center"/>
            </w:pPr>
            <w:r>
              <w:t>16%</w:t>
            </w:r>
          </w:p>
        </w:tc>
        <w:tc>
          <w:tcPr>
            <w:tcW w:w="1147" w:type="dxa"/>
            <w:shd w:val="clear" w:color="auto" w:fill="auto"/>
            <w:vAlign w:val="center"/>
          </w:tcPr>
          <w:p w14:paraId="7356D5F7" w14:textId="77777777" w:rsidR="000566A6" w:rsidRDefault="00CA4AED" w:rsidP="00B043E3">
            <w:pPr>
              <w:pStyle w:val="Tablecontent"/>
              <w:jc w:val="center"/>
            </w:pPr>
            <w:r>
              <w:t>550</w:t>
            </w:r>
          </w:p>
          <w:p w14:paraId="0649DD62" w14:textId="539233A0" w:rsidR="00CA4AED" w:rsidRDefault="00CA4AED" w:rsidP="00B043E3">
            <w:pPr>
              <w:pStyle w:val="Tablecontent"/>
              <w:jc w:val="center"/>
            </w:pPr>
            <w:r>
              <w:t>20%</w:t>
            </w:r>
          </w:p>
        </w:tc>
        <w:tc>
          <w:tcPr>
            <w:tcW w:w="1147" w:type="dxa"/>
            <w:shd w:val="clear" w:color="auto" w:fill="auto"/>
            <w:vAlign w:val="center"/>
          </w:tcPr>
          <w:p w14:paraId="7D865D53" w14:textId="40CE3F9F" w:rsidR="000566A6" w:rsidRDefault="006F4D5F" w:rsidP="00B043E3">
            <w:pPr>
              <w:pStyle w:val="Tablecontent"/>
              <w:jc w:val="center"/>
            </w:pPr>
            <w:r>
              <w:t>650</w:t>
            </w:r>
          </w:p>
          <w:p w14:paraId="5ABEB897" w14:textId="0CBF8394" w:rsidR="00CA4AED" w:rsidRDefault="00CA4AED" w:rsidP="00B043E3">
            <w:pPr>
              <w:pStyle w:val="Tablecontent"/>
              <w:jc w:val="center"/>
            </w:pPr>
            <w:r>
              <w:t>21%</w:t>
            </w:r>
          </w:p>
        </w:tc>
        <w:tc>
          <w:tcPr>
            <w:tcW w:w="1147" w:type="dxa"/>
            <w:shd w:val="clear" w:color="auto" w:fill="auto"/>
            <w:vAlign w:val="center"/>
          </w:tcPr>
          <w:p w14:paraId="47A9EF48" w14:textId="6D08F064" w:rsidR="000566A6" w:rsidRDefault="006F4D5F" w:rsidP="00B043E3">
            <w:pPr>
              <w:pStyle w:val="Tablecontent"/>
              <w:jc w:val="center"/>
            </w:pPr>
            <w:r>
              <w:t>660</w:t>
            </w:r>
          </w:p>
          <w:p w14:paraId="61BC5757" w14:textId="5E8E6356" w:rsidR="00CA4AED" w:rsidRDefault="00CA4AED" w:rsidP="00B043E3">
            <w:pPr>
              <w:pStyle w:val="Tablecontent"/>
              <w:jc w:val="center"/>
            </w:pPr>
            <w:r>
              <w:t>21%</w:t>
            </w:r>
          </w:p>
        </w:tc>
        <w:tc>
          <w:tcPr>
            <w:tcW w:w="1147" w:type="dxa"/>
            <w:shd w:val="clear" w:color="auto" w:fill="auto"/>
            <w:vAlign w:val="center"/>
          </w:tcPr>
          <w:p w14:paraId="00AD8C0B" w14:textId="0A05A912" w:rsidR="000566A6" w:rsidRDefault="006F4D5F" w:rsidP="00B043E3">
            <w:pPr>
              <w:pStyle w:val="Tablecontent"/>
              <w:jc w:val="center"/>
            </w:pPr>
            <w:r>
              <w:t>710</w:t>
            </w:r>
          </w:p>
          <w:p w14:paraId="116F8052" w14:textId="333417E3" w:rsidR="00CA4AED" w:rsidRDefault="00CA4AED" w:rsidP="00B043E3">
            <w:pPr>
              <w:pStyle w:val="Tablecontent"/>
              <w:jc w:val="center"/>
            </w:pPr>
            <w:r>
              <w:t>22%</w:t>
            </w:r>
          </w:p>
        </w:tc>
      </w:tr>
    </w:tbl>
    <w:p w14:paraId="494267F3" w14:textId="14E5E01A" w:rsidR="00200BC5" w:rsidRDefault="00200BC5" w:rsidP="00200BC5">
      <w:pPr>
        <w:pStyle w:val="Caption"/>
      </w:pPr>
      <w:bookmarkStart w:id="8" w:name="_Toc101108552"/>
      <w:r>
        <w:t xml:space="preserve">Table </w:t>
      </w:r>
      <w:fldSimple w:instr=" SEQ Table \* ARABIC ">
        <w:r w:rsidR="00E26E21">
          <w:rPr>
            <w:noProof/>
          </w:rPr>
          <w:t>1</w:t>
        </w:r>
      </w:fldSimple>
      <w:r>
        <w:t>:</w:t>
      </w:r>
      <w:r w:rsidRPr="00200BC5">
        <w:t xml:space="preserve"> Number and % of young people in </w:t>
      </w:r>
      <w:r w:rsidRPr="00B043E3">
        <w:t>Staying Put</w:t>
      </w:r>
      <w:r w:rsidRPr="00200BC5">
        <w:t xml:space="preserve"> arrangements (DfE, 2017; DfE, 2020)</w:t>
      </w:r>
      <w:bookmarkEnd w:id="8"/>
    </w:p>
    <w:p w14:paraId="415B6FED" w14:textId="18A962A1" w:rsidR="00937944" w:rsidRDefault="00CA4AED">
      <w:r>
        <w:t xml:space="preserve">The figures </w:t>
      </w:r>
      <w:r w:rsidRPr="00997208">
        <w:t xml:space="preserve">in Table </w:t>
      </w:r>
      <w:r w:rsidR="00997208" w:rsidRPr="00997208">
        <w:t>1</w:t>
      </w:r>
      <w:r w:rsidRPr="00997208">
        <w:t xml:space="preserve"> suggest</w:t>
      </w:r>
      <w:r>
        <w:t xml:space="preserve"> a gradual increase since the beginning of the scheme, but charities and organisations working with foster carers and young people argue that there are</w:t>
      </w:r>
      <w:r w:rsidR="004A069B">
        <w:t xml:space="preserve"> factors preventing a greater increase of</w:t>
      </w:r>
      <w:r>
        <w:t xml:space="preserve"> </w:t>
      </w:r>
      <w:r w:rsidR="00DA480B">
        <w:t xml:space="preserve">the </w:t>
      </w:r>
      <w:r w:rsidRPr="00CA4AED">
        <w:rPr>
          <w:i/>
          <w:iCs/>
        </w:rPr>
        <w:t>Staying Put</w:t>
      </w:r>
      <w:r>
        <w:t xml:space="preserve"> arrangement</w:t>
      </w:r>
      <w:r w:rsidR="00AF3725">
        <w:t xml:space="preserve"> (</w:t>
      </w:r>
      <w:r w:rsidR="005E17B9">
        <w:t>Donovan</w:t>
      </w:r>
      <w:r w:rsidR="00AF3725">
        <w:t>, 2018)</w:t>
      </w:r>
      <w:r>
        <w:t xml:space="preserve">. </w:t>
      </w:r>
      <w:r w:rsidR="00937944">
        <w:t xml:space="preserve">Issues </w:t>
      </w:r>
      <w:r w:rsidR="00AF3725">
        <w:t xml:space="preserve">such </w:t>
      </w:r>
      <w:r w:rsidR="00997208">
        <w:t>as challenging</w:t>
      </w:r>
      <w:r w:rsidR="00937944">
        <w:t xml:space="preserve"> relationships between carer and young person, funding and placement capacity have been identified as possible barriers to greater take up </w:t>
      </w:r>
      <w:r w:rsidR="00AF3725">
        <w:t xml:space="preserve">by young people and carers </w:t>
      </w:r>
      <w:r w:rsidR="00937944">
        <w:t xml:space="preserve">(Action for Children, 2020). Whilst </w:t>
      </w:r>
      <w:r w:rsidR="00937944" w:rsidRPr="006E3485">
        <w:rPr>
          <w:i/>
          <w:iCs/>
        </w:rPr>
        <w:t>Staying Put</w:t>
      </w:r>
      <w:r w:rsidR="00937944">
        <w:t xml:space="preserve"> does not suit every young person</w:t>
      </w:r>
      <w:r w:rsidR="00440E01">
        <w:t xml:space="preserve"> as they may want to return to live with their birth family or feel ready to live independently</w:t>
      </w:r>
      <w:r w:rsidR="00937944">
        <w:t>, the argument for extending time in the care system has been made by several national and international researchers and young people’s groups (Munro et al., 2012; Jones, 2019</w:t>
      </w:r>
      <w:r w:rsidR="00937944" w:rsidRPr="00BA44A1">
        <w:t xml:space="preserve">; </w:t>
      </w:r>
      <w:r w:rsidR="00937944" w:rsidRPr="00BA44A1">
        <w:rPr>
          <w:bdr w:val="none" w:sz="0" w:space="0" w:color="auto" w:frame="1"/>
          <w:shd w:val="clear" w:color="auto" w:fill="FFFFFF"/>
        </w:rPr>
        <w:t>Okpych</w:t>
      </w:r>
      <w:r w:rsidR="00937944" w:rsidRPr="00BA44A1">
        <w:t xml:space="preserve"> and</w:t>
      </w:r>
      <w:r w:rsidR="00937944">
        <w:t xml:space="preserve"> Courtney, 2019; Action for Children, 2020). This sentiment is reflected in the </w:t>
      </w:r>
      <w:r w:rsidR="00937944" w:rsidRPr="0011511D">
        <w:t xml:space="preserve">Department for </w:t>
      </w:r>
      <w:r w:rsidR="00937944">
        <w:t>E</w:t>
      </w:r>
      <w:r w:rsidR="00937944" w:rsidRPr="0011511D">
        <w:t>ducation</w:t>
      </w:r>
      <w:r w:rsidR="00937944">
        <w:t xml:space="preserve">’s statutory guidance where they state that </w:t>
      </w:r>
      <w:r w:rsidR="00937944" w:rsidRPr="0011511D">
        <w:t>‘</w:t>
      </w:r>
      <w:r w:rsidR="00937944">
        <w:t>n</w:t>
      </w:r>
      <w:r w:rsidR="00937944" w:rsidRPr="0011511D">
        <w:t>o young person should "leave care" before</w:t>
      </w:r>
      <w:r w:rsidR="00937944">
        <w:t xml:space="preserve"> </w:t>
      </w:r>
      <w:r w:rsidR="00937944" w:rsidRPr="0011511D">
        <w:t>they are ready’</w:t>
      </w:r>
      <w:r w:rsidR="00937944">
        <w:t xml:space="preserve"> (</w:t>
      </w:r>
      <w:r w:rsidR="00937944" w:rsidRPr="0011511D">
        <w:t>2015, p. 9.</w:t>
      </w:r>
      <w:r w:rsidR="00937944">
        <w:t>).</w:t>
      </w:r>
    </w:p>
    <w:p w14:paraId="5975F7A0" w14:textId="74A2F8F1" w:rsidR="00937944" w:rsidRDefault="00937944" w:rsidP="006E3485">
      <w:pPr>
        <w:pStyle w:val="Heading3"/>
      </w:pPr>
      <w:r>
        <w:t>Making Decisions</w:t>
      </w:r>
    </w:p>
    <w:p w14:paraId="0C3B4112" w14:textId="728DF330" w:rsidR="00665C7A" w:rsidRPr="00B34016" w:rsidRDefault="00A76D4E" w:rsidP="00665C7A">
      <w:r w:rsidRPr="00B34016">
        <w:t>With explicit reference to the involvement of young people in the decision to stay put, a focus of this research was on the participant’s experience of decision-</w:t>
      </w:r>
      <w:r w:rsidR="00A864C7" w:rsidRPr="00B34016">
        <w:t>making. To</w:t>
      </w:r>
      <w:r w:rsidR="00665C7A" w:rsidRPr="00B34016">
        <w:t xml:space="preserve"> begin this</w:t>
      </w:r>
      <w:r w:rsidR="001A41C8" w:rsidRPr="00B34016">
        <w:t xml:space="preserve"> </w:t>
      </w:r>
      <w:r w:rsidR="00665C7A" w:rsidRPr="00B34016">
        <w:lastRenderedPageBreak/>
        <w:t xml:space="preserve">section, the </w:t>
      </w:r>
      <w:r w:rsidR="00E40E74" w:rsidRPr="00B34016">
        <w:t>issue</w:t>
      </w:r>
      <w:r w:rsidR="00665C7A" w:rsidRPr="00B34016">
        <w:t xml:space="preserve"> of age in relation to </w:t>
      </w:r>
      <w:r w:rsidR="004810FE" w:rsidRPr="00B34016">
        <w:t>the study</w:t>
      </w:r>
      <w:r w:rsidR="00E40E74" w:rsidRPr="00B34016">
        <w:t xml:space="preserve"> i</w:t>
      </w:r>
      <w:r w:rsidR="00665C7A" w:rsidRPr="00B34016">
        <w:t xml:space="preserve">s addressed. As discussed in later chapters, </w:t>
      </w:r>
      <w:r w:rsidR="00D74A1C" w:rsidRPr="00B34016">
        <w:t xml:space="preserve">whilst </w:t>
      </w:r>
      <w:r w:rsidR="00665C7A" w:rsidRPr="00B34016">
        <w:t>child and adult are legally defined terms, perceptions of child</w:t>
      </w:r>
      <w:r w:rsidR="004810FE" w:rsidRPr="00B34016">
        <w:t>hood</w:t>
      </w:r>
      <w:r w:rsidR="00665C7A" w:rsidRPr="00B34016">
        <w:t xml:space="preserve"> and adulthood are </w:t>
      </w:r>
      <w:r w:rsidR="001A7A49">
        <w:t xml:space="preserve">partly </w:t>
      </w:r>
      <w:r w:rsidR="00665C7A" w:rsidRPr="00B34016">
        <w:t>subjective</w:t>
      </w:r>
      <w:r w:rsidR="00D74A1C" w:rsidRPr="00B34016">
        <w:t xml:space="preserve"> </w:t>
      </w:r>
      <w:r w:rsidR="005B4A30" w:rsidRPr="00B34016">
        <w:t>meaning that</w:t>
      </w:r>
      <w:r w:rsidR="00D74A1C" w:rsidRPr="00B34016">
        <w:t xml:space="preserve"> </w:t>
      </w:r>
      <w:r w:rsidR="005B4A30" w:rsidRPr="00B34016">
        <w:t xml:space="preserve">chronological </w:t>
      </w:r>
      <w:r w:rsidR="00D74A1C" w:rsidRPr="00B34016">
        <w:t xml:space="preserve">age </w:t>
      </w:r>
      <w:r w:rsidR="00F93FA2" w:rsidRPr="00B34016">
        <w:t xml:space="preserve">can </w:t>
      </w:r>
      <w:r w:rsidR="00D74A1C" w:rsidRPr="00B34016">
        <w:t>be incidental</w:t>
      </w:r>
      <w:r w:rsidR="00665C7A" w:rsidRPr="00B34016">
        <w:t xml:space="preserve">. The use of </w:t>
      </w:r>
      <w:r w:rsidR="00F93FA2" w:rsidRPr="00B34016">
        <w:t>the phrase ‘</w:t>
      </w:r>
      <w:r w:rsidR="00665C7A" w:rsidRPr="00B34016">
        <w:t>young people</w:t>
      </w:r>
      <w:r w:rsidR="00F93FA2" w:rsidRPr="00B34016">
        <w:t>’</w:t>
      </w:r>
      <w:r w:rsidR="00665C7A" w:rsidRPr="00B34016">
        <w:t xml:space="preserve"> to describe the participants in my study was prompted by an advisory group</w:t>
      </w:r>
      <w:r w:rsidR="00024D80" w:rsidRPr="00B34016">
        <w:t xml:space="preserve"> (</w:t>
      </w:r>
      <w:r w:rsidR="00665C7A" w:rsidRPr="00B34016">
        <w:t>discussed in Chapter 6</w:t>
      </w:r>
      <w:r w:rsidR="00024D80" w:rsidRPr="00B34016">
        <w:t>)</w:t>
      </w:r>
      <w:r w:rsidR="00665C7A" w:rsidRPr="00B34016">
        <w:t xml:space="preserve"> </w:t>
      </w:r>
      <w:r w:rsidR="00F93FA2" w:rsidRPr="00B34016">
        <w:t xml:space="preserve">and aims </w:t>
      </w:r>
      <w:r w:rsidR="00665C7A" w:rsidRPr="00B34016">
        <w:t xml:space="preserve">to underline that </w:t>
      </w:r>
      <w:r w:rsidR="00E40E74" w:rsidRPr="00B34016">
        <w:t xml:space="preserve">the </w:t>
      </w:r>
      <w:r w:rsidR="00665C7A" w:rsidRPr="00B34016">
        <w:t xml:space="preserve">participants were not children </w:t>
      </w:r>
      <w:r w:rsidR="002808D8" w:rsidRPr="00B34016">
        <w:t>nor were they</w:t>
      </w:r>
      <w:r w:rsidR="00665C7A" w:rsidRPr="00B34016">
        <w:t xml:space="preserve"> legally adults when making the decision</w:t>
      </w:r>
      <w:r w:rsidR="00A258D7" w:rsidRPr="00B34016">
        <w:t xml:space="preserve"> about </w:t>
      </w:r>
      <w:r w:rsidR="00A258D7" w:rsidRPr="00B34016">
        <w:rPr>
          <w:i/>
          <w:iCs/>
        </w:rPr>
        <w:t>Staying Put</w:t>
      </w:r>
      <w:r w:rsidR="00665C7A" w:rsidRPr="00B34016">
        <w:t xml:space="preserve">. </w:t>
      </w:r>
      <w:r w:rsidR="006D325A" w:rsidRPr="00B34016">
        <w:t>Understanding</w:t>
      </w:r>
      <w:r w:rsidR="00D74A1C" w:rsidRPr="00B34016">
        <w:t xml:space="preserve"> the </w:t>
      </w:r>
      <w:r w:rsidR="006D325A" w:rsidRPr="00B34016">
        <w:t xml:space="preserve">liminal nature of this phase in a person’s life </w:t>
      </w:r>
      <w:r w:rsidR="00665C7A" w:rsidRPr="00B34016">
        <w:t xml:space="preserve">the United Nations (1981) define young people as being aged between 15-24 years </w:t>
      </w:r>
      <w:r w:rsidR="006D325A" w:rsidRPr="00B34016">
        <w:t>to</w:t>
      </w:r>
      <w:r w:rsidR="00665C7A" w:rsidRPr="00B34016">
        <w:t xml:space="preserve"> </w:t>
      </w:r>
      <w:r w:rsidR="005A2526" w:rsidRPr="00B34016">
        <w:t>recognise</w:t>
      </w:r>
      <w:r w:rsidR="00665C7A" w:rsidRPr="00B34016">
        <w:t xml:space="preserve"> that this group have distinct needs from children or adults in relation to issues such as housing, health, employment and education (1981, p. 14)</w:t>
      </w:r>
      <w:r w:rsidR="00E17A2B" w:rsidRPr="00B34016">
        <w:t>.</w:t>
      </w:r>
      <w:r w:rsidR="00CF073C" w:rsidRPr="00B34016">
        <w:t xml:space="preserve"> </w:t>
      </w:r>
    </w:p>
    <w:p w14:paraId="318AD9D7" w14:textId="7691DB16" w:rsidR="00665C7A" w:rsidRPr="00B34016" w:rsidRDefault="004D1A93" w:rsidP="00665C7A">
      <w:r w:rsidRPr="00B34016">
        <w:t>Social care services</w:t>
      </w:r>
      <w:r w:rsidR="00E17A2B" w:rsidRPr="00B34016">
        <w:t xml:space="preserve"> </w:t>
      </w:r>
      <w:r w:rsidR="007E0736" w:rsidRPr="00B34016">
        <w:t>may struggle to take a more bespoke approach to working with young people as services</w:t>
      </w:r>
      <w:r w:rsidRPr="00B34016">
        <w:t xml:space="preserve"> are generally organised using age-based parameters</w:t>
      </w:r>
      <w:r w:rsidR="007E0736" w:rsidRPr="00B34016">
        <w:t xml:space="preserve">. </w:t>
      </w:r>
      <w:r w:rsidR="00A3245A" w:rsidRPr="00B34016">
        <w:t>Whilst</w:t>
      </w:r>
      <w:r w:rsidRPr="00B34016">
        <w:t xml:space="preserve"> </w:t>
      </w:r>
      <w:r w:rsidR="00665C7A" w:rsidRPr="00B34016">
        <w:t>‘</w:t>
      </w:r>
      <w:r w:rsidR="007A37DA" w:rsidRPr="00B34016">
        <w:t>b</w:t>
      </w:r>
      <w:r w:rsidR="00665C7A" w:rsidRPr="00B34016">
        <w:t xml:space="preserve">inary notion[s] of childhood/adulthood’ (Cocker, et al., 2021, p. 145), may suit the function of social care systems </w:t>
      </w:r>
      <w:r w:rsidR="00A3245A" w:rsidRPr="00B34016">
        <w:t>they</w:t>
      </w:r>
      <w:r w:rsidR="00665C7A" w:rsidRPr="00B34016">
        <w:t xml:space="preserve"> </w:t>
      </w:r>
      <w:r w:rsidR="00CF073C" w:rsidRPr="00B34016">
        <w:t xml:space="preserve">do </w:t>
      </w:r>
      <w:r w:rsidR="00665C7A" w:rsidRPr="00B34016">
        <w:t>not reflect the</w:t>
      </w:r>
      <w:r w:rsidR="00A3245A" w:rsidRPr="00B34016">
        <w:t xml:space="preserve"> lived</w:t>
      </w:r>
      <w:r w:rsidR="00665C7A" w:rsidRPr="00B34016">
        <w:t xml:space="preserve"> experiences of young people who do not neatly </w:t>
      </w:r>
      <w:r w:rsidR="002808D8" w:rsidRPr="00B34016">
        <w:t xml:space="preserve">fit </w:t>
      </w:r>
      <w:r w:rsidR="00665C7A" w:rsidRPr="00B34016">
        <w:t xml:space="preserve">into either category. </w:t>
      </w:r>
      <w:r w:rsidR="00A3245A" w:rsidRPr="00B34016">
        <w:t>Using the issue of</w:t>
      </w:r>
      <w:r w:rsidR="00665C7A" w:rsidRPr="00B34016">
        <w:t xml:space="preserve"> safeguarding</w:t>
      </w:r>
      <w:r w:rsidR="00A3245A" w:rsidRPr="00B34016">
        <w:t xml:space="preserve"> to illustrate</w:t>
      </w:r>
      <w:r w:rsidR="00665C7A" w:rsidRPr="00B34016">
        <w:t xml:space="preserve">, when thinking about harm, </w:t>
      </w:r>
      <w:r w:rsidR="00E95B51" w:rsidRPr="00B34016">
        <w:t>children’s services will focus on removing risk and protecting the child in an imposed way, whereas in adult services</w:t>
      </w:r>
      <w:r w:rsidR="006508F3" w:rsidRPr="00B34016">
        <w:t>,</w:t>
      </w:r>
      <w:r w:rsidR="00E95B51" w:rsidRPr="00B34016">
        <w:t xml:space="preserve"> harm is contextualised and a more personalised </w:t>
      </w:r>
      <w:r w:rsidR="000F5527" w:rsidRPr="00B34016">
        <w:t>approach is taken</w:t>
      </w:r>
      <w:r w:rsidR="00BF3957" w:rsidRPr="00B34016">
        <w:t>,</w:t>
      </w:r>
      <w:r w:rsidR="000F5527" w:rsidRPr="00B34016">
        <w:t xml:space="preserve"> </w:t>
      </w:r>
      <w:r w:rsidR="006508F3" w:rsidRPr="00B34016">
        <w:t>allowing</w:t>
      </w:r>
      <w:r w:rsidR="005607FD" w:rsidRPr="00B34016">
        <w:t xml:space="preserve"> for a person to </w:t>
      </w:r>
      <w:r w:rsidR="007E6C3E" w:rsidRPr="00B34016">
        <w:t>share a r</w:t>
      </w:r>
      <w:r w:rsidR="000F5527" w:rsidRPr="00B34016">
        <w:t xml:space="preserve">ole in managing risk and making decisions (Huegler and Ruch, 2021). </w:t>
      </w:r>
      <w:r w:rsidR="00665C7A" w:rsidRPr="00B34016">
        <w:t>Holmes (2022, p.</w:t>
      </w:r>
      <w:r w:rsidR="00B95DD1" w:rsidRPr="00B34016">
        <w:t xml:space="preserve"> </w:t>
      </w:r>
      <w:r w:rsidR="00665C7A" w:rsidRPr="00B34016">
        <w:t>9) argues that a ‘boundary-spanning’ approach is needed to reflect the fluidity of a young person’s changing needs and understanding as they approach legal adulthood.</w:t>
      </w:r>
      <w:r w:rsidR="007A37DA" w:rsidRPr="00B34016">
        <w:t xml:space="preserve"> </w:t>
      </w:r>
    </w:p>
    <w:p w14:paraId="7B239FCD" w14:textId="7A41175A" w:rsidR="007F2124" w:rsidRPr="00B34016" w:rsidRDefault="00665C7A" w:rsidP="00665C7A">
      <w:r w:rsidRPr="00B34016">
        <w:t xml:space="preserve">Holmes, and other writers discussing transitional safeguarding underline an interim space that young people occupy, based on the biological, social and psychological changes they experience during adolescence (Beckett and Taylor, 2019). A number of aspects of a young person’s life become less concrete and they start to explore </w:t>
      </w:r>
      <w:r w:rsidR="004B0396" w:rsidRPr="00B34016">
        <w:t>opportunities</w:t>
      </w:r>
      <w:r w:rsidRPr="00B34016">
        <w:t xml:space="preserve"> away from their parent</w:t>
      </w:r>
      <w:r w:rsidR="00A258D7" w:rsidRPr="00B34016">
        <w:t>/carer</w:t>
      </w:r>
      <w:r w:rsidRPr="00B34016">
        <w:t xml:space="preserve"> relationships</w:t>
      </w:r>
      <w:r w:rsidR="004B0396" w:rsidRPr="00B34016">
        <w:t>,</w:t>
      </w:r>
      <w:r w:rsidRPr="00B34016">
        <w:t xml:space="preserve"> whilst continuing to renegotiate their identity (Gibson and Gibson, 2016). </w:t>
      </w:r>
      <w:r w:rsidR="00A258D7" w:rsidRPr="00B34016">
        <w:t>Consequently</w:t>
      </w:r>
      <w:r w:rsidRPr="00B34016">
        <w:t xml:space="preserve">, social work systems designed for younger children do not </w:t>
      </w:r>
      <w:r w:rsidR="000F5527" w:rsidRPr="00B34016">
        <w:t>allow</w:t>
      </w:r>
      <w:r w:rsidRPr="00B34016">
        <w:t xml:space="preserve"> for the ‘specific transitional needs of young people’ (Huegler and Ruch, 2021, p. 30)</w:t>
      </w:r>
      <w:r w:rsidR="000F5527" w:rsidRPr="00B34016">
        <w:t>.</w:t>
      </w:r>
      <w:r w:rsidRPr="00B34016">
        <w:t xml:space="preserve"> As explored </w:t>
      </w:r>
      <w:r w:rsidR="007F2124" w:rsidRPr="00B34016">
        <w:t xml:space="preserve">further </w:t>
      </w:r>
      <w:r w:rsidRPr="00B34016">
        <w:t xml:space="preserve">in Chapters 4 and 5, young people </w:t>
      </w:r>
      <w:r w:rsidR="007F2124" w:rsidRPr="00B34016">
        <w:t>might want</w:t>
      </w:r>
      <w:r w:rsidRPr="00B34016">
        <w:t xml:space="preserve"> to </w:t>
      </w:r>
      <w:r w:rsidR="00AB5EEA" w:rsidRPr="00B34016">
        <w:t>be</w:t>
      </w:r>
      <w:r w:rsidRPr="00B34016">
        <w:t xml:space="preserve"> recognised as being adult</w:t>
      </w:r>
      <w:r w:rsidR="007E6C3E" w:rsidRPr="00B34016">
        <w:t xml:space="preserve"> and therefore </w:t>
      </w:r>
      <w:r w:rsidR="0099219E" w:rsidRPr="00B34016">
        <w:t xml:space="preserve">able to </w:t>
      </w:r>
      <w:r w:rsidR="007E6C3E" w:rsidRPr="00B34016">
        <w:t>take part in decision-making processes</w:t>
      </w:r>
      <w:r w:rsidRPr="00B34016">
        <w:t>,</w:t>
      </w:r>
      <w:r w:rsidR="00952DDE" w:rsidRPr="00B34016">
        <w:t xml:space="preserve"> </w:t>
      </w:r>
      <w:r w:rsidR="00AB5EEA" w:rsidRPr="00B34016">
        <w:t xml:space="preserve">however </w:t>
      </w:r>
      <w:r w:rsidRPr="00B34016">
        <w:t xml:space="preserve">being accepted as adult or adult </w:t>
      </w:r>
      <w:r w:rsidR="007F2124" w:rsidRPr="00B34016">
        <w:t>‘</w:t>
      </w:r>
      <w:r w:rsidRPr="00B34016">
        <w:t>enough</w:t>
      </w:r>
      <w:r w:rsidR="007F2124" w:rsidRPr="00B34016">
        <w:t>’</w:t>
      </w:r>
      <w:r w:rsidRPr="00B34016">
        <w:t xml:space="preserve"> will depend on ‘different contexts’ (Jones and Wallace, 1992, p. 4). Whilst young people may feel able and prepared to take a greater role in their lives, adults around them may continue </w:t>
      </w:r>
      <w:r w:rsidR="007F2124" w:rsidRPr="00B34016">
        <w:t xml:space="preserve">to </w:t>
      </w:r>
      <w:r w:rsidRPr="00B34016">
        <w:t>position them as immature and unready for the responsibility of taking key decisions</w:t>
      </w:r>
      <w:r w:rsidR="004B0396" w:rsidRPr="00B34016">
        <w:t xml:space="preserve"> regardless of age</w:t>
      </w:r>
      <w:r w:rsidRPr="00B34016">
        <w:t xml:space="preserve"> (Pole, Pilcher and Williams, 2005). In recognition of this </w:t>
      </w:r>
      <w:r w:rsidRPr="00B34016">
        <w:lastRenderedPageBreak/>
        <w:t xml:space="preserve">tension between </w:t>
      </w:r>
      <w:r w:rsidR="006508F3" w:rsidRPr="00B34016">
        <w:t xml:space="preserve">lived </w:t>
      </w:r>
      <w:r w:rsidRPr="00B34016">
        <w:t xml:space="preserve">experiences and </w:t>
      </w:r>
      <w:r w:rsidR="006508F3" w:rsidRPr="00B34016">
        <w:t xml:space="preserve">social work </w:t>
      </w:r>
      <w:r w:rsidRPr="00B34016">
        <w:t>systems</w:t>
      </w:r>
      <w:r w:rsidR="00AE2C43" w:rsidRPr="00B34016">
        <w:t xml:space="preserve"> as they approached legal adulthood</w:t>
      </w:r>
      <w:r w:rsidRPr="00B34016">
        <w:t>, the young p</w:t>
      </w:r>
      <w:r w:rsidR="006D4E07" w:rsidRPr="00B34016">
        <w:t>eople</w:t>
      </w:r>
      <w:r w:rsidRPr="00B34016">
        <w:t xml:space="preserve">’s decision-making is located within the practice and legislative context of their </w:t>
      </w:r>
      <w:r w:rsidR="005323AA" w:rsidRPr="00B34016">
        <w:t xml:space="preserve">chronological </w:t>
      </w:r>
      <w:r w:rsidRPr="00B34016">
        <w:t>age to examine these dynamics.</w:t>
      </w:r>
      <w:r w:rsidR="00EE5C66" w:rsidRPr="00B34016">
        <w:t xml:space="preserve"> </w:t>
      </w:r>
    </w:p>
    <w:p w14:paraId="0BE176C9" w14:textId="387979EB" w:rsidR="00937944" w:rsidRDefault="00AB5EEA" w:rsidP="00665C7A">
      <w:r w:rsidRPr="00B34016">
        <w:t xml:space="preserve">The tensions already described </w:t>
      </w:r>
      <w:r w:rsidR="00DD23A3" w:rsidRPr="00B34016">
        <w:t xml:space="preserve">about age and decision-making are </w:t>
      </w:r>
      <w:r w:rsidR="00A4423E" w:rsidRPr="00B34016">
        <w:t xml:space="preserve">exemplified by the application of statutory </w:t>
      </w:r>
      <w:r w:rsidR="00EB1937" w:rsidRPr="00B34016">
        <w:t>responsibilities</w:t>
      </w:r>
      <w:r w:rsidR="00A4423E" w:rsidRPr="00B34016">
        <w:t xml:space="preserve"> to </w:t>
      </w:r>
      <w:r w:rsidR="00EB1937" w:rsidRPr="00B34016">
        <w:t>the involve</w:t>
      </w:r>
      <w:r w:rsidR="009356B8" w:rsidRPr="00B34016">
        <w:t>ment</w:t>
      </w:r>
      <w:r w:rsidR="00EB1937" w:rsidRPr="00B34016">
        <w:t xml:space="preserve"> of young people. For </w:t>
      </w:r>
      <w:r w:rsidR="00FE39B8" w:rsidRPr="00B34016">
        <w:t>example,</w:t>
      </w:r>
      <w:r w:rsidR="00EB1937" w:rsidRPr="00B34016">
        <w:t xml:space="preserve"> although the </w:t>
      </w:r>
      <w:r w:rsidR="00EB1937" w:rsidRPr="00B34016">
        <w:rPr>
          <w:i/>
          <w:iCs/>
        </w:rPr>
        <w:t>Mental Capacity Act 2005</w:t>
      </w:r>
      <w:r w:rsidR="00EB1937" w:rsidRPr="00B34016">
        <w:t xml:space="preserve"> outlines expectations that young people over 16</w:t>
      </w:r>
      <w:r w:rsidR="00FE39B8" w:rsidRPr="00B34016">
        <w:t xml:space="preserve"> years</w:t>
      </w:r>
      <w:r w:rsidR="00EB1937" w:rsidRPr="00B34016">
        <w:t xml:space="preserve"> have assumed capacity to make decisions</w:t>
      </w:r>
      <w:r w:rsidR="00FE39B8" w:rsidRPr="00B34016">
        <w:t xml:space="preserve">, </w:t>
      </w:r>
      <w:r w:rsidR="00EB1937" w:rsidRPr="00B34016">
        <w:t xml:space="preserve">the </w:t>
      </w:r>
      <w:r w:rsidR="00EB1937" w:rsidRPr="00B34016">
        <w:rPr>
          <w:i/>
          <w:iCs/>
        </w:rPr>
        <w:t>Children Act 1989</w:t>
      </w:r>
      <w:r w:rsidR="00EB1937" w:rsidRPr="00B34016">
        <w:t xml:space="preserve"> </w:t>
      </w:r>
      <w:r w:rsidR="00551440" w:rsidRPr="00B34016">
        <w:t>expressly expects the involvement of children</w:t>
      </w:r>
      <w:r w:rsidR="009356B8" w:rsidRPr="00B34016">
        <w:t xml:space="preserve"> to take account of age </w:t>
      </w:r>
      <w:r w:rsidR="009356B8" w:rsidRPr="00B34016">
        <w:rPr>
          <w:i/>
          <w:iCs/>
        </w:rPr>
        <w:t>and</w:t>
      </w:r>
      <w:r w:rsidR="009356B8" w:rsidRPr="00B34016">
        <w:t xml:space="preserve"> ability when being involved in decision-making</w:t>
      </w:r>
      <w:r w:rsidR="009356B8" w:rsidRPr="00B34016">
        <w:rPr>
          <w:b/>
          <w:bCs/>
        </w:rPr>
        <w:t>.</w:t>
      </w:r>
      <w:r w:rsidR="00457422" w:rsidRPr="00B34016">
        <w:t xml:space="preserve"> </w:t>
      </w:r>
      <w:r w:rsidR="00A25266" w:rsidRPr="00B34016">
        <w:t>Bringing</w:t>
      </w:r>
      <w:r w:rsidR="00A25266">
        <w:t xml:space="preserve"> together the application of </w:t>
      </w:r>
      <w:r w:rsidR="00A25266" w:rsidRPr="00A25266">
        <w:rPr>
          <w:i/>
          <w:iCs/>
        </w:rPr>
        <w:t>Staying Put</w:t>
      </w:r>
      <w:r w:rsidR="00A25266">
        <w:t xml:space="preserve"> with experience of making </w:t>
      </w:r>
      <w:r w:rsidR="00BF0F1D">
        <w:t xml:space="preserve">decisions </w:t>
      </w:r>
      <w:r w:rsidR="00197AB3">
        <w:t xml:space="preserve">unpicks how </w:t>
      </w:r>
      <w:r w:rsidR="00AB18E6">
        <w:t>young people e</w:t>
      </w:r>
      <w:r w:rsidR="00197AB3">
        <w:t>xperience</w:t>
      </w:r>
      <w:r w:rsidR="00AB18E6">
        <w:t xml:space="preserve"> these tensions</w:t>
      </w:r>
      <w:r w:rsidR="00E11FE6">
        <w:t>, specifically</w:t>
      </w:r>
      <w:r w:rsidR="00197AB3">
        <w:t xml:space="preserve"> in light of the </w:t>
      </w:r>
      <w:r w:rsidR="00937944" w:rsidRPr="00734808">
        <w:t xml:space="preserve">inclusion of the service user’s perspective in health and social care </w:t>
      </w:r>
      <w:r w:rsidR="004B4107">
        <w:t xml:space="preserve">which </w:t>
      </w:r>
      <w:r w:rsidR="00937944" w:rsidRPr="00734808">
        <w:t xml:space="preserve">has accelerated in the last 20 years, with </w:t>
      </w:r>
      <w:r w:rsidR="006B0ECD">
        <w:t xml:space="preserve">service </w:t>
      </w:r>
      <w:r w:rsidR="00937944" w:rsidRPr="00734808">
        <w:t xml:space="preserve">user groups being at the forefront of this change (Beresford, 2017). Whilst the involvement of service users in </w:t>
      </w:r>
      <w:r w:rsidR="00DC59B2">
        <w:t>decision-making</w:t>
      </w:r>
      <w:r w:rsidR="00937944" w:rsidRPr="00734808">
        <w:t xml:space="preserve"> and service design has become more commonplace, </w:t>
      </w:r>
      <w:r w:rsidR="00937944">
        <w:t>it</w:t>
      </w:r>
      <w:r w:rsidR="00937944" w:rsidRPr="00734808">
        <w:t xml:space="preserve"> is not a straightforward marker of progress in </w:t>
      </w:r>
      <w:r w:rsidR="00F0010F">
        <w:t>increased</w:t>
      </w:r>
      <w:r w:rsidR="00937944" w:rsidRPr="00734808">
        <w:t xml:space="preserve"> participation. Gallagher et al. (2012) note</w:t>
      </w:r>
      <w:r w:rsidR="006B0ECD">
        <w:t>d</w:t>
      </w:r>
      <w:r w:rsidR="00937944" w:rsidRPr="00734808">
        <w:t xml:space="preserve"> that whilst duties and responsibilities to involve service users are embedded into legislation and policy, the range of language</w:t>
      </w:r>
      <w:r w:rsidR="00937944">
        <w:t xml:space="preserve"> – </w:t>
      </w:r>
      <w:r w:rsidR="00937944" w:rsidRPr="00734808">
        <w:t>from engagement and involvement to consultation and personalisation</w:t>
      </w:r>
      <w:r w:rsidR="00440E01">
        <w:t xml:space="preserve"> –</w:t>
      </w:r>
      <w:r w:rsidR="00F0010F">
        <w:t xml:space="preserve"> </w:t>
      </w:r>
      <w:r w:rsidR="00937944" w:rsidRPr="00734808">
        <w:t xml:space="preserve">reflects the ongoing power </w:t>
      </w:r>
      <w:r w:rsidR="00AF3725">
        <w:t>relations</w:t>
      </w:r>
      <w:r w:rsidR="00937944" w:rsidRPr="00734808">
        <w:t xml:space="preserve"> between the user of the service and the service itself. Within social work this tension is further exacerbated by the involuntary nature of a person’s relationship</w:t>
      </w:r>
      <w:r w:rsidR="00F0010F">
        <w:t xml:space="preserve"> with services</w:t>
      </w:r>
      <w:r w:rsidR="00937944" w:rsidRPr="00734808">
        <w:t xml:space="preserve">, where the extent of an individual’s involvement </w:t>
      </w:r>
      <w:r w:rsidR="00440E01">
        <w:t xml:space="preserve">with a service </w:t>
      </w:r>
      <w:r w:rsidR="00937944" w:rsidRPr="00734808">
        <w:t xml:space="preserve">is dependent on mitigating </w:t>
      </w:r>
      <w:r w:rsidR="00440E01">
        <w:t>factors</w:t>
      </w:r>
      <w:r w:rsidR="00937944" w:rsidRPr="00734808">
        <w:t xml:space="preserve"> such as assessment</w:t>
      </w:r>
      <w:r w:rsidR="00440E01">
        <w:t xml:space="preserve"> </w:t>
      </w:r>
      <w:r w:rsidR="00937944" w:rsidRPr="00734808">
        <w:t>of risk factors</w:t>
      </w:r>
      <w:r w:rsidR="00937944">
        <w:t>,</w:t>
      </w:r>
      <w:r w:rsidR="00937944" w:rsidRPr="00734808">
        <w:t xml:space="preserve"> or their </w:t>
      </w:r>
      <w:r w:rsidR="00141033">
        <w:t xml:space="preserve">assessed </w:t>
      </w:r>
      <w:r w:rsidR="00937944" w:rsidRPr="00734808">
        <w:t xml:space="preserve">capacity to participate </w:t>
      </w:r>
      <w:r w:rsidR="00F0010F">
        <w:t xml:space="preserve">in social work processes </w:t>
      </w:r>
      <w:r w:rsidR="00937944" w:rsidRPr="00734808">
        <w:t>(Leeson, 2007).</w:t>
      </w:r>
    </w:p>
    <w:p w14:paraId="0B2C1BAE" w14:textId="167A623C" w:rsidR="001E3B3F" w:rsidRDefault="00F766F6">
      <w:r>
        <w:t>The right</w:t>
      </w:r>
      <w:r w:rsidR="006B78CA">
        <w:t>s</w:t>
      </w:r>
      <w:r>
        <w:t xml:space="preserve"> of a child or young person to </w:t>
      </w:r>
      <w:r w:rsidR="006B78CA">
        <w:t>express their views about matters tha</w:t>
      </w:r>
      <w:r w:rsidR="006D4E07">
        <w:t>t</w:t>
      </w:r>
      <w:r w:rsidR="006B78CA">
        <w:t xml:space="preserve"> concern them, </w:t>
      </w:r>
      <w:r>
        <w:t>is underpinned by Article 12</w:t>
      </w:r>
      <w:r w:rsidR="006B78CA">
        <w:t xml:space="preserve"> of the </w:t>
      </w:r>
      <w:r w:rsidR="006B78CA" w:rsidRPr="006B78CA">
        <w:rPr>
          <w:i/>
          <w:iCs/>
        </w:rPr>
        <w:t xml:space="preserve">United Nations Convention on the Rights of the Child </w:t>
      </w:r>
      <w:r w:rsidR="006B78CA" w:rsidRPr="00B34016">
        <w:rPr>
          <w:i/>
          <w:iCs/>
        </w:rPr>
        <w:t>1999</w:t>
      </w:r>
      <w:r w:rsidR="00271F8C" w:rsidRPr="00B34016">
        <w:t xml:space="preserve"> and stipulated in the </w:t>
      </w:r>
      <w:r w:rsidR="00271F8C" w:rsidRPr="00B34016">
        <w:rPr>
          <w:i/>
          <w:iCs/>
        </w:rPr>
        <w:t>Children Act 1989</w:t>
      </w:r>
      <w:r w:rsidR="00271F8C" w:rsidRPr="00B34016">
        <w:t xml:space="preserve"> and for</w:t>
      </w:r>
      <w:r w:rsidR="0006614E" w:rsidRPr="00B34016">
        <w:t xml:space="preserve"> older children, </w:t>
      </w:r>
      <w:r w:rsidR="0006614E" w:rsidRPr="00B34016">
        <w:rPr>
          <w:i/>
          <w:iCs/>
        </w:rPr>
        <w:t>the Mental Capacity Act 2005</w:t>
      </w:r>
      <w:r w:rsidR="006B78CA" w:rsidRPr="00B34016">
        <w:rPr>
          <w:i/>
          <w:iCs/>
        </w:rPr>
        <w:t xml:space="preserve">. </w:t>
      </w:r>
      <w:r w:rsidR="000033AC" w:rsidRPr="00B34016">
        <w:t>By extension</w:t>
      </w:r>
      <w:r w:rsidR="000033AC">
        <w:t xml:space="preserve"> a child or young person has a right to participate in decisions about their lives, which requires recognition of ‘children as subjects rather than merely recipients of adult protective care’ (Lansdown, 2001, p. 93).</w:t>
      </w:r>
      <w:r>
        <w:t xml:space="preserve"> </w:t>
      </w:r>
      <w:r w:rsidR="00937944">
        <w:t xml:space="preserve">In Thomas and O’Kane’s (1999) article about children’s </w:t>
      </w:r>
      <w:r w:rsidR="00DC59B2">
        <w:t>decision-making</w:t>
      </w:r>
      <w:r w:rsidR="00B5748C">
        <w:t xml:space="preserve"> in the late 1990s</w:t>
      </w:r>
      <w:r w:rsidR="00937944">
        <w:t xml:space="preserve">, they concluded that both children and adults view </w:t>
      </w:r>
      <w:r w:rsidR="00DC59B2">
        <w:t>decision-making</w:t>
      </w:r>
      <w:r w:rsidR="00937944">
        <w:t xml:space="preserve"> in multiple ways. They highlighted </w:t>
      </w:r>
      <w:r w:rsidR="00F0010F">
        <w:t>t</w:t>
      </w:r>
      <w:r w:rsidR="00673B53">
        <w:t xml:space="preserve">he </w:t>
      </w:r>
      <w:r w:rsidR="00937944">
        <w:t>attitudes of children can range from assertive involvement where the child believes they should have a say, to avoidant where the child f</w:t>
      </w:r>
      <w:r w:rsidR="00F0010F">
        <w:t>inds</w:t>
      </w:r>
      <w:r w:rsidR="00937944">
        <w:t xml:space="preserve"> making decisions difficult (</w:t>
      </w:r>
      <w:r w:rsidR="00673B53">
        <w:t xml:space="preserve">Thomas and O’Kane, 1999, </w:t>
      </w:r>
      <w:r w:rsidR="00937944">
        <w:t xml:space="preserve">p. 382). </w:t>
      </w:r>
      <w:r w:rsidR="00673B53">
        <w:t xml:space="preserve">By contrast Thomas and O’Kane found that </w:t>
      </w:r>
      <w:r w:rsidR="00937944" w:rsidRPr="005721EB">
        <w:t xml:space="preserve">adults </w:t>
      </w:r>
      <w:r w:rsidR="00673B53">
        <w:t xml:space="preserve">based their decisions about involvement on </w:t>
      </w:r>
      <w:r w:rsidR="00937944" w:rsidRPr="005721EB">
        <w:t>clinical, bu</w:t>
      </w:r>
      <w:r w:rsidR="00937944">
        <w:t>re</w:t>
      </w:r>
      <w:r w:rsidR="00937944" w:rsidRPr="005721EB">
        <w:t xml:space="preserve">aucratic and value-based </w:t>
      </w:r>
      <w:r w:rsidR="00673B53">
        <w:t>factors</w:t>
      </w:r>
      <w:r w:rsidR="00937944">
        <w:t xml:space="preserve"> (</w:t>
      </w:r>
      <w:r w:rsidR="00937944" w:rsidRPr="005721EB">
        <w:t>Thomas and O’Kane</w:t>
      </w:r>
      <w:r w:rsidR="00937944">
        <w:t xml:space="preserve">, </w:t>
      </w:r>
      <w:r w:rsidR="00937944" w:rsidRPr="005721EB">
        <w:t>1999</w:t>
      </w:r>
      <w:r w:rsidR="00937944">
        <w:t>)</w:t>
      </w:r>
      <w:r w:rsidR="00937944" w:rsidRPr="005721EB">
        <w:t>.</w:t>
      </w:r>
      <w:r w:rsidR="00937944">
        <w:t xml:space="preserve"> </w:t>
      </w:r>
      <w:r w:rsidR="00673B53">
        <w:lastRenderedPageBreak/>
        <w:t xml:space="preserve">In their </w:t>
      </w:r>
      <w:r w:rsidR="00B5748C">
        <w:t xml:space="preserve">more recent </w:t>
      </w:r>
      <w:r w:rsidR="00673B53">
        <w:t xml:space="preserve">study about participation with young people in and leaving care, </w:t>
      </w:r>
      <w:r w:rsidR="00673B53" w:rsidRPr="005721EB">
        <w:t>Dixon, Ward and Blower</w:t>
      </w:r>
      <w:r w:rsidR="00673B53">
        <w:t xml:space="preserve"> (</w:t>
      </w:r>
      <w:r w:rsidR="00673B53" w:rsidRPr="005721EB">
        <w:t>2019</w:t>
      </w:r>
      <w:r w:rsidR="00673B53">
        <w:t xml:space="preserve">) found that those who </w:t>
      </w:r>
      <w:r w:rsidR="00937944">
        <w:t>question</w:t>
      </w:r>
      <w:r w:rsidR="00673B53">
        <w:t>ed</w:t>
      </w:r>
      <w:r w:rsidR="00937944">
        <w:t xml:space="preserve"> a child’s readiness for making or contributing to decisions </w:t>
      </w:r>
      <w:r w:rsidR="00673B53">
        <w:t xml:space="preserve">contributed to a </w:t>
      </w:r>
      <w:r w:rsidR="00937944" w:rsidRPr="005721EB">
        <w:t>paradox</w:t>
      </w:r>
      <w:r w:rsidR="00673B53">
        <w:t xml:space="preserve">ical situation where children were both </w:t>
      </w:r>
      <w:r w:rsidR="00937944" w:rsidRPr="005721EB">
        <w:t>denied a say in what happens to them</w:t>
      </w:r>
      <w:r w:rsidR="00937944">
        <w:t xml:space="preserve"> whilst simultaneously</w:t>
      </w:r>
      <w:r w:rsidR="00937944" w:rsidRPr="005721EB">
        <w:t xml:space="preserve"> </w:t>
      </w:r>
      <w:r w:rsidR="00E36577">
        <w:t>facilitated t</w:t>
      </w:r>
      <w:r w:rsidR="00937944" w:rsidRPr="005721EB">
        <w:t>o repeatedly share personal stories</w:t>
      </w:r>
      <w:r w:rsidR="00035F5C">
        <w:t xml:space="preserve">. </w:t>
      </w:r>
      <w:r w:rsidR="00937944">
        <w:t>In viewing children and young people as an unfinished project</w:t>
      </w:r>
      <w:r w:rsidR="00035F5C">
        <w:t xml:space="preserve"> not ready for the responsibility of a </w:t>
      </w:r>
      <w:r w:rsidR="00341765">
        <w:t>decision</w:t>
      </w:r>
      <w:r w:rsidR="00CF022A">
        <w:t>,</w:t>
      </w:r>
      <w:r w:rsidR="00937944">
        <w:t xml:space="preserve"> an ignorant and/or immature image of a child’s point of view becomes constructed, resulting in their marginalisation from </w:t>
      </w:r>
      <w:r w:rsidR="00B5748C">
        <w:t>decision-making</w:t>
      </w:r>
      <w:r w:rsidR="00937944">
        <w:t xml:space="preserve"> (Mannay et al., 2019).</w:t>
      </w:r>
      <w:r w:rsidR="00F0010F">
        <w:t xml:space="preserve"> </w:t>
      </w:r>
      <w:r w:rsidR="00937944">
        <w:t>Whilst children do not always want to be the ultimate decision maker, they do want to be involved and informed (Morrow, 1999)</w:t>
      </w:r>
      <w:r w:rsidR="001E3B3F">
        <w:t>.</w:t>
      </w:r>
    </w:p>
    <w:p w14:paraId="580DB3E8" w14:textId="0AECE356" w:rsidR="00937944" w:rsidRPr="008B5B78" w:rsidRDefault="00B84E9B">
      <w:pPr>
        <w:pStyle w:val="Heading2"/>
      </w:pPr>
      <w:bookmarkStart w:id="9" w:name="_Toc101108466"/>
      <w:r>
        <w:t xml:space="preserve">Personal Context </w:t>
      </w:r>
      <w:r w:rsidR="0037147E">
        <w:t>and Rationale</w:t>
      </w:r>
      <w:bookmarkEnd w:id="9"/>
    </w:p>
    <w:p w14:paraId="73E4CA9A" w14:textId="2BDAD463" w:rsidR="00937944" w:rsidRDefault="00937944" w:rsidP="008E4AF2">
      <w:r>
        <w:t>Th</w:t>
      </w:r>
      <w:r w:rsidR="00A77665">
        <w:t>is</w:t>
      </w:r>
      <w:r>
        <w:t xml:space="preserve"> study is framed by two areas of practice that have featured in my </w:t>
      </w:r>
      <w:r w:rsidR="00035F5C">
        <w:t xml:space="preserve">social care and social work </w:t>
      </w:r>
      <w:r>
        <w:t xml:space="preserve">career to </w:t>
      </w:r>
      <w:r w:rsidR="004B444C">
        <w:t>date: f</w:t>
      </w:r>
      <w:r>
        <w:t xml:space="preserve">irst the role of children and young people in </w:t>
      </w:r>
      <w:r w:rsidR="00DC59B2">
        <w:t>decision-making</w:t>
      </w:r>
      <w:r>
        <w:t xml:space="preserve"> and second, the multiple transition points within the care system.</w:t>
      </w:r>
      <w:r w:rsidR="004B444C">
        <w:t xml:space="preserve"> </w:t>
      </w:r>
      <w:r>
        <w:t xml:space="preserve">In various </w:t>
      </w:r>
      <w:r w:rsidR="00B5748C">
        <w:t>roles</w:t>
      </w:r>
      <w:r>
        <w:t xml:space="preserve"> in residential care and statutory services my work has been characterised by a focus on participation. On an individual level or with groups of young people I have</w:t>
      </w:r>
      <w:r w:rsidRPr="00C75B7C">
        <w:t xml:space="preserve"> involve</w:t>
      </w:r>
      <w:r>
        <w:t>d</w:t>
      </w:r>
      <w:r w:rsidRPr="00C75B7C">
        <w:t xml:space="preserve"> children and young people in </w:t>
      </w:r>
      <w:r>
        <w:t xml:space="preserve">personal decisions and </w:t>
      </w:r>
      <w:r w:rsidR="004A16F0">
        <w:t xml:space="preserve">in </w:t>
      </w:r>
      <w:r w:rsidRPr="00C75B7C">
        <w:t>shaping and reviewing services</w:t>
      </w:r>
      <w:r>
        <w:t xml:space="preserve">. </w:t>
      </w:r>
      <w:r w:rsidR="00B5748C">
        <w:t>A</w:t>
      </w:r>
      <w:r w:rsidR="001C633D">
        <w:t>s a residential worker, social worker, participation manager and service manager</w:t>
      </w:r>
      <w:r>
        <w:t xml:space="preserve">, I </w:t>
      </w:r>
      <w:r w:rsidRPr="006B0ECD">
        <w:rPr>
          <w:color w:val="000000" w:themeColor="text1"/>
        </w:rPr>
        <w:t xml:space="preserve">became aware of the </w:t>
      </w:r>
      <w:r w:rsidR="00EF5465">
        <w:rPr>
          <w:color w:val="000000" w:themeColor="text1"/>
        </w:rPr>
        <w:t>diverse</w:t>
      </w:r>
      <w:r w:rsidRPr="006B0ECD">
        <w:rPr>
          <w:color w:val="000000" w:themeColor="text1"/>
        </w:rPr>
        <w:t xml:space="preserve"> attitudes and responses across the profession</w:t>
      </w:r>
      <w:r w:rsidR="001B0634">
        <w:rPr>
          <w:color w:val="000000" w:themeColor="text1"/>
        </w:rPr>
        <w:t xml:space="preserve"> to the involvement of children and young people</w:t>
      </w:r>
      <w:r w:rsidRPr="006B0ECD">
        <w:rPr>
          <w:color w:val="000000" w:themeColor="text1"/>
        </w:rPr>
        <w:t xml:space="preserve">. It was during </w:t>
      </w:r>
      <w:r>
        <w:t>these experiences that I questioned the gaps between the rhetoric of involvement and day</w:t>
      </w:r>
      <w:r w:rsidR="00597FC1">
        <w:t>-</w:t>
      </w:r>
      <w:r>
        <w:t>to</w:t>
      </w:r>
      <w:r w:rsidR="00597FC1">
        <w:t>-</w:t>
      </w:r>
      <w:r>
        <w:t>day practice</w:t>
      </w:r>
      <w:r w:rsidR="005B524B">
        <w:t xml:space="preserve">, specifically </w:t>
      </w:r>
      <w:r>
        <w:t xml:space="preserve">the way that power manifested in these interactions. </w:t>
      </w:r>
      <w:r w:rsidRPr="008B5F11">
        <w:t xml:space="preserve">Undoubtedly </w:t>
      </w:r>
      <w:r w:rsidR="004A16F0">
        <w:t>my participation</w:t>
      </w:r>
      <w:r w:rsidRPr="008B5F11">
        <w:t xml:space="preserve"> experiences contributed to </w:t>
      </w:r>
      <w:r>
        <w:t>the emphasis on</w:t>
      </w:r>
      <w:r w:rsidR="004A16F0">
        <w:t xml:space="preserve"> issues of power</w:t>
      </w:r>
      <w:r>
        <w:t xml:space="preserve"> in the approach I </w:t>
      </w:r>
      <w:r w:rsidR="005B524B">
        <w:t>have taken</w:t>
      </w:r>
      <w:r>
        <w:t xml:space="preserve"> when thinking about the </w:t>
      </w:r>
      <w:r w:rsidRPr="006E3485">
        <w:rPr>
          <w:i/>
          <w:iCs/>
        </w:rPr>
        <w:t>Staying Put</w:t>
      </w:r>
      <w:r>
        <w:t xml:space="preserve"> duty.</w:t>
      </w:r>
    </w:p>
    <w:p w14:paraId="646DBF6A" w14:textId="6C762DF7" w:rsidR="00CF022A" w:rsidRDefault="00937944" w:rsidP="008E4AF2">
      <w:r>
        <w:t xml:space="preserve">When I first started this </w:t>
      </w:r>
      <w:r w:rsidR="00EF5465">
        <w:t>p</w:t>
      </w:r>
      <w:r>
        <w:t xml:space="preserve">rofessional </w:t>
      </w:r>
      <w:r w:rsidR="00EF5465">
        <w:t>d</w:t>
      </w:r>
      <w:r>
        <w:t xml:space="preserve">octorate, I divided my time between </w:t>
      </w:r>
      <w:r w:rsidR="007B73EA">
        <w:t>my job as a lecturer</w:t>
      </w:r>
      <w:r>
        <w:t xml:space="preserve"> and my head of service role in a local authority. As a manager, I was part of a working group to trial </w:t>
      </w:r>
      <w:r w:rsidRPr="006E3485">
        <w:rPr>
          <w:i/>
          <w:iCs/>
        </w:rPr>
        <w:t>Staying Put</w:t>
      </w:r>
      <w:r>
        <w:t xml:space="preserve"> during the pilot stage in 2008. </w:t>
      </w:r>
      <w:r w:rsidR="001C633D">
        <w:t>The</w:t>
      </w:r>
      <w:r>
        <w:t xml:space="preserve"> local authority</w:t>
      </w:r>
      <w:r w:rsidR="001C633D">
        <w:t xml:space="preserve"> where I worked</w:t>
      </w:r>
      <w:r>
        <w:t xml:space="preserve"> committed to the scheme outside of the pilot as</w:t>
      </w:r>
      <w:r w:rsidR="00CF022A">
        <w:t>,</w:t>
      </w:r>
      <w:r>
        <w:t xml:space="preserve"> like many local authorities</w:t>
      </w:r>
      <w:r w:rsidR="00CF022A">
        <w:t>,</w:t>
      </w:r>
      <w:r>
        <w:t xml:space="preserve"> there was an appetite to develop new projects on the back of </w:t>
      </w:r>
      <w:r w:rsidR="0018772B">
        <w:t>g</w:t>
      </w:r>
      <w:r w:rsidR="001C633D">
        <w:t>overnment</w:t>
      </w:r>
      <w:r>
        <w:t xml:space="preserve"> </w:t>
      </w:r>
      <w:r w:rsidR="001C633D">
        <w:t>innovation fund</w:t>
      </w:r>
      <w:r w:rsidR="00AF3725">
        <w:t>ed</w:t>
      </w:r>
      <w:r w:rsidR="001C633D">
        <w:t xml:space="preserve"> </w:t>
      </w:r>
      <w:r>
        <w:t xml:space="preserve">programmes </w:t>
      </w:r>
      <w:r w:rsidR="0037147E">
        <w:t>such as</w:t>
      </w:r>
      <w:r>
        <w:t xml:space="preserve"> </w:t>
      </w:r>
      <w:r w:rsidRPr="00923EEA">
        <w:rPr>
          <w:i/>
          <w:iCs/>
        </w:rPr>
        <w:t>Quality Protects</w:t>
      </w:r>
      <w:r w:rsidRPr="00923EEA">
        <w:t xml:space="preserve"> </w:t>
      </w:r>
      <w:r>
        <w:t>and</w:t>
      </w:r>
      <w:r w:rsidRPr="00923EEA">
        <w:t xml:space="preserve"> </w:t>
      </w:r>
      <w:r>
        <w:t xml:space="preserve">the </w:t>
      </w:r>
      <w:r w:rsidRPr="00923EEA">
        <w:rPr>
          <w:i/>
          <w:iCs/>
        </w:rPr>
        <w:t>Children’s Fund</w:t>
      </w:r>
      <w:r w:rsidRPr="00923EEA">
        <w:t xml:space="preserve"> </w:t>
      </w:r>
      <w:r>
        <w:t xml:space="preserve">(Frost and Parton, 2010). Once </w:t>
      </w:r>
      <w:r w:rsidRPr="00F5602B">
        <w:rPr>
          <w:i/>
          <w:iCs/>
        </w:rPr>
        <w:t>Staying Put</w:t>
      </w:r>
      <w:r>
        <w:t xml:space="preserve"> was up and running, I continued to support </w:t>
      </w:r>
      <w:r w:rsidR="00AF3725">
        <w:t xml:space="preserve">fostering </w:t>
      </w:r>
      <w:r>
        <w:t xml:space="preserve">services to develop their </w:t>
      </w:r>
      <w:r w:rsidRPr="00F5602B">
        <w:rPr>
          <w:i/>
          <w:iCs/>
        </w:rPr>
        <w:t>Staying Put</w:t>
      </w:r>
      <w:r>
        <w:t xml:space="preserve"> policies and monitor </w:t>
      </w:r>
      <w:r w:rsidR="0037147E">
        <w:t>the local authority’s</w:t>
      </w:r>
      <w:r>
        <w:t xml:space="preserve"> application of the scheme. </w:t>
      </w:r>
      <w:r w:rsidR="0028027E">
        <w:t>Working alongside</w:t>
      </w:r>
      <w:r>
        <w:t xml:space="preserve"> children in care and leaving care services I recognised the impact of placement moves and changes for young people but only in the context of local practice. Once I joined the university</w:t>
      </w:r>
      <w:r w:rsidR="001C633D">
        <w:t xml:space="preserve"> as a lecturer</w:t>
      </w:r>
      <w:r>
        <w:t xml:space="preserve">, I developed a greater awareness of </w:t>
      </w:r>
      <w:r w:rsidR="001C633D">
        <w:t xml:space="preserve">leaving care </w:t>
      </w:r>
      <w:r w:rsidR="001C633D">
        <w:lastRenderedPageBreak/>
        <w:t>through teaching and wider reading</w:t>
      </w:r>
      <w:r w:rsidR="00AF3725">
        <w:t>, s</w:t>
      </w:r>
      <w:r w:rsidR="001C633D">
        <w:t>pecifically</w:t>
      </w:r>
      <w:r w:rsidR="00AF3725">
        <w:t xml:space="preserve"> </w:t>
      </w:r>
      <w:r w:rsidR="001C633D">
        <w:t xml:space="preserve">the national picture of </w:t>
      </w:r>
      <w:r w:rsidRPr="00C362ED">
        <w:t>young people’s transitions from care</w:t>
      </w:r>
      <w:r w:rsidR="00AF3725">
        <w:t>. I became aware that young people leaving care</w:t>
      </w:r>
      <w:r w:rsidRPr="00C362ED">
        <w:t xml:space="preserve"> </w:t>
      </w:r>
      <w:r>
        <w:t>can be</w:t>
      </w:r>
      <w:r w:rsidRPr="00C362ED">
        <w:t xml:space="preserve"> poorly supported</w:t>
      </w:r>
      <w:r w:rsidR="00AF3725">
        <w:t xml:space="preserve">, which differs from </w:t>
      </w:r>
      <w:r w:rsidRPr="00C362ED">
        <w:t xml:space="preserve">the </w:t>
      </w:r>
      <w:r w:rsidR="004A16F0">
        <w:t xml:space="preserve">experiences </w:t>
      </w:r>
      <w:r w:rsidR="00AF3725">
        <w:t xml:space="preserve">when </w:t>
      </w:r>
      <w:r w:rsidR="005F14C3">
        <w:t xml:space="preserve">moving on from </w:t>
      </w:r>
      <w:r w:rsidR="00AF3725">
        <w:t>a</w:t>
      </w:r>
      <w:r w:rsidR="005F14C3">
        <w:t xml:space="preserve"> birth family</w:t>
      </w:r>
      <w:r w:rsidR="005B524B">
        <w:t>,</w:t>
      </w:r>
      <w:r w:rsidR="005F14C3">
        <w:t xml:space="preserve"> and </w:t>
      </w:r>
      <w:r>
        <w:t xml:space="preserve">that </w:t>
      </w:r>
      <w:r w:rsidRPr="00C362ED">
        <w:t>extending care has been a topic of interest for researchers and policy makers (van Breda et al., 2020).</w:t>
      </w:r>
    </w:p>
    <w:p w14:paraId="64BBEDD0" w14:textId="4DE130A7" w:rsidR="001E3B3F" w:rsidRDefault="00937944" w:rsidP="00931B56">
      <w:r>
        <w:t xml:space="preserve">Undertaking a </w:t>
      </w:r>
      <w:r w:rsidR="00EF5465">
        <w:t>p</w:t>
      </w:r>
      <w:r>
        <w:t xml:space="preserve">rofessional </w:t>
      </w:r>
      <w:r w:rsidR="00EF5465">
        <w:t>d</w:t>
      </w:r>
      <w:r>
        <w:t xml:space="preserve">octorate gave me the opportunity to connect these two areas of interest by exploring the impact of a policy from the recipient’s perspective. Prompted by my experience, it was </w:t>
      </w:r>
      <w:r w:rsidRPr="00C362ED">
        <w:t>important that young people</w:t>
      </w:r>
      <w:r>
        <w:t xml:space="preserve"> were central to my study</w:t>
      </w:r>
      <w:r w:rsidRPr="00C362ED">
        <w:t xml:space="preserve"> </w:t>
      </w:r>
      <w:r w:rsidR="005F14C3">
        <w:t>and</w:t>
      </w:r>
      <w:r>
        <w:t xml:space="preserve"> that I used my opportunity to impact </w:t>
      </w:r>
      <w:r w:rsidR="005F14C3" w:rsidRPr="005F14C3">
        <w:t xml:space="preserve">and contribute to positive changes in </w:t>
      </w:r>
      <w:r>
        <w:t xml:space="preserve">practice with young people leaving care. I was minded that although it is important that children and young people </w:t>
      </w:r>
      <w:r w:rsidRPr="00C362ED">
        <w:t xml:space="preserve">are represented in research </w:t>
      </w:r>
      <w:r>
        <w:t>it is</w:t>
      </w:r>
      <w:r w:rsidRPr="00C362ED">
        <w:t xml:space="preserve"> </w:t>
      </w:r>
      <w:r w:rsidR="004A16F0">
        <w:t xml:space="preserve">also </w:t>
      </w:r>
      <w:r w:rsidRPr="00C362ED">
        <w:t xml:space="preserve">important that messages </w:t>
      </w:r>
      <w:r w:rsidR="005F14C3">
        <w:t xml:space="preserve">and learning from research with young people </w:t>
      </w:r>
      <w:r w:rsidRPr="00C362ED">
        <w:t>are disseminated to effect change</w:t>
      </w:r>
      <w:r w:rsidR="005F14C3">
        <w:t xml:space="preserve"> in practice</w:t>
      </w:r>
      <w:r w:rsidRPr="00C362ED">
        <w:t xml:space="preserve"> (Mannay et al</w:t>
      </w:r>
      <w:r w:rsidR="00015D04">
        <w:t>.</w:t>
      </w:r>
      <w:r w:rsidRPr="00C362ED">
        <w:t>, 2019)</w:t>
      </w:r>
      <w:r>
        <w:t>.</w:t>
      </w:r>
    </w:p>
    <w:p w14:paraId="01C60B9A" w14:textId="7A7558FF" w:rsidR="00937944" w:rsidRPr="008B5B78" w:rsidRDefault="00937944">
      <w:pPr>
        <w:pStyle w:val="Heading2"/>
      </w:pPr>
      <w:bookmarkStart w:id="10" w:name="_Toc101108467"/>
      <w:r>
        <w:t xml:space="preserve">Thesis </w:t>
      </w:r>
      <w:r w:rsidRPr="008B5B78">
        <w:t>Structure</w:t>
      </w:r>
      <w:bookmarkEnd w:id="10"/>
    </w:p>
    <w:p w14:paraId="147DC358" w14:textId="28BAA16C" w:rsidR="00937944" w:rsidRDefault="00937944" w:rsidP="008E4AF2">
      <w:r>
        <w:t>The rem</w:t>
      </w:r>
      <w:r w:rsidR="004A16F0">
        <w:t>a</w:t>
      </w:r>
      <w:r>
        <w:t>ining thesis is divided into four parts. Part One</w:t>
      </w:r>
      <w:r w:rsidRPr="000B253B">
        <w:t xml:space="preserve"> includes an overview of the </w:t>
      </w:r>
      <w:r>
        <w:t xml:space="preserve">policy and </w:t>
      </w:r>
      <w:r w:rsidR="005B524B">
        <w:t>reviewed literature</w:t>
      </w:r>
      <w:r w:rsidRPr="000B253B">
        <w:t xml:space="preserve"> </w:t>
      </w:r>
      <w:r>
        <w:t xml:space="preserve">and </w:t>
      </w:r>
      <w:r w:rsidRPr="000B253B">
        <w:t xml:space="preserve">the theoretical </w:t>
      </w:r>
      <w:r>
        <w:t xml:space="preserve">lenses </w:t>
      </w:r>
      <w:r w:rsidRPr="000B253B">
        <w:t xml:space="preserve">informing the </w:t>
      </w:r>
      <w:r>
        <w:t xml:space="preserve">study. In Part Two the research process is outlined followed by Part Three which presents the themes I identified. The concluding </w:t>
      </w:r>
      <w:r w:rsidR="005B524B">
        <w:t>Part Four</w:t>
      </w:r>
      <w:r>
        <w:t xml:space="preserve"> draws </w:t>
      </w:r>
      <w:r w:rsidRPr="000B253B">
        <w:t xml:space="preserve">together </w:t>
      </w:r>
      <w:r>
        <w:t xml:space="preserve">the </w:t>
      </w:r>
      <w:r w:rsidRPr="000B253B">
        <w:t xml:space="preserve">discussion, </w:t>
      </w:r>
      <w:r>
        <w:t xml:space="preserve">reflection, </w:t>
      </w:r>
      <w:r w:rsidRPr="000B253B">
        <w:t>conclusions and implications for</w:t>
      </w:r>
      <w:r>
        <w:t xml:space="preserve"> </w:t>
      </w:r>
      <w:r w:rsidR="004A16F0">
        <w:t xml:space="preserve">policy and </w:t>
      </w:r>
      <w:r w:rsidRPr="000B253B">
        <w:t>practice</w:t>
      </w:r>
      <w:r>
        <w:t>.</w:t>
      </w:r>
    </w:p>
    <w:p w14:paraId="37BBCFF3" w14:textId="44C70D59" w:rsidR="00937944" w:rsidRDefault="00937944" w:rsidP="007C51DB">
      <w:pPr>
        <w:pStyle w:val="Heading3"/>
      </w:pPr>
      <w:r>
        <w:t>Part One</w:t>
      </w:r>
      <w:r w:rsidR="008431BA">
        <w:t xml:space="preserve">: </w:t>
      </w:r>
      <w:r w:rsidRPr="00E2626A">
        <w:rPr>
          <w:i/>
          <w:iCs/>
        </w:rPr>
        <w:t>Staying Put</w:t>
      </w:r>
      <w:r>
        <w:t xml:space="preserve"> in Context</w:t>
      </w:r>
    </w:p>
    <w:p w14:paraId="26DED101" w14:textId="509E154C" w:rsidR="00937944" w:rsidRDefault="00937944" w:rsidP="008E4AF2">
      <w:r>
        <w:t xml:space="preserve">Part One starts with the evolving policy context for young people leaving care, leading up to the introduction of </w:t>
      </w:r>
      <w:r w:rsidRPr="00E2626A">
        <w:rPr>
          <w:i/>
          <w:iCs/>
        </w:rPr>
        <w:t>Staying Put</w:t>
      </w:r>
      <w:r>
        <w:t xml:space="preserve"> in the </w:t>
      </w:r>
      <w:r w:rsidRPr="00B5748C">
        <w:rPr>
          <w:i/>
          <w:iCs/>
        </w:rPr>
        <w:t>Children and Families Act 2014</w:t>
      </w:r>
      <w:r>
        <w:t xml:space="preserve">. The current practice environment is then briefly discussed in </w:t>
      </w:r>
      <w:r w:rsidR="00995899" w:rsidRPr="00995899">
        <w:t>C</w:t>
      </w:r>
      <w:r w:rsidRPr="00995899">
        <w:t>hapter</w:t>
      </w:r>
      <w:r w:rsidR="00995899" w:rsidRPr="00995899">
        <w:t xml:space="preserve"> 3</w:t>
      </w:r>
      <w:r w:rsidRPr="00995899">
        <w:t>, highlighting</w:t>
      </w:r>
      <w:r>
        <w:t xml:space="preserve"> the challenges and issues impacting contemporary social work</w:t>
      </w:r>
      <w:r w:rsidRPr="00995899">
        <w:t>. Chapter</w:t>
      </w:r>
      <w:r w:rsidR="00995899" w:rsidRPr="00995899">
        <w:t xml:space="preserve"> 4</w:t>
      </w:r>
      <w:r w:rsidRPr="00995899">
        <w:t xml:space="preserve"> moves</w:t>
      </w:r>
      <w:r>
        <w:t xml:space="preserve"> on to </w:t>
      </w:r>
      <w:r w:rsidRPr="00EA69F0">
        <w:t>focus</w:t>
      </w:r>
      <w:r>
        <w:t xml:space="preserve"> on the </w:t>
      </w:r>
      <w:r w:rsidR="005B524B">
        <w:t>literature reviewed which</w:t>
      </w:r>
      <w:r>
        <w:t xml:space="preserve"> inform</w:t>
      </w:r>
      <w:r w:rsidR="005B524B">
        <w:t>ed</w:t>
      </w:r>
      <w:r>
        <w:t xml:space="preserve"> the study, including the thinking about young people’s involvement in decisions and the corpus of work about the leaving care experience. The final chapter in Part One details </w:t>
      </w:r>
      <w:r w:rsidRPr="00EA69F0">
        <w:t>the theor</w:t>
      </w:r>
      <w:r>
        <w:t>ies used to frame and u</w:t>
      </w:r>
      <w:r w:rsidRPr="00EA69F0">
        <w:t>nderpin</w:t>
      </w:r>
      <w:r>
        <w:t xml:space="preserve"> </w:t>
      </w:r>
      <w:r w:rsidRPr="00EA69F0">
        <w:t>my</w:t>
      </w:r>
      <w:r>
        <w:t xml:space="preserve"> stud</w:t>
      </w:r>
      <w:r w:rsidRPr="00EA69F0">
        <w:t xml:space="preserve">y. </w:t>
      </w:r>
      <w:r>
        <w:t xml:space="preserve">First, Foucault’s </w:t>
      </w:r>
      <w:r w:rsidR="005F14C3">
        <w:t>theories</w:t>
      </w:r>
      <w:r>
        <w:t xml:space="preserve"> o</w:t>
      </w:r>
      <w:r w:rsidR="008D552C">
        <w:t>f</w:t>
      </w:r>
      <w:r>
        <w:t xml:space="preserve"> power </w:t>
      </w:r>
      <w:r w:rsidR="005F14C3">
        <w:t xml:space="preserve">are </w:t>
      </w:r>
      <w:r>
        <w:t>introduced, outlining some of the core ideas used to inform my thinking</w:t>
      </w:r>
      <w:r w:rsidR="005F14C3">
        <w:t xml:space="preserve"> and analysis</w:t>
      </w:r>
      <w:r>
        <w:t xml:space="preserve">. The chapter then moves on to conceptualisations of childhood and how these ideas relate to </w:t>
      </w:r>
      <w:r w:rsidRPr="00EA69F0">
        <w:t>young people’s agency</w:t>
      </w:r>
      <w:r>
        <w:t xml:space="preserve"> </w:t>
      </w:r>
      <w:r w:rsidRPr="00EA69F0">
        <w:t>and</w:t>
      </w:r>
      <w:r>
        <w:t xml:space="preserve"> </w:t>
      </w:r>
      <w:r w:rsidRPr="00EA69F0">
        <w:t>discourse</w:t>
      </w:r>
      <w:r>
        <w:t xml:space="preserve"> about participation.</w:t>
      </w:r>
    </w:p>
    <w:p w14:paraId="4D04DA05" w14:textId="07EBD296" w:rsidR="00937944" w:rsidRDefault="00937944" w:rsidP="007C51DB">
      <w:pPr>
        <w:pStyle w:val="Heading3"/>
      </w:pPr>
      <w:r>
        <w:t>Part Two</w:t>
      </w:r>
      <w:r w:rsidR="008431BA">
        <w:t xml:space="preserve">: </w:t>
      </w:r>
      <w:r>
        <w:t>The Research Process</w:t>
      </w:r>
    </w:p>
    <w:p w14:paraId="4E2CD6AB" w14:textId="0F12D635" w:rsidR="00937944" w:rsidRDefault="00937944" w:rsidP="008E4AF2">
      <w:r w:rsidRPr="005B524B">
        <w:t xml:space="preserve">Part Two describes how I conducted the study, starting with </w:t>
      </w:r>
      <w:r w:rsidR="005B524B">
        <w:t>m</w:t>
      </w:r>
      <w:r w:rsidRPr="005B524B">
        <w:t>y research position and methodology</w:t>
      </w:r>
      <w:r w:rsidR="005B524B">
        <w:t xml:space="preserve">, </w:t>
      </w:r>
      <w:r w:rsidRPr="005B524B">
        <w:t xml:space="preserve">followed by </w:t>
      </w:r>
      <w:r w:rsidR="004A16F0" w:rsidRPr="005B524B">
        <w:t>the</w:t>
      </w:r>
      <w:r w:rsidRPr="005B524B">
        <w:t xml:space="preserve"> methods of data collection</w:t>
      </w:r>
      <w:r w:rsidR="005B524B">
        <w:t xml:space="preserve"> and ethical considerations</w:t>
      </w:r>
      <w:r w:rsidRPr="005B524B">
        <w:t xml:space="preserve">. Part </w:t>
      </w:r>
      <w:r w:rsidR="00995899" w:rsidRPr="005B524B">
        <w:lastRenderedPageBreak/>
        <w:t>T</w:t>
      </w:r>
      <w:r w:rsidRPr="005B524B">
        <w:t xml:space="preserve">wo concludes with detail about the use of </w:t>
      </w:r>
      <w:r w:rsidR="005B524B">
        <w:t>constructivist</w:t>
      </w:r>
      <w:r w:rsidRPr="005B524B">
        <w:t xml:space="preserve"> thematic analysis to examine the data.</w:t>
      </w:r>
    </w:p>
    <w:p w14:paraId="562249B5" w14:textId="0F20DF4B" w:rsidR="00937944" w:rsidRDefault="00937944" w:rsidP="007C51DB">
      <w:pPr>
        <w:pStyle w:val="Heading3"/>
      </w:pPr>
      <w:r>
        <w:t>Part Three</w:t>
      </w:r>
      <w:r w:rsidR="008431BA">
        <w:t xml:space="preserve">: </w:t>
      </w:r>
      <w:r>
        <w:t>Identified Themes</w:t>
      </w:r>
    </w:p>
    <w:p w14:paraId="7C7283AF" w14:textId="1B8B28C7" w:rsidR="00937944" w:rsidRDefault="004A16F0" w:rsidP="008E4AF2">
      <w:r w:rsidRPr="003B6A2F">
        <w:t xml:space="preserve">Each chapter in </w:t>
      </w:r>
      <w:r w:rsidR="00937944" w:rsidRPr="003B6A2F">
        <w:t>Part Three present</w:t>
      </w:r>
      <w:r w:rsidRPr="003B6A2F">
        <w:t xml:space="preserve">s a </w:t>
      </w:r>
      <w:r w:rsidR="00937944" w:rsidRPr="003B6A2F">
        <w:t>key theme identified from the interviews with young people. Chapter</w:t>
      </w:r>
      <w:r w:rsidR="00995899" w:rsidRPr="003B6A2F">
        <w:t xml:space="preserve"> </w:t>
      </w:r>
      <w:r w:rsidR="00DC59B2" w:rsidRPr="003B6A2F">
        <w:t>7</w:t>
      </w:r>
      <w:r w:rsidR="00937944" w:rsidRPr="003B6A2F">
        <w:t xml:space="preserve"> focuses on the issue of </w:t>
      </w:r>
      <w:r w:rsidR="003B6A2F" w:rsidRPr="003B6A2F">
        <w:t xml:space="preserve">situated </w:t>
      </w:r>
      <w:r w:rsidR="00937944" w:rsidRPr="003B6A2F">
        <w:t>agency</w:t>
      </w:r>
      <w:r w:rsidR="00995899" w:rsidRPr="003B6A2F">
        <w:t xml:space="preserve"> and</w:t>
      </w:r>
      <w:r w:rsidR="00937944" w:rsidRPr="003B6A2F">
        <w:t xml:space="preserve"> considers the young people’s overall involvement in </w:t>
      </w:r>
      <w:r w:rsidR="00DC59B2" w:rsidRPr="003B6A2F">
        <w:t>decision-making</w:t>
      </w:r>
      <w:r w:rsidR="00937944" w:rsidRPr="003B6A2F">
        <w:t xml:space="preserve"> and how they contextualised their experience of deciding whether or not to stay put. In </w:t>
      </w:r>
      <w:r w:rsidR="00995899" w:rsidRPr="003B6A2F">
        <w:t>C</w:t>
      </w:r>
      <w:r w:rsidR="00937944" w:rsidRPr="003B6A2F">
        <w:t>hapter</w:t>
      </w:r>
      <w:r w:rsidR="00995899" w:rsidRPr="003B6A2F">
        <w:t xml:space="preserve"> </w:t>
      </w:r>
      <w:r w:rsidR="00DC59B2" w:rsidRPr="003B6A2F">
        <w:t>8</w:t>
      </w:r>
      <w:r w:rsidR="00937944" w:rsidRPr="003B6A2F">
        <w:t xml:space="preserve"> the </w:t>
      </w:r>
      <w:r w:rsidR="003B6A2F" w:rsidRPr="003B6A2F">
        <w:t xml:space="preserve">theme of misalignment between young people and their support systems </w:t>
      </w:r>
      <w:r w:rsidRPr="003B6A2F">
        <w:t>is</w:t>
      </w:r>
      <w:r w:rsidR="00937944" w:rsidRPr="003B6A2F">
        <w:t xml:space="preserve"> explored, </w:t>
      </w:r>
      <w:r w:rsidR="007C3C1B" w:rsidRPr="003B6A2F">
        <w:t>and</w:t>
      </w:r>
      <w:r w:rsidR="00937944" w:rsidRPr="003B6A2F">
        <w:t xml:space="preserve"> the role professionals take in providing or withholding information about </w:t>
      </w:r>
      <w:r w:rsidR="0037147E" w:rsidRPr="003B6A2F">
        <w:t>the young person’s</w:t>
      </w:r>
      <w:r w:rsidR="00937944" w:rsidRPr="003B6A2F">
        <w:t xml:space="preserve"> options. The final chapter in </w:t>
      </w:r>
      <w:r w:rsidRPr="003B6A2F">
        <w:t>P</w:t>
      </w:r>
      <w:r w:rsidR="00937944" w:rsidRPr="003B6A2F">
        <w:t>art</w:t>
      </w:r>
      <w:r w:rsidRPr="003B6A2F">
        <w:t xml:space="preserve"> Three</w:t>
      </w:r>
      <w:r w:rsidR="00937944" w:rsidRPr="003B6A2F">
        <w:t xml:space="preserve"> concentrates on the feelings of young people during the period leading up to their 18</w:t>
      </w:r>
      <w:r w:rsidR="00937944" w:rsidRPr="003B6A2F">
        <w:rPr>
          <w:vertAlign w:val="superscript"/>
        </w:rPr>
        <w:t>th</w:t>
      </w:r>
      <w:r w:rsidR="00937944" w:rsidRPr="003B6A2F">
        <w:t xml:space="preserve"> birthday</w:t>
      </w:r>
      <w:r w:rsidR="00D4208C" w:rsidRPr="003B6A2F">
        <w:t xml:space="preserve"> </w:t>
      </w:r>
      <w:r w:rsidR="003B6A2F" w:rsidRPr="003B6A2F">
        <w:t>and the disjuncture between the lived experiences of young people</w:t>
      </w:r>
      <w:r w:rsidR="003B6A2F">
        <w:t xml:space="preserve"> and the application of the policy is recognised.</w:t>
      </w:r>
    </w:p>
    <w:p w14:paraId="4902D9AA" w14:textId="04590D57" w:rsidR="00937944" w:rsidRDefault="00937944" w:rsidP="007C51DB">
      <w:pPr>
        <w:pStyle w:val="Heading3"/>
      </w:pPr>
      <w:r>
        <w:t>Part Four</w:t>
      </w:r>
      <w:r w:rsidR="008431BA">
        <w:t xml:space="preserve">: </w:t>
      </w:r>
      <w:r>
        <w:t>Interpretation and Messages for Practice</w:t>
      </w:r>
    </w:p>
    <w:p w14:paraId="0D652DC5" w14:textId="74E1601D" w:rsidR="00937944" w:rsidRDefault="00937944" w:rsidP="008E4AF2">
      <w:r>
        <w:t>Within the concluding chapters</w:t>
      </w:r>
      <w:r w:rsidR="003B6A2F">
        <w:t xml:space="preserve"> of Part Four</w:t>
      </w:r>
      <w:r>
        <w:t xml:space="preserve"> I discuss the identified themes in the context of the existing literature and set out </w:t>
      </w:r>
      <w:r w:rsidRPr="004743BF">
        <w:t xml:space="preserve">my contribution to knowledge </w:t>
      </w:r>
      <w:r w:rsidR="008733C5">
        <w:t xml:space="preserve">about young people’s </w:t>
      </w:r>
      <w:r w:rsidR="00DC59B2">
        <w:t>decision-making</w:t>
      </w:r>
      <w:r w:rsidR="008733C5">
        <w:t xml:space="preserve">, </w:t>
      </w:r>
      <w:r w:rsidR="008733C5" w:rsidRPr="008733C5">
        <w:rPr>
          <w:i/>
          <w:iCs/>
        </w:rPr>
        <w:t>Staying Put</w:t>
      </w:r>
      <w:r w:rsidR="008733C5">
        <w:t xml:space="preserve"> and leaving care</w:t>
      </w:r>
      <w:r w:rsidRPr="004743BF">
        <w:t>.</w:t>
      </w:r>
      <w:r>
        <w:t xml:space="preserve"> I also present some of my reflections about the research experience and conclude with recommendations for </w:t>
      </w:r>
      <w:r w:rsidR="00F95DE7">
        <w:t xml:space="preserve">policy and </w:t>
      </w:r>
      <w:r>
        <w:t>practice.</w:t>
      </w:r>
    </w:p>
    <w:p w14:paraId="7D999E54" w14:textId="77777777" w:rsidR="00937944" w:rsidRDefault="00937944" w:rsidP="008E4AF2"/>
    <w:p w14:paraId="7E8FE959" w14:textId="77777777" w:rsidR="000B48A3" w:rsidRPr="000B48A3" w:rsidRDefault="000B48A3" w:rsidP="008E4AF2"/>
    <w:p w14:paraId="6D631457" w14:textId="77777777" w:rsidR="000B48A3" w:rsidRDefault="000B48A3" w:rsidP="00931B56"/>
    <w:p w14:paraId="1F9F5E4C" w14:textId="5444C5BF" w:rsidR="00DF33A5" w:rsidRDefault="00DF33A5">
      <w:pPr>
        <w:rPr>
          <w:rFonts w:eastAsiaTheme="majorEastAsia"/>
          <w:color w:val="2F5496" w:themeColor="accent1" w:themeShade="BF"/>
          <w:sz w:val="32"/>
          <w:szCs w:val="32"/>
        </w:rPr>
      </w:pPr>
      <w:r>
        <w:br w:type="page"/>
      </w:r>
    </w:p>
    <w:p w14:paraId="1EABD008" w14:textId="37037E3E" w:rsidR="009E444D" w:rsidRDefault="00DF33A5" w:rsidP="00301A3B">
      <w:pPr>
        <w:pStyle w:val="Heading1"/>
      </w:pPr>
      <w:bookmarkStart w:id="11" w:name="_Toc101108468"/>
      <w:r w:rsidRPr="00DF33A5">
        <w:lastRenderedPageBreak/>
        <w:t xml:space="preserve">Part </w:t>
      </w:r>
      <w:r w:rsidR="005F668A">
        <w:t>One</w:t>
      </w:r>
      <w:r w:rsidRPr="00DF33A5">
        <w:t>: Staying Put in Context</w:t>
      </w:r>
      <w:bookmarkEnd w:id="11"/>
    </w:p>
    <w:p w14:paraId="084EA634" w14:textId="2746F2F5" w:rsidR="00DF33A5" w:rsidRPr="00DF33A5" w:rsidRDefault="00DF33A5">
      <w:pPr>
        <w:rPr>
          <w:lang w:eastAsia="en-GB"/>
        </w:rPr>
      </w:pPr>
      <w:r w:rsidRPr="00937944">
        <w:rPr>
          <w:lang w:eastAsia="en-GB"/>
        </w:rPr>
        <w:t xml:space="preserve">Part </w:t>
      </w:r>
      <w:r w:rsidR="005F668A" w:rsidRPr="00937944">
        <w:rPr>
          <w:lang w:eastAsia="en-GB"/>
        </w:rPr>
        <w:t>One</w:t>
      </w:r>
      <w:r w:rsidRPr="00DF33A5">
        <w:rPr>
          <w:lang w:eastAsia="en-GB"/>
        </w:rPr>
        <w:t xml:space="preserve"> of </w:t>
      </w:r>
      <w:r w:rsidR="00937944">
        <w:rPr>
          <w:lang w:eastAsia="en-GB"/>
        </w:rPr>
        <w:t xml:space="preserve">my </w:t>
      </w:r>
      <w:r w:rsidRPr="00DF33A5">
        <w:rPr>
          <w:lang w:eastAsia="en-GB"/>
        </w:rPr>
        <w:t>thesis provides a</w:t>
      </w:r>
      <w:r w:rsidR="00F95DE7">
        <w:rPr>
          <w:lang w:eastAsia="en-GB"/>
        </w:rPr>
        <w:t>n overview</w:t>
      </w:r>
      <w:r w:rsidRPr="00DF33A5">
        <w:rPr>
          <w:lang w:eastAsia="en-GB"/>
        </w:rPr>
        <w:t xml:space="preserve"> of the key subject areas</w:t>
      </w:r>
      <w:r w:rsidR="007C3C1B">
        <w:rPr>
          <w:lang w:eastAsia="en-GB"/>
        </w:rPr>
        <w:t xml:space="preserve"> that </w:t>
      </w:r>
      <w:r w:rsidR="007C3C1B" w:rsidRPr="00DF33A5">
        <w:rPr>
          <w:lang w:eastAsia="en-GB"/>
        </w:rPr>
        <w:t>shape</w:t>
      </w:r>
      <w:r w:rsidR="007C3C1B">
        <w:rPr>
          <w:lang w:eastAsia="en-GB"/>
        </w:rPr>
        <w:t>d</w:t>
      </w:r>
      <w:r w:rsidR="007C3C1B" w:rsidRPr="00DF33A5">
        <w:rPr>
          <w:lang w:eastAsia="en-GB"/>
        </w:rPr>
        <w:t xml:space="preserve"> the </w:t>
      </w:r>
      <w:r w:rsidR="007C3C1B">
        <w:rPr>
          <w:lang w:eastAsia="en-GB"/>
        </w:rPr>
        <w:t xml:space="preserve">focus of the </w:t>
      </w:r>
      <w:r w:rsidR="007C3C1B" w:rsidRPr="00DF33A5">
        <w:rPr>
          <w:lang w:eastAsia="en-GB"/>
        </w:rPr>
        <w:t>research questions</w:t>
      </w:r>
      <w:r w:rsidRPr="00DF33A5">
        <w:rPr>
          <w:lang w:eastAsia="en-GB"/>
        </w:rPr>
        <w:t xml:space="preserve"> </w:t>
      </w:r>
      <w:r w:rsidR="007C3C1B">
        <w:rPr>
          <w:lang w:eastAsia="en-GB"/>
        </w:rPr>
        <w:t xml:space="preserve">and </w:t>
      </w:r>
      <w:r w:rsidRPr="00DF33A5">
        <w:rPr>
          <w:lang w:eastAsia="en-GB"/>
        </w:rPr>
        <w:t>locate</w:t>
      </w:r>
      <w:r w:rsidR="007C3C1B">
        <w:rPr>
          <w:lang w:eastAsia="en-GB"/>
        </w:rPr>
        <w:t>d</w:t>
      </w:r>
      <w:r w:rsidRPr="00DF33A5">
        <w:rPr>
          <w:lang w:eastAsia="en-GB"/>
        </w:rPr>
        <w:t xml:space="preserve"> the study in practice. Interactions between young people, foster carers and </w:t>
      </w:r>
      <w:r w:rsidR="00937944">
        <w:rPr>
          <w:lang w:eastAsia="en-GB"/>
        </w:rPr>
        <w:t>s</w:t>
      </w:r>
      <w:r w:rsidRPr="00DF33A5">
        <w:rPr>
          <w:lang w:eastAsia="en-GB"/>
        </w:rPr>
        <w:t xml:space="preserve">ocial </w:t>
      </w:r>
      <w:r w:rsidR="00937944">
        <w:rPr>
          <w:lang w:eastAsia="en-GB"/>
        </w:rPr>
        <w:t>w</w:t>
      </w:r>
      <w:r w:rsidRPr="00DF33A5">
        <w:rPr>
          <w:lang w:eastAsia="en-GB"/>
        </w:rPr>
        <w:t xml:space="preserve">orkers exist within a broader context shaped by multiple practice and societal factors. In their study about </w:t>
      </w:r>
      <w:r w:rsidR="00AD5245">
        <w:rPr>
          <w:lang w:eastAsia="en-GB"/>
        </w:rPr>
        <w:t xml:space="preserve">theoretical coherence in </w:t>
      </w:r>
      <w:r w:rsidR="00EE1F66" w:rsidRPr="00DF33A5">
        <w:rPr>
          <w:lang w:eastAsia="en-GB"/>
        </w:rPr>
        <w:t>relationship-based</w:t>
      </w:r>
      <w:r w:rsidRPr="00DF33A5">
        <w:rPr>
          <w:lang w:eastAsia="en-GB"/>
        </w:rPr>
        <w:t xml:space="preserve"> practice, Coulter et al</w:t>
      </w:r>
      <w:r w:rsidR="00015D04">
        <w:rPr>
          <w:lang w:eastAsia="en-GB"/>
        </w:rPr>
        <w:t>.</w:t>
      </w:r>
      <w:r w:rsidRPr="00DF33A5">
        <w:rPr>
          <w:lang w:eastAsia="en-GB"/>
        </w:rPr>
        <w:t xml:space="preserve"> (2020) note the value of taking a ‘contemporary systemic approach’ (</w:t>
      </w:r>
      <w:r w:rsidR="007C3C1B">
        <w:rPr>
          <w:lang w:eastAsia="en-GB"/>
        </w:rPr>
        <w:t xml:space="preserve">2020, </w:t>
      </w:r>
      <w:r w:rsidRPr="00DF33A5">
        <w:rPr>
          <w:lang w:eastAsia="en-GB"/>
        </w:rPr>
        <w:t>p.</w:t>
      </w:r>
      <w:r w:rsidR="00B95DD1">
        <w:rPr>
          <w:lang w:eastAsia="en-GB"/>
        </w:rPr>
        <w:t xml:space="preserve"> </w:t>
      </w:r>
      <w:r w:rsidRPr="00DF33A5">
        <w:rPr>
          <w:lang w:eastAsia="en-GB"/>
        </w:rPr>
        <w:t>1221) to foreground the experience of service users within these wider factors.</w:t>
      </w:r>
      <w:r w:rsidR="00AD5245">
        <w:rPr>
          <w:lang w:eastAsia="en-GB"/>
        </w:rPr>
        <w:t xml:space="preserve"> Applying the same principle </w:t>
      </w:r>
      <w:r w:rsidR="00C96EC7">
        <w:rPr>
          <w:lang w:eastAsia="en-GB"/>
        </w:rPr>
        <w:t xml:space="preserve">to this study </w:t>
      </w:r>
      <w:r w:rsidR="00AD5245">
        <w:rPr>
          <w:lang w:eastAsia="en-GB"/>
        </w:rPr>
        <w:t>enable</w:t>
      </w:r>
      <w:r w:rsidR="001A1164">
        <w:rPr>
          <w:lang w:eastAsia="en-GB"/>
        </w:rPr>
        <w:t>d</w:t>
      </w:r>
      <w:r w:rsidR="00AD5245">
        <w:rPr>
          <w:lang w:eastAsia="en-GB"/>
        </w:rPr>
        <w:t xml:space="preserve"> e</w:t>
      </w:r>
      <w:r w:rsidRPr="00DF33A5">
        <w:rPr>
          <w:lang w:eastAsia="en-GB"/>
        </w:rPr>
        <w:t>xplor</w:t>
      </w:r>
      <w:r w:rsidR="00AD5245">
        <w:rPr>
          <w:lang w:eastAsia="en-GB"/>
        </w:rPr>
        <w:t>ation of</w:t>
      </w:r>
      <w:r w:rsidRPr="00DF33A5">
        <w:rPr>
          <w:lang w:eastAsia="en-GB"/>
        </w:rPr>
        <w:t xml:space="preserve"> different threads to create a sense of the interplay between the elements impacting on the decision </w:t>
      </w:r>
      <w:r w:rsidR="00F95DE7">
        <w:rPr>
          <w:lang w:eastAsia="en-GB"/>
        </w:rPr>
        <w:t xml:space="preserve">made by young people </w:t>
      </w:r>
      <w:r w:rsidRPr="00DF33A5">
        <w:rPr>
          <w:lang w:eastAsia="en-GB"/>
        </w:rPr>
        <w:t xml:space="preserve">at the heart of this research about </w:t>
      </w:r>
      <w:r w:rsidRPr="00EE1F66">
        <w:rPr>
          <w:i/>
          <w:iCs/>
          <w:lang w:eastAsia="en-GB"/>
        </w:rPr>
        <w:t>Staying Put.</w:t>
      </w:r>
      <w:r w:rsidR="00402B23">
        <w:rPr>
          <w:i/>
          <w:iCs/>
          <w:lang w:eastAsia="en-GB"/>
        </w:rPr>
        <w:t xml:space="preserve"> </w:t>
      </w:r>
      <w:r w:rsidR="00402B23" w:rsidRPr="00402B23">
        <w:rPr>
          <w:lang w:eastAsia="en-GB"/>
        </w:rPr>
        <w:t>The issues have been presente</w:t>
      </w:r>
      <w:r w:rsidR="00402B23">
        <w:rPr>
          <w:lang w:eastAsia="en-GB"/>
        </w:rPr>
        <w:t>d in separate chapters to reflect the multiple</w:t>
      </w:r>
      <w:r w:rsidR="007C3C1B">
        <w:rPr>
          <w:lang w:eastAsia="en-GB"/>
        </w:rPr>
        <w:t xml:space="preserve"> influences</w:t>
      </w:r>
      <w:r w:rsidR="00402B23">
        <w:rPr>
          <w:lang w:eastAsia="en-GB"/>
        </w:rPr>
        <w:t xml:space="preserve"> impacting on a social worker’s day-to-day work, and consequently the young person’s experience. </w:t>
      </w:r>
    </w:p>
    <w:p w14:paraId="731D9785" w14:textId="77BF4CD5" w:rsidR="00DF33A5" w:rsidRDefault="00DF33A5">
      <w:pPr>
        <w:rPr>
          <w:lang w:eastAsia="en-GB"/>
        </w:rPr>
      </w:pPr>
      <w:r w:rsidRPr="00DF33A5">
        <w:rPr>
          <w:lang w:eastAsia="en-GB"/>
        </w:rPr>
        <w:t>The first chapter</w:t>
      </w:r>
      <w:r>
        <w:rPr>
          <w:lang w:eastAsia="en-GB"/>
        </w:rPr>
        <w:t xml:space="preserve"> in </w:t>
      </w:r>
      <w:r w:rsidR="00EE1F66">
        <w:rPr>
          <w:lang w:eastAsia="en-GB"/>
        </w:rPr>
        <w:t>Part One</w:t>
      </w:r>
      <w:r w:rsidRPr="00DF33A5">
        <w:rPr>
          <w:lang w:eastAsia="en-GB"/>
        </w:rPr>
        <w:t xml:space="preserve"> sets out the significant legislation and policy developments in services for young people leaving care, highlighting the pathway for the development of </w:t>
      </w:r>
      <w:r w:rsidRPr="00EE1F66">
        <w:rPr>
          <w:i/>
          <w:iCs/>
          <w:lang w:eastAsia="en-GB"/>
        </w:rPr>
        <w:t>Staying Put</w:t>
      </w:r>
      <w:r w:rsidRPr="00DF33A5">
        <w:rPr>
          <w:lang w:eastAsia="en-GB"/>
        </w:rPr>
        <w:t>. The next chapter outlines current discussions in social work, touching on some of the broader issues in contemporary social work practice</w:t>
      </w:r>
      <w:r w:rsidR="00BF558F">
        <w:rPr>
          <w:lang w:eastAsia="en-GB"/>
        </w:rPr>
        <w:t xml:space="preserve"> with</w:t>
      </w:r>
      <w:r w:rsidR="00BF558F" w:rsidRPr="00DF33A5">
        <w:rPr>
          <w:lang w:eastAsia="en-GB"/>
        </w:rPr>
        <w:t xml:space="preserve"> </w:t>
      </w:r>
      <w:r w:rsidR="00BF558F" w:rsidRPr="00A63286">
        <w:rPr>
          <w:i/>
          <w:iCs/>
          <w:lang w:eastAsia="en-GB"/>
        </w:rPr>
        <w:t>looked after</w:t>
      </w:r>
      <w:r w:rsidR="00BF558F" w:rsidRPr="00DF33A5">
        <w:rPr>
          <w:lang w:eastAsia="en-GB"/>
        </w:rPr>
        <w:t xml:space="preserve"> children and young people</w:t>
      </w:r>
      <w:r w:rsidRPr="00995899">
        <w:rPr>
          <w:lang w:eastAsia="en-GB"/>
        </w:rPr>
        <w:t xml:space="preserve">. Chapter </w:t>
      </w:r>
      <w:r w:rsidR="00995899" w:rsidRPr="00995899">
        <w:rPr>
          <w:lang w:eastAsia="en-GB"/>
        </w:rPr>
        <w:t xml:space="preserve">4 </w:t>
      </w:r>
      <w:r w:rsidRPr="00995899">
        <w:rPr>
          <w:lang w:eastAsia="en-GB"/>
        </w:rPr>
        <w:t>of Part</w:t>
      </w:r>
      <w:r w:rsidR="00A63286" w:rsidRPr="00995899">
        <w:rPr>
          <w:lang w:eastAsia="en-GB"/>
        </w:rPr>
        <w:t xml:space="preserve"> One</w:t>
      </w:r>
      <w:r w:rsidRPr="00DF33A5">
        <w:rPr>
          <w:lang w:eastAsia="en-GB"/>
        </w:rPr>
        <w:t xml:space="preserve"> concentrates on the research </w:t>
      </w:r>
      <w:r w:rsidR="00BF558F">
        <w:rPr>
          <w:lang w:eastAsia="en-GB"/>
        </w:rPr>
        <w:t>reviewed about</w:t>
      </w:r>
      <w:r w:rsidRPr="00DF33A5">
        <w:rPr>
          <w:lang w:eastAsia="en-GB"/>
        </w:rPr>
        <w:t xml:space="preserve"> young people’s experiences of </w:t>
      </w:r>
      <w:r w:rsidR="00DC59B2">
        <w:rPr>
          <w:lang w:eastAsia="en-GB"/>
        </w:rPr>
        <w:t>decision-making</w:t>
      </w:r>
      <w:r w:rsidRPr="00DF33A5">
        <w:rPr>
          <w:lang w:eastAsia="en-GB"/>
        </w:rPr>
        <w:t xml:space="preserve"> </w:t>
      </w:r>
      <w:r w:rsidRPr="00B34016">
        <w:rPr>
          <w:lang w:eastAsia="en-GB"/>
        </w:rPr>
        <w:t xml:space="preserve">in the care system. The final chapter in </w:t>
      </w:r>
      <w:r w:rsidR="00A63286" w:rsidRPr="00B34016">
        <w:rPr>
          <w:lang w:eastAsia="en-GB"/>
        </w:rPr>
        <w:t>P</w:t>
      </w:r>
      <w:r w:rsidRPr="00B34016">
        <w:rPr>
          <w:lang w:eastAsia="en-GB"/>
        </w:rPr>
        <w:t xml:space="preserve">art </w:t>
      </w:r>
      <w:r w:rsidR="00A63286" w:rsidRPr="00B34016">
        <w:rPr>
          <w:lang w:eastAsia="en-GB"/>
        </w:rPr>
        <w:t>One</w:t>
      </w:r>
      <w:r w:rsidRPr="00B34016">
        <w:rPr>
          <w:lang w:eastAsia="en-GB"/>
        </w:rPr>
        <w:t xml:space="preserve"> sets out the theoretical framework for this study</w:t>
      </w:r>
      <w:r w:rsidR="00C96EC7" w:rsidRPr="00B34016">
        <w:rPr>
          <w:lang w:eastAsia="en-GB"/>
        </w:rPr>
        <w:t>, bringing together th</w:t>
      </w:r>
      <w:r w:rsidR="003B04EE" w:rsidRPr="00B34016">
        <w:rPr>
          <w:lang w:eastAsia="en-GB"/>
        </w:rPr>
        <w:t xml:space="preserve">ree elements of theory bound by their </w:t>
      </w:r>
      <w:r w:rsidR="00350AB5" w:rsidRPr="00B34016">
        <w:rPr>
          <w:lang w:eastAsia="en-GB"/>
        </w:rPr>
        <w:t xml:space="preserve">discursive </w:t>
      </w:r>
      <w:r w:rsidR="00BB3D6A" w:rsidRPr="00B34016">
        <w:rPr>
          <w:lang w:eastAsia="en-GB"/>
        </w:rPr>
        <w:t>underpinnings</w:t>
      </w:r>
      <w:r w:rsidR="00F108E3" w:rsidRPr="00B34016">
        <w:rPr>
          <w:lang w:eastAsia="en-GB"/>
        </w:rPr>
        <w:t>.</w:t>
      </w:r>
    </w:p>
    <w:p w14:paraId="75F35F8D" w14:textId="77777777" w:rsidR="00A63286" w:rsidRDefault="00A63286">
      <w:pPr>
        <w:rPr>
          <w:lang w:eastAsia="en-GB"/>
        </w:rPr>
      </w:pPr>
    </w:p>
    <w:p w14:paraId="2E6E8047" w14:textId="77777777" w:rsidR="00A63286" w:rsidRDefault="00A63286">
      <w:pPr>
        <w:rPr>
          <w:lang w:eastAsia="en-GB"/>
        </w:rPr>
      </w:pPr>
    </w:p>
    <w:p w14:paraId="784D23B8" w14:textId="77777777" w:rsidR="00A63286" w:rsidRDefault="00A63286">
      <w:pPr>
        <w:rPr>
          <w:lang w:eastAsia="en-GB"/>
        </w:rPr>
      </w:pPr>
    </w:p>
    <w:p w14:paraId="01F46C52" w14:textId="77777777" w:rsidR="00A63286" w:rsidRDefault="00A63286">
      <w:pPr>
        <w:rPr>
          <w:lang w:eastAsia="en-GB"/>
        </w:rPr>
      </w:pPr>
    </w:p>
    <w:p w14:paraId="3A7A4A93" w14:textId="77777777" w:rsidR="00A63286" w:rsidRDefault="00A63286">
      <w:pPr>
        <w:rPr>
          <w:lang w:eastAsia="en-GB"/>
        </w:rPr>
      </w:pPr>
    </w:p>
    <w:p w14:paraId="0C88F64D" w14:textId="77777777" w:rsidR="00A63286" w:rsidRDefault="00A63286">
      <w:pPr>
        <w:rPr>
          <w:lang w:eastAsia="en-GB"/>
        </w:rPr>
      </w:pPr>
    </w:p>
    <w:p w14:paraId="0E630273" w14:textId="77777777" w:rsidR="00A63286" w:rsidRDefault="00A63286">
      <w:pPr>
        <w:rPr>
          <w:lang w:eastAsia="en-GB"/>
        </w:rPr>
      </w:pPr>
    </w:p>
    <w:p w14:paraId="10098440" w14:textId="0DB697CA" w:rsidR="00D8364B" w:rsidRPr="00445EDF" w:rsidRDefault="00A63286" w:rsidP="00127FD5">
      <w:pPr>
        <w:pStyle w:val="ChapterHeading1"/>
      </w:pPr>
      <w:r>
        <w:rPr>
          <w:lang w:eastAsia="en-GB"/>
        </w:rPr>
        <w:br w:type="page"/>
      </w:r>
      <w:bookmarkStart w:id="12" w:name="_Toc101108469"/>
      <w:r w:rsidR="00D8364B">
        <w:lastRenderedPageBreak/>
        <w:t xml:space="preserve">Chapter 2: </w:t>
      </w:r>
      <w:r w:rsidR="002F7F16">
        <w:t>Policy Context</w:t>
      </w:r>
      <w:bookmarkEnd w:id="12"/>
    </w:p>
    <w:p w14:paraId="5E5D7262" w14:textId="100AA90F" w:rsidR="00D8364B" w:rsidRDefault="003640A9">
      <w:pPr>
        <w:pStyle w:val="Heading2"/>
      </w:pPr>
      <w:bookmarkStart w:id="13" w:name="_Toc101108470"/>
      <w:r>
        <w:t xml:space="preserve">Chapter </w:t>
      </w:r>
      <w:r w:rsidR="00D8364B">
        <w:t>Introduction</w:t>
      </w:r>
      <w:bookmarkEnd w:id="13"/>
    </w:p>
    <w:p w14:paraId="48A71EB7" w14:textId="6CC6F614" w:rsidR="00D8364B" w:rsidRDefault="00D8364B">
      <w:r>
        <w:t xml:space="preserve">This chapter sets out the policy context for my study. As </w:t>
      </w:r>
      <w:r w:rsidR="00F95DE7">
        <w:t xml:space="preserve">the </w:t>
      </w:r>
      <w:r>
        <w:t xml:space="preserve">focus is on </w:t>
      </w:r>
      <w:r w:rsidRPr="00445EDF">
        <w:rPr>
          <w:i/>
          <w:iCs/>
        </w:rPr>
        <w:t>Staying Put</w:t>
      </w:r>
      <w:r>
        <w:t xml:space="preserve"> rather than the broader role of children’s social work, attention is given to the evolution of leaving care legislation with some reference to the wider transformation of social care services</w:t>
      </w:r>
      <w:r w:rsidR="00AD5245">
        <w:t xml:space="preserve"> for children and young people</w:t>
      </w:r>
      <w:r>
        <w:t xml:space="preserve">. Whilst media coverage and everyday discourse reduces all aspects of </w:t>
      </w:r>
      <w:r w:rsidR="00635948">
        <w:t>children’s</w:t>
      </w:r>
      <w:r w:rsidR="00AD5245">
        <w:t>’</w:t>
      </w:r>
      <w:r>
        <w:t xml:space="preserve"> services to the task of child protection (Parton, 2014</w:t>
      </w:r>
      <w:r w:rsidRPr="00C82AE9">
        <w:t xml:space="preserve">), legislation and policy relating to changes for children in care is a broad field and </w:t>
      </w:r>
      <w:r w:rsidRPr="00445EDF">
        <w:rPr>
          <w:i/>
          <w:iCs/>
        </w:rPr>
        <w:t>Staying Put</w:t>
      </w:r>
      <w:r w:rsidRPr="00C82AE9">
        <w:t xml:space="preserve"> is only one measure of a range of interventions at the end of a</w:t>
      </w:r>
      <w:r>
        <w:t xml:space="preserve"> child’s</w:t>
      </w:r>
      <w:r w:rsidRPr="00C82AE9">
        <w:t xml:space="preserve"> care pathway.</w:t>
      </w:r>
      <w:r>
        <w:t xml:space="preserve"> </w:t>
      </w:r>
      <w:r w:rsidR="00AD5245">
        <w:t>U</w:t>
      </w:r>
      <w:r>
        <w:t xml:space="preserve">ntil 2014, leaving care legislation made no distinction between those young people moving on from foster care, residential </w:t>
      </w:r>
      <w:r w:rsidR="00C06852">
        <w:t>care,</w:t>
      </w:r>
      <w:r>
        <w:t xml:space="preserve"> or other care placements. </w:t>
      </w:r>
      <w:r w:rsidRPr="00445EDF">
        <w:rPr>
          <w:i/>
          <w:iCs/>
        </w:rPr>
        <w:t>Staying Put</w:t>
      </w:r>
      <w:r>
        <w:t xml:space="preserve"> is the first policy aimed at young people leaving foster care.</w:t>
      </w:r>
    </w:p>
    <w:p w14:paraId="4E521B89" w14:textId="5DDB3FEB" w:rsidR="00D8364B" w:rsidRPr="00635948" w:rsidRDefault="00D8364B">
      <w:pPr>
        <w:rPr>
          <w:highlight w:val="yellow"/>
        </w:rPr>
      </w:pPr>
      <w:r>
        <w:t>Social work policy is subject to several ongoing influences, including:</w:t>
      </w:r>
    </w:p>
    <w:p w14:paraId="3EF7346E" w14:textId="55A4F4D3" w:rsidR="00D8364B" w:rsidRPr="00D8364B" w:rsidRDefault="00D8364B" w:rsidP="00B3304A">
      <w:pPr>
        <w:pStyle w:val="ListParagraph"/>
        <w:numPr>
          <w:ilvl w:val="0"/>
          <w:numId w:val="10"/>
        </w:numPr>
      </w:pPr>
      <w:r w:rsidRPr="00D8364B">
        <w:t>Politically advocated rational-technical approaches to right perceived wrongs in the system (Featherstone, et al</w:t>
      </w:r>
      <w:r w:rsidR="00015D04">
        <w:t>.</w:t>
      </w:r>
      <w:r w:rsidRPr="00D8364B">
        <w:t>, 2018).</w:t>
      </w:r>
    </w:p>
    <w:p w14:paraId="2CA33BC0" w14:textId="77777777" w:rsidR="00D8364B" w:rsidRPr="00D8364B" w:rsidRDefault="00D8364B" w:rsidP="00B3304A">
      <w:pPr>
        <w:pStyle w:val="ListParagraph"/>
        <w:numPr>
          <w:ilvl w:val="0"/>
          <w:numId w:val="10"/>
        </w:numPr>
      </w:pPr>
      <w:r w:rsidRPr="00D8364B">
        <w:t>Measures taken in response to pervading concerns about risk (Munro, 2011).</w:t>
      </w:r>
    </w:p>
    <w:p w14:paraId="0D37FBC9" w14:textId="77777777" w:rsidR="00D8364B" w:rsidRPr="00D8364B" w:rsidRDefault="00D8364B" w:rsidP="00B3304A">
      <w:pPr>
        <w:pStyle w:val="ListParagraph"/>
        <w:numPr>
          <w:ilvl w:val="0"/>
          <w:numId w:val="10"/>
        </w:numPr>
      </w:pPr>
      <w:r w:rsidRPr="00D8364B">
        <w:t>Changes in response to ‘hostile media’ reporting and interplay between coverage and political posturing (Warner, 2014, p. 1638).</w:t>
      </w:r>
    </w:p>
    <w:p w14:paraId="37C308FD" w14:textId="77777777" w:rsidR="00D8364B" w:rsidRPr="00D8364B" w:rsidRDefault="00D8364B" w:rsidP="00B3304A">
      <w:pPr>
        <w:pStyle w:val="ListParagraph"/>
        <w:numPr>
          <w:ilvl w:val="0"/>
          <w:numId w:val="10"/>
        </w:numPr>
      </w:pPr>
      <w:r w:rsidRPr="00D8364B">
        <w:t xml:space="preserve">Social change (Evans and Keating, 2015). </w:t>
      </w:r>
    </w:p>
    <w:p w14:paraId="424DD9A8" w14:textId="3FC56819" w:rsidR="00D8364B" w:rsidRDefault="007B73EA" w:rsidP="008E4AF2">
      <w:r>
        <w:t>T</w:t>
      </w:r>
      <w:r w:rsidR="00F95DE7">
        <w:t>hese</w:t>
      </w:r>
      <w:r>
        <w:t xml:space="preserve"> political and social </w:t>
      </w:r>
      <w:r w:rsidR="00F95DE7">
        <w:t xml:space="preserve">influences </w:t>
      </w:r>
      <w:r w:rsidR="00D8364B">
        <w:t>combine to determine how social work will operate and translate policy into action (Denney, 1998).</w:t>
      </w:r>
      <w:r w:rsidR="00635948">
        <w:t xml:space="preserve"> </w:t>
      </w:r>
      <w:r w:rsidR="00635948" w:rsidRPr="00635948">
        <w:t xml:space="preserve">Changes to legislation </w:t>
      </w:r>
      <w:r w:rsidR="00635948">
        <w:t>resulting from</w:t>
      </w:r>
      <w:r w:rsidR="00635948" w:rsidRPr="00635948">
        <w:t xml:space="preserve"> political, </w:t>
      </w:r>
      <w:r w:rsidR="007B709C" w:rsidRPr="00635948">
        <w:t>economic,</w:t>
      </w:r>
      <w:r w:rsidR="00635948" w:rsidRPr="00635948">
        <w:t xml:space="preserve"> and social factors </w:t>
      </w:r>
      <w:r w:rsidR="00635948">
        <w:t xml:space="preserve">can </w:t>
      </w:r>
      <w:r w:rsidR="00635948" w:rsidRPr="00635948">
        <w:t>lead to tensions between these external dynamics and</w:t>
      </w:r>
      <w:r w:rsidR="007B709C">
        <w:t xml:space="preserve"> challenge</w:t>
      </w:r>
      <w:r w:rsidR="00635948" w:rsidRPr="00635948">
        <w:t xml:space="preserve"> professionally led narratives of a relational based endeavour (Ruch, 2013).</w:t>
      </w:r>
    </w:p>
    <w:p w14:paraId="3D41BE39" w14:textId="13376B44" w:rsidR="00D8364B" w:rsidRDefault="00D8364B" w:rsidP="00931B56">
      <w:r>
        <w:t xml:space="preserve">Whereas many recent changes in children’s social care have occurred following a high-profile injury to or death of a child, the introduction of </w:t>
      </w:r>
      <w:r w:rsidRPr="00445EDF">
        <w:rPr>
          <w:i/>
          <w:iCs/>
        </w:rPr>
        <w:t>Staying Put</w:t>
      </w:r>
      <w:r>
        <w:t xml:space="preserve"> had a more incremental beginning. The chapter starts with a brief overview of changes to legislation relating to leaving </w:t>
      </w:r>
      <w:r w:rsidR="004460AE">
        <w:t>care and</w:t>
      </w:r>
      <w:r>
        <w:t xml:space="preserve"> concludes with the relationship between </w:t>
      </w:r>
      <w:r w:rsidRPr="00445EDF">
        <w:rPr>
          <w:i/>
          <w:iCs/>
        </w:rPr>
        <w:t>Staying Put</w:t>
      </w:r>
      <w:r>
        <w:t xml:space="preserve"> and foster care legislation. This summary serves to highlight the background of </w:t>
      </w:r>
      <w:r w:rsidRPr="00445EDF">
        <w:rPr>
          <w:i/>
          <w:iCs/>
        </w:rPr>
        <w:t>Staying Put</w:t>
      </w:r>
      <w:r>
        <w:t xml:space="preserve"> from a </w:t>
      </w:r>
      <w:r>
        <w:lastRenderedPageBreak/>
        <w:t xml:space="preserve">legislative perspective </w:t>
      </w:r>
      <w:r w:rsidR="00D56FA5">
        <w:t>and</w:t>
      </w:r>
      <w:r>
        <w:t xml:space="preserve"> to underline the complexity of services for fostered young people as they become 18.</w:t>
      </w:r>
    </w:p>
    <w:p w14:paraId="1E2B6D19" w14:textId="03E8FA1D" w:rsidR="00D8364B" w:rsidRDefault="00D8364B" w:rsidP="005C65E8">
      <w:pPr>
        <w:pStyle w:val="Heading2"/>
      </w:pPr>
      <w:bookmarkStart w:id="14" w:name="_Toc101108471"/>
      <w:r>
        <w:t xml:space="preserve">From 1948 </w:t>
      </w:r>
      <w:r w:rsidRPr="005C65E8">
        <w:t>to</w:t>
      </w:r>
      <w:r>
        <w:t xml:space="preserve"> 2014</w:t>
      </w:r>
      <w:bookmarkEnd w:id="14"/>
    </w:p>
    <w:p w14:paraId="29CA573C" w14:textId="12FD45A4" w:rsidR="00D8364B" w:rsidRDefault="00D8364B">
      <w:r>
        <w:t xml:space="preserve">Services for young people leaving care were </w:t>
      </w:r>
      <w:r w:rsidR="007B709C">
        <w:t xml:space="preserve">only </w:t>
      </w:r>
      <w:r>
        <w:t xml:space="preserve">briefly featured in early legislation, for example the </w:t>
      </w:r>
      <w:r w:rsidRPr="00445EDF">
        <w:rPr>
          <w:i/>
          <w:iCs/>
        </w:rPr>
        <w:t>Children Act 1948</w:t>
      </w:r>
      <w:r>
        <w:t xml:space="preserve"> included grants for young people aged 18-21 (s.</w:t>
      </w:r>
      <w:r w:rsidR="008543F9">
        <w:t xml:space="preserve"> </w:t>
      </w:r>
      <w:r>
        <w:t xml:space="preserve">20). Stein (2012) notes that there is scant information about services for </w:t>
      </w:r>
      <w:r w:rsidR="00E16B03">
        <w:t xml:space="preserve">young people leaving </w:t>
      </w:r>
      <w:r>
        <w:t xml:space="preserve">care between the 1948 Act and the 1970s. However, during this period, the age of 18 became an established marker of the transition to adulthood which </w:t>
      </w:r>
      <w:r w:rsidR="007B709C">
        <w:t>became</w:t>
      </w:r>
      <w:r>
        <w:t xml:space="preserve"> reinforced in children’s legislation due to associations with mainstream societal milestones such as marriage, end of military conscription and transition from apprenticeship to adult wages (Stein, 2012). </w:t>
      </w:r>
    </w:p>
    <w:p w14:paraId="45FEA39A" w14:textId="19655330" w:rsidR="00D8364B" w:rsidRDefault="00D8364B">
      <w:r>
        <w:t xml:space="preserve">In the 1960s, further measures to support young people ‘formally in their care’ were introduced by the </w:t>
      </w:r>
      <w:r w:rsidRPr="00445EDF">
        <w:rPr>
          <w:i/>
          <w:iCs/>
        </w:rPr>
        <w:t>Children and Young Persons Act 1963</w:t>
      </w:r>
      <w:r>
        <w:t xml:space="preserve"> (s.</w:t>
      </w:r>
      <w:r w:rsidR="008543F9">
        <w:t xml:space="preserve"> </w:t>
      </w:r>
      <w:r>
        <w:t xml:space="preserve">58). Powers to ‘visit’ and ‘befriend’ young people aged 17-21 marked a change in </w:t>
      </w:r>
      <w:r w:rsidR="007B709C">
        <w:t xml:space="preserve">providing </w:t>
      </w:r>
      <w:r>
        <w:t xml:space="preserve">support prior to the accepted age of adulthood, </w:t>
      </w:r>
      <w:r w:rsidR="007B709C">
        <w:t>possibly</w:t>
      </w:r>
      <w:r>
        <w:t xml:space="preserve"> in recognition of a transition period from public care to independent living. </w:t>
      </w:r>
      <w:r w:rsidR="007B709C">
        <w:t>Later in the 1960s</w:t>
      </w:r>
      <w:r>
        <w:t xml:space="preserve">, The </w:t>
      </w:r>
      <w:r w:rsidRPr="00445EDF">
        <w:rPr>
          <w:i/>
          <w:iCs/>
        </w:rPr>
        <w:t>Seebohm Report</w:t>
      </w:r>
      <w:r>
        <w:t xml:space="preserve"> set out reforms for all social care services and alongside changes to social work with </w:t>
      </w:r>
      <w:r w:rsidR="00997208">
        <w:t>children</w:t>
      </w:r>
      <w:r w:rsidR="00D56FA5">
        <w:t xml:space="preserve">, </w:t>
      </w:r>
      <w:r w:rsidR="007B709C">
        <w:t xml:space="preserve">the report </w:t>
      </w:r>
      <w:r>
        <w:t xml:space="preserve">proposed more comprehensive after care services involving probation and </w:t>
      </w:r>
      <w:r w:rsidR="00AD5245">
        <w:t xml:space="preserve">the transfer of </w:t>
      </w:r>
      <w:r>
        <w:t xml:space="preserve">after care workers into social service departments (House of Commons, 1968). </w:t>
      </w:r>
    </w:p>
    <w:p w14:paraId="5B4694BA" w14:textId="5F350B2A" w:rsidR="00D8364B" w:rsidRDefault="007B709C">
      <w:r>
        <w:t xml:space="preserve">Despite recommendations in the </w:t>
      </w:r>
      <w:r w:rsidRPr="00445EDF">
        <w:rPr>
          <w:i/>
          <w:iCs/>
        </w:rPr>
        <w:t>Seebohm Report</w:t>
      </w:r>
      <w:r>
        <w:t>,</w:t>
      </w:r>
      <w:r w:rsidRPr="00831BDE">
        <w:t xml:space="preserve"> </w:t>
      </w:r>
      <w:r>
        <w:t xml:space="preserve">proposals about leaving care services did not materialise and instead specialist after care became diluted and a lower priority, in favour of higher profile ‘frontline’ social work in the newly bureaucratised departments (Stein, 2012, p. 16). </w:t>
      </w:r>
      <w:r w:rsidR="007B44A8">
        <w:t>Provision included in t</w:t>
      </w:r>
      <w:r w:rsidR="00D8364B" w:rsidRPr="00831BDE">
        <w:t xml:space="preserve">he </w:t>
      </w:r>
      <w:r w:rsidR="00D8364B" w:rsidRPr="00445EDF">
        <w:rPr>
          <w:i/>
          <w:iCs/>
        </w:rPr>
        <w:t xml:space="preserve">Children and Young Persons Act </w:t>
      </w:r>
      <w:r w:rsidR="007B44A8" w:rsidRPr="007B44A8">
        <w:t>was</w:t>
      </w:r>
      <w:r w:rsidR="00D8364B" w:rsidRPr="007B44A8">
        <w:t xml:space="preserve"> </w:t>
      </w:r>
      <w:r w:rsidR="00D8364B">
        <w:t>limited to accommodation in community homes for young people</w:t>
      </w:r>
      <w:r w:rsidR="00D8364B" w:rsidRPr="00831BDE">
        <w:t xml:space="preserve"> over compulsory school age but </w:t>
      </w:r>
      <w:r w:rsidR="00D8364B">
        <w:t>under 21 years (s.</w:t>
      </w:r>
      <w:r w:rsidR="008543F9">
        <w:t xml:space="preserve"> </w:t>
      </w:r>
      <w:r w:rsidR="00D8364B">
        <w:t>50 (19)</w:t>
      </w:r>
      <w:r w:rsidR="00ED6E55">
        <w:t>)</w:t>
      </w:r>
      <w:r w:rsidR="007B44A8">
        <w:t xml:space="preserve"> despite consultation with early leaving care researchers and practitioners (Stein, 2012). </w:t>
      </w:r>
      <w:r w:rsidR="003D2B0A">
        <w:t xml:space="preserve">Frost and Parton (2009) suggest that the emphasis of </w:t>
      </w:r>
      <w:r w:rsidR="006509ED">
        <w:t>the Act</w:t>
      </w:r>
      <w:r w:rsidR="003D2B0A">
        <w:t xml:space="preserve"> was to address </w:t>
      </w:r>
      <w:r w:rsidR="006509ED">
        <w:t xml:space="preserve">wider social problems, as the government </w:t>
      </w:r>
      <w:r w:rsidR="00C644C8">
        <w:t>b</w:t>
      </w:r>
      <w:r w:rsidR="006509ED">
        <w:t>elie</w:t>
      </w:r>
      <w:r w:rsidR="00C644C8">
        <w:t>ved</w:t>
      </w:r>
      <w:r w:rsidR="006509ED">
        <w:t xml:space="preserve"> that the ‘twin pillars’ of state intervention and professional support could address needs of </w:t>
      </w:r>
      <w:r w:rsidR="00D8364B">
        <w:t xml:space="preserve">children </w:t>
      </w:r>
      <w:r w:rsidR="006509ED">
        <w:t>through broader welfarism (2009, p. 81-82) including young people in care.</w:t>
      </w:r>
    </w:p>
    <w:p w14:paraId="37D22262" w14:textId="7E6B4576" w:rsidR="00D8364B" w:rsidRDefault="00D8364B">
      <w:r>
        <w:t xml:space="preserve">Despite changes to legislation in the 1960s, services for young people leaving care did not improve during the 1970s and </w:t>
      </w:r>
      <w:r w:rsidR="00F95DE7">
        <w:t>19</w:t>
      </w:r>
      <w:r>
        <w:t>80s (Biehal et al</w:t>
      </w:r>
      <w:r w:rsidR="00015D04">
        <w:t>.</w:t>
      </w:r>
      <w:r>
        <w:t xml:space="preserve">, 1985). </w:t>
      </w:r>
      <w:r w:rsidRPr="00B777A9">
        <w:t xml:space="preserve">Early researchers </w:t>
      </w:r>
      <w:r w:rsidR="0037147E">
        <w:t>such as</w:t>
      </w:r>
      <w:r w:rsidRPr="00B777A9">
        <w:t xml:space="preserve"> </w:t>
      </w:r>
      <w:r>
        <w:t xml:space="preserve">Godek (1976), </w:t>
      </w:r>
      <w:r w:rsidRPr="00B777A9">
        <w:t xml:space="preserve">Mulvey (1977) and Stein and Maynard (1985) began to focus on difficulties experienced by young people </w:t>
      </w:r>
      <w:r>
        <w:t xml:space="preserve">and the relationship between being in care and life after care, </w:t>
      </w:r>
      <w:r w:rsidRPr="00B777A9">
        <w:lastRenderedPageBreak/>
        <w:t>highlighting poor outcomes</w:t>
      </w:r>
      <w:r>
        <w:t xml:space="preserve"> in education, </w:t>
      </w:r>
      <w:r w:rsidR="00ED6E55">
        <w:t>personal relationships,</w:t>
      </w:r>
      <w:r>
        <w:t xml:space="preserve"> and employment</w:t>
      </w:r>
      <w:r w:rsidRPr="00B777A9">
        <w:t xml:space="preserve"> </w:t>
      </w:r>
      <w:r w:rsidR="00ED6E55">
        <w:t>after</w:t>
      </w:r>
      <w:r w:rsidRPr="00B777A9">
        <w:t xml:space="preserve"> leaving</w:t>
      </w:r>
      <w:r>
        <w:t xml:space="preserve"> their placements</w:t>
      </w:r>
      <w:r w:rsidRPr="00B777A9">
        <w:t xml:space="preserve">. </w:t>
      </w:r>
      <w:r w:rsidR="00ED6E55">
        <w:t>Additionally</w:t>
      </w:r>
      <w:r w:rsidRPr="00B777A9">
        <w:t xml:space="preserve"> during this period young people started to come together to collectively highlight their experiences through groups </w:t>
      </w:r>
      <w:r w:rsidR="0037147E">
        <w:t>such as</w:t>
      </w:r>
      <w:r w:rsidRPr="00B777A9">
        <w:t xml:space="preserve"> </w:t>
      </w:r>
      <w:r w:rsidRPr="00C36CBB">
        <w:rPr>
          <w:i/>
          <w:iCs/>
        </w:rPr>
        <w:t>Who Cares?</w:t>
      </w:r>
      <w:r w:rsidRPr="00B777A9">
        <w:t xml:space="preserve">, </w:t>
      </w:r>
      <w:r w:rsidRPr="00C36CBB">
        <w:rPr>
          <w:i/>
          <w:iCs/>
        </w:rPr>
        <w:t>Ad-Lib</w:t>
      </w:r>
      <w:r w:rsidR="00D56FA5">
        <w:t xml:space="preserve">, </w:t>
      </w:r>
      <w:r w:rsidRPr="00C36CBB">
        <w:rPr>
          <w:i/>
          <w:iCs/>
        </w:rPr>
        <w:t xml:space="preserve">The National Association of Young People in Care </w:t>
      </w:r>
      <w:r w:rsidRPr="00C36CBB">
        <w:t>and</w:t>
      </w:r>
      <w:r w:rsidRPr="00C36CBB">
        <w:rPr>
          <w:i/>
          <w:iCs/>
        </w:rPr>
        <w:t xml:space="preserve"> Black and in Care</w:t>
      </w:r>
      <w:r w:rsidR="00ED6E55">
        <w:rPr>
          <w:i/>
          <w:iCs/>
        </w:rPr>
        <w:t xml:space="preserve"> </w:t>
      </w:r>
      <w:r w:rsidR="00ED6E55" w:rsidRPr="00ED6E55">
        <w:t>(G</w:t>
      </w:r>
      <w:r w:rsidR="00ED6E55">
        <w:t>upta, 2015)</w:t>
      </w:r>
      <w:r w:rsidRPr="00B777A9">
        <w:t>. Through these groups young people expressed their views about their treatment in community homes, their lack of involvement in decisions, lack of privacy and a desire to see their friends and family (</w:t>
      </w:r>
      <w:r>
        <w:t xml:space="preserve">Andrew, Mantovani and Barn, 2005; </w:t>
      </w:r>
      <w:r w:rsidRPr="00B777A9">
        <w:t xml:space="preserve">Stein, 2011). </w:t>
      </w:r>
    </w:p>
    <w:p w14:paraId="137DE40B" w14:textId="671C86B1" w:rsidR="00D8364B" w:rsidRDefault="00D8364B">
      <w:r>
        <w:t xml:space="preserve">The </w:t>
      </w:r>
      <w:r w:rsidRPr="0087793F">
        <w:rPr>
          <w:i/>
          <w:iCs/>
        </w:rPr>
        <w:t>Children Act 1975</w:t>
      </w:r>
      <w:r>
        <w:t xml:space="preserve"> did little to progress leaving care services in the 1970s</w:t>
      </w:r>
      <w:r w:rsidR="00D56FA5">
        <w:t xml:space="preserve"> or address the concerns raised</w:t>
      </w:r>
      <w:r w:rsidR="007B44A8">
        <w:t xml:space="preserve"> by researchers and young people</w:t>
      </w:r>
      <w:r>
        <w:t>. The 1975 Act introduced two elements that were relevant to children in care</w:t>
      </w:r>
      <w:r w:rsidR="007B44A8">
        <w:t xml:space="preserve"> provision</w:t>
      </w:r>
      <w:r>
        <w:t xml:space="preserve">. </w:t>
      </w:r>
      <w:r w:rsidR="007B73EA">
        <w:t>The f</w:t>
      </w:r>
      <w:r>
        <w:t>irst</w:t>
      </w:r>
      <w:r w:rsidR="007B73EA">
        <w:t xml:space="preserve"> change was the move</w:t>
      </w:r>
      <w:r>
        <w:t xml:space="preserve"> from providing ongoing </w:t>
      </w:r>
      <w:r w:rsidR="008F74F0">
        <w:t xml:space="preserve">family-based </w:t>
      </w:r>
      <w:r>
        <w:t>help to a more protectionist approach</w:t>
      </w:r>
      <w:r w:rsidR="008F74F0">
        <w:t xml:space="preserve"> to services. This change was</w:t>
      </w:r>
      <w:r w:rsidR="007B73EA">
        <w:t xml:space="preserve"> </w:t>
      </w:r>
      <w:r>
        <w:t xml:space="preserve">founded on </w:t>
      </w:r>
      <w:r w:rsidR="008F74F0">
        <w:t xml:space="preserve">the belief that </w:t>
      </w:r>
      <w:r>
        <w:t xml:space="preserve">children </w:t>
      </w:r>
      <w:r w:rsidR="008F74F0">
        <w:t xml:space="preserve">would be </w:t>
      </w:r>
      <w:r>
        <w:t>less likely to return to their family with support</w:t>
      </w:r>
      <w:r w:rsidR="008F74F0">
        <w:t>, once they had been in care</w:t>
      </w:r>
      <w:r>
        <w:t xml:space="preserve"> (Gupta, 2015). The idea of permanent state care became more prevalent than the previous </w:t>
      </w:r>
      <w:r w:rsidR="00416E9E">
        <w:t>family-based</w:t>
      </w:r>
      <w:r>
        <w:t xml:space="preserve"> </w:t>
      </w:r>
      <w:r w:rsidR="007B44A8">
        <w:t>service</w:t>
      </w:r>
      <w:r>
        <w:t xml:space="preserve"> and temporary </w:t>
      </w:r>
      <w:r w:rsidR="007B44A8">
        <w:t xml:space="preserve">nature of </w:t>
      </w:r>
      <w:r>
        <w:t>foster care, in part due to the media response and enquiry following the death of Maria Colwell</w:t>
      </w:r>
      <w:r w:rsidR="00730160">
        <w:rPr>
          <w:rStyle w:val="FootnoteReference"/>
        </w:rPr>
        <w:footnoteReference w:id="2"/>
      </w:r>
      <w:r>
        <w:t xml:space="preserve"> (Fox Harding, 1997). Maria’s circumstances came to symbolise the risks managed by social workers,</w:t>
      </w:r>
      <w:r w:rsidR="007B44A8">
        <w:t xml:space="preserve"> and </w:t>
      </w:r>
      <w:r>
        <w:t>concerns about reunification approaches</w:t>
      </w:r>
      <w:r w:rsidR="00FE6263">
        <w:t xml:space="preserve"> (Fox Harding, 1997). This change in approach and response to media and public interest was</w:t>
      </w:r>
      <w:r w:rsidR="00D56FA5">
        <w:t xml:space="preserve"> viewed </w:t>
      </w:r>
      <w:r>
        <w:t>as the beginning of greater public scrutiny of practice (</w:t>
      </w:r>
      <w:r w:rsidR="00FE6263">
        <w:t>Butler and Drakeford, 2011</w:t>
      </w:r>
      <w:r>
        <w:t xml:space="preserve">). The second development in the 1975 Act was provision for children to have their own representation in </w:t>
      </w:r>
      <w:r w:rsidR="00D56FA5">
        <w:t xml:space="preserve">court </w:t>
      </w:r>
      <w:r>
        <w:t xml:space="preserve">proceedings if deemed appropriate, and greater emphasis on </w:t>
      </w:r>
      <w:r w:rsidR="00D56FA5">
        <w:t>seeking</w:t>
      </w:r>
      <w:r>
        <w:t xml:space="preserve"> the views of the child in</w:t>
      </w:r>
      <w:r w:rsidR="00D56FA5">
        <w:t xml:space="preserve"> </w:t>
      </w:r>
      <w:r>
        <w:t>‘care cases’ (Children Act 1975 s.</w:t>
      </w:r>
      <w:r w:rsidR="008543F9">
        <w:t xml:space="preserve"> </w:t>
      </w:r>
      <w:r>
        <w:t xml:space="preserve">59 (1)). The establishment of consultative rights were further embedded in the </w:t>
      </w:r>
      <w:r w:rsidRPr="006A346C">
        <w:rPr>
          <w:i/>
          <w:iCs/>
        </w:rPr>
        <w:t>Child Care Act 1980</w:t>
      </w:r>
      <w:r>
        <w:t xml:space="preserve"> (s.</w:t>
      </w:r>
      <w:r w:rsidR="008543F9">
        <w:t xml:space="preserve"> </w:t>
      </w:r>
      <w:r>
        <w:t>18 (1)) with the expectation that social workers should establish the ‘wishes and feelings’ of children subject to care proceedings.</w:t>
      </w:r>
    </w:p>
    <w:p w14:paraId="66EE97F1" w14:textId="02165C7E" w:rsidR="00D8364B" w:rsidRDefault="00D8364B">
      <w:r>
        <w:t xml:space="preserve">Throughout the 1980s young people’s </w:t>
      </w:r>
      <w:r w:rsidRPr="00B34016">
        <w:t xml:space="preserve">groups and researchers continued to voice concerns about the experiences of living in and leaving care. </w:t>
      </w:r>
      <w:r w:rsidR="006D4E07" w:rsidRPr="00B34016">
        <w:t>For example, s</w:t>
      </w:r>
      <w:r w:rsidR="00D63069" w:rsidRPr="00B34016">
        <w:t xml:space="preserve">ome concerns were raised about the lack of </w:t>
      </w:r>
      <w:r w:rsidR="006E0DCA" w:rsidRPr="00B34016">
        <w:t>oversight</w:t>
      </w:r>
      <w:r w:rsidR="00D63069" w:rsidRPr="00B34016">
        <w:t xml:space="preserve"> of children</w:t>
      </w:r>
      <w:r w:rsidR="006C2A56" w:rsidRPr="00B34016">
        <w:t>’s foster care placements, where the deaths</w:t>
      </w:r>
      <w:r w:rsidR="006E0DCA" w:rsidRPr="00B34016">
        <w:t xml:space="preserve"> and abuse</w:t>
      </w:r>
      <w:r w:rsidR="006C2A56" w:rsidRPr="00B34016">
        <w:t xml:space="preserve"> of </w:t>
      </w:r>
      <w:r w:rsidR="00B707F5" w:rsidRPr="00B34016">
        <w:t>children in Hammersmith and Fulham and Derbyshire</w:t>
      </w:r>
      <w:r w:rsidR="00A12A30" w:rsidRPr="00B34016">
        <w:t xml:space="preserve"> were </w:t>
      </w:r>
      <w:r w:rsidR="00BE7C89" w:rsidRPr="00B34016">
        <w:t>highlighted</w:t>
      </w:r>
      <w:r w:rsidR="00A12A30" w:rsidRPr="00B34016">
        <w:t xml:space="preserve"> by serio</w:t>
      </w:r>
      <w:r w:rsidR="00BE7C89" w:rsidRPr="00B34016">
        <w:t>us</w:t>
      </w:r>
      <w:r w:rsidR="00A12A30" w:rsidRPr="00B34016">
        <w:t xml:space="preserve"> case</w:t>
      </w:r>
      <w:r w:rsidR="00BE7C89" w:rsidRPr="00B34016">
        <w:t xml:space="preserve"> reviews (Cosis Brown, 2011). Other </w:t>
      </w:r>
      <w:r w:rsidR="00B0088B" w:rsidRPr="00B34016">
        <w:t>m</w:t>
      </w:r>
      <w:r w:rsidRPr="00B34016">
        <w:t>essages were consistent with earlier work, highlighting the vulnerabilities of young people once</w:t>
      </w:r>
      <w:r>
        <w:t xml:space="preserve"> they had left their care placement (Porter, 1984), the fragility of relationships and accommodation (Lupton, 1985) and the </w:t>
      </w:r>
      <w:r>
        <w:lastRenderedPageBreak/>
        <w:t>issues faced by young black people leaving care (First Key,1987). However</w:t>
      </w:r>
      <w:r w:rsidR="00BD7C6A">
        <w:t>,</w:t>
      </w:r>
      <w:r>
        <w:t xml:space="preserve"> the role of child protection continued to dominate the focus of reform</w:t>
      </w:r>
      <w:r w:rsidR="002218A2">
        <w:t>,</w:t>
      </w:r>
      <w:r>
        <w:t xml:space="preserve"> </w:t>
      </w:r>
      <w:r w:rsidR="002218A2">
        <w:t xml:space="preserve">including </w:t>
      </w:r>
      <w:r>
        <w:t xml:space="preserve">the </w:t>
      </w:r>
      <w:r w:rsidRPr="00416E9E">
        <w:rPr>
          <w:i/>
          <w:iCs/>
        </w:rPr>
        <w:t>Children Act 1989</w:t>
      </w:r>
      <w:r>
        <w:t>. The</w:t>
      </w:r>
      <w:r w:rsidR="002218A2">
        <w:t xml:space="preserve"> 1989 </w:t>
      </w:r>
      <w:r>
        <w:t>Act was introduced during a time of disquiet</w:t>
      </w:r>
      <w:r w:rsidR="002218A2">
        <w:t xml:space="preserve"> and debate</w:t>
      </w:r>
      <w:r>
        <w:t xml:space="preserve"> about public services and the role of the state in private family life (Frost and Parton, 2009). Fox Harding’s (1991) analysis of the </w:t>
      </w:r>
      <w:r w:rsidRPr="00F0283B">
        <w:rPr>
          <w:i/>
          <w:iCs/>
        </w:rPr>
        <w:t>Children Act 1989</w:t>
      </w:r>
      <w:r>
        <w:t>, highlighted th</w:t>
      </w:r>
      <w:r w:rsidR="002218A2">
        <w:t>is</w:t>
      </w:r>
      <w:r>
        <w:t xml:space="preserve"> interplay of political and influencing factors </w:t>
      </w:r>
      <w:r w:rsidR="00D004B4">
        <w:t>in policy development</w:t>
      </w:r>
      <w:r>
        <w:t>. She</w:t>
      </w:r>
      <w:r w:rsidR="002F69E5">
        <w:t xml:space="preserve"> </w:t>
      </w:r>
      <w:r w:rsidR="002F69E5" w:rsidRPr="002F69E5">
        <w:t xml:space="preserve">argued that the </w:t>
      </w:r>
      <w:r w:rsidR="002218A2">
        <w:t xml:space="preserve">1989 </w:t>
      </w:r>
      <w:r w:rsidR="002F69E5" w:rsidRPr="002F69E5">
        <w:t xml:space="preserve">Act reflected a range of different, at times, conflicting perspectives on the state’s role in childcare, </w:t>
      </w:r>
      <w:r w:rsidR="002218A2">
        <w:t>which introduced</w:t>
      </w:r>
      <w:r w:rsidR="00EC17C7">
        <w:t xml:space="preserve"> </w:t>
      </w:r>
      <w:r w:rsidR="00EC17C7" w:rsidRPr="002F69E5">
        <w:t>greater</w:t>
      </w:r>
      <w:r w:rsidR="002F69E5" w:rsidRPr="002F69E5">
        <w:t xml:space="preserve"> emphasis o</w:t>
      </w:r>
      <w:r w:rsidR="002F69E5">
        <w:t xml:space="preserve">n </w:t>
      </w:r>
      <w:r>
        <w:t>state paternalism and birth parent perspectives</w:t>
      </w:r>
      <w:r w:rsidR="00FE6263" w:rsidRPr="00FE6263">
        <w:t xml:space="preserve"> </w:t>
      </w:r>
      <w:r w:rsidR="00FE6263">
        <w:t>(</w:t>
      </w:r>
      <w:r w:rsidR="00FE6263" w:rsidRPr="00FE6263">
        <w:t>Fox Harding</w:t>
      </w:r>
      <w:r w:rsidR="00FE6263">
        <w:t xml:space="preserve">, </w:t>
      </w:r>
      <w:r w:rsidR="00FE6263" w:rsidRPr="00FE6263">
        <w:t>1991)</w:t>
      </w:r>
      <w:r w:rsidR="002F69E5">
        <w:t xml:space="preserve">. </w:t>
      </w:r>
      <w:r w:rsidR="00860C41">
        <w:t xml:space="preserve">The changes to the Act </w:t>
      </w:r>
      <w:r w:rsidR="002218A2">
        <w:t>included</w:t>
      </w:r>
      <w:r>
        <w:t xml:space="preserve"> the theme of partnership with families </w:t>
      </w:r>
      <w:r w:rsidR="00860C41">
        <w:t xml:space="preserve">which </w:t>
      </w:r>
      <w:r>
        <w:t xml:space="preserve">became a central tenet </w:t>
      </w:r>
      <w:r w:rsidR="00D004B4">
        <w:t xml:space="preserve">of practice </w:t>
      </w:r>
      <w:r>
        <w:t xml:space="preserve">(Allen, 2005). Balancing the rights of parents and children in matters of need or protection is complex and therefore </w:t>
      </w:r>
      <w:r w:rsidR="009F7E92">
        <w:t xml:space="preserve">it is </w:t>
      </w:r>
      <w:r>
        <w:t xml:space="preserve">unsurprising that Gupta (2015) refers to the 1989 Act as an </w:t>
      </w:r>
      <w:r w:rsidR="00FE6263">
        <w:t>‘</w:t>
      </w:r>
      <w:r>
        <w:t>uneasy synthesis</w:t>
      </w:r>
      <w:r w:rsidR="00FE6263">
        <w:t>’</w:t>
      </w:r>
      <w:r>
        <w:t xml:space="preserve"> of differing intentions (</w:t>
      </w:r>
      <w:r w:rsidR="002218A2">
        <w:t xml:space="preserve">2015, </w:t>
      </w:r>
      <w:r>
        <w:t xml:space="preserve">p. 90). Both the </w:t>
      </w:r>
      <w:r w:rsidRPr="00847451">
        <w:rPr>
          <w:i/>
          <w:iCs/>
        </w:rPr>
        <w:t>Children Act 1989</w:t>
      </w:r>
      <w:r>
        <w:t xml:space="preserve"> and the key legislative change for adults, the </w:t>
      </w:r>
      <w:r w:rsidRPr="00847451">
        <w:rPr>
          <w:i/>
          <w:iCs/>
        </w:rPr>
        <w:t>NHS and Community Care Act 1991</w:t>
      </w:r>
      <w:r>
        <w:t xml:space="preserve">, were deliberately designed to change the function of local authority support from provider to facilitator of care services (Langan and Clarke, 1995). Emphasis on care and </w:t>
      </w:r>
      <w:r w:rsidR="00DC59B2">
        <w:t>decision-making</w:t>
      </w:r>
      <w:r>
        <w:t xml:space="preserve"> within the family and consultative participation with children reflect</w:t>
      </w:r>
      <w:r w:rsidR="00416E9E">
        <w:t>ed</w:t>
      </w:r>
      <w:r>
        <w:t xml:space="preserve"> the move to a more consumerist model, echoing the theme of marketisation evident in legislation at the time (Deeming and Johnston, 2018)</w:t>
      </w:r>
      <w:r w:rsidR="00BD7C6A">
        <w:t>.</w:t>
      </w:r>
    </w:p>
    <w:p w14:paraId="6F9AA513" w14:textId="4C682524" w:rsidR="00D8364B" w:rsidRDefault="00D8364B">
      <w:r>
        <w:t xml:space="preserve">The role of state support for children in care became more established within the 1989 Act and shared responsibility for the welfare of children in care extended beyond providing minimal intervention, evident in earlier legislation. </w:t>
      </w:r>
      <w:r w:rsidR="0037147E">
        <w:t xml:space="preserve">The importance of </w:t>
      </w:r>
      <w:r w:rsidR="0064107E">
        <w:t>having</w:t>
      </w:r>
      <w:r>
        <w:t xml:space="preserve"> regard for both a child’s protection and welfare was established, and the language of being </w:t>
      </w:r>
      <w:r w:rsidRPr="00847451">
        <w:rPr>
          <w:i/>
          <w:iCs/>
        </w:rPr>
        <w:t>looked after</w:t>
      </w:r>
      <w:r>
        <w:t xml:space="preserve"> outside of a birth family became part of contemporary practice. The legal powers and duties for young people leaving care were confined to s.</w:t>
      </w:r>
      <w:r w:rsidR="008543F9">
        <w:t xml:space="preserve"> </w:t>
      </w:r>
      <w:r>
        <w:t xml:space="preserve">24 </w:t>
      </w:r>
      <w:r w:rsidR="00F109F0">
        <w:t xml:space="preserve">of the </w:t>
      </w:r>
      <w:r w:rsidR="002218A2" w:rsidRPr="002218A2">
        <w:rPr>
          <w:i/>
          <w:iCs/>
        </w:rPr>
        <w:t>Children Act 1989</w:t>
      </w:r>
      <w:r w:rsidR="00BA0F69">
        <w:rPr>
          <w:i/>
          <w:iCs/>
        </w:rPr>
        <w:t>,</w:t>
      </w:r>
      <w:r w:rsidR="002218A2">
        <w:t xml:space="preserve"> </w:t>
      </w:r>
      <w:r>
        <w:t>under the heading of ‘</w:t>
      </w:r>
      <w:r w:rsidRPr="00B56F39">
        <w:t>Advice and assistance for certain children</w:t>
      </w:r>
      <w:r>
        <w:t>’</w:t>
      </w:r>
      <w:r w:rsidR="002218A2">
        <w:t>.</w:t>
      </w:r>
      <w:r>
        <w:t xml:space="preserve"> Support was focused on providing advice and befriending</w:t>
      </w:r>
      <w:r w:rsidR="00C81495">
        <w:t xml:space="preserve"> services</w:t>
      </w:r>
      <w:r>
        <w:t xml:space="preserve">, and local authorities had the power to work with young people between </w:t>
      </w:r>
      <w:r w:rsidR="00416E9E">
        <w:t xml:space="preserve">the ages of </w:t>
      </w:r>
      <w:r>
        <w:t>16</w:t>
      </w:r>
      <w:r w:rsidR="00BD7C6A">
        <w:t>–</w:t>
      </w:r>
      <w:r>
        <w:t xml:space="preserve">21 but were not compelled to provide specific </w:t>
      </w:r>
      <w:r w:rsidR="00C81495">
        <w:t>types of service</w:t>
      </w:r>
      <w:r w:rsidR="00BA0F69">
        <w:t>s</w:t>
      </w:r>
      <w:r>
        <w:t xml:space="preserve">. Having a model that focused on facilitation and enablement may have seemed compatible with wider social work values, however for young people leaving care there was little regard to the growing body of work calling for more comprehensive </w:t>
      </w:r>
      <w:r w:rsidR="00BA0F69">
        <w:t xml:space="preserve">and structured </w:t>
      </w:r>
      <w:r>
        <w:t>changes to improve services (Stein, 2012).</w:t>
      </w:r>
    </w:p>
    <w:p w14:paraId="2E42E237" w14:textId="51DE9983" w:rsidR="00D8364B" w:rsidRDefault="00D8364B">
      <w:r>
        <w:t xml:space="preserve">The </w:t>
      </w:r>
      <w:r w:rsidRPr="003D5489">
        <w:rPr>
          <w:i/>
          <w:iCs/>
        </w:rPr>
        <w:t>Children Act 1989</w:t>
      </w:r>
      <w:r>
        <w:t xml:space="preserve"> is often regarded as a landmark piece of legislation and in her address marking the Act’s 30</w:t>
      </w:r>
      <w:r w:rsidRPr="00965639">
        <w:rPr>
          <w:vertAlign w:val="superscript"/>
        </w:rPr>
        <w:t>th</w:t>
      </w:r>
      <w:r>
        <w:t xml:space="preserve"> anniversary, Lady Hale noted its success in consolidating previously disparate measures in family law (Hale, 2019). Whilst it was successful in shaping </w:t>
      </w:r>
      <w:r>
        <w:lastRenderedPageBreak/>
        <w:t>many aspects of children’s social care, national leaving care provision remained piecemeal and inconsistent (Broad, 1998). Having a response based on discretionary powers proved insufficient</w:t>
      </w:r>
      <w:r w:rsidR="00BA0F69">
        <w:t>,</w:t>
      </w:r>
      <w:r>
        <w:t xml:space="preserve"> despite claims by the post enactment report in</w:t>
      </w:r>
      <w:r w:rsidR="00BA0F69">
        <w:t xml:space="preserve"> </w:t>
      </w:r>
      <w:r>
        <w:t>1993 stating that services were more focused and flexible to the needs of young people (</w:t>
      </w:r>
      <w:r w:rsidR="00D004B4">
        <w:t>Department of Health</w:t>
      </w:r>
      <w:r>
        <w:t xml:space="preserve">, 1993). The report </w:t>
      </w:r>
      <w:r w:rsidR="00BA0F69">
        <w:t>did</w:t>
      </w:r>
      <w:r>
        <w:t xml:space="preserve"> acknowledge that leaving care services continued to be ‘fragmented and patchy’ (</w:t>
      </w:r>
      <w:r w:rsidR="00D004B4">
        <w:t xml:space="preserve">DoH, 1993, </w:t>
      </w:r>
      <w:r>
        <w:t xml:space="preserve">p. 73) and further research and managerial oversight would be needed to make further changes. </w:t>
      </w:r>
    </w:p>
    <w:p w14:paraId="6460B9AD" w14:textId="67E35886" w:rsidR="00D8364B" w:rsidRDefault="00D8364B">
      <w:r>
        <w:t>M</w:t>
      </w:r>
      <w:r w:rsidRPr="0077194F">
        <w:t>odifications for young people leaving care</w:t>
      </w:r>
      <w:r>
        <w:t xml:space="preserve"> occurred</w:t>
      </w:r>
      <w:r w:rsidRPr="0077194F">
        <w:t xml:space="preserve"> slowly, </w:t>
      </w:r>
      <w:r>
        <w:t>and</w:t>
      </w:r>
      <w:r w:rsidRPr="0077194F">
        <w:t xml:space="preserve"> only</w:t>
      </w:r>
      <w:r>
        <w:t xml:space="preserve"> gathered pace in the late 1990</w:t>
      </w:r>
      <w:r w:rsidRPr="0077194F">
        <w:t>s</w:t>
      </w:r>
      <w:r>
        <w:t xml:space="preserve"> </w:t>
      </w:r>
      <w:r w:rsidR="00416E9E">
        <w:t xml:space="preserve">and </w:t>
      </w:r>
      <w:r>
        <w:t>early 2000s (Carr and Goosey, 2021)</w:t>
      </w:r>
      <w:r w:rsidRPr="0077194F">
        <w:t xml:space="preserve">. </w:t>
      </w:r>
      <w:r>
        <w:t xml:space="preserve">In addition to the growing body of research about young people leaving care, </w:t>
      </w:r>
      <w:r w:rsidR="008819E4">
        <w:t>several</w:t>
      </w:r>
      <w:r>
        <w:t xml:space="preserve"> high-profile enquiries were conducted into the abuse and treatment of children before leaving their care placements. Findings from the report into the abuse of children in Welsh residential homes (Waterhouse, 2000), the ‘pindown’ enquiry into the use of excessive force by staff in residential homes (Levy and Kahan, 1991) and the sexual abuse of children in residential care (Kirkwood, 1993)</w:t>
      </w:r>
      <w:r w:rsidR="00416E9E">
        <w:t>,</w:t>
      </w:r>
      <w:r>
        <w:t xml:space="preserve"> exposed the lack of attention paid to </w:t>
      </w:r>
      <w:r w:rsidR="00C81495">
        <w:t xml:space="preserve">the </w:t>
      </w:r>
      <w:r>
        <w:t>care</w:t>
      </w:r>
      <w:r w:rsidR="00C81495">
        <w:t xml:space="preserve"> system</w:t>
      </w:r>
      <w:r>
        <w:t xml:space="preserve"> (Fawcett, Featherstone and Goddard, 2004). Although the focus of these enquiries centred on abuse within residential care placements, </w:t>
      </w:r>
      <w:r w:rsidR="00C81495">
        <w:t xml:space="preserve">subsequent </w:t>
      </w:r>
      <w:r>
        <w:t xml:space="preserve">attention was given to the whole system, and political concerns about encroaching on family life </w:t>
      </w:r>
      <w:r w:rsidR="00C81495">
        <w:t>became</w:t>
      </w:r>
      <w:r>
        <w:t xml:space="preserve"> obsolete as </w:t>
      </w:r>
      <w:r w:rsidR="00BA0F69">
        <w:t xml:space="preserve">for these children, </w:t>
      </w:r>
      <w:r>
        <w:t xml:space="preserve">the state was acting in a familial role. Fawcett, Featherstone and Goddard (2004) argue that the exposure of systematic problems, altered the ‘terms of debate’ (p. 89) about services for children in care, </w:t>
      </w:r>
      <w:r w:rsidR="00D004B4">
        <w:t>and led to</w:t>
      </w:r>
      <w:r>
        <w:t xml:space="preserve"> a more interventionist approach. </w:t>
      </w:r>
    </w:p>
    <w:p w14:paraId="7A8EB071" w14:textId="448748D2" w:rsidR="00D8364B" w:rsidRDefault="00D8364B">
      <w:r>
        <w:t>In the 1990s, Utting published two reports about children in care</w:t>
      </w:r>
      <w:r w:rsidR="004F6692">
        <w:t xml:space="preserve">: </w:t>
      </w:r>
      <w:r w:rsidR="004F6692" w:rsidRPr="004F6692">
        <w:rPr>
          <w:i/>
          <w:iCs/>
        </w:rPr>
        <w:t>Children in the Public Care</w:t>
      </w:r>
      <w:r w:rsidR="004F6692">
        <w:t xml:space="preserve"> and </w:t>
      </w:r>
      <w:r w:rsidR="004F6692" w:rsidRPr="004F6692">
        <w:rPr>
          <w:i/>
          <w:iCs/>
        </w:rPr>
        <w:t>People Like Us</w:t>
      </w:r>
      <w:r>
        <w:t xml:space="preserve">. </w:t>
      </w:r>
      <w:r w:rsidR="004F6692" w:rsidRPr="004F6692">
        <w:rPr>
          <w:i/>
          <w:iCs/>
        </w:rPr>
        <w:t>Children in the Public Care</w:t>
      </w:r>
      <w:r w:rsidR="004F6692">
        <w:t xml:space="preserve"> and </w:t>
      </w:r>
      <w:r w:rsidR="004F6692" w:rsidRPr="003D5489">
        <w:rPr>
          <w:i/>
          <w:iCs/>
        </w:rPr>
        <w:t>People Like Us</w:t>
      </w:r>
      <w:r w:rsidR="004F6692">
        <w:rPr>
          <w:i/>
          <w:iCs/>
        </w:rPr>
        <w:t xml:space="preserve"> </w:t>
      </w:r>
      <w:r w:rsidR="004F6692">
        <w:t xml:space="preserve">were published in 1991 and 1997 and </w:t>
      </w:r>
      <w:r>
        <w:t xml:space="preserve">focused on </w:t>
      </w:r>
      <w:r w:rsidR="004F6692">
        <w:t xml:space="preserve">the impact and response to abuse in </w:t>
      </w:r>
      <w:r>
        <w:t xml:space="preserve">residential care, recommending </w:t>
      </w:r>
      <w:r w:rsidR="00907DA7">
        <w:t xml:space="preserve">amongst other things </w:t>
      </w:r>
      <w:r>
        <w:t>an inspection framework and improved staff training (</w:t>
      </w:r>
      <w:r w:rsidR="004F6692">
        <w:t>Frost and Parton, 2009</w:t>
      </w:r>
      <w:r>
        <w:t xml:space="preserve">). This </w:t>
      </w:r>
      <w:r w:rsidR="0018772B">
        <w:t>g</w:t>
      </w:r>
      <w:r>
        <w:t>overnment commissioned work review</w:t>
      </w:r>
      <w:r w:rsidR="00C81495">
        <w:t xml:space="preserve">ed </w:t>
      </w:r>
      <w:r>
        <w:t xml:space="preserve">safeguards in the wake of allegations of abuse within the residential sector in North Wales. Many of the 20 principal and multiple other recommendations related to structural changes about inspection, regulation, vetting of staff and protection of children in care placements, but also the inadequacy of services for children in and leaving care (Utting, 1997). The following year the </w:t>
      </w:r>
      <w:r w:rsidR="0018772B">
        <w:t>g</w:t>
      </w:r>
      <w:r>
        <w:t>overnment’s response stipulated that new legislation would be prioritised to address gaps in support and preparation and the local authority’s tendency to make young people prematurely independent (DoH, 1998). A</w:t>
      </w:r>
      <w:r w:rsidR="00416E9E">
        <w:t>s well as this plan</w:t>
      </w:r>
      <w:r w:rsidR="00C06F67">
        <w:t>,</w:t>
      </w:r>
      <w:r>
        <w:t xml:space="preserve"> in 1998 the </w:t>
      </w:r>
      <w:r w:rsidRPr="003D5489">
        <w:rPr>
          <w:i/>
          <w:iCs/>
        </w:rPr>
        <w:t>Quality Protects</w:t>
      </w:r>
      <w:r>
        <w:t xml:space="preserve"> programme was launched, which emphasised the role of the state in acting as </w:t>
      </w:r>
      <w:r w:rsidR="006A1B91">
        <w:t>c</w:t>
      </w:r>
      <w:r w:rsidRPr="006E3485">
        <w:rPr>
          <w:i/>
          <w:iCs/>
        </w:rPr>
        <w:t xml:space="preserve">orporate </w:t>
      </w:r>
      <w:r w:rsidR="006A1B91">
        <w:rPr>
          <w:i/>
          <w:iCs/>
        </w:rPr>
        <w:lastRenderedPageBreak/>
        <w:t>p</w:t>
      </w:r>
      <w:r w:rsidRPr="006E3485">
        <w:rPr>
          <w:i/>
          <w:iCs/>
        </w:rPr>
        <w:t>arents</w:t>
      </w:r>
      <w:r>
        <w:t xml:space="preserve"> to children in care and leav</w:t>
      </w:r>
      <w:r w:rsidR="00E16B03">
        <w:t>ing care</w:t>
      </w:r>
      <w:r>
        <w:t xml:space="preserve"> (DoH, 1998b). As noted </w:t>
      </w:r>
      <w:r w:rsidRPr="00995899">
        <w:t xml:space="preserve">in </w:t>
      </w:r>
      <w:r w:rsidR="00995899" w:rsidRPr="00995899">
        <w:t>C</w:t>
      </w:r>
      <w:r w:rsidRPr="00995899">
        <w:t>hapter</w:t>
      </w:r>
      <w:r w:rsidR="00995899" w:rsidRPr="00995899">
        <w:t xml:space="preserve"> 1</w:t>
      </w:r>
      <w:r w:rsidRPr="00995899">
        <w:t>,</w:t>
      </w:r>
      <w:r>
        <w:t xml:space="preserve"> the role of </w:t>
      </w:r>
      <w:r w:rsidR="00C81495">
        <w:t xml:space="preserve">a </w:t>
      </w:r>
      <w:r w:rsidR="006A1B91">
        <w:rPr>
          <w:i/>
          <w:iCs/>
        </w:rPr>
        <w:t>c</w:t>
      </w:r>
      <w:r w:rsidRPr="006E3485">
        <w:rPr>
          <w:i/>
          <w:iCs/>
        </w:rPr>
        <w:t xml:space="preserve">orporate </w:t>
      </w:r>
      <w:r w:rsidR="006A1B91">
        <w:rPr>
          <w:i/>
          <w:iCs/>
        </w:rPr>
        <w:t>p</w:t>
      </w:r>
      <w:r w:rsidRPr="006E3485">
        <w:rPr>
          <w:i/>
          <w:iCs/>
        </w:rPr>
        <w:t>arent</w:t>
      </w:r>
      <w:r>
        <w:t xml:space="preserve"> </w:t>
      </w:r>
      <w:r w:rsidR="00C81495">
        <w:t>assumes</w:t>
      </w:r>
      <w:r>
        <w:t xml:space="preserve"> responsibility for a child in care across </w:t>
      </w:r>
      <w:r w:rsidR="00416E9E">
        <w:t xml:space="preserve">services within </w:t>
      </w:r>
      <w:r w:rsidR="00C81495">
        <w:t xml:space="preserve">a </w:t>
      </w:r>
      <w:r>
        <w:t xml:space="preserve">local </w:t>
      </w:r>
      <w:r w:rsidR="00AF7D11">
        <w:t>author</w:t>
      </w:r>
      <w:r w:rsidR="00C81495">
        <w:t xml:space="preserve">ity </w:t>
      </w:r>
      <w:r w:rsidR="00AF7D11">
        <w:t>and</w:t>
      </w:r>
      <w:r w:rsidR="004F6692">
        <w:t xml:space="preserve"> enables the state to</w:t>
      </w:r>
      <w:r>
        <w:t xml:space="preserve"> act as if they were their own child. The notion of </w:t>
      </w:r>
      <w:r w:rsidR="006A1B91">
        <w:rPr>
          <w:i/>
          <w:iCs/>
        </w:rPr>
        <w:t>c</w:t>
      </w:r>
      <w:r w:rsidRPr="006E3485">
        <w:rPr>
          <w:i/>
          <w:iCs/>
        </w:rPr>
        <w:t xml:space="preserve">orporate </w:t>
      </w:r>
      <w:r w:rsidR="006A1B91">
        <w:rPr>
          <w:i/>
          <w:iCs/>
        </w:rPr>
        <w:t>p</w:t>
      </w:r>
      <w:r w:rsidRPr="006E3485">
        <w:rPr>
          <w:i/>
          <w:iCs/>
        </w:rPr>
        <w:t>arent</w:t>
      </w:r>
      <w:r>
        <w:t xml:space="preserve"> was reinforced within the resulting </w:t>
      </w:r>
      <w:r w:rsidRPr="003D5489">
        <w:rPr>
          <w:i/>
          <w:iCs/>
        </w:rPr>
        <w:t>Children (Leaving Care) Act 2000</w:t>
      </w:r>
      <w:r w:rsidR="00AF7D11">
        <w:rPr>
          <w:i/>
          <w:iCs/>
        </w:rPr>
        <w:t xml:space="preserve">, </w:t>
      </w:r>
      <w:r w:rsidR="00AF7D11" w:rsidRPr="00AF7D11">
        <w:t xml:space="preserve">extending </w:t>
      </w:r>
      <w:r w:rsidR="00C81495">
        <w:t xml:space="preserve">corporate </w:t>
      </w:r>
      <w:r w:rsidR="00AF7D11" w:rsidRPr="00AF7D11">
        <w:t>responsibility from children in care to young people leaving care.</w:t>
      </w:r>
    </w:p>
    <w:p w14:paraId="4F13CE78" w14:textId="3CD63638" w:rsidR="00D8364B" w:rsidRDefault="00D8364B">
      <w:r>
        <w:t xml:space="preserve">As previously noted, there was no universal statutory framework for </w:t>
      </w:r>
      <w:r w:rsidR="00E16B03">
        <w:t>young people leaving care</w:t>
      </w:r>
      <w:r>
        <w:t>, and services were delivered based on locally agreed policy (</w:t>
      </w:r>
      <w:r w:rsidRPr="00266A01">
        <w:t>Biehal and Wade 1996</w:t>
      </w:r>
      <w:r>
        <w:t>). Following the commitment to introduce new legislation</w:t>
      </w:r>
      <w:r w:rsidR="00416E9E">
        <w:t>,</w:t>
      </w:r>
      <w:r>
        <w:t xml:space="preserve"> a consultation with young people</w:t>
      </w:r>
      <w:r w:rsidR="00AF7D11">
        <w:t xml:space="preserve"> called </w:t>
      </w:r>
      <w:r w:rsidR="00AF7D11" w:rsidRPr="003D5489">
        <w:rPr>
          <w:i/>
          <w:iCs/>
        </w:rPr>
        <w:t>Me, Survive, Out There</w:t>
      </w:r>
      <w:r w:rsidR="00AF7D11" w:rsidRPr="006E049D">
        <w:t>?</w:t>
      </w:r>
      <w:r w:rsidR="00AF7D11">
        <w:t xml:space="preserve"> (DoH, 1999)</w:t>
      </w:r>
      <w:r w:rsidR="00AF7D11" w:rsidRPr="006E049D">
        <w:t xml:space="preserve"> </w:t>
      </w:r>
      <w:r>
        <w:t>was issued to inform the process</w:t>
      </w:r>
      <w:r w:rsidR="00AF7D11">
        <w:t xml:space="preserve"> and </w:t>
      </w:r>
      <w:r w:rsidR="00C81495">
        <w:t>went on to influence the</w:t>
      </w:r>
      <w:r w:rsidR="00AF7D11">
        <w:t xml:space="preserve"> </w:t>
      </w:r>
      <w:r w:rsidR="00AF7D11" w:rsidRPr="003D5489">
        <w:rPr>
          <w:i/>
          <w:iCs/>
        </w:rPr>
        <w:t>Children (Leaving Care) Act 2000</w:t>
      </w:r>
      <w:r w:rsidR="00AF7D11">
        <w:t xml:space="preserve"> </w:t>
      </w:r>
      <w:r>
        <w:t xml:space="preserve">(Dixon, Ward and Blower, 2019). Frost and Parton (2009) note that </w:t>
      </w:r>
      <w:r w:rsidR="00C81495">
        <w:t>during this period</w:t>
      </w:r>
      <w:r w:rsidR="00BA0F69">
        <w:t>,</w:t>
      </w:r>
      <w:r w:rsidR="00C81495">
        <w:t xml:space="preserve"> </w:t>
      </w:r>
      <w:r>
        <w:t xml:space="preserve">leaving care was framed as an issue of social exclusion, where unemployment and homelessness influenced the debate, echoing earlier concerns about children in poverty. The aim of the </w:t>
      </w:r>
      <w:r w:rsidRPr="00436864">
        <w:rPr>
          <w:i/>
          <w:iCs/>
        </w:rPr>
        <w:t>Children (Leaving Care) Act</w:t>
      </w:r>
      <w:r w:rsidR="00AF7D11">
        <w:rPr>
          <w:i/>
          <w:iCs/>
        </w:rPr>
        <w:t xml:space="preserve"> 2000</w:t>
      </w:r>
      <w:r>
        <w:t xml:space="preserve"> was to address these concerns by bolstering the planning and assessment of young people, providing a clearer statutory framework of support to improve a young person’s life chances and delay the transition from care (Carr and Goosey, 2021). Within the response to Utting’s report, the </w:t>
      </w:r>
      <w:r w:rsidR="0018772B">
        <w:t>g</w:t>
      </w:r>
      <w:r>
        <w:t>overnment’s undertaking was to support young people until they were 18 and</w:t>
      </w:r>
      <w:r w:rsidRPr="00FC6659">
        <w:t xml:space="preserve"> </w:t>
      </w:r>
      <w:r w:rsidR="00AF7D11">
        <w:t xml:space="preserve">up </w:t>
      </w:r>
      <w:r w:rsidRPr="00FC6659">
        <w:t xml:space="preserve">to 21 </w:t>
      </w:r>
      <w:r>
        <w:t>‘</w:t>
      </w:r>
      <w:r w:rsidRPr="00FC6659">
        <w:t>subject to</w:t>
      </w:r>
      <w:r>
        <w:t xml:space="preserve"> </w:t>
      </w:r>
      <w:r w:rsidRPr="00FC6659">
        <w:t>affordability</w:t>
      </w:r>
      <w:r>
        <w:t xml:space="preserve">’ (Stuart and Baines, 2004, p.37). </w:t>
      </w:r>
      <w:r w:rsidR="001F3275">
        <w:t xml:space="preserve">Even though </w:t>
      </w:r>
      <w:r>
        <w:t>previous legislation positioned 18 as the age of adulthood,</w:t>
      </w:r>
      <w:r w:rsidR="001F3275">
        <w:t xml:space="preserve"> early transition continued to be an issue and </w:t>
      </w:r>
      <w:r>
        <w:t xml:space="preserve">the </w:t>
      </w:r>
      <w:r w:rsidR="00600955">
        <w:t>premature</w:t>
      </w:r>
      <w:r>
        <w:t xml:space="preserve"> move to independence for young people leaving care was recognised</w:t>
      </w:r>
      <w:r w:rsidR="001F3275">
        <w:t xml:space="preserve">. Despite criticisms noted by Utting about leaving care services </w:t>
      </w:r>
      <w:r>
        <w:t xml:space="preserve">the </w:t>
      </w:r>
      <w:r w:rsidRPr="00436864">
        <w:rPr>
          <w:i/>
          <w:iCs/>
        </w:rPr>
        <w:t>Children (Leaving Care) Act</w:t>
      </w:r>
      <w:r w:rsidR="001F3275">
        <w:rPr>
          <w:i/>
          <w:iCs/>
        </w:rPr>
        <w:t xml:space="preserve"> 2000 </w:t>
      </w:r>
      <w:r w:rsidR="001F3275" w:rsidRPr="001F3275">
        <w:t>did little to address th</w:t>
      </w:r>
      <w:r w:rsidR="00600955">
        <w:t>e</w:t>
      </w:r>
      <w:r w:rsidR="001F3275" w:rsidRPr="001F3275">
        <w:t xml:space="preserve"> issue</w:t>
      </w:r>
      <w:r w:rsidR="001F3275">
        <w:t xml:space="preserve"> </w:t>
      </w:r>
      <w:r w:rsidR="00600955">
        <w:t xml:space="preserve">of early transition </w:t>
      </w:r>
      <w:r w:rsidR="001F3275">
        <w:t>(Broad, 2005)</w:t>
      </w:r>
      <w:r>
        <w:t xml:space="preserve">. The duties imposed by the </w:t>
      </w:r>
      <w:r w:rsidR="00416E9E">
        <w:t>A</w:t>
      </w:r>
      <w:r>
        <w:t xml:space="preserve">ct </w:t>
      </w:r>
      <w:r w:rsidR="00600955">
        <w:t>focused instead on</w:t>
      </w:r>
      <w:r>
        <w:t xml:space="preserve"> the nature of support and clarified eligibility as noted </w:t>
      </w:r>
      <w:r w:rsidRPr="00995899">
        <w:t xml:space="preserve">in </w:t>
      </w:r>
      <w:r w:rsidR="00600955">
        <w:t xml:space="preserve">Figure 3, </w:t>
      </w:r>
      <w:r w:rsidR="00995899" w:rsidRPr="00995899">
        <w:t>C</w:t>
      </w:r>
      <w:r w:rsidRPr="00995899">
        <w:t>hapter</w:t>
      </w:r>
      <w:r w:rsidR="00995899" w:rsidRPr="00995899">
        <w:t xml:space="preserve"> 1</w:t>
      </w:r>
      <w:r w:rsidRPr="00995899">
        <w:t>. Studies</w:t>
      </w:r>
      <w:r>
        <w:t xml:space="preserve"> conducted after the enactment of these changes recognised the attempts to strengthen services</w:t>
      </w:r>
      <w:r w:rsidR="00600955">
        <w:t>,</w:t>
      </w:r>
      <w:r>
        <w:t xml:space="preserve"> but still questioned </w:t>
      </w:r>
      <w:r w:rsidR="00416E9E">
        <w:t xml:space="preserve">the </w:t>
      </w:r>
      <w:r>
        <w:t xml:space="preserve">consistency of </w:t>
      </w:r>
      <w:r w:rsidR="00600955">
        <w:t xml:space="preserve">provision </w:t>
      </w:r>
      <w:r>
        <w:t>and measures to prevent early transition from care (Broad, 2005; Dixon et al.</w:t>
      </w:r>
      <w:r w:rsidR="00015D04">
        <w:t>,</w:t>
      </w:r>
      <w:r>
        <w:t xml:space="preserve"> 2006).</w:t>
      </w:r>
    </w:p>
    <w:p w14:paraId="020E9C58" w14:textId="2F700EE0" w:rsidR="00D8364B" w:rsidRDefault="00600955">
      <w:r>
        <w:t>Policy</w:t>
      </w:r>
      <w:r w:rsidR="00D8364B">
        <w:t xml:space="preserve"> development in </w:t>
      </w:r>
      <w:r w:rsidR="00416E9E">
        <w:t xml:space="preserve">the </w:t>
      </w:r>
      <w:r w:rsidR="00D8364B">
        <w:t>2000s continued to evolve at pace. Earlier debates about the responsibility of the family (Frost and Parton, 2009)</w:t>
      </w:r>
      <w:r>
        <w:t xml:space="preserve"> </w:t>
      </w:r>
      <w:r w:rsidR="00D8364B">
        <w:t>and the crisis in childhood (Scr</w:t>
      </w:r>
      <w:r w:rsidR="0018390A">
        <w:t>a</w:t>
      </w:r>
      <w:r w:rsidR="00D8364B">
        <w:t xml:space="preserve">ton,1997) gave rise to a raft of measures aimed at tackling social exclusion including the </w:t>
      </w:r>
      <w:r w:rsidR="00D8364B" w:rsidRPr="00436864">
        <w:rPr>
          <w:i/>
          <w:iCs/>
        </w:rPr>
        <w:t>Children Act 2004</w:t>
      </w:r>
      <w:r w:rsidR="00D8364B">
        <w:t>, the roll out of children</w:t>
      </w:r>
      <w:r w:rsidR="00416E9E">
        <w:t>’s</w:t>
      </w:r>
      <w:r w:rsidR="00D8364B">
        <w:t xml:space="preserve"> centres, </w:t>
      </w:r>
      <w:r w:rsidR="00D8364B" w:rsidRPr="006E3485">
        <w:rPr>
          <w:i/>
          <w:iCs/>
        </w:rPr>
        <w:t>Every</w:t>
      </w:r>
      <w:r w:rsidR="00D8364B" w:rsidRPr="00392190">
        <w:rPr>
          <w:i/>
          <w:iCs/>
        </w:rPr>
        <w:t xml:space="preserve"> </w:t>
      </w:r>
      <w:r w:rsidR="00D8364B" w:rsidRPr="00EA6F33">
        <w:rPr>
          <w:i/>
          <w:iCs/>
        </w:rPr>
        <w:t>Child Matters</w:t>
      </w:r>
      <w:r w:rsidR="00D8364B">
        <w:t xml:space="preserve"> outcomes framework, and a greater sense of partnership across all agencies working with children (Brammer, 2020). For young people leaving care</w:t>
      </w:r>
      <w:r w:rsidR="00392190">
        <w:t>,</w:t>
      </w:r>
      <w:r w:rsidR="00D8364B">
        <w:t xml:space="preserve"> concerns continued to be raised about </w:t>
      </w:r>
      <w:r w:rsidR="00AF7D11">
        <w:t xml:space="preserve">their poor outcomes and </w:t>
      </w:r>
      <w:r w:rsidR="001F3275">
        <w:t>a</w:t>
      </w:r>
      <w:r w:rsidR="00D8364B">
        <w:t xml:space="preserve"> consultation</w:t>
      </w:r>
      <w:r w:rsidR="001F3275">
        <w:t xml:space="preserve"> was conducted to bring </w:t>
      </w:r>
      <w:r w:rsidR="00D8364B">
        <w:t xml:space="preserve">together practitioners, researchers and young people to inform the White Paper, </w:t>
      </w:r>
      <w:r w:rsidR="00D8364B" w:rsidRPr="0033011A">
        <w:rPr>
          <w:i/>
          <w:iCs/>
        </w:rPr>
        <w:t>Care Matters: Time for Change</w:t>
      </w:r>
      <w:r w:rsidR="00D8364B">
        <w:t xml:space="preserve"> </w:t>
      </w:r>
      <w:r w:rsidR="00D8364B">
        <w:lastRenderedPageBreak/>
        <w:t xml:space="preserve">(DfES, 2007). </w:t>
      </w:r>
      <w:r w:rsidR="00D8364B" w:rsidRPr="0033011A">
        <w:rPr>
          <w:i/>
          <w:iCs/>
        </w:rPr>
        <w:t>Care Matters</w:t>
      </w:r>
      <w:r w:rsidR="00D8364B">
        <w:t xml:space="preserve"> set out the </w:t>
      </w:r>
      <w:r w:rsidR="0018772B">
        <w:t>g</w:t>
      </w:r>
      <w:r w:rsidR="00D8364B">
        <w:t xml:space="preserve">overnment’s intentions for reform of services for children in care including further strengthening of the </w:t>
      </w:r>
      <w:r w:rsidR="006A1B91">
        <w:t>c</w:t>
      </w:r>
      <w:r w:rsidR="00D8364B" w:rsidRPr="006E3485">
        <w:rPr>
          <w:i/>
          <w:iCs/>
        </w:rPr>
        <w:t xml:space="preserve">orporate </w:t>
      </w:r>
      <w:r w:rsidR="006A1B91">
        <w:rPr>
          <w:i/>
          <w:iCs/>
        </w:rPr>
        <w:t>p</w:t>
      </w:r>
      <w:r w:rsidR="00D8364B" w:rsidRPr="006E3485">
        <w:rPr>
          <w:i/>
          <w:iCs/>
        </w:rPr>
        <w:t>arent</w:t>
      </w:r>
      <w:r w:rsidR="00D8364B">
        <w:t xml:space="preserve"> role, measures to improve education support, placement stability and health. Chapter </w:t>
      </w:r>
      <w:r w:rsidR="004A478D">
        <w:t>S</w:t>
      </w:r>
      <w:r w:rsidR="00D8364B">
        <w:t xml:space="preserve">ix </w:t>
      </w:r>
      <w:r w:rsidR="00AF7D11">
        <w:t xml:space="preserve">of the report </w:t>
      </w:r>
      <w:r w:rsidR="00D8364B">
        <w:t xml:space="preserve">focused on transition to adulthood, raising questions about early transition and placement suitability. The other </w:t>
      </w:r>
      <w:r w:rsidR="00AF7D11">
        <w:t xml:space="preserve">recommendations in </w:t>
      </w:r>
      <w:r w:rsidR="00D8364B" w:rsidRPr="0033011A">
        <w:rPr>
          <w:i/>
          <w:iCs/>
        </w:rPr>
        <w:t>Care Matters</w:t>
      </w:r>
      <w:r w:rsidR="00D8364B">
        <w:t xml:space="preserve"> </w:t>
      </w:r>
      <w:r w:rsidR="00AF7D11">
        <w:t>related to different</w:t>
      </w:r>
      <w:r w:rsidR="00D8364B">
        <w:t xml:space="preserve"> pilot projects exploring best practice and schemes to trial new approaches, including </w:t>
      </w:r>
      <w:r w:rsidR="00D8364B" w:rsidRPr="0033011A">
        <w:rPr>
          <w:i/>
          <w:iCs/>
        </w:rPr>
        <w:t>Staying Put</w:t>
      </w:r>
      <w:r w:rsidR="00D8364B">
        <w:t xml:space="preserve">. </w:t>
      </w:r>
    </w:p>
    <w:p w14:paraId="170C8C62" w14:textId="5E2A2FC5" w:rsidR="00D8364B" w:rsidRDefault="00D8364B">
      <w:r>
        <w:t xml:space="preserve">As </w:t>
      </w:r>
      <w:r w:rsidR="004A478D">
        <w:t xml:space="preserve">highlighted </w:t>
      </w:r>
      <w:r w:rsidRPr="00995899">
        <w:t xml:space="preserve">in </w:t>
      </w:r>
      <w:r w:rsidR="00995899" w:rsidRPr="00995899">
        <w:t>C</w:t>
      </w:r>
      <w:r w:rsidRPr="00995899">
        <w:t>hapter</w:t>
      </w:r>
      <w:r w:rsidR="00995899" w:rsidRPr="00995899">
        <w:t xml:space="preserve"> 1</w:t>
      </w:r>
      <w:r>
        <w:t xml:space="preserve">, </w:t>
      </w:r>
      <w:r w:rsidRPr="00427F03">
        <w:rPr>
          <w:i/>
          <w:iCs/>
        </w:rPr>
        <w:t>Staying Put</w:t>
      </w:r>
      <w:r>
        <w:t xml:space="preserve"> was</w:t>
      </w:r>
      <w:r w:rsidRPr="00233A75">
        <w:t xml:space="preserve"> </w:t>
      </w:r>
      <w:r>
        <w:t xml:space="preserve">different to </w:t>
      </w:r>
      <w:r w:rsidRPr="00233A75">
        <w:t xml:space="preserve">previous initiatives for </w:t>
      </w:r>
      <w:r w:rsidRPr="008B5F1F">
        <w:rPr>
          <w:i/>
          <w:iCs/>
        </w:rPr>
        <w:t>looked after</w:t>
      </w:r>
      <w:r w:rsidRPr="00233A75">
        <w:t xml:space="preserve"> young people as it was funded and aimed to align </w:t>
      </w:r>
      <w:r>
        <w:t xml:space="preserve">with </w:t>
      </w:r>
      <w:r w:rsidRPr="00233A75">
        <w:t>experience</w:t>
      </w:r>
      <w:r>
        <w:t>s</w:t>
      </w:r>
      <w:r w:rsidRPr="00233A75">
        <w:t xml:space="preserve"> of young people </w:t>
      </w:r>
      <w:r>
        <w:t xml:space="preserve">in the wider population. Previous policy measures seemed to reinforce the ending of social care involvement at 18 years, with </w:t>
      </w:r>
      <w:r w:rsidRPr="0063557D">
        <w:t>only those young people who ha</w:t>
      </w:r>
      <w:r w:rsidR="003D5CCF">
        <w:t>d</w:t>
      </w:r>
      <w:r>
        <w:t xml:space="preserve"> diagnosed mental health needs, or </w:t>
      </w:r>
      <w:r w:rsidRPr="0063557D">
        <w:t xml:space="preserve">disabilities </w:t>
      </w:r>
      <w:r>
        <w:t xml:space="preserve">going on to </w:t>
      </w:r>
      <w:r w:rsidRPr="0063557D">
        <w:t>receive adult services</w:t>
      </w:r>
      <w:r>
        <w:t xml:space="preserve">, and </w:t>
      </w:r>
      <w:r w:rsidR="00E16B03">
        <w:t>young people</w:t>
      </w:r>
      <w:r w:rsidR="003D5CCF">
        <w:t xml:space="preserve"> defined as </w:t>
      </w:r>
      <w:r w:rsidR="003D5CCF" w:rsidRPr="003D5CCF">
        <w:rPr>
          <w:i/>
          <w:iCs/>
        </w:rPr>
        <w:t>eligible</w:t>
      </w:r>
      <w:r>
        <w:t xml:space="preserve"> receiving a basic level of support (</w:t>
      </w:r>
      <w:r w:rsidRPr="0063557D">
        <w:t>Munro et al</w:t>
      </w:r>
      <w:r>
        <w:t xml:space="preserve">., </w:t>
      </w:r>
      <w:r w:rsidRPr="0063557D">
        <w:t>2011</w:t>
      </w:r>
      <w:r>
        <w:t>b</w:t>
      </w:r>
      <w:r w:rsidRPr="0063557D">
        <w:t>)</w:t>
      </w:r>
      <w:r>
        <w:t>. As Munro et al. (2011b) noted, a longstanding quiet apprehension about creating continued</w:t>
      </w:r>
      <w:r w:rsidRPr="0063557D">
        <w:t xml:space="preserve"> dependency on the state</w:t>
      </w:r>
      <w:r>
        <w:t>, has influenced previous changes</w:t>
      </w:r>
      <w:r w:rsidR="003D5CCF">
        <w:t xml:space="preserve"> to legislation</w:t>
      </w:r>
      <w:r>
        <w:t xml:space="preserve">, </w:t>
      </w:r>
      <w:r w:rsidR="003D5CCF">
        <w:t xml:space="preserve">marking </w:t>
      </w:r>
      <w:r>
        <w:t>the distinction</w:t>
      </w:r>
      <w:r w:rsidR="003D5CCF">
        <w:t xml:space="preserve"> between </w:t>
      </w:r>
      <w:r w:rsidR="003D5CCF" w:rsidRPr="003D5CCF">
        <w:rPr>
          <w:i/>
          <w:iCs/>
        </w:rPr>
        <w:t>Staying Put</w:t>
      </w:r>
      <w:r w:rsidR="003D5CCF">
        <w:t xml:space="preserve"> and previous policy</w:t>
      </w:r>
      <w:r w:rsidR="00600955">
        <w:t xml:space="preserve"> changes</w:t>
      </w:r>
      <w:r w:rsidR="003D5CCF">
        <w:t>.</w:t>
      </w:r>
      <w:r>
        <w:t xml:space="preserve"> </w:t>
      </w:r>
    </w:p>
    <w:p w14:paraId="56126AA4" w14:textId="4BEE3D67" w:rsidR="00D8364B" w:rsidRDefault="00D8364B">
      <w:r>
        <w:t xml:space="preserve">The year after </w:t>
      </w:r>
      <w:r w:rsidRPr="00427F03">
        <w:rPr>
          <w:i/>
          <w:iCs/>
        </w:rPr>
        <w:t>Care Matters</w:t>
      </w:r>
      <w:r>
        <w:t xml:space="preserve"> was published, the</w:t>
      </w:r>
      <w:r w:rsidRPr="00786A7F">
        <w:t xml:space="preserve"> </w:t>
      </w:r>
      <w:r w:rsidRPr="00427F03">
        <w:rPr>
          <w:i/>
          <w:iCs/>
        </w:rPr>
        <w:t>Children and Young Persons Act 2008</w:t>
      </w:r>
      <w:r w:rsidRPr="00786A7F">
        <w:t xml:space="preserve"> </w:t>
      </w:r>
      <w:r>
        <w:t xml:space="preserve">formalised some of the intentions of the </w:t>
      </w:r>
      <w:r w:rsidR="003D5CCF">
        <w:t xml:space="preserve">White </w:t>
      </w:r>
      <w:r>
        <w:t>paper</w:t>
      </w:r>
      <w:r w:rsidR="004A478D">
        <w:t xml:space="preserve"> i</w:t>
      </w:r>
      <w:r>
        <w:t>nclud</w:t>
      </w:r>
      <w:r w:rsidR="004A478D">
        <w:t>ing</w:t>
      </w:r>
      <w:r>
        <w:t xml:space="preserve"> </w:t>
      </w:r>
      <w:r w:rsidRPr="00786A7F">
        <w:t>a duty to provide sufficient and suitable accommodation</w:t>
      </w:r>
      <w:r w:rsidR="004A478D">
        <w:t xml:space="preserve">. These changes </w:t>
      </w:r>
      <w:r w:rsidR="004460AE" w:rsidRPr="00786A7F">
        <w:t>placed</w:t>
      </w:r>
      <w:r w:rsidRPr="00786A7F">
        <w:t xml:space="preserve"> </w:t>
      </w:r>
      <w:r w:rsidR="004A478D">
        <w:t xml:space="preserve">a </w:t>
      </w:r>
      <w:r w:rsidRPr="00786A7F">
        <w:t>greater emphasis on delaying transition</w:t>
      </w:r>
      <w:r w:rsidR="004A478D">
        <w:t xml:space="preserve"> for young people</w:t>
      </w:r>
      <w:r w:rsidRPr="00786A7F">
        <w:t xml:space="preserve"> and </w:t>
      </w:r>
      <w:r w:rsidR="004A478D">
        <w:t xml:space="preserve">introduced further </w:t>
      </w:r>
      <w:r w:rsidRPr="00786A7F">
        <w:t>regulation and guidance</w:t>
      </w:r>
      <w:r w:rsidR="00907DA7">
        <w:t xml:space="preserve"> about leaving care</w:t>
      </w:r>
      <w:r>
        <w:t xml:space="preserve"> (Brammer, 2020). The pilot schemes started under </w:t>
      </w:r>
      <w:r w:rsidRPr="00427F03">
        <w:rPr>
          <w:i/>
          <w:iCs/>
        </w:rPr>
        <w:t>Care Matters</w:t>
      </w:r>
      <w:r>
        <w:t xml:space="preserve"> continued during this time </w:t>
      </w:r>
      <w:r w:rsidR="003D5CCF">
        <w:t xml:space="preserve">and </w:t>
      </w:r>
      <w:r>
        <w:t>conclud</w:t>
      </w:r>
      <w:r w:rsidR="003D5CCF">
        <w:t>ed</w:t>
      </w:r>
      <w:r>
        <w:t xml:space="preserve"> after the enactment of the 2008 </w:t>
      </w:r>
      <w:r w:rsidR="004A478D">
        <w:t>A</w:t>
      </w:r>
      <w:r>
        <w:t xml:space="preserve">ct. Following the pilot, </w:t>
      </w:r>
      <w:r w:rsidRPr="00427F03">
        <w:rPr>
          <w:i/>
          <w:iCs/>
        </w:rPr>
        <w:t>Staying Put</w:t>
      </w:r>
      <w:r w:rsidRPr="00636716">
        <w:t xml:space="preserve"> </w:t>
      </w:r>
      <w:r>
        <w:t xml:space="preserve">was </w:t>
      </w:r>
      <w:r w:rsidRPr="00636716">
        <w:t xml:space="preserve">incorporated into the </w:t>
      </w:r>
      <w:r w:rsidRPr="00427F03">
        <w:rPr>
          <w:i/>
          <w:iCs/>
        </w:rPr>
        <w:t>Children and Families Act 2014</w:t>
      </w:r>
      <w:r w:rsidRPr="00636716">
        <w:t xml:space="preserve"> (s.</w:t>
      </w:r>
      <w:r w:rsidR="002D5015">
        <w:t xml:space="preserve"> </w:t>
      </w:r>
      <w:r w:rsidRPr="00636716">
        <w:t>98)</w:t>
      </w:r>
      <w:r>
        <w:t xml:space="preserve"> </w:t>
      </w:r>
      <w:r w:rsidR="00882EAD">
        <w:t>where it</w:t>
      </w:r>
      <w:r>
        <w:t xml:space="preserve"> became a statutory duty for local authorities to have a policy supporting this scheme. It is important to note that this duty is not an automatic path for young people to remain in their placement</w:t>
      </w:r>
      <w:r w:rsidR="003D5CCF">
        <w:t xml:space="preserve"> after their 18</w:t>
      </w:r>
      <w:r w:rsidR="003D5CCF" w:rsidRPr="003D5CCF">
        <w:rPr>
          <w:vertAlign w:val="superscript"/>
        </w:rPr>
        <w:t>th</w:t>
      </w:r>
      <w:r w:rsidR="003D5CCF">
        <w:t xml:space="preserve"> birthday. T</w:t>
      </w:r>
      <w:r>
        <w:t xml:space="preserve">he duty </w:t>
      </w:r>
      <w:r w:rsidR="003D5CCF">
        <w:t xml:space="preserve">only </w:t>
      </w:r>
      <w:r>
        <w:t xml:space="preserve">requires the local authority to make provision for the </w:t>
      </w:r>
      <w:r w:rsidRPr="00427F03">
        <w:rPr>
          <w:i/>
          <w:iCs/>
        </w:rPr>
        <w:t>Staying Put</w:t>
      </w:r>
      <w:r>
        <w:t xml:space="preserve"> </w:t>
      </w:r>
      <w:r w:rsidR="001F3275">
        <w:t>arrangement and</w:t>
      </w:r>
      <w:r w:rsidR="004A478D">
        <w:t xml:space="preserve"> </w:t>
      </w:r>
      <w:r>
        <w:t>retain the right to determine whether the arrangement is appropriate (Children and Families Act, 2014 s.</w:t>
      </w:r>
      <w:r w:rsidR="002D5015">
        <w:t xml:space="preserve"> </w:t>
      </w:r>
      <w:r>
        <w:t xml:space="preserve">98 (5)). </w:t>
      </w:r>
    </w:p>
    <w:p w14:paraId="4B3E2F27" w14:textId="2D7D864D" w:rsidR="00D8364B" w:rsidRDefault="00D8364B">
      <w:r>
        <w:t xml:space="preserve">Changes to legislation continue and most recently the </w:t>
      </w:r>
      <w:r w:rsidRPr="00427F03">
        <w:rPr>
          <w:i/>
          <w:iCs/>
        </w:rPr>
        <w:t>Children and Social Work Act 2017</w:t>
      </w:r>
      <w:r>
        <w:t xml:space="preserve"> included further measures aimed at improving services for young people leaving care. Local authorities are now expected to publicise their service under the guise of a ‘local offer’ (s.</w:t>
      </w:r>
      <w:r w:rsidR="002D5015">
        <w:t xml:space="preserve"> </w:t>
      </w:r>
      <w:r>
        <w:t xml:space="preserve">2) and </w:t>
      </w:r>
      <w:r w:rsidR="00D91FD9">
        <w:t>p</w:t>
      </w:r>
      <w:r>
        <w:t xml:space="preserve">ersonal </w:t>
      </w:r>
      <w:r w:rsidR="00D91FD9">
        <w:t>a</w:t>
      </w:r>
      <w:r>
        <w:t>dvisor support is extended to young people up to the age of 25 (s.</w:t>
      </w:r>
      <w:r w:rsidR="002D5015">
        <w:t xml:space="preserve"> </w:t>
      </w:r>
      <w:r>
        <w:t>3). Like previous legislation, the emphasis is placed on preparation and support</w:t>
      </w:r>
      <w:r w:rsidR="004A478D">
        <w:t xml:space="preserve"> for young people leaving care.</w:t>
      </w:r>
    </w:p>
    <w:p w14:paraId="2BA3BB31" w14:textId="5EABC30F" w:rsidR="00D8364B" w:rsidRDefault="00D8364B">
      <w:pPr>
        <w:pStyle w:val="Heading2"/>
      </w:pPr>
      <w:bookmarkStart w:id="15" w:name="_Toc101108472"/>
      <w:r w:rsidRPr="003640A9">
        <w:rPr>
          <w:i/>
          <w:iCs/>
        </w:rPr>
        <w:lastRenderedPageBreak/>
        <w:t>Staying Put</w:t>
      </w:r>
      <w:r>
        <w:t xml:space="preserve"> and Foster Care</w:t>
      </w:r>
      <w:bookmarkEnd w:id="15"/>
    </w:p>
    <w:p w14:paraId="1A5285C5" w14:textId="43960F44" w:rsidR="00D8364B" w:rsidRDefault="00D8364B">
      <w:r>
        <w:t xml:space="preserve">The final part of this </w:t>
      </w:r>
      <w:r w:rsidR="004A478D">
        <w:t>chapter</w:t>
      </w:r>
      <w:r>
        <w:t xml:space="preserve"> revisits </w:t>
      </w:r>
      <w:r w:rsidRPr="00427F03">
        <w:rPr>
          <w:i/>
          <w:iCs/>
        </w:rPr>
        <w:t>Staying Put</w:t>
      </w:r>
      <w:r>
        <w:t xml:space="preserve"> and the relationship with foster care guidance and regulation. In parallel with changes to practice for children and young people, revisions to standards for foster carers have developed since the 1990s. Sitting under the </w:t>
      </w:r>
      <w:r w:rsidRPr="00427F03">
        <w:rPr>
          <w:i/>
          <w:iCs/>
        </w:rPr>
        <w:t>Care Standards Act 2000</w:t>
      </w:r>
      <w:r>
        <w:t xml:space="preserve"> is the regulatory framework comprising t</w:t>
      </w:r>
      <w:r w:rsidRPr="00E12842">
        <w:t xml:space="preserve">he </w:t>
      </w:r>
      <w:r w:rsidRPr="004A478D">
        <w:rPr>
          <w:i/>
          <w:iCs/>
        </w:rPr>
        <w:t>National Minimum Standards</w:t>
      </w:r>
      <w:r>
        <w:t xml:space="preserve"> (</w:t>
      </w:r>
      <w:r w:rsidR="0063579C">
        <w:t xml:space="preserve">Department for Education, </w:t>
      </w:r>
      <w:r>
        <w:t xml:space="preserve">2011) and the </w:t>
      </w:r>
      <w:r w:rsidRPr="004A478D">
        <w:rPr>
          <w:i/>
          <w:iCs/>
        </w:rPr>
        <w:t>Fostering Services (England) Regulations</w:t>
      </w:r>
      <w:r w:rsidRPr="00E12842">
        <w:t xml:space="preserve"> </w:t>
      </w:r>
      <w:r w:rsidR="004A478D">
        <w:t>(</w:t>
      </w:r>
      <w:r w:rsidRPr="00E12842">
        <w:t>201</w:t>
      </w:r>
      <w:r>
        <w:t>1</w:t>
      </w:r>
      <w:r w:rsidR="004A478D">
        <w:t>)</w:t>
      </w:r>
      <w:r>
        <w:t xml:space="preserve">. All </w:t>
      </w:r>
      <w:r w:rsidR="00600955">
        <w:t>of which</w:t>
      </w:r>
      <w:r>
        <w:t xml:space="preserve"> stipulate the practice standards for foster carers and the agencies responsible for their registration. Registration of foster care placements reflects the </w:t>
      </w:r>
      <w:r w:rsidRPr="00427F03">
        <w:rPr>
          <w:i/>
          <w:iCs/>
        </w:rPr>
        <w:t>Children Act 1989</w:t>
      </w:r>
      <w:r>
        <w:t xml:space="preserve"> definition of child, whereby a child is defined as being anyone under the age of 18 (sch.</w:t>
      </w:r>
      <w:r w:rsidR="002D5015">
        <w:t xml:space="preserve"> </w:t>
      </w:r>
      <w:r>
        <w:t xml:space="preserve">1 (16)). This means that young people remaining with carers are no longer regarded as </w:t>
      </w:r>
      <w:r w:rsidRPr="00427F03">
        <w:rPr>
          <w:i/>
          <w:iCs/>
        </w:rPr>
        <w:t>looked after</w:t>
      </w:r>
      <w:r>
        <w:t xml:space="preserve"> or a child in placement and carers are referred to as </w:t>
      </w:r>
      <w:r w:rsidRPr="009D1E93">
        <w:rPr>
          <w:i/>
          <w:iCs/>
        </w:rPr>
        <w:t>former foster carers</w:t>
      </w:r>
      <w:r>
        <w:rPr>
          <w:i/>
          <w:iCs/>
        </w:rPr>
        <w:t xml:space="preserve"> </w:t>
      </w:r>
      <w:r w:rsidRPr="009D1E93">
        <w:t>(DfE, D</w:t>
      </w:r>
      <w:r w:rsidR="000B0D7E">
        <w:t xml:space="preserve">epartment for </w:t>
      </w:r>
      <w:r w:rsidRPr="009D1E93">
        <w:t>W</w:t>
      </w:r>
      <w:r w:rsidR="000B0D7E">
        <w:t xml:space="preserve">ork and </w:t>
      </w:r>
      <w:r w:rsidRPr="009D1E93">
        <w:t>P</w:t>
      </w:r>
      <w:r w:rsidR="000B0D7E">
        <w:t>ensions</w:t>
      </w:r>
      <w:r w:rsidRPr="009D1E93">
        <w:t xml:space="preserve"> and H</w:t>
      </w:r>
      <w:r w:rsidR="000B0D7E">
        <w:t xml:space="preserve">er </w:t>
      </w:r>
      <w:r w:rsidRPr="009D1E93">
        <w:t>M</w:t>
      </w:r>
      <w:r w:rsidR="000B0D7E">
        <w:t xml:space="preserve">ajesty’s </w:t>
      </w:r>
      <w:r w:rsidRPr="009D1E93">
        <w:t>R</w:t>
      </w:r>
      <w:r w:rsidR="000B0D7E">
        <w:t xml:space="preserve">evenue and </w:t>
      </w:r>
      <w:r w:rsidRPr="009D1E93">
        <w:t>C</w:t>
      </w:r>
      <w:r w:rsidR="000B0D7E">
        <w:t>ustoms</w:t>
      </w:r>
      <w:r>
        <w:t>, 2013). The distinction is made in the use of language, where ‘arrangement’ replaces the word ‘placement’ and young people become ‘excluded occupiers on a license’ (</w:t>
      </w:r>
      <w:r w:rsidRPr="009D1E93">
        <w:t xml:space="preserve">DfE, </w:t>
      </w:r>
      <w:r w:rsidR="000B0D7E" w:rsidRPr="009D1E93">
        <w:t>D</w:t>
      </w:r>
      <w:r w:rsidR="000B0D7E">
        <w:t xml:space="preserve">epartment for </w:t>
      </w:r>
      <w:r w:rsidR="000B0D7E" w:rsidRPr="009D1E93">
        <w:t>W</w:t>
      </w:r>
      <w:r w:rsidR="000B0D7E">
        <w:t xml:space="preserve">ork and </w:t>
      </w:r>
      <w:r w:rsidR="000B0D7E" w:rsidRPr="009D1E93">
        <w:t>P</w:t>
      </w:r>
      <w:r w:rsidR="000B0D7E">
        <w:t>ensions</w:t>
      </w:r>
      <w:r w:rsidR="000B0D7E" w:rsidRPr="009D1E93">
        <w:t xml:space="preserve"> and H</w:t>
      </w:r>
      <w:r w:rsidR="000B0D7E">
        <w:t xml:space="preserve">er </w:t>
      </w:r>
      <w:r w:rsidR="000B0D7E" w:rsidRPr="009D1E93">
        <w:t>M</w:t>
      </w:r>
      <w:r w:rsidR="000B0D7E">
        <w:t xml:space="preserve">ajesty’s </w:t>
      </w:r>
      <w:r w:rsidR="000B0D7E" w:rsidRPr="009D1E93">
        <w:t>R</w:t>
      </w:r>
      <w:r w:rsidR="000B0D7E">
        <w:t xml:space="preserve">evenue and </w:t>
      </w:r>
      <w:r w:rsidR="000B0D7E" w:rsidRPr="009D1E93">
        <w:t>C</w:t>
      </w:r>
      <w:r w:rsidR="000B0D7E">
        <w:t>ustoms</w:t>
      </w:r>
      <w:r>
        <w:t xml:space="preserve">, 2013, p. 13). To record the changes to the situation and specify payment </w:t>
      </w:r>
      <w:r w:rsidR="00600955">
        <w:t>terms</w:t>
      </w:r>
      <w:r>
        <w:t xml:space="preserve">, carers and young people enter into a license agreement setting out payment for rent, utilities, support and meals. All the financial arrangements relate to wider benefit, housing and tax systems, aligning </w:t>
      </w:r>
      <w:r w:rsidRPr="006E3485">
        <w:rPr>
          <w:i/>
          <w:iCs/>
        </w:rPr>
        <w:t>Staying Put</w:t>
      </w:r>
      <w:r>
        <w:t xml:space="preserve"> with housing allowance rules. The other difference for young people is that if the carer continues to foster other children, young people in a </w:t>
      </w:r>
      <w:r w:rsidRPr="00D24AD4">
        <w:rPr>
          <w:i/>
          <w:iCs/>
        </w:rPr>
        <w:t>Staying Put</w:t>
      </w:r>
      <w:r>
        <w:t xml:space="preserve"> arrangement may be subject to a disclosure and barring service check (The Fostering Network, 2016). </w:t>
      </w:r>
    </w:p>
    <w:p w14:paraId="754E9134" w14:textId="12C84D9A" w:rsidR="00D8364B" w:rsidRDefault="008F74F0">
      <w:r>
        <w:t>Previously stated in</w:t>
      </w:r>
      <w:r w:rsidR="00D8364B" w:rsidRPr="00995899">
        <w:t xml:space="preserve"> </w:t>
      </w:r>
      <w:r w:rsidR="00995899" w:rsidRPr="00995899">
        <w:t>C</w:t>
      </w:r>
      <w:r w:rsidR="00D8364B" w:rsidRPr="00995899">
        <w:t xml:space="preserve">hapter 1, </w:t>
      </w:r>
      <w:r w:rsidR="00D8364B" w:rsidRPr="00995899">
        <w:rPr>
          <w:i/>
          <w:iCs/>
        </w:rPr>
        <w:t>Staying</w:t>
      </w:r>
      <w:r w:rsidR="00D8364B" w:rsidRPr="00192DB8">
        <w:rPr>
          <w:i/>
          <w:iCs/>
        </w:rPr>
        <w:t xml:space="preserve"> Put</w:t>
      </w:r>
      <w:r w:rsidR="00D8364B">
        <w:t xml:space="preserve"> formalised a</w:t>
      </w:r>
      <w:r w:rsidR="00262A4F">
        <w:t>n</w:t>
      </w:r>
      <w:r w:rsidR="00D8364B">
        <w:t xml:space="preserve"> </w:t>
      </w:r>
      <w:r w:rsidR="00262A4F">
        <w:t xml:space="preserve">existing </w:t>
      </w:r>
      <w:r w:rsidR="00D8364B">
        <w:t xml:space="preserve">informal extension to some care placements. However, moving an organically occurring relationship onto a formal footing was only recognised in legislation relating to the child and not to the foster carer. Aside from practice guidance, there have been no changes to fostering standards and regulations to accommodate </w:t>
      </w:r>
      <w:r w:rsidR="00D8364B" w:rsidRPr="00427F03">
        <w:rPr>
          <w:i/>
          <w:iCs/>
        </w:rPr>
        <w:t>Staying Put</w:t>
      </w:r>
      <w:r w:rsidR="00D8364B">
        <w:t xml:space="preserve">. For foster carers who agree to </w:t>
      </w:r>
      <w:r w:rsidR="00D8364B" w:rsidRPr="006E3485">
        <w:rPr>
          <w:i/>
          <w:iCs/>
        </w:rPr>
        <w:t>Staying Put</w:t>
      </w:r>
      <w:r w:rsidR="00D8364B">
        <w:t>, they are no longer given the same financial support an</w:t>
      </w:r>
      <w:r w:rsidR="00B713A6">
        <w:t>d</w:t>
      </w:r>
      <w:r w:rsidR="00D8364B">
        <w:t xml:space="preserve"> any payment</w:t>
      </w:r>
      <w:r w:rsidR="002F5278">
        <w:t xml:space="preserve"> they receive</w:t>
      </w:r>
      <w:r w:rsidR="00D8364B">
        <w:t xml:space="preserve"> is agreed within the local authority. Arguably the disconnect between the two systems means that there is potential for ambiguity in how </w:t>
      </w:r>
      <w:r w:rsidR="003D5CCF">
        <w:t xml:space="preserve">foster carers are supported </w:t>
      </w:r>
      <w:r w:rsidR="00FC26BF">
        <w:t xml:space="preserve">to move from placement to arrangement and subsequently </w:t>
      </w:r>
      <w:r w:rsidR="00FC26BF" w:rsidRPr="00FC26BF">
        <w:t xml:space="preserve">how this </w:t>
      </w:r>
      <w:r w:rsidR="002F5278">
        <w:t xml:space="preserve">may </w:t>
      </w:r>
      <w:r w:rsidR="00FC26BF" w:rsidRPr="00FC26BF">
        <w:t>impact on the young</w:t>
      </w:r>
      <w:r w:rsidR="00FC26BF">
        <w:t xml:space="preserve"> person’s ability to stay</w:t>
      </w:r>
      <w:r w:rsidR="00D8364B">
        <w:t xml:space="preserve">. Although there is guidance supporting </w:t>
      </w:r>
      <w:r w:rsidR="00D8364B" w:rsidRPr="00427F03">
        <w:rPr>
          <w:i/>
          <w:iCs/>
        </w:rPr>
        <w:t>Staying Put</w:t>
      </w:r>
      <w:r w:rsidR="00D8364B">
        <w:t xml:space="preserve"> (DfE, 2015; The Fostering Network, 2016) this</w:t>
      </w:r>
      <w:r w:rsidR="004A478D">
        <w:t xml:space="preserve"> chapter</w:t>
      </w:r>
      <w:r w:rsidR="00D8364B">
        <w:t xml:space="preserve"> has highlighted how</w:t>
      </w:r>
      <w:r w:rsidR="00FC26BF">
        <w:t xml:space="preserve"> discretionary and inexplicit elements </w:t>
      </w:r>
      <w:r w:rsidR="00FC01FE">
        <w:t>of</w:t>
      </w:r>
      <w:r w:rsidR="00FC26BF">
        <w:t xml:space="preserve"> leaving care policy</w:t>
      </w:r>
      <w:r w:rsidR="00D8364B">
        <w:t xml:space="preserve"> </w:t>
      </w:r>
      <w:r w:rsidR="00FC26BF">
        <w:t xml:space="preserve">can prevent practice </w:t>
      </w:r>
      <w:r w:rsidR="00D8364B">
        <w:t>transform</w:t>
      </w:r>
      <w:r w:rsidR="00FC26BF">
        <w:t xml:space="preserve">ation </w:t>
      </w:r>
      <w:r w:rsidR="00D8364B">
        <w:t>without a clear framework.</w:t>
      </w:r>
    </w:p>
    <w:p w14:paraId="622577A4" w14:textId="52667A7C" w:rsidR="00D8364B" w:rsidRDefault="00D8364B">
      <w:pPr>
        <w:pStyle w:val="Heading2"/>
      </w:pPr>
      <w:bookmarkStart w:id="16" w:name="_Toc101108473"/>
      <w:r>
        <w:lastRenderedPageBreak/>
        <w:t>Chapter Summary</w:t>
      </w:r>
      <w:bookmarkEnd w:id="16"/>
    </w:p>
    <w:p w14:paraId="7CFFDCBD" w14:textId="384EA2AE" w:rsidR="00D8364B" w:rsidRDefault="00D8364B">
      <w:r>
        <w:t xml:space="preserve">At the heart of policy changes for young people leaving care are two significant considerations </w:t>
      </w:r>
      <w:r w:rsidR="00BC7DE2">
        <w:t>—</w:t>
      </w:r>
      <w:r>
        <w:t xml:space="preserve"> finance and the role of the state</w:t>
      </w:r>
      <w:r w:rsidR="001F3275">
        <w:t xml:space="preserve"> in providing an ideal normative family for children and young people in care</w:t>
      </w:r>
      <w:r>
        <w:t>. In this policy summary</w:t>
      </w:r>
      <w:r w:rsidR="00262A4F">
        <w:t>,</w:t>
      </w:r>
      <w:r>
        <w:t xml:space="preserve"> changes to the way services are configured have been set out including some contextual background. The reticence to provide more comprehensive services for </w:t>
      </w:r>
      <w:r w:rsidR="00E16B03">
        <w:t xml:space="preserve">young people </w:t>
      </w:r>
      <w:r>
        <w:t>leav</w:t>
      </w:r>
      <w:r w:rsidR="00E16B03">
        <w:t>ing care</w:t>
      </w:r>
      <w:r>
        <w:t xml:space="preserve"> could be explained by the hard reality of local authority budgets</w:t>
      </w:r>
      <w:r w:rsidR="00402B23">
        <w:t xml:space="preserve"> and the shifting line between welfare and risk</w:t>
      </w:r>
      <w:r>
        <w:t>. Having undefined end points for service provision, extending financial support or allocating resources to young people beyond their care placement, represents a fiscal challenge for central and local government</w:t>
      </w:r>
      <w:r w:rsidR="00907DA7">
        <w:t>, n</w:t>
      </w:r>
      <w:r>
        <w:t>ot least of all because budget planning requires some sense of certainty about when to withdraw services. Age and eligibility continue to be the key factors in determining how services will end, rather than the need of a young person leaving their placement.</w:t>
      </w:r>
    </w:p>
    <w:p w14:paraId="4AC9094E" w14:textId="522357EC" w:rsidR="00D8364B" w:rsidRDefault="00D8364B">
      <w:r>
        <w:t xml:space="preserve">The second consideration is how the state should intervene in family life. In early stages of family support, services are designed to prevent children entering the care system. Since the enactment of the </w:t>
      </w:r>
      <w:r w:rsidRPr="00192DB8">
        <w:rPr>
          <w:i/>
          <w:iCs/>
        </w:rPr>
        <w:t>Children Act 1989</w:t>
      </w:r>
      <w:r>
        <w:t xml:space="preserve">, looking after children in a care placement has been constructed as </w:t>
      </w:r>
      <w:r w:rsidR="004A478D">
        <w:t xml:space="preserve">the </w:t>
      </w:r>
      <w:r>
        <w:t>last resort</w:t>
      </w:r>
      <w:r w:rsidR="002F5278">
        <w:t xml:space="preserve"> </w:t>
      </w:r>
      <w:r>
        <w:t xml:space="preserve">(Fawcett, Featherstone and Goddard, 2004). Positioning the family as being responsible for the care and protection of children has </w:t>
      </w:r>
      <w:r w:rsidR="002F5278">
        <w:t>become</w:t>
      </w:r>
      <w:r>
        <w:t xml:space="preserve"> the backbone of legislation post </w:t>
      </w:r>
      <w:r w:rsidRPr="00192DB8">
        <w:rPr>
          <w:i/>
          <w:iCs/>
        </w:rPr>
        <w:t>Children Act 1989</w:t>
      </w:r>
      <w:r>
        <w:t xml:space="preserve">, which is reinforced by a wide-ranging evidence base (Garrett, 2010). That said, a conflict arises where the state is acting in a parental role for children in care, whilst simultaneously looking to the family as the most favourable place for the child. The outcome </w:t>
      </w:r>
      <w:r w:rsidR="00317DE5">
        <w:t>of this tension is that</w:t>
      </w:r>
      <w:r>
        <w:t xml:space="preserve"> the responsibility for children in care does not sit easily with any party. It follows that the same </w:t>
      </w:r>
      <w:r w:rsidR="00317DE5">
        <w:t>conflicted views are</w:t>
      </w:r>
      <w:r>
        <w:t xml:space="preserve"> applied to young people exiting the system, where thinking about family and state responsibility coincides. In the next chapter issues of the state’s role in the family are referred to in the context of the use of neoliberal ideals in practice. </w:t>
      </w:r>
    </w:p>
    <w:p w14:paraId="1D76C463" w14:textId="77777777" w:rsidR="00D8364B" w:rsidRDefault="00D8364B"/>
    <w:p w14:paraId="7F02C105" w14:textId="27B3D168" w:rsidR="00D8364B" w:rsidRDefault="00D8364B">
      <w:pPr>
        <w:rPr>
          <w:lang w:eastAsia="en-GB"/>
        </w:rPr>
      </w:pPr>
    </w:p>
    <w:p w14:paraId="4DCE1347" w14:textId="645B0814" w:rsidR="002F7F16" w:rsidRDefault="007B418C" w:rsidP="00127FD5">
      <w:pPr>
        <w:pStyle w:val="ChapterHeading1"/>
      </w:pPr>
      <w:r>
        <w:rPr>
          <w:lang w:eastAsia="en-GB"/>
        </w:rPr>
        <w:br w:type="page"/>
      </w:r>
      <w:bookmarkStart w:id="17" w:name="_Toc101108474"/>
      <w:r w:rsidRPr="00D95781">
        <w:rPr>
          <w:lang w:eastAsia="en-GB"/>
        </w:rPr>
        <w:lastRenderedPageBreak/>
        <w:t xml:space="preserve">Chapter </w:t>
      </w:r>
      <w:r>
        <w:rPr>
          <w:lang w:eastAsia="en-GB"/>
        </w:rPr>
        <w:t>3:</w:t>
      </w:r>
      <w:r w:rsidR="008431BA">
        <w:rPr>
          <w:lang w:eastAsia="en-GB"/>
        </w:rPr>
        <w:t xml:space="preserve"> </w:t>
      </w:r>
      <w:r w:rsidR="002F7F16" w:rsidRPr="00161026">
        <w:t>Practice Context</w:t>
      </w:r>
      <w:bookmarkEnd w:id="17"/>
    </w:p>
    <w:p w14:paraId="555A802E" w14:textId="5C0AD29E" w:rsidR="002F7F16" w:rsidRDefault="003640A9" w:rsidP="008E4AF2">
      <w:pPr>
        <w:pStyle w:val="Heading2"/>
      </w:pPr>
      <w:bookmarkStart w:id="18" w:name="_Toc101108475"/>
      <w:r>
        <w:t xml:space="preserve">Chapter </w:t>
      </w:r>
      <w:r w:rsidR="002F7F16" w:rsidRPr="00161026">
        <w:t>Introduction</w:t>
      </w:r>
      <w:bookmarkEnd w:id="18"/>
    </w:p>
    <w:p w14:paraId="35E7E3B0" w14:textId="53E1989A" w:rsidR="002F7F16" w:rsidRPr="00161026" w:rsidRDefault="002F7F16">
      <w:r w:rsidRPr="00161026">
        <w:t xml:space="preserve">Issues in contemporary practice are an important </w:t>
      </w:r>
      <w:r>
        <w:t xml:space="preserve">component in understanding </w:t>
      </w:r>
      <w:r w:rsidRPr="00161026">
        <w:t xml:space="preserve">the experience of </w:t>
      </w:r>
      <w:r w:rsidRPr="00161026">
        <w:rPr>
          <w:i/>
          <w:iCs/>
        </w:rPr>
        <w:t>Staying Put</w:t>
      </w:r>
      <w:r>
        <w:rPr>
          <w:i/>
          <w:iCs/>
        </w:rPr>
        <w:t>,</w:t>
      </w:r>
      <w:r>
        <w:t xml:space="preserve"> as policy implementation reflects the wider environment of practice (Hardy, 2015). </w:t>
      </w:r>
      <w:r w:rsidRPr="00161026">
        <w:t xml:space="preserve">This </w:t>
      </w:r>
      <w:r>
        <w:t>chapter outlines some of the key issues impacting current social work</w:t>
      </w:r>
      <w:r w:rsidR="00402B23">
        <w:t xml:space="preserve"> that are relevant when thinking about how social work operates in practice</w:t>
      </w:r>
      <w:r>
        <w:t xml:space="preserve">. Rather than an exhaustive overview, key areas have been selected due to their prevalence in social work </w:t>
      </w:r>
      <w:r w:rsidRPr="00161026">
        <w:t>literature</w:t>
      </w:r>
      <w:r>
        <w:t xml:space="preserve"> and relevance to the subject of the study namely neoliberalism, austerity and organisational issues. </w:t>
      </w:r>
      <w:r w:rsidRPr="00161026">
        <w:t>Whilst each area had a distinct presence in the literature, there are crossovers between them</w:t>
      </w:r>
      <w:r>
        <w:t>,</w:t>
      </w:r>
      <w:r w:rsidRPr="00161026">
        <w:t xml:space="preserve"> demonstrating the interconnectedness between social work and wider political and social issues</w:t>
      </w:r>
      <w:r>
        <w:t xml:space="preserve"> (Power and Raphael, 201</w:t>
      </w:r>
      <w:r w:rsidR="00D22D70">
        <w:t>8</w:t>
      </w:r>
      <w:r>
        <w:t>)</w:t>
      </w:r>
      <w:r w:rsidRPr="00161026">
        <w:t xml:space="preserve">. </w:t>
      </w:r>
    </w:p>
    <w:p w14:paraId="7EC24631" w14:textId="3A357595" w:rsidR="002F7F16" w:rsidRDefault="002F7F16" w:rsidP="006E3485">
      <w:pPr>
        <w:pStyle w:val="Heading2"/>
      </w:pPr>
      <w:bookmarkStart w:id="19" w:name="_Toc101108476"/>
      <w:r>
        <w:t>The Influence of Neoliberalism</w:t>
      </w:r>
      <w:bookmarkEnd w:id="19"/>
    </w:p>
    <w:p w14:paraId="25D19970" w14:textId="22278482" w:rsidR="002F7F16" w:rsidRDefault="002F7F16">
      <w:r>
        <w:t xml:space="preserve">It is challenging to capture the impact of a wide-reaching political economic approach, particularly as neoliberal ideology has influenced so many facets of practice since the late </w:t>
      </w:r>
      <w:r w:rsidR="005F16BA">
        <w:t>19</w:t>
      </w:r>
      <w:r>
        <w:t xml:space="preserve">70s (Cummins, 2018). </w:t>
      </w:r>
      <w:r w:rsidR="002F5278" w:rsidRPr="002F5278">
        <w:t xml:space="preserve">The belief that a free market is the primary way to ‘achieve human well-being’ has dominated changes to children’s services since the 1980s (Rogowski, 2018, p. 72). </w:t>
      </w:r>
      <w:r>
        <w:t xml:space="preserve">Often associated with the Conservative Party of </w:t>
      </w:r>
      <w:r w:rsidR="00907DA7">
        <w:t xml:space="preserve">the </w:t>
      </w:r>
      <w:r>
        <w:t>1970s</w:t>
      </w:r>
      <w:r w:rsidR="00FE6AF1">
        <w:t>–</w:t>
      </w:r>
      <w:r>
        <w:t>1990s, the pattern of change has endured through successive Labour</w:t>
      </w:r>
      <w:r w:rsidR="005F16BA">
        <w:t xml:space="preserve">, </w:t>
      </w:r>
      <w:r>
        <w:t>Coalition</w:t>
      </w:r>
      <w:r w:rsidR="005F16BA">
        <w:t xml:space="preserve"> and Conservative</w:t>
      </w:r>
      <w:r>
        <w:t xml:space="preserve"> governments</w:t>
      </w:r>
      <w:r w:rsidR="000C0388">
        <w:t xml:space="preserve">, which is why </w:t>
      </w:r>
      <w:r w:rsidR="008C079F">
        <w:t>party-political</w:t>
      </w:r>
      <w:r w:rsidR="000C0388">
        <w:t xml:space="preserve"> ideologies have not been referenced</w:t>
      </w:r>
      <w:r>
        <w:t>. The dominance of n</w:t>
      </w:r>
      <w:r w:rsidRPr="009D7BB4">
        <w:t>eoliberalism</w:t>
      </w:r>
      <w:r>
        <w:t xml:space="preserve"> has come about due to two specific discourses. First </w:t>
      </w:r>
      <w:r w:rsidR="00B13354">
        <w:t>the</w:t>
      </w:r>
      <w:r>
        <w:t xml:space="preserve"> assertion that without neoliberal policies society would suffer greater hardships</w:t>
      </w:r>
      <w:r w:rsidR="008C079F">
        <w:t xml:space="preserve">. This thinking was </w:t>
      </w:r>
      <w:r>
        <w:t xml:space="preserve">apparent in the late 1970s and in subsequent restructuring or changes to public services (Bamford, 2015). </w:t>
      </w:r>
      <w:r w:rsidRPr="00ED5917">
        <w:t xml:space="preserve">Neoliberal ideas are often </w:t>
      </w:r>
      <w:r>
        <w:t>framed</w:t>
      </w:r>
      <w:r w:rsidRPr="00ED5917">
        <w:t xml:space="preserve"> </w:t>
      </w:r>
      <w:r w:rsidR="00FC26BF">
        <w:t xml:space="preserve">by policy makers </w:t>
      </w:r>
      <w:r w:rsidRPr="00ED5917">
        <w:t>as</w:t>
      </w:r>
      <w:r>
        <w:t xml:space="preserve"> an essential solution to</w:t>
      </w:r>
      <w:r w:rsidRPr="00ED5917">
        <w:t xml:space="preserve"> improv</w:t>
      </w:r>
      <w:r>
        <w:t>e</w:t>
      </w:r>
      <w:r w:rsidRPr="00ED5917">
        <w:t xml:space="preserve"> efficienc</w:t>
      </w:r>
      <w:r>
        <w:t xml:space="preserve">ies. However, </w:t>
      </w:r>
      <w:r w:rsidR="008C079F">
        <w:t>neoliberal</w:t>
      </w:r>
      <w:r>
        <w:t xml:space="preserve"> ideas are </w:t>
      </w:r>
      <w:r w:rsidRPr="00ED5917">
        <w:t>not limited to areas of existing commerce</w:t>
      </w:r>
      <w:r w:rsidR="008C079F">
        <w:t>,</w:t>
      </w:r>
      <w:r w:rsidRPr="00ED5917">
        <w:t xml:space="preserve"> </w:t>
      </w:r>
      <w:r w:rsidR="002F5278">
        <w:t xml:space="preserve">and </w:t>
      </w:r>
      <w:r w:rsidR="008C079F">
        <w:t xml:space="preserve">application of market forces </w:t>
      </w:r>
      <w:r w:rsidR="008C079F" w:rsidRPr="00ED5917">
        <w:t>are seen as positive and necessary</w:t>
      </w:r>
      <w:r w:rsidR="008C079F">
        <w:t xml:space="preserve"> </w:t>
      </w:r>
      <w:r w:rsidRPr="00ED5917">
        <w:t>in</w:t>
      </w:r>
      <w:r w:rsidR="008C079F">
        <w:t xml:space="preserve"> all</w:t>
      </w:r>
      <w:r w:rsidRPr="00ED5917">
        <w:t xml:space="preserve"> areas of practice (Harvey, 2007)</w:t>
      </w:r>
      <w:r>
        <w:t>. The second discourse</w:t>
      </w:r>
      <w:r w:rsidR="008C079F">
        <w:t xml:space="preserve"> justifying the proliferation of neoliberal ideas</w:t>
      </w:r>
      <w:r w:rsidR="00666C58">
        <w:t>,</w:t>
      </w:r>
      <w:r>
        <w:t xml:space="preserve"> is the benefits of </w:t>
      </w:r>
      <w:r w:rsidR="002F5278">
        <w:t>neoliberalism</w:t>
      </w:r>
      <w:r>
        <w:t>, including promotion of</w:t>
      </w:r>
      <w:r w:rsidRPr="009D7BB4">
        <w:t xml:space="preserve"> individual dignity, freedom and choice</w:t>
      </w:r>
      <w:r>
        <w:t xml:space="preserve">, which </w:t>
      </w:r>
      <w:r w:rsidRPr="009D7BB4">
        <w:t xml:space="preserve">have become compelling narratives </w:t>
      </w:r>
      <w:r>
        <w:t xml:space="preserve">in contemporary society </w:t>
      </w:r>
      <w:r w:rsidRPr="009D7BB4">
        <w:t>(Harvey, 2007)</w:t>
      </w:r>
      <w:r>
        <w:t>. Although neoliberalism has been an unnamed influence</w:t>
      </w:r>
      <w:r w:rsidR="00FC26BF">
        <w:t xml:space="preserve"> i</w:t>
      </w:r>
      <w:r w:rsidR="00FC26BF" w:rsidRPr="00FC26BF">
        <w:t>n the restructuring and organisation of social work</w:t>
      </w:r>
      <w:r w:rsidR="00FC26BF">
        <w:t xml:space="preserve"> in England</w:t>
      </w:r>
      <w:r>
        <w:t xml:space="preserve">, modernisation and reform has been characterised by managerialist processes that introduce ideas of individualism, competition and commodification into </w:t>
      </w:r>
      <w:r>
        <w:lastRenderedPageBreak/>
        <w:t>relationships and social interactions (Garrett, 2010). Two facets of neoliberalism are set out starting with the concept of managerialism.</w:t>
      </w:r>
    </w:p>
    <w:p w14:paraId="6F6BDF40" w14:textId="4AAD189B" w:rsidR="002F7F16" w:rsidRDefault="002F7F16" w:rsidP="007C51DB">
      <w:pPr>
        <w:pStyle w:val="Heading3"/>
      </w:pPr>
      <w:r>
        <w:t>Managerialism</w:t>
      </w:r>
    </w:p>
    <w:p w14:paraId="4A6BC468" w14:textId="7C9E974F" w:rsidR="002F7F16" w:rsidRDefault="002F7F16">
      <w:r>
        <w:t xml:space="preserve">The rise of managerialism in social work has occurred over the last few decades (Rogowski, 2018). Methods of recording, monitoring and shaping practice have been described as a ‘discursive strategy’ to redefine the relationship between the manager and worker (Clarke, 1998, p. 234). Over time managers have become representatives of the organisation’s bureaucracy and criticised </w:t>
      </w:r>
      <w:r w:rsidR="008C079F">
        <w:t>for</w:t>
      </w:r>
      <w:r>
        <w:t xml:space="preserve"> being driven by checklists </w:t>
      </w:r>
      <w:r w:rsidR="002F5278">
        <w:t xml:space="preserve">which strip </w:t>
      </w:r>
      <w:r>
        <w:t>out the ‘creativity of social work’ (Bamford, 2015, p. vi). Trans</w:t>
      </w:r>
      <w:r w:rsidR="002F5278">
        <w:t>ferring</w:t>
      </w:r>
      <w:r>
        <w:t xml:space="preserve"> techniques from the business world into social work has been contentious </w:t>
      </w:r>
      <w:r w:rsidR="008408C6">
        <w:t xml:space="preserve">but also </w:t>
      </w:r>
      <w:r>
        <w:t xml:space="preserve">significant in reshaping professional identity from historic notions of altruistic endeavour (Timor-Shelvin and Benjamin, 2020). </w:t>
      </w:r>
    </w:p>
    <w:p w14:paraId="6A4359E7" w14:textId="22874DF0" w:rsidR="002F7F16" w:rsidRDefault="002F7F16">
      <w:r>
        <w:t xml:space="preserve">Efforts to standardise services to improve practice stem from managerial techniques to guide actions in a more prescribed way. Previous examples </w:t>
      </w:r>
      <w:r w:rsidR="005F16BA">
        <w:t xml:space="preserve">in social work </w:t>
      </w:r>
      <w:r>
        <w:t xml:space="preserve">include the role of checklist-based assessment tools accompanying the assessment framework in </w:t>
      </w:r>
      <w:r w:rsidR="00907DA7">
        <w:t xml:space="preserve">the </w:t>
      </w:r>
      <w:r>
        <w:t>2000s (Cleaver, Walker and Meadows, 2004) and more recently the Graded Care Profile when assessing child neglect. Whilst routinised models have been criticised for diluting professional creativity and judgment (Ponnert and Svenn</w:t>
      </w:r>
      <w:r w:rsidR="00300D3D">
        <w:t>s</w:t>
      </w:r>
      <w:r>
        <w:t xml:space="preserve">son, 2015), some social workers have found that such tools can be helpful in sharing concerns with </w:t>
      </w:r>
      <w:r w:rsidRPr="008408C6">
        <w:t>families (Smith et al.</w:t>
      </w:r>
      <w:r w:rsidR="00015D04" w:rsidRPr="008408C6">
        <w:t>,</w:t>
      </w:r>
      <w:r>
        <w:t xml:space="preserve"> 2019). Even though some elements of organisational process can be helpful</w:t>
      </w:r>
      <w:r w:rsidR="00B94516">
        <w:t>,</w:t>
      </w:r>
      <w:r>
        <w:t xml:space="preserve"> overwhelmingly social workers report that their undertaking of specific micromanaged tasks has lessened the amount of time spent with service users. In turn</w:t>
      </w:r>
      <w:r w:rsidR="00B94516">
        <w:t>,</w:t>
      </w:r>
      <w:r>
        <w:t xml:space="preserve"> social workers have felt a reduced sense of autonomy which </w:t>
      </w:r>
      <w:r w:rsidR="00B94516">
        <w:t xml:space="preserve">has </w:t>
      </w:r>
      <w:r>
        <w:t>ultimately made their role less satisfying (</w:t>
      </w:r>
      <w:r w:rsidRPr="004C18F6">
        <w:t xml:space="preserve">Harlow, </w:t>
      </w:r>
      <w:r w:rsidR="00680E00">
        <w:t xml:space="preserve">et al., </w:t>
      </w:r>
      <w:r w:rsidRPr="004C18F6">
        <w:t>2013</w:t>
      </w:r>
      <w:r>
        <w:t xml:space="preserve">). </w:t>
      </w:r>
      <w:r w:rsidRPr="00161026">
        <w:t>In Munro’s review of the child protection system in 2011, she argued that social work had become over bureaucratised and dominated by ‘top-down direction and regulation’ (</w:t>
      </w:r>
      <w:r w:rsidR="00680E00">
        <w:t xml:space="preserve">2011, </w:t>
      </w:r>
      <w:r w:rsidRPr="00161026">
        <w:t xml:space="preserve">p. 128). Although her focus was on a specific area of practice, other writers </w:t>
      </w:r>
      <w:r>
        <w:t xml:space="preserve">have </w:t>
      </w:r>
      <w:r w:rsidRPr="00161026">
        <w:t>recognised similar issues in other parts of children’s services (Blythe, 2014; Smith, 2019; Baginsky, Ixer and Manthorpe, 2021)</w:t>
      </w:r>
      <w:r w:rsidR="00512FC5">
        <w:t xml:space="preserve"> highlighting the relevance for </w:t>
      </w:r>
      <w:r w:rsidR="007432F5">
        <w:t xml:space="preserve">social workers supporting </w:t>
      </w:r>
      <w:r w:rsidR="00512FC5">
        <w:t>young people in my study</w:t>
      </w:r>
      <w:r w:rsidRPr="00161026">
        <w:t>.</w:t>
      </w:r>
    </w:p>
    <w:p w14:paraId="176B4BD9" w14:textId="091E5B45" w:rsidR="002F7F16" w:rsidRDefault="002F7F16">
      <w:r>
        <w:t xml:space="preserve">A defining feature of contemporary practice </w:t>
      </w:r>
      <w:r w:rsidR="008408C6">
        <w:t>is</w:t>
      </w:r>
      <w:r>
        <w:t xml:space="preserve"> the division within services based on specialisms, age ranges, need or task. Moving away from generic teams, social workers are positioned to only focus on a set issue to restrict opportunities to widen their remit within the family (Frost and Parton, 20</w:t>
      </w:r>
      <w:r w:rsidR="00680E00">
        <w:t>09</w:t>
      </w:r>
      <w:r>
        <w:t xml:space="preserve">). Fragmentation of the day-to-day job into specialist teams has been likened to a Ford factory conveyer belt where once a task is completed by one </w:t>
      </w:r>
      <w:r>
        <w:lastRenderedPageBreak/>
        <w:t>specialist it is handed onto the next (Harlow, 2003). Compartmentalisation of task can be seen in all parts of children’s services including leaving care services</w:t>
      </w:r>
      <w:r w:rsidR="008408C6">
        <w:t>,</w:t>
      </w:r>
      <w:r>
        <w:t xml:space="preserve"> where social workers and personal advisors have demarcated areas of responsibility and knowledge. Translating practice into task orientated work has destabilised traditional ideas of social work</w:t>
      </w:r>
      <w:r w:rsidR="007432F5">
        <w:t xml:space="preserve"> (Thompson and Wadley, 2018).</w:t>
      </w:r>
      <w:r>
        <w:t xml:space="preserve"> </w:t>
      </w:r>
      <w:r w:rsidR="007432F5">
        <w:t>Where previously</w:t>
      </w:r>
      <w:r w:rsidR="00F53B25">
        <w:t>,</w:t>
      </w:r>
      <w:r w:rsidR="007432F5">
        <w:t xml:space="preserve"> social work was seen </w:t>
      </w:r>
      <w:r>
        <w:t>as a helping profession</w:t>
      </w:r>
      <w:r w:rsidR="00D02D02">
        <w:t xml:space="preserve">, now by </w:t>
      </w:r>
      <w:r>
        <w:t>fulfilling the</w:t>
      </w:r>
      <w:r w:rsidR="00D02D02">
        <w:t xml:space="preserve"> bureaucratic </w:t>
      </w:r>
      <w:r>
        <w:t>expectations of their role</w:t>
      </w:r>
      <w:r w:rsidR="00F53B25">
        <w:t xml:space="preserve"> </w:t>
      </w:r>
      <w:r>
        <w:t xml:space="preserve">social workers </w:t>
      </w:r>
      <w:r w:rsidR="00D02D02">
        <w:t>are diverted from</w:t>
      </w:r>
      <w:r>
        <w:t xml:space="preserve"> the relationship-based aspects of practice by becoming overly focused on measurable skills and knowledge for their given area (Thompson and Wadley, 2018).</w:t>
      </w:r>
    </w:p>
    <w:p w14:paraId="4027FB39" w14:textId="4A5E47D9" w:rsidR="002F7F16" w:rsidRDefault="002F7F16" w:rsidP="007C51DB">
      <w:pPr>
        <w:pStyle w:val="Heading3"/>
      </w:pPr>
      <w:r>
        <w:t>Marketisation</w:t>
      </w:r>
    </w:p>
    <w:p w14:paraId="48B704EB" w14:textId="55720B8C" w:rsidR="002F7F16" w:rsidRDefault="002F7F16">
      <w:r>
        <w:t xml:space="preserve">Managerial techniques have undoubtedly shaped the nature of social work, however the second tenet of neoliberal thinking in this chapter is the involvement of the market, which has </w:t>
      </w:r>
      <w:r w:rsidR="006A7526">
        <w:t xml:space="preserve">also </w:t>
      </w:r>
      <w:r>
        <w:t xml:space="preserve">fundamentally changed what constitutes a social work organisation. Bamford (2015) recalls </w:t>
      </w:r>
      <w:r w:rsidR="006A7526">
        <w:t>Margaret Thatcher</w:t>
      </w:r>
      <w:r w:rsidR="00903398">
        <w:t xml:space="preserve"> talking as the </w:t>
      </w:r>
      <w:r>
        <w:t>leader of the opposition</w:t>
      </w:r>
      <w:r w:rsidR="006268B4">
        <w:t xml:space="preserve"> in the 1970s</w:t>
      </w:r>
      <w:r>
        <w:t xml:space="preserve">, </w:t>
      </w:r>
      <w:r w:rsidR="006268B4">
        <w:t>asserting</w:t>
      </w:r>
      <w:r>
        <w:t xml:space="preserve"> that children’s social work should be delivered by a charity</w:t>
      </w:r>
      <w:r w:rsidR="006268B4">
        <w:t xml:space="preserve">. These </w:t>
      </w:r>
      <w:r w:rsidR="006A7526">
        <w:t>idea</w:t>
      </w:r>
      <w:r w:rsidR="006268B4">
        <w:t>s</w:t>
      </w:r>
      <w:r w:rsidR="006A7526">
        <w:t xml:space="preserve"> of disaggregated services ha</w:t>
      </w:r>
      <w:r w:rsidR="006268B4">
        <w:t>ve</w:t>
      </w:r>
      <w:r>
        <w:t xml:space="preserve"> become an enduring </w:t>
      </w:r>
      <w:r w:rsidR="00DC4613">
        <w:t xml:space="preserve">presence </w:t>
      </w:r>
      <w:r>
        <w:t xml:space="preserve">through subsequent </w:t>
      </w:r>
      <w:r w:rsidR="00DC4613">
        <w:t>practice reviews</w:t>
      </w:r>
      <w:r>
        <w:t xml:space="preserve">. Use of market principles in children’s services has been slower than in other areas of practice, </w:t>
      </w:r>
      <w:r w:rsidR="00DC4613">
        <w:t xml:space="preserve">for example </w:t>
      </w:r>
      <w:r>
        <w:t xml:space="preserve">adult services have operated with a purchaser/provider split since the enactment of the </w:t>
      </w:r>
      <w:r w:rsidRPr="00907DA7">
        <w:rPr>
          <w:i/>
          <w:iCs/>
        </w:rPr>
        <w:t>NHS and Community Care Act 1990</w:t>
      </w:r>
      <w:r>
        <w:t xml:space="preserve">. </w:t>
      </w:r>
      <w:r w:rsidR="00DC4613">
        <w:t>Following the 1990 Act l</w:t>
      </w:r>
      <w:r>
        <w:t xml:space="preserve">ocal authorities shifted from being the dominant provider of services to being purchasers of care, entering a marketplace of private and voluntary sector to commission services (Newman and Clarke, 2009). Dispersing services in this way, created multiple ‘proxies of state power’ which led to decentralisation and new methods of regulation (Clarke, 2004, p. 36). Concerns about oversight </w:t>
      </w:r>
      <w:r w:rsidR="009D6DF7">
        <w:t xml:space="preserve">of these multiple proxies </w:t>
      </w:r>
      <w:r>
        <w:t>have also been expressed by Jones (2015)</w:t>
      </w:r>
      <w:r w:rsidR="00B94516">
        <w:t>,</w:t>
      </w:r>
      <w:r>
        <w:t xml:space="preserve"> who argued that distancing care decisions from the local authority </w:t>
      </w:r>
      <w:r w:rsidR="00DC4613">
        <w:t>exports</w:t>
      </w:r>
      <w:r>
        <w:t xml:space="preserve"> care and protection issues outside of the context of democratic accountability (Jones, 2015).</w:t>
      </w:r>
    </w:p>
    <w:p w14:paraId="656BC20B" w14:textId="2E22ECAA" w:rsidR="002E2070" w:rsidRPr="008408C6" w:rsidRDefault="002F7F16" w:rsidP="002E2070">
      <w:r>
        <w:t xml:space="preserve">Nearly 20 years on from Clarke’s observations about the dispersal of services, the market has become an integral part of public services </w:t>
      </w:r>
      <w:r w:rsidR="00DC4613">
        <w:t>and created ‘</w:t>
      </w:r>
      <w:r>
        <w:t>self-contained bureaucracies run on market principles” (Cleary, 2018, p. 2253). Although later to adopt a marketi</w:t>
      </w:r>
      <w:r w:rsidR="005F16BA">
        <w:t>s</w:t>
      </w:r>
      <w:r>
        <w:t>ed approach, children’s services have now fully incorporated these ideas in most aspects of practice. One example of embedded practice is commissioning residential or foster care placements from the private or voluntary sector (Sellick, 2011, 201</w:t>
      </w:r>
      <w:r w:rsidR="00B934BF">
        <w:t>4</w:t>
      </w:r>
      <w:r>
        <w:t xml:space="preserve">). Specific teams or roles to commission and contract services have become established, and payment by results and local performance measures are conventional methods of working with providers of care (Body, 2019). In the foster care sector, independent fostering agencies (IFA) make up a third </w:t>
      </w:r>
      <w:r>
        <w:lastRenderedPageBreak/>
        <w:t xml:space="preserve">of fostering </w:t>
      </w:r>
      <w:r w:rsidR="008408C6">
        <w:t>services</w:t>
      </w:r>
      <w:r>
        <w:t xml:space="preserve">, with the remaining placements being provided by the local authority (Ofsted, 2020). Although this number has remained static for the previous two reporting periods, data suggests that IFAs continue to increase their capacity of approved foster carers, whilst local authority numbers decrease (Ofsted, 2020). </w:t>
      </w:r>
      <w:r w:rsidR="00512FC5">
        <w:t xml:space="preserve">This increase </w:t>
      </w:r>
      <w:r w:rsidR="002E2070">
        <w:t xml:space="preserve">in IFA foster carers could be </w:t>
      </w:r>
      <w:r w:rsidR="00512FC5">
        <w:t xml:space="preserve">a </w:t>
      </w:r>
      <w:r w:rsidR="002E2070">
        <w:t>financial barrier</w:t>
      </w:r>
      <w:r w:rsidR="00512FC5">
        <w:t xml:space="preserve"> </w:t>
      </w:r>
      <w:r w:rsidR="002E2070">
        <w:t>to</w:t>
      </w:r>
      <w:r w:rsidR="00512FC5">
        <w:t xml:space="preserve"> </w:t>
      </w:r>
      <w:r w:rsidR="008408C6">
        <w:t xml:space="preserve">carers wanting </w:t>
      </w:r>
      <w:r w:rsidR="00512FC5">
        <w:t xml:space="preserve">young people to stay </w:t>
      </w:r>
      <w:r w:rsidR="002E2070">
        <w:t>put. An IFA carer is likely to be paid a higher fee than a foster carer for the local authority (Narey and Owers, 2018), meaning that when the young person’s placement converts to an arrangement, the</w:t>
      </w:r>
      <w:r w:rsidR="008408C6">
        <w:t xml:space="preserve"> carer’s</w:t>
      </w:r>
      <w:r w:rsidR="002E2070">
        <w:t xml:space="preserve"> income will decrease substantially.</w:t>
      </w:r>
    </w:p>
    <w:p w14:paraId="2523E60B" w14:textId="2E712BD9" w:rsidR="002F7F16" w:rsidRDefault="002F7F16">
      <w:r>
        <w:t xml:space="preserve">Contrary to the enthusiasm for the role of the free market in social care by various governments, recent </w:t>
      </w:r>
      <w:r w:rsidR="00DC4613">
        <w:t>unease</w:t>
      </w:r>
      <w:r>
        <w:t xml:space="preserve"> about profiteering in the fostering and residential care sector has led to questions about the moral implications (Jones, 2018)</w:t>
      </w:r>
      <w:r w:rsidR="00B94516">
        <w:t>,</w:t>
      </w:r>
      <w:r>
        <w:t xml:space="preserve"> and value and quality of services (Samuel, 2021). The hope for a mixed economy of providers has not panned out and of the 270 IFAs, 47</w:t>
      </w:r>
      <w:r w:rsidR="007118C1">
        <w:t xml:space="preserve"> per cent o</w:t>
      </w:r>
      <w:r>
        <w:t>f agencies are owned by 21 larger companies, of which only seven are not for profit companies (Ofsted, 2020). With only 4</w:t>
      </w:r>
      <w:r w:rsidR="007118C1">
        <w:t xml:space="preserve"> per cent</w:t>
      </w:r>
      <w:r>
        <w:t xml:space="preserve"> of placements provided by the voluntary sector, most children in IFA foster care placements are cared for by profit making agencies. In the most recent Local Government Association report, IFAs were making £278 million pounds in profit each year with continued ‘appetite for further acquisition’ of small agencies by large providers (Rome, 2021, p. 27). </w:t>
      </w:r>
    </w:p>
    <w:p w14:paraId="5890D033" w14:textId="18099438" w:rsidR="002F7F16" w:rsidRDefault="002F7F16">
      <w:r>
        <w:t>Neoliberalism has changed how social work is understood and what the job looks like on a day-to-day basis. Attempts to challenge the proliferation of managerial pro</w:t>
      </w:r>
      <w:r w:rsidR="00B94516">
        <w:t>c</w:t>
      </w:r>
      <w:r>
        <w:t>e</w:t>
      </w:r>
      <w:r w:rsidR="00B94516">
        <w:t>s</w:t>
      </w:r>
      <w:r>
        <w:t xml:space="preserve">s by calling for reform have yet to make any impact and </w:t>
      </w:r>
      <w:r w:rsidRPr="009429A3">
        <w:t>McGrath-Brookes, Hanley</w:t>
      </w:r>
      <w:r>
        <w:t xml:space="preserve"> and</w:t>
      </w:r>
      <w:r w:rsidRPr="009429A3">
        <w:t xml:space="preserve"> Higgins</w:t>
      </w:r>
      <w:r>
        <w:t xml:space="preserve"> </w:t>
      </w:r>
      <w:r w:rsidRPr="009429A3">
        <w:t>(2020)</w:t>
      </w:r>
      <w:r>
        <w:t xml:space="preserve">, suggest that even recent calls for </w:t>
      </w:r>
      <w:r w:rsidR="006A7526">
        <w:t xml:space="preserve">service </w:t>
      </w:r>
      <w:r>
        <w:t xml:space="preserve">reform are imbued with neoliberal tropes such as </w:t>
      </w:r>
      <w:r w:rsidRPr="009429A3">
        <w:rPr>
          <w:i/>
          <w:iCs/>
        </w:rPr>
        <w:t>freedom</w:t>
      </w:r>
      <w:r>
        <w:t xml:space="preserve"> and </w:t>
      </w:r>
      <w:r w:rsidRPr="009429A3">
        <w:rPr>
          <w:i/>
          <w:iCs/>
        </w:rPr>
        <w:t>potential</w:t>
      </w:r>
      <w:r w:rsidRPr="009429A3">
        <w:t>.</w:t>
      </w:r>
      <w:r w:rsidR="002E2070">
        <w:t xml:space="preserve"> Suggesting that </w:t>
      </w:r>
      <w:r w:rsidR="0068311F">
        <w:t>neoliberal thinking is the answer to the problems it seems to have caused.</w:t>
      </w:r>
      <w:r w:rsidRPr="009429A3">
        <w:t xml:space="preserve"> </w:t>
      </w:r>
      <w:r>
        <w:t xml:space="preserve">The next subject </w:t>
      </w:r>
      <w:r w:rsidR="008408C6">
        <w:t>relevant to leaving care services</w:t>
      </w:r>
      <w:r>
        <w:t xml:space="preserve"> also relates to measures of state involvement, again presented as a necessary solution to an escalating problem.</w:t>
      </w:r>
    </w:p>
    <w:p w14:paraId="21F6A1A1" w14:textId="77CFF262" w:rsidR="002F7F16" w:rsidRDefault="002F7F16">
      <w:pPr>
        <w:pStyle w:val="Heading2"/>
      </w:pPr>
      <w:bookmarkStart w:id="20" w:name="_Toc101108477"/>
      <w:r>
        <w:t>Austerity</w:t>
      </w:r>
      <w:bookmarkEnd w:id="20"/>
    </w:p>
    <w:p w14:paraId="50AD3FA3" w14:textId="30B22DB1" w:rsidR="002F7F16" w:rsidRDefault="002F7F16">
      <w:r>
        <w:t>Following the global financial crisis in 2008, austerity measures have been severe and widespread throughout the public sector. Described as ‘</w:t>
      </w:r>
      <w:r w:rsidR="0018772B">
        <w:t>g</w:t>
      </w:r>
      <w:r>
        <w:t>overnment chosen austerity’ (McLaughlin, 2020, p. 27), cuts to services have appeared ideologically driven, to engineer less reliance on public services and further promote individualisation of social problems and problem solving (Ferguson and Lavalette, 2013, Lavalette, 2017). As a result of austerity measures</w:t>
      </w:r>
      <w:r w:rsidR="001F5E8D">
        <w:t>,</w:t>
      </w:r>
      <w:r>
        <w:t xml:space="preserve"> wider changes to the labour market, spiralling housing costs and reduced health </w:t>
      </w:r>
      <w:r>
        <w:lastRenderedPageBreak/>
        <w:t xml:space="preserve">and social care services have contributed to a deterioration in living standards for many people (Lavalette, 2017). In this environment, social workers have taken on a more active role in gatekeeping the public purse and the language of eligibility, contracts and value for money have become commonplace in practice discussions (Jones, 2015). Under the </w:t>
      </w:r>
      <w:r w:rsidR="00C06852">
        <w:t>pretext</w:t>
      </w:r>
      <w:r>
        <w:t xml:space="preserve"> of i</w:t>
      </w:r>
      <w:r w:rsidRPr="00775172">
        <w:t xml:space="preserve">nnovation </w:t>
      </w:r>
      <w:r>
        <w:t xml:space="preserve">and creativity, services have had to adapt to </w:t>
      </w:r>
      <w:r w:rsidRPr="00775172">
        <w:t>‘do more for less’ (Brown, 201</w:t>
      </w:r>
      <w:r w:rsidR="00701F6B">
        <w:t>5</w:t>
      </w:r>
      <w:r w:rsidRPr="00775172">
        <w:t>, p. 138)</w:t>
      </w:r>
      <w:r>
        <w:t xml:space="preserve"> with social workers often signposting on to other services. However, drawing on community-based services is not straightforward, as public sector grants and contracts have also been cut, impacting on preventative and service user led organisations (Clifford, 2017). Consequently, many people fall outside of statutory services and are also unable to access community-based support. Austerity as a funding policy appears to be an accepted part of practice and the impact on families</w:t>
      </w:r>
      <w:r w:rsidR="00C06852">
        <w:t>,</w:t>
      </w:r>
      <w:r>
        <w:t xml:space="preserve"> </w:t>
      </w:r>
      <w:r w:rsidR="00C06852">
        <w:t>o</w:t>
      </w:r>
      <w:r>
        <w:t xml:space="preserve">ne example </w:t>
      </w:r>
      <w:r w:rsidR="00907DA7">
        <w:t>being the</w:t>
      </w:r>
      <w:r>
        <w:t xml:space="preserve"> use of food banks, which have become absorbed as an accepted social work intervention</w:t>
      </w:r>
      <w:r w:rsidR="0068311F">
        <w:t xml:space="preserve"> in the face of a shrinking welfare state</w:t>
      </w:r>
      <w:r>
        <w:t xml:space="preserve"> (Pollock, 2019).</w:t>
      </w:r>
    </w:p>
    <w:p w14:paraId="443F43A2" w14:textId="7B4D9352" w:rsidR="002F7F16" w:rsidRDefault="002F7F16">
      <w:r>
        <w:t>Once central to a social worker’s agenda, structural inequalities, exclusion and poverty have become marginal concerns with greater focus placed on individualised interpretations of personal difficulties (Smith, 2021). Issues of poverty for example have become an ‘abstract hypothesis’ (Morris et al., 2018, p.</w:t>
      </w:r>
      <w:r w:rsidR="006F5F8D">
        <w:t xml:space="preserve"> </w:t>
      </w:r>
      <w:r>
        <w:t xml:space="preserve">8) where social workers often talk about social justice despite having little awareness of the impact of poverty on their service users (Cummins, 2018). Smith (2021) argues that the disconnect is unsurprising as social workers have to focus on eligibility and rationing of resources, which may leave them feeling </w:t>
      </w:r>
      <w:r w:rsidR="002C665D">
        <w:t>unable</w:t>
      </w:r>
      <w:r>
        <w:t xml:space="preserve"> to challenge the measures that they employ. For some social workers the cuts to services and growing influence of the free market have led to resistance and public protest (Gwilym, 2017), however many on short term contracts and operating in pressurised work environments have felt unable to respond. In some cases, social workers have felt overwhelmed by the dissonance between their values and refusing family’s requests for support (Grootegoed and Smith, 2018). Feeling hopeless to make changes, has led to some social workers questioning whether they have made the correct career choice (McFadden, 2015).</w:t>
      </w:r>
      <w:r w:rsidR="002C665D">
        <w:t xml:space="preserve"> Conseq</w:t>
      </w:r>
      <w:r w:rsidR="002814AA">
        <w:t>uently</w:t>
      </w:r>
      <w:r w:rsidR="002C665D">
        <w:t>, young people leaving care are supported within an environment that is resource poor.</w:t>
      </w:r>
    </w:p>
    <w:p w14:paraId="7A8CCD77" w14:textId="05EFE958" w:rsidR="002F7F16" w:rsidRPr="00161026" w:rsidRDefault="0068311F">
      <w:pPr>
        <w:pStyle w:val="Heading2"/>
      </w:pPr>
      <w:bookmarkStart w:id="21" w:name="_Toc101108478"/>
      <w:r>
        <w:t>Pressures in Practice</w:t>
      </w:r>
      <w:bookmarkEnd w:id="21"/>
    </w:p>
    <w:p w14:paraId="26E634BB" w14:textId="0C2230FA" w:rsidR="002F7F16" w:rsidRDefault="002F7F16" w:rsidP="008E4AF2">
      <w:r>
        <w:t xml:space="preserve">Alongside and sometimes in response to, calls for efficiencies in the last 20 years, social work education and practice has been reviewed by </w:t>
      </w:r>
      <w:r w:rsidR="002C665D">
        <w:t>multiple</w:t>
      </w:r>
      <w:r>
        <w:t xml:space="preserve"> academics and </w:t>
      </w:r>
      <w:r w:rsidR="0018772B">
        <w:t>g</w:t>
      </w:r>
      <w:r>
        <w:t xml:space="preserve">overnment appointed advisors (Munro, 2011; Narey, 2014; Croisdale-Appleby, 2014; Narey, 2016; </w:t>
      </w:r>
      <w:r>
        <w:lastRenderedPageBreak/>
        <w:t xml:space="preserve">Baginsky, Gorin and Sands, 2017; Narey and Owers, 2018). Each reviewer has attempted to tackle an aspect of the system to make improvements to the ‘pot-pourri’ of services (Bullock, 2018, p. 107). Despite years of reform instigated by reviews, social changes or high-profile cases of child death or injury (Jones, 2014), concerns about the practice environment remain. The next section highlights some of the key issues facing social workers and social work organisations </w:t>
      </w:r>
      <w:r w:rsidR="0068311F">
        <w:t>building on</w:t>
      </w:r>
      <w:r>
        <w:t xml:space="preserve"> those mentioned in the first part of this chapter.</w:t>
      </w:r>
      <w:r w:rsidR="0068311F">
        <w:t xml:space="preserve"> Whilst these issues have been presented as a list for the reader’s benefit, the </w:t>
      </w:r>
      <w:r w:rsidR="0046130F">
        <w:t xml:space="preserve">topics presented </w:t>
      </w:r>
      <w:r w:rsidR="0068311F">
        <w:t xml:space="preserve">continue to illustrate the </w:t>
      </w:r>
      <w:r w:rsidR="0046130F">
        <w:t xml:space="preserve">complex </w:t>
      </w:r>
      <w:r w:rsidR="0068311F">
        <w:t xml:space="preserve">practice environment </w:t>
      </w:r>
      <w:r w:rsidR="002C665D">
        <w:t>with</w:t>
      </w:r>
      <w:r w:rsidR="0046130F">
        <w:t>in which a young person is supported.</w:t>
      </w:r>
    </w:p>
    <w:p w14:paraId="04802CB2" w14:textId="19FF9015" w:rsidR="002F7F16" w:rsidRDefault="002F7F16" w:rsidP="007C51DB">
      <w:pPr>
        <w:pStyle w:val="Heading3"/>
      </w:pPr>
      <w:r>
        <w:t>Demand and Workload</w:t>
      </w:r>
    </w:p>
    <w:p w14:paraId="3E753F03" w14:textId="45135F2E" w:rsidR="002F7F16" w:rsidRDefault="002F7F16">
      <w:r>
        <w:t xml:space="preserve">In </w:t>
      </w:r>
      <w:r w:rsidR="00995899" w:rsidRPr="00333360">
        <w:t>C</w:t>
      </w:r>
      <w:r w:rsidRPr="00333360">
        <w:t>hapter</w:t>
      </w:r>
      <w:r w:rsidR="00333360" w:rsidRPr="00333360">
        <w:t xml:space="preserve"> 2</w:t>
      </w:r>
      <w:r w:rsidRPr="00333360">
        <w:t xml:space="preserve"> the</w:t>
      </w:r>
      <w:r>
        <w:t xml:space="preserve"> relationship between the death or injury of a child and policy change </w:t>
      </w:r>
      <w:r w:rsidR="0046130F">
        <w:t xml:space="preserve">was </w:t>
      </w:r>
      <w:r>
        <w:t xml:space="preserve">noted, but another </w:t>
      </w:r>
      <w:r w:rsidR="002C665D">
        <w:t>consequence</w:t>
      </w:r>
      <w:r>
        <w:t xml:space="preserve"> of an individual child’s circumstances is the impact o</w:t>
      </w:r>
      <w:r w:rsidR="00FE6AB2">
        <w:t>n</w:t>
      </w:r>
      <w:r>
        <w:t xml:space="preserve"> demand for social work services. Following the death of Peter Connelly in 2007 there was a sustained</w:t>
      </w:r>
      <w:r w:rsidR="00001BC8">
        <w:t xml:space="preserve"> </w:t>
      </w:r>
      <w:r>
        <w:t>media campaign about poor social work practice and referrals to children’s services increased</w:t>
      </w:r>
      <w:r w:rsidR="00C774D0">
        <w:t>,</w:t>
      </w:r>
      <w:r>
        <w:t xml:space="preserve"> due to a collective anxiety about managing risk in the community (Jones, 2014). In the three weeks following the initial media coverage, the court appointed social work service, Cafcass</w:t>
      </w:r>
      <w:r w:rsidR="002C187A">
        <w:rPr>
          <w:rStyle w:val="FootnoteReference"/>
        </w:rPr>
        <w:footnoteReference w:id="3"/>
      </w:r>
      <w:r>
        <w:t>, reported an increase from 496 application</w:t>
      </w:r>
      <w:r w:rsidR="006A7526">
        <w:t>s</w:t>
      </w:r>
      <w:r>
        <w:t xml:space="preserve"> for care proceedings in September 2008 to 716 in December</w:t>
      </w:r>
      <w:r w:rsidR="00001BC8">
        <w:t xml:space="preserve"> 2008</w:t>
      </w:r>
      <w:r>
        <w:t xml:space="preserve"> (Cafcass, 2012). In their review of this period, Cafcass (2012) concluded that the majority of applications made during this time were appropriate</w:t>
      </w:r>
      <w:r w:rsidR="006A7526">
        <w:t xml:space="preserve"> and </w:t>
      </w:r>
      <w:r w:rsidR="0046130F">
        <w:t xml:space="preserve">related to children who </w:t>
      </w:r>
      <w:r w:rsidR="006A7526">
        <w:t>needed court intervention</w:t>
      </w:r>
      <w:r>
        <w:t xml:space="preserve">. </w:t>
      </w:r>
    </w:p>
    <w:p w14:paraId="04E3F7DC" w14:textId="0CA31968" w:rsidR="002F7F16" w:rsidRDefault="006A7526">
      <w:r>
        <w:t>After the initial increase in 2007/2008</w:t>
      </w:r>
      <w:r w:rsidR="00BF3E46">
        <w:t>,</w:t>
      </w:r>
      <w:r w:rsidR="002F7F16">
        <w:t xml:space="preserve"> there was a fall in applications and requests for social work support</w:t>
      </w:r>
      <w:r>
        <w:t xml:space="preserve">. </w:t>
      </w:r>
      <w:r w:rsidR="0011645C">
        <w:t>However,</w:t>
      </w:r>
      <w:r w:rsidR="002F7F16">
        <w:t xml:space="preserve"> from 2010 there has been a steady increase in court applications (Cafcass, 2021), referrals to local authorities for support</w:t>
      </w:r>
      <w:r w:rsidR="0046130F">
        <w:t>,</w:t>
      </w:r>
      <w:r w:rsidR="002F7F16">
        <w:t xml:space="preserve"> and child protection referrals (Foster and Harker, 2021). </w:t>
      </w:r>
      <w:r w:rsidR="00FF268D">
        <w:t>Rising</w:t>
      </w:r>
      <w:r w:rsidR="002F7F16">
        <w:t xml:space="preserve"> numbers of children</w:t>
      </w:r>
      <w:r>
        <w:t xml:space="preserve"> needing </w:t>
      </w:r>
      <w:r w:rsidR="002F7F16">
        <w:t xml:space="preserve">assessment and family support has led to </w:t>
      </w:r>
      <w:r w:rsidR="00FF268D">
        <w:t>increased</w:t>
      </w:r>
      <w:r w:rsidR="002F7F16">
        <w:t xml:space="preserve"> levels of formalisation </w:t>
      </w:r>
      <w:r w:rsidR="0011645C">
        <w:t xml:space="preserve">in practice </w:t>
      </w:r>
      <w:r w:rsidR="002F7F16">
        <w:t>in an attempt to cope with demand</w:t>
      </w:r>
      <w:r w:rsidR="0011645C">
        <w:t xml:space="preserve"> and sensitivity to risk</w:t>
      </w:r>
      <w:r w:rsidR="002F7F16">
        <w:t xml:space="preserve"> (Featherstone et al., 2018). </w:t>
      </w:r>
      <w:r w:rsidR="00546FDA">
        <w:t>Omnipresent</w:t>
      </w:r>
      <w:r w:rsidR="0046130F">
        <w:t xml:space="preserve"> </w:t>
      </w:r>
      <w:r w:rsidR="002F7F16">
        <w:t xml:space="preserve">measurement of </w:t>
      </w:r>
      <w:r w:rsidR="0011645C">
        <w:t xml:space="preserve">social </w:t>
      </w:r>
      <w:r w:rsidR="002F7F16">
        <w:t>work</w:t>
      </w:r>
      <w:r w:rsidR="00546FDA">
        <w:t xml:space="preserve"> through shared IT systems</w:t>
      </w:r>
      <w:r w:rsidR="002F7F16">
        <w:t xml:space="preserve"> </w:t>
      </w:r>
      <w:r w:rsidR="0046130F">
        <w:t>ha</w:t>
      </w:r>
      <w:r w:rsidR="001D1249">
        <w:t>s</w:t>
      </w:r>
      <w:r w:rsidR="0046130F">
        <w:t xml:space="preserve"> </w:t>
      </w:r>
      <w:r w:rsidR="003B17D4">
        <w:t>increased</w:t>
      </w:r>
      <w:r w:rsidR="0046130F">
        <w:t xml:space="preserve"> </w:t>
      </w:r>
      <w:r w:rsidR="002F7F16">
        <w:t xml:space="preserve">public exposure of </w:t>
      </w:r>
      <w:r w:rsidR="0046130F">
        <w:t xml:space="preserve">failed targets, </w:t>
      </w:r>
      <w:r w:rsidR="002F7F16">
        <w:t xml:space="preserve">mistakes </w:t>
      </w:r>
      <w:r w:rsidR="0011645C">
        <w:t xml:space="preserve">and </w:t>
      </w:r>
      <w:r w:rsidR="002F7F16">
        <w:t xml:space="preserve">unfinished work </w:t>
      </w:r>
      <w:r w:rsidR="0046130F">
        <w:t>(Gibson, 2014).</w:t>
      </w:r>
      <w:r w:rsidR="00FF268D">
        <w:t xml:space="preserve"> Social workers</w:t>
      </w:r>
      <w:r w:rsidR="00546FDA">
        <w:t xml:space="preserve"> consequently face the task of balancing an </w:t>
      </w:r>
      <w:r w:rsidR="00FF268D">
        <w:t xml:space="preserve">increased demand on </w:t>
      </w:r>
      <w:r w:rsidR="00546FDA">
        <w:t>services and organisational</w:t>
      </w:r>
      <w:r w:rsidR="00FF268D">
        <w:t xml:space="preserve"> expectations of </w:t>
      </w:r>
      <w:r w:rsidR="00546FDA">
        <w:t xml:space="preserve">bureaucracy whilst also </w:t>
      </w:r>
      <w:r w:rsidR="00A961E2">
        <w:t>experiencing</w:t>
      </w:r>
      <w:r w:rsidR="00546FDA">
        <w:t xml:space="preserve"> feelings of </w:t>
      </w:r>
      <w:r w:rsidR="002F7F16">
        <w:t>shame and incompetence</w:t>
      </w:r>
      <w:r w:rsidR="0011645C">
        <w:t xml:space="preserve"> </w:t>
      </w:r>
      <w:r w:rsidR="00FF268D">
        <w:t>due to the</w:t>
      </w:r>
      <w:r w:rsidR="00546FDA">
        <w:t>ir shortcomings being made visible (</w:t>
      </w:r>
      <w:r w:rsidR="002F7F16">
        <w:t xml:space="preserve">Gibson, 2014). </w:t>
      </w:r>
      <w:r w:rsidR="0011645C">
        <w:t>In summary, s</w:t>
      </w:r>
      <w:r w:rsidR="002F7F16">
        <w:t>ocial workers</w:t>
      </w:r>
      <w:r w:rsidR="0011645C">
        <w:t xml:space="preserve"> ex</w:t>
      </w:r>
      <w:r w:rsidR="002F7F16">
        <w:t xml:space="preserve">perience external </w:t>
      </w:r>
      <w:r w:rsidR="002F7F16">
        <w:lastRenderedPageBreak/>
        <w:t>pressures to identify risk</w:t>
      </w:r>
      <w:r w:rsidR="00001BC8">
        <w:t xml:space="preserve"> which may result in </w:t>
      </w:r>
      <w:r w:rsidR="002F7F16">
        <w:t xml:space="preserve">public </w:t>
      </w:r>
      <w:r w:rsidR="0011645C">
        <w:t>scrutiny</w:t>
      </w:r>
      <w:r w:rsidR="001D1249">
        <w:t>,</w:t>
      </w:r>
      <w:r w:rsidR="0011645C">
        <w:t xml:space="preserve"> </w:t>
      </w:r>
      <w:r w:rsidR="00546FDA">
        <w:t xml:space="preserve">simultaneously with </w:t>
      </w:r>
      <w:r w:rsidR="002F7F16">
        <w:t>internal pressures to fulfil the organisation’s reporting requirements.</w:t>
      </w:r>
    </w:p>
    <w:p w14:paraId="5CCAA06C" w14:textId="26756FCA" w:rsidR="002F7F16" w:rsidRDefault="0011645C">
      <w:r>
        <w:t xml:space="preserve">As well as an increase in child protection work, local authorities have also experienced additional demands on other areas of social work services. </w:t>
      </w:r>
      <w:r w:rsidR="002F7F16">
        <w:t xml:space="preserve">Relevant to </w:t>
      </w:r>
      <w:r w:rsidR="00991685">
        <w:t>my</w:t>
      </w:r>
      <w:r w:rsidR="002F7F16">
        <w:t xml:space="preserve"> study is the increase in the number of children in care. </w:t>
      </w:r>
      <w:r w:rsidR="002C187A">
        <w:t xml:space="preserve">Table </w:t>
      </w:r>
      <w:r w:rsidR="00F43CF3">
        <w:t>2</w:t>
      </w:r>
      <w:r w:rsidR="002F7F16">
        <w:t xml:space="preserve"> shows the Department for Education (2020) data detailing the increase of </w:t>
      </w:r>
      <w:r w:rsidR="002F7F16" w:rsidRPr="008B5F1F">
        <w:rPr>
          <w:i/>
          <w:iCs/>
        </w:rPr>
        <w:t>looked after</w:t>
      </w:r>
      <w:r w:rsidR="002F7F16">
        <w:t xml:space="preserve"> children between 2012 and 2020.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52"/>
        <w:gridCol w:w="2253"/>
        <w:gridCol w:w="2253"/>
      </w:tblGrid>
      <w:tr w:rsidR="00860C41" w:rsidRPr="00082146" w14:paraId="5E050DD9" w14:textId="77777777" w:rsidTr="007D39AB">
        <w:tc>
          <w:tcPr>
            <w:tcW w:w="2252" w:type="dxa"/>
            <w:shd w:val="clear" w:color="auto" w:fill="F2F2F2" w:themeFill="background1" w:themeFillShade="F2"/>
            <w:tcMar>
              <w:top w:w="108" w:type="dxa"/>
              <w:bottom w:w="108" w:type="dxa"/>
            </w:tcMar>
            <w:vAlign w:val="center"/>
          </w:tcPr>
          <w:p w14:paraId="1CBCAF4F" w14:textId="77777777" w:rsidR="00860C41" w:rsidRPr="00BF3E46" w:rsidRDefault="00860C41" w:rsidP="007D39AB">
            <w:pPr>
              <w:pStyle w:val="Tableheading"/>
            </w:pPr>
            <w:r w:rsidRPr="00BF3E46">
              <w:rPr>
                <w:szCs w:val="22"/>
              </w:rPr>
              <w:t>Year</w:t>
            </w:r>
          </w:p>
        </w:tc>
        <w:tc>
          <w:tcPr>
            <w:tcW w:w="2252" w:type="dxa"/>
            <w:shd w:val="clear" w:color="auto" w:fill="F2F2F2" w:themeFill="background1" w:themeFillShade="F2"/>
            <w:tcMar>
              <w:top w:w="108" w:type="dxa"/>
              <w:bottom w:w="108" w:type="dxa"/>
            </w:tcMar>
            <w:vAlign w:val="center"/>
          </w:tcPr>
          <w:p w14:paraId="0D9E3202" w14:textId="77777777" w:rsidR="00860C41" w:rsidRPr="00082146" w:rsidRDefault="00860C41" w:rsidP="007D39AB">
            <w:pPr>
              <w:pStyle w:val="Tableheading"/>
            </w:pPr>
            <w:r w:rsidRPr="00082146">
              <w:t xml:space="preserve">Children ceasing to be </w:t>
            </w:r>
            <w:r w:rsidRPr="008B5F1F">
              <w:rPr>
                <w:i/>
                <w:iCs/>
              </w:rPr>
              <w:t>looked after</w:t>
            </w:r>
            <w:r w:rsidRPr="00082146">
              <w:t xml:space="preserve"> during the year</w:t>
            </w:r>
          </w:p>
        </w:tc>
        <w:tc>
          <w:tcPr>
            <w:tcW w:w="2253" w:type="dxa"/>
            <w:shd w:val="clear" w:color="auto" w:fill="F2F2F2" w:themeFill="background1" w:themeFillShade="F2"/>
            <w:tcMar>
              <w:top w:w="108" w:type="dxa"/>
              <w:bottom w:w="108" w:type="dxa"/>
            </w:tcMar>
            <w:vAlign w:val="center"/>
          </w:tcPr>
          <w:p w14:paraId="08F13512" w14:textId="77777777" w:rsidR="00860C41" w:rsidRPr="00082146" w:rsidRDefault="00860C41" w:rsidP="007D39AB">
            <w:pPr>
              <w:pStyle w:val="Tableheading"/>
            </w:pPr>
            <w:r w:rsidRPr="00082146">
              <w:t xml:space="preserve">Children </w:t>
            </w:r>
            <w:r w:rsidRPr="008B5F1F">
              <w:rPr>
                <w:i/>
                <w:iCs/>
              </w:rPr>
              <w:t>looked after</w:t>
            </w:r>
            <w:r w:rsidRPr="00082146">
              <w:t xml:space="preserve"> at 31 March</w:t>
            </w:r>
          </w:p>
        </w:tc>
        <w:tc>
          <w:tcPr>
            <w:tcW w:w="2253" w:type="dxa"/>
            <w:shd w:val="clear" w:color="auto" w:fill="F2F2F2" w:themeFill="background1" w:themeFillShade="F2"/>
            <w:tcMar>
              <w:top w:w="108" w:type="dxa"/>
              <w:bottom w:w="108" w:type="dxa"/>
            </w:tcMar>
            <w:vAlign w:val="center"/>
          </w:tcPr>
          <w:p w14:paraId="288DABD0" w14:textId="77777777" w:rsidR="00860C41" w:rsidRPr="00082146" w:rsidRDefault="00860C41" w:rsidP="007D39AB">
            <w:pPr>
              <w:pStyle w:val="Tableheading"/>
            </w:pPr>
            <w:r w:rsidRPr="00082146">
              <w:t xml:space="preserve">Children starting to be </w:t>
            </w:r>
            <w:r w:rsidRPr="008B5F1F">
              <w:rPr>
                <w:i/>
                <w:iCs/>
              </w:rPr>
              <w:t>looked after</w:t>
            </w:r>
            <w:r w:rsidRPr="00082146">
              <w:t xml:space="preserve"> during the year</w:t>
            </w:r>
          </w:p>
        </w:tc>
      </w:tr>
      <w:tr w:rsidR="00860C41" w:rsidRPr="00082146" w14:paraId="771219D1" w14:textId="77777777" w:rsidTr="007D39AB">
        <w:tc>
          <w:tcPr>
            <w:tcW w:w="2252" w:type="dxa"/>
            <w:tcMar>
              <w:top w:w="108" w:type="dxa"/>
              <w:bottom w:w="108" w:type="dxa"/>
            </w:tcMar>
            <w:vAlign w:val="center"/>
          </w:tcPr>
          <w:p w14:paraId="02F11C05" w14:textId="376B6380" w:rsidR="00860C41" w:rsidRPr="00025112" w:rsidRDefault="00860C41" w:rsidP="00860C41">
            <w:pPr>
              <w:pStyle w:val="Tableheading"/>
            </w:pPr>
            <w:r w:rsidRPr="00025112">
              <w:t>2020</w:t>
            </w:r>
          </w:p>
        </w:tc>
        <w:tc>
          <w:tcPr>
            <w:tcW w:w="2252" w:type="dxa"/>
            <w:tcMar>
              <w:top w:w="108" w:type="dxa"/>
              <w:bottom w:w="108" w:type="dxa"/>
            </w:tcMar>
            <w:vAlign w:val="center"/>
          </w:tcPr>
          <w:p w14:paraId="76CCABA7" w14:textId="18436743" w:rsidR="00860C41" w:rsidRPr="00082146" w:rsidRDefault="00860C41" w:rsidP="00860C41">
            <w:pPr>
              <w:pStyle w:val="Tablecontent"/>
            </w:pPr>
            <w:r w:rsidRPr="00082146">
              <w:t>29,590</w:t>
            </w:r>
          </w:p>
        </w:tc>
        <w:tc>
          <w:tcPr>
            <w:tcW w:w="2253" w:type="dxa"/>
            <w:tcMar>
              <w:top w:w="108" w:type="dxa"/>
              <w:bottom w:w="108" w:type="dxa"/>
            </w:tcMar>
            <w:vAlign w:val="center"/>
          </w:tcPr>
          <w:p w14:paraId="24E21C95" w14:textId="7E64C9B6" w:rsidR="00860C41" w:rsidRPr="00082146" w:rsidRDefault="00860C41" w:rsidP="00860C41">
            <w:pPr>
              <w:pStyle w:val="Tablecontent"/>
            </w:pPr>
            <w:r w:rsidRPr="00082146">
              <w:t>80,080</w:t>
            </w:r>
          </w:p>
        </w:tc>
        <w:tc>
          <w:tcPr>
            <w:tcW w:w="2253" w:type="dxa"/>
            <w:tcMar>
              <w:top w:w="108" w:type="dxa"/>
              <w:bottom w:w="108" w:type="dxa"/>
            </w:tcMar>
            <w:vAlign w:val="center"/>
          </w:tcPr>
          <w:p w14:paraId="116F54BA" w14:textId="0EBF64E3" w:rsidR="00860C41" w:rsidRPr="00082146" w:rsidRDefault="00860C41" w:rsidP="00860C41">
            <w:pPr>
              <w:pStyle w:val="Tablecontent"/>
            </w:pPr>
            <w:r w:rsidRPr="00082146">
              <w:t>30,970</w:t>
            </w:r>
          </w:p>
        </w:tc>
      </w:tr>
      <w:tr w:rsidR="00860C41" w:rsidRPr="00082146" w14:paraId="124416DC" w14:textId="77777777" w:rsidTr="007D39AB">
        <w:tc>
          <w:tcPr>
            <w:tcW w:w="2252" w:type="dxa"/>
            <w:tcMar>
              <w:top w:w="108" w:type="dxa"/>
              <w:bottom w:w="108" w:type="dxa"/>
            </w:tcMar>
            <w:vAlign w:val="center"/>
          </w:tcPr>
          <w:p w14:paraId="0C755440" w14:textId="672D7711" w:rsidR="00860C41" w:rsidRPr="00025112" w:rsidRDefault="00860C41" w:rsidP="00860C41">
            <w:pPr>
              <w:pStyle w:val="Tableheading"/>
            </w:pPr>
            <w:r w:rsidRPr="00025112">
              <w:t>2019</w:t>
            </w:r>
          </w:p>
        </w:tc>
        <w:tc>
          <w:tcPr>
            <w:tcW w:w="2252" w:type="dxa"/>
            <w:tcMar>
              <w:top w:w="108" w:type="dxa"/>
              <w:bottom w:w="108" w:type="dxa"/>
            </w:tcMar>
            <w:vAlign w:val="center"/>
          </w:tcPr>
          <w:p w14:paraId="0C2DCF54" w14:textId="19369B83" w:rsidR="00860C41" w:rsidRPr="00082146" w:rsidRDefault="00860C41" w:rsidP="00860C41">
            <w:pPr>
              <w:pStyle w:val="Tablecontent"/>
            </w:pPr>
            <w:r w:rsidRPr="00082146">
              <w:t>29,570</w:t>
            </w:r>
          </w:p>
        </w:tc>
        <w:tc>
          <w:tcPr>
            <w:tcW w:w="2253" w:type="dxa"/>
            <w:tcMar>
              <w:top w:w="108" w:type="dxa"/>
              <w:bottom w:w="108" w:type="dxa"/>
            </w:tcMar>
            <w:vAlign w:val="center"/>
          </w:tcPr>
          <w:p w14:paraId="54778635" w14:textId="035096A3" w:rsidR="00860C41" w:rsidRPr="00082146" w:rsidRDefault="00860C41" w:rsidP="00860C41">
            <w:pPr>
              <w:pStyle w:val="Tablecontent"/>
            </w:pPr>
            <w:r w:rsidRPr="00082146">
              <w:t>78,140</w:t>
            </w:r>
          </w:p>
        </w:tc>
        <w:tc>
          <w:tcPr>
            <w:tcW w:w="2253" w:type="dxa"/>
            <w:tcMar>
              <w:top w:w="108" w:type="dxa"/>
              <w:bottom w:w="108" w:type="dxa"/>
            </w:tcMar>
            <w:vAlign w:val="center"/>
          </w:tcPr>
          <w:p w14:paraId="08647E0B" w14:textId="7D31206E" w:rsidR="00860C41" w:rsidRPr="00082146" w:rsidRDefault="00860C41" w:rsidP="00860C41">
            <w:pPr>
              <w:pStyle w:val="Tablecontent"/>
            </w:pPr>
            <w:r w:rsidRPr="00082146">
              <w:t>31,770</w:t>
            </w:r>
          </w:p>
        </w:tc>
      </w:tr>
      <w:tr w:rsidR="00860C41" w:rsidRPr="00082146" w14:paraId="64D7E5C8" w14:textId="77777777" w:rsidTr="007D39AB">
        <w:tc>
          <w:tcPr>
            <w:tcW w:w="2252" w:type="dxa"/>
            <w:tcMar>
              <w:top w:w="108" w:type="dxa"/>
              <w:bottom w:w="108" w:type="dxa"/>
            </w:tcMar>
            <w:vAlign w:val="center"/>
          </w:tcPr>
          <w:p w14:paraId="592DA580" w14:textId="2172CEF9" w:rsidR="00860C41" w:rsidRPr="00025112" w:rsidRDefault="00860C41" w:rsidP="00860C41">
            <w:pPr>
              <w:pStyle w:val="Tableheading"/>
            </w:pPr>
            <w:r w:rsidRPr="00025112">
              <w:t>2018</w:t>
            </w:r>
          </w:p>
        </w:tc>
        <w:tc>
          <w:tcPr>
            <w:tcW w:w="2252" w:type="dxa"/>
            <w:tcMar>
              <w:top w:w="108" w:type="dxa"/>
              <w:bottom w:w="108" w:type="dxa"/>
            </w:tcMar>
            <w:vAlign w:val="center"/>
          </w:tcPr>
          <w:p w14:paraId="47330674" w14:textId="20779274" w:rsidR="00860C41" w:rsidRPr="00082146" w:rsidRDefault="00860C41" w:rsidP="00860C41">
            <w:pPr>
              <w:pStyle w:val="Tablecontent"/>
            </w:pPr>
            <w:r w:rsidRPr="00082146">
              <w:t>30,050</w:t>
            </w:r>
          </w:p>
        </w:tc>
        <w:tc>
          <w:tcPr>
            <w:tcW w:w="2253" w:type="dxa"/>
            <w:tcMar>
              <w:top w:w="108" w:type="dxa"/>
              <w:bottom w:w="108" w:type="dxa"/>
            </w:tcMar>
            <w:vAlign w:val="center"/>
          </w:tcPr>
          <w:p w14:paraId="0B8B59A6" w14:textId="23736D2E" w:rsidR="00860C41" w:rsidRPr="00082146" w:rsidRDefault="00860C41" w:rsidP="00860C41">
            <w:pPr>
              <w:pStyle w:val="Tablecontent"/>
            </w:pPr>
            <w:r w:rsidRPr="00082146">
              <w:t>75,370</w:t>
            </w:r>
          </w:p>
        </w:tc>
        <w:tc>
          <w:tcPr>
            <w:tcW w:w="2253" w:type="dxa"/>
            <w:tcMar>
              <w:top w:w="108" w:type="dxa"/>
              <w:bottom w:w="108" w:type="dxa"/>
            </w:tcMar>
            <w:vAlign w:val="center"/>
          </w:tcPr>
          <w:p w14:paraId="7BFAF00C" w14:textId="3A296C9E" w:rsidR="00860C41" w:rsidRPr="00082146" w:rsidRDefault="00860C41" w:rsidP="00860C41">
            <w:pPr>
              <w:pStyle w:val="Tablecontent"/>
            </w:pPr>
            <w:r w:rsidRPr="00082146">
              <w:t>32,190</w:t>
            </w:r>
          </w:p>
        </w:tc>
      </w:tr>
      <w:tr w:rsidR="00860C41" w:rsidRPr="00082146" w14:paraId="1DDBEA21" w14:textId="77777777" w:rsidTr="007D39AB">
        <w:tc>
          <w:tcPr>
            <w:tcW w:w="2252" w:type="dxa"/>
            <w:tcMar>
              <w:top w:w="108" w:type="dxa"/>
              <w:bottom w:w="108" w:type="dxa"/>
            </w:tcMar>
            <w:vAlign w:val="center"/>
          </w:tcPr>
          <w:p w14:paraId="49971960" w14:textId="647E7A9A" w:rsidR="00860C41" w:rsidRPr="00025112" w:rsidRDefault="00860C41" w:rsidP="00860C41">
            <w:pPr>
              <w:pStyle w:val="Tableheading"/>
            </w:pPr>
            <w:r w:rsidRPr="00025112">
              <w:t>2017</w:t>
            </w:r>
          </w:p>
        </w:tc>
        <w:tc>
          <w:tcPr>
            <w:tcW w:w="2252" w:type="dxa"/>
            <w:tcMar>
              <w:top w:w="108" w:type="dxa"/>
              <w:bottom w:w="108" w:type="dxa"/>
            </w:tcMar>
            <w:vAlign w:val="center"/>
          </w:tcPr>
          <w:p w14:paraId="44B54B0C" w14:textId="1D9A0798" w:rsidR="00860C41" w:rsidRPr="00082146" w:rsidRDefault="00860C41" w:rsidP="00860C41">
            <w:pPr>
              <w:pStyle w:val="Tablecontent"/>
            </w:pPr>
            <w:r w:rsidRPr="00082146">
              <w:t>31,410</w:t>
            </w:r>
          </w:p>
        </w:tc>
        <w:tc>
          <w:tcPr>
            <w:tcW w:w="2253" w:type="dxa"/>
            <w:tcMar>
              <w:top w:w="108" w:type="dxa"/>
              <w:bottom w:w="108" w:type="dxa"/>
            </w:tcMar>
            <w:vAlign w:val="center"/>
          </w:tcPr>
          <w:p w14:paraId="7A0CD6A9" w14:textId="6B4F57AB" w:rsidR="00860C41" w:rsidRPr="00082146" w:rsidRDefault="00860C41" w:rsidP="00860C41">
            <w:pPr>
              <w:pStyle w:val="Tablecontent"/>
            </w:pPr>
            <w:r w:rsidRPr="00082146">
              <w:t>72,600</w:t>
            </w:r>
          </w:p>
        </w:tc>
        <w:tc>
          <w:tcPr>
            <w:tcW w:w="2253" w:type="dxa"/>
            <w:tcMar>
              <w:top w:w="108" w:type="dxa"/>
              <w:bottom w:w="108" w:type="dxa"/>
            </w:tcMar>
            <w:vAlign w:val="center"/>
          </w:tcPr>
          <w:p w14:paraId="5994004A" w14:textId="6D8DBD2E" w:rsidR="00860C41" w:rsidRPr="00082146" w:rsidRDefault="00860C41" w:rsidP="00860C41">
            <w:pPr>
              <w:pStyle w:val="Tablecontent"/>
            </w:pPr>
            <w:r w:rsidRPr="00082146">
              <w:t>32,940</w:t>
            </w:r>
          </w:p>
        </w:tc>
      </w:tr>
      <w:tr w:rsidR="00860C41" w:rsidRPr="00082146" w14:paraId="3A58AC82" w14:textId="77777777" w:rsidTr="007D39AB">
        <w:tc>
          <w:tcPr>
            <w:tcW w:w="2252" w:type="dxa"/>
            <w:tcMar>
              <w:top w:w="108" w:type="dxa"/>
              <w:bottom w:w="108" w:type="dxa"/>
            </w:tcMar>
            <w:vAlign w:val="center"/>
          </w:tcPr>
          <w:p w14:paraId="18B1C643" w14:textId="77777777" w:rsidR="00860C41" w:rsidRPr="00025112" w:rsidRDefault="00860C41" w:rsidP="007D39AB">
            <w:pPr>
              <w:pStyle w:val="Tableheading"/>
            </w:pPr>
            <w:r w:rsidRPr="00025112">
              <w:t>2016</w:t>
            </w:r>
          </w:p>
        </w:tc>
        <w:tc>
          <w:tcPr>
            <w:tcW w:w="2252" w:type="dxa"/>
            <w:tcMar>
              <w:top w:w="108" w:type="dxa"/>
              <w:bottom w:w="108" w:type="dxa"/>
            </w:tcMar>
            <w:vAlign w:val="center"/>
          </w:tcPr>
          <w:p w14:paraId="770FBCBF" w14:textId="77777777" w:rsidR="00860C41" w:rsidRPr="00082146" w:rsidRDefault="00860C41" w:rsidP="007D39AB">
            <w:pPr>
              <w:pStyle w:val="Tablecontent"/>
            </w:pPr>
            <w:r w:rsidRPr="00082146">
              <w:t>31,850</w:t>
            </w:r>
          </w:p>
        </w:tc>
        <w:tc>
          <w:tcPr>
            <w:tcW w:w="2253" w:type="dxa"/>
            <w:tcMar>
              <w:top w:w="108" w:type="dxa"/>
              <w:bottom w:w="108" w:type="dxa"/>
            </w:tcMar>
            <w:vAlign w:val="center"/>
          </w:tcPr>
          <w:p w14:paraId="31C8E55F" w14:textId="77777777" w:rsidR="00860C41" w:rsidRPr="00082146" w:rsidRDefault="00860C41" w:rsidP="007D39AB">
            <w:pPr>
              <w:pStyle w:val="Tablecontent"/>
            </w:pPr>
            <w:r w:rsidRPr="00082146">
              <w:t>70,410</w:t>
            </w:r>
          </w:p>
        </w:tc>
        <w:tc>
          <w:tcPr>
            <w:tcW w:w="2253" w:type="dxa"/>
            <w:tcMar>
              <w:top w:w="108" w:type="dxa"/>
              <w:bottom w:w="108" w:type="dxa"/>
            </w:tcMar>
            <w:vAlign w:val="center"/>
          </w:tcPr>
          <w:p w14:paraId="03143C44" w14:textId="77777777" w:rsidR="00860C41" w:rsidRPr="00082146" w:rsidRDefault="00860C41" w:rsidP="007D39AB">
            <w:pPr>
              <w:pStyle w:val="Tablecontent"/>
            </w:pPr>
            <w:r w:rsidRPr="00082146">
              <w:t>32,160</w:t>
            </w:r>
          </w:p>
        </w:tc>
      </w:tr>
      <w:tr w:rsidR="00860C41" w:rsidRPr="00082146" w14:paraId="7754A150" w14:textId="77777777" w:rsidTr="007D39AB">
        <w:tc>
          <w:tcPr>
            <w:tcW w:w="2252" w:type="dxa"/>
            <w:tcMar>
              <w:top w:w="108" w:type="dxa"/>
              <w:bottom w:w="108" w:type="dxa"/>
            </w:tcMar>
            <w:vAlign w:val="center"/>
          </w:tcPr>
          <w:p w14:paraId="76DECCB8" w14:textId="1406401D" w:rsidR="00860C41" w:rsidRPr="00025112" w:rsidRDefault="00860C41" w:rsidP="00860C41">
            <w:pPr>
              <w:pStyle w:val="Tableheading"/>
            </w:pPr>
            <w:r w:rsidRPr="00025112">
              <w:t>2015</w:t>
            </w:r>
          </w:p>
        </w:tc>
        <w:tc>
          <w:tcPr>
            <w:tcW w:w="2252" w:type="dxa"/>
            <w:tcMar>
              <w:top w:w="108" w:type="dxa"/>
              <w:bottom w:w="108" w:type="dxa"/>
            </w:tcMar>
            <w:vAlign w:val="center"/>
          </w:tcPr>
          <w:p w14:paraId="5C60A95A" w14:textId="0E8ADCA0" w:rsidR="00860C41" w:rsidRPr="00082146" w:rsidRDefault="00860C41" w:rsidP="00860C41">
            <w:pPr>
              <w:pStyle w:val="Tablecontent"/>
            </w:pPr>
            <w:r w:rsidRPr="00082146">
              <w:t>31,350</w:t>
            </w:r>
          </w:p>
        </w:tc>
        <w:tc>
          <w:tcPr>
            <w:tcW w:w="2253" w:type="dxa"/>
            <w:tcMar>
              <w:top w:w="108" w:type="dxa"/>
              <w:bottom w:w="108" w:type="dxa"/>
            </w:tcMar>
            <w:vAlign w:val="center"/>
          </w:tcPr>
          <w:p w14:paraId="034DBAF0" w14:textId="7FC21625" w:rsidR="00860C41" w:rsidRPr="00082146" w:rsidRDefault="00860C41" w:rsidP="00860C41">
            <w:pPr>
              <w:pStyle w:val="Tablecontent"/>
            </w:pPr>
            <w:r w:rsidRPr="00082146">
              <w:t>69,470</w:t>
            </w:r>
          </w:p>
        </w:tc>
        <w:tc>
          <w:tcPr>
            <w:tcW w:w="2253" w:type="dxa"/>
            <w:tcMar>
              <w:top w:w="108" w:type="dxa"/>
              <w:bottom w:w="108" w:type="dxa"/>
            </w:tcMar>
            <w:vAlign w:val="center"/>
          </w:tcPr>
          <w:p w14:paraId="5809497A" w14:textId="3364F340" w:rsidR="00860C41" w:rsidRPr="00082146" w:rsidRDefault="00860C41" w:rsidP="00860C41">
            <w:pPr>
              <w:pStyle w:val="Tablecontent"/>
            </w:pPr>
            <w:r w:rsidRPr="00082146">
              <w:t>31,360</w:t>
            </w:r>
          </w:p>
        </w:tc>
      </w:tr>
      <w:tr w:rsidR="00860C41" w:rsidRPr="00082146" w14:paraId="6F66C57C" w14:textId="77777777" w:rsidTr="007D39AB">
        <w:tc>
          <w:tcPr>
            <w:tcW w:w="2252" w:type="dxa"/>
            <w:tcMar>
              <w:top w:w="108" w:type="dxa"/>
              <w:bottom w:w="108" w:type="dxa"/>
            </w:tcMar>
            <w:vAlign w:val="center"/>
          </w:tcPr>
          <w:p w14:paraId="04BD82A9" w14:textId="2B888C40" w:rsidR="00860C41" w:rsidRPr="00025112" w:rsidRDefault="00860C41" w:rsidP="00860C41">
            <w:pPr>
              <w:pStyle w:val="Tableheading"/>
            </w:pPr>
            <w:r w:rsidRPr="00025112">
              <w:t>2014</w:t>
            </w:r>
          </w:p>
        </w:tc>
        <w:tc>
          <w:tcPr>
            <w:tcW w:w="2252" w:type="dxa"/>
            <w:tcMar>
              <w:top w:w="108" w:type="dxa"/>
              <w:bottom w:w="108" w:type="dxa"/>
            </w:tcMar>
            <w:vAlign w:val="center"/>
          </w:tcPr>
          <w:p w14:paraId="754A45F6" w14:textId="3461ED23" w:rsidR="00860C41" w:rsidRPr="00082146" w:rsidRDefault="00860C41" w:rsidP="00860C41">
            <w:pPr>
              <w:pStyle w:val="Tablecontent"/>
            </w:pPr>
            <w:r w:rsidRPr="00082146">
              <w:t>30,600</w:t>
            </w:r>
          </w:p>
        </w:tc>
        <w:tc>
          <w:tcPr>
            <w:tcW w:w="2253" w:type="dxa"/>
            <w:tcMar>
              <w:top w:w="108" w:type="dxa"/>
              <w:bottom w:w="108" w:type="dxa"/>
            </w:tcMar>
            <w:vAlign w:val="center"/>
          </w:tcPr>
          <w:p w14:paraId="3D6AF3E4" w14:textId="5FD6299E" w:rsidR="00860C41" w:rsidRPr="00082146" w:rsidRDefault="00860C41" w:rsidP="00860C41">
            <w:pPr>
              <w:pStyle w:val="Tablecontent"/>
            </w:pPr>
            <w:r w:rsidRPr="00082146">
              <w:t>68,810</w:t>
            </w:r>
          </w:p>
        </w:tc>
        <w:tc>
          <w:tcPr>
            <w:tcW w:w="2253" w:type="dxa"/>
            <w:tcMar>
              <w:top w:w="108" w:type="dxa"/>
              <w:bottom w:w="108" w:type="dxa"/>
            </w:tcMar>
            <w:vAlign w:val="center"/>
          </w:tcPr>
          <w:p w14:paraId="4B1B3FAE" w14:textId="5A4DFE1A" w:rsidR="00860C41" w:rsidRPr="00082146" w:rsidRDefault="00860C41" w:rsidP="00860C41">
            <w:pPr>
              <w:pStyle w:val="Tablecontent"/>
            </w:pPr>
            <w:r w:rsidRPr="00082146">
              <w:t>30,730</w:t>
            </w:r>
          </w:p>
        </w:tc>
      </w:tr>
      <w:tr w:rsidR="00860C41" w:rsidRPr="00082146" w14:paraId="5923936F" w14:textId="77777777" w:rsidTr="007D39AB">
        <w:tc>
          <w:tcPr>
            <w:tcW w:w="2252" w:type="dxa"/>
            <w:tcMar>
              <w:top w:w="108" w:type="dxa"/>
              <w:bottom w:w="108" w:type="dxa"/>
            </w:tcMar>
            <w:vAlign w:val="center"/>
          </w:tcPr>
          <w:p w14:paraId="54B306A1" w14:textId="67883912" w:rsidR="00860C41" w:rsidRPr="00025112" w:rsidRDefault="00860C41" w:rsidP="00860C41">
            <w:pPr>
              <w:pStyle w:val="Tableheading"/>
            </w:pPr>
            <w:r w:rsidRPr="00025112">
              <w:t>2013</w:t>
            </w:r>
          </w:p>
        </w:tc>
        <w:tc>
          <w:tcPr>
            <w:tcW w:w="2252" w:type="dxa"/>
            <w:tcMar>
              <w:top w:w="108" w:type="dxa"/>
              <w:bottom w:w="108" w:type="dxa"/>
            </w:tcMar>
            <w:vAlign w:val="center"/>
          </w:tcPr>
          <w:p w14:paraId="73122D92" w14:textId="24A6947A" w:rsidR="00860C41" w:rsidRPr="00082146" w:rsidRDefault="00860C41" w:rsidP="00860C41">
            <w:pPr>
              <w:pStyle w:val="Tablecontent"/>
            </w:pPr>
            <w:r w:rsidRPr="00082146">
              <w:t>28,650</w:t>
            </w:r>
          </w:p>
        </w:tc>
        <w:tc>
          <w:tcPr>
            <w:tcW w:w="2253" w:type="dxa"/>
            <w:tcMar>
              <w:top w:w="108" w:type="dxa"/>
              <w:bottom w:w="108" w:type="dxa"/>
            </w:tcMar>
            <w:vAlign w:val="center"/>
          </w:tcPr>
          <w:p w14:paraId="1B6B2723" w14:textId="3FED220E" w:rsidR="00860C41" w:rsidRPr="00082146" w:rsidRDefault="00860C41" w:rsidP="00860C41">
            <w:pPr>
              <w:pStyle w:val="Tablecontent"/>
            </w:pPr>
            <w:r w:rsidRPr="00082146">
              <w:t>68,060</w:t>
            </w:r>
          </w:p>
        </w:tc>
        <w:tc>
          <w:tcPr>
            <w:tcW w:w="2253" w:type="dxa"/>
            <w:tcMar>
              <w:top w:w="108" w:type="dxa"/>
              <w:bottom w:w="108" w:type="dxa"/>
            </w:tcMar>
            <w:vAlign w:val="center"/>
          </w:tcPr>
          <w:p w14:paraId="78C92F2C" w14:textId="45D7542C" w:rsidR="00860C41" w:rsidRPr="00082146" w:rsidRDefault="00860C41" w:rsidP="00860C41">
            <w:pPr>
              <w:pStyle w:val="Tablecontent"/>
            </w:pPr>
            <w:r w:rsidRPr="00082146">
              <w:t>28,980</w:t>
            </w:r>
          </w:p>
        </w:tc>
      </w:tr>
      <w:tr w:rsidR="00860C41" w:rsidRPr="00082146" w14:paraId="065985D8" w14:textId="77777777" w:rsidTr="007D39AB">
        <w:tc>
          <w:tcPr>
            <w:tcW w:w="2252" w:type="dxa"/>
            <w:tcMar>
              <w:top w:w="108" w:type="dxa"/>
              <w:bottom w:w="108" w:type="dxa"/>
            </w:tcMar>
            <w:vAlign w:val="center"/>
          </w:tcPr>
          <w:p w14:paraId="44DBEB41" w14:textId="297CC3C4" w:rsidR="00860C41" w:rsidRPr="00025112" w:rsidRDefault="00860C41" w:rsidP="00860C41">
            <w:pPr>
              <w:pStyle w:val="Tableheading"/>
            </w:pPr>
            <w:r w:rsidRPr="00025112">
              <w:t>2012</w:t>
            </w:r>
          </w:p>
        </w:tc>
        <w:tc>
          <w:tcPr>
            <w:tcW w:w="2252" w:type="dxa"/>
            <w:tcMar>
              <w:top w:w="108" w:type="dxa"/>
              <w:bottom w:w="108" w:type="dxa"/>
            </w:tcMar>
            <w:vAlign w:val="center"/>
          </w:tcPr>
          <w:p w14:paraId="43DD05F6" w14:textId="326EFF1C" w:rsidR="00860C41" w:rsidRPr="00082146" w:rsidRDefault="00860C41" w:rsidP="00860C41">
            <w:pPr>
              <w:pStyle w:val="Tablecontent"/>
            </w:pPr>
            <w:r w:rsidRPr="00082146">
              <w:t>27,510</w:t>
            </w:r>
          </w:p>
        </w:tc>
        <w:tc>
          <w:tcPr>
            <w:tcW w:w="2253" w:type="dxa"/>
            <w:tcMar>
              <w:top w:w="108" w:type="dxa"/>
              <w:bottom w:w="108" w:type="dxa"/>
            </w:tcMar>
            <w:vAlign w:val="center"/>
          </w:tcPr>
          <w:p w14:paraId="113A970C" w14:textId="673DA4E5" w:rsidR="00860C41" w:rsidRPr="00082146" w:rsidRDefault="00860C41" w:rsidP="00860C41">
            <w:pPr>
              <w:pStyle w:val="Tablecontent"/>
            </w:pPr>
            <w:r w:rsidRPr="00082146">
              <w:t>67,070</w:t>
            </w:r>
          </w:p>
        </w:tc>
        <w:tc>
          <w:tcPr>
            <w:tcW w:w="2253" w:type="dxa"/>
            <w:tcMar>
              <w:top w:w="108" w:type="dxa"/>
              <w:bottom w:w="108" w:type="dxa"/>
            </w:tcMar>
            <w:vAlign w:val="center"/>
          </w:tcPr>
          <w:p w14:paraId="0FC15153" w14:textId="42EBC939" w:rsidR="00860C41" w:rsidRPr="00082146" w:rsidRDefault="00860C41" w:rsidP="00860C41">
            <w:pPr>
              <w:pStyle w:val="Tablecontent"/>
            </w:pPr>
            <w:r w:rsidRPr="00082146">
              <w:t>28,390</w:t>
            </w:r>
          </w:p>
        </w:tc>
      </w:tr>
    </w:tbl>
    <w:p w14:paraId="62EDBF98" w14:textId="72FB6F1D" w:rsidR="002F7F16" w:rsidRDefault="00455902" w:rsidP="00455902">
      <w:pPr>
        <w:pStyle w:val="Caption"/>
      </w:pPr>
      <w:bookmarkStart w:id="22" w:name="_Toc101108553"/>
      <w:r>
        <w:t xml:space="preserve">Table </w:t>
      </w:r>
      <w:fldSimple w:instr=" SEQ Table \* ARABIC ">
        <w:r w:rsidR="00E26E21">
          <w:rPr>
            <w:noProof/>
          </w:rPr>
          <w:t>2</w:t>
        </w:r>
      </w:fldSimple>
      <w:r w:rsidRPr="008B57A9">
        <w:t>: Numbers of looked after children and young people in England and Wales (DfE, 2020)</w:t>
      </w:r>
      <w:bookmarkEnd w:id="22"/>
    </w:p>
    <w:p w14:paraId="75A878B4" w14:textId="5ECC4670" w:rsidR="002F7F16" w:rsidRDefault="008816A6" w:rsidP="008E4AF2">
      <w:r>
        <w:t>The numbers of children in care</w:t>
      </w:r>
      <w:r w:rsidR="00A961E2">
        <w:t xml:space="preserve"> relate</w:t>
      </w:r>
      <w:r>
        <w:t xml:space="preserve"> to social work activity as each child </w:t>
      </w:r>
      <w:r w:rsidR="00FF268D">
        <w:t xml:space="preserve">in care </w:t>
      </w:r>
      <w:r>
        <w:t>represents different assessments, court proceedings, plans, meetings and individual support networks for e</w:t>
      </w:r>
      <w:r w:rsidR="00FF268D">
        <w:t>very</w:t>
      </w:r>
      <w:r>
        <w:t xml:space="preserve"> child or young person. </w:t>
      </w:r>
      <w:r w:rsidR="00F43CF3">
        <w:t>Table 2</w:t>
      </w:r>
      <w:r w:rsidR="0011645C">
        <w:t xml:space="preserve"> highlights an </w:t>
      </w:r>
      <w:r>
        <w:t>additional</w:t>
      </w:r>
      <w:r w:rsidR="0011645C">
        <w:t xml:space="preserve"> 13</w:t>
      </w:r>
      <w:r w:rsidR="00770897">
        <w:t>,101</w:t>
      </w:r>
      <w:r w:rsidR="0011645C">
        <w:t xml:space="preserve"> </w:t>
      </w:r>
      <w:r w:rsidR="00770897">
        <w:t>children in care since 2012</w:t>
      </w:r>
      <w:r>
        <w:t xml:space="preserve"> </w:t>
      </w:r>
      <w:r w:rsidR="00F43CF3">
        <w:t>and</w:t>
      </w:r>
      <w:r>
        <w:t xml:space="preserve"> shows increases in the number of children entering and leaving care.</w:t>
      </w:r>
    </w:p>
    <w:p w14:paraId="2FA01B6F" w14:textId="420C9CCA" w:rsidR="002F7F16" w:rsidRDefault="002F7F16">
      <w:r>
        <w:t xml:space="preserve">The increased numbers of children and young people needing a care placement </w:t>
      </w:r>
      <w:r w:rsidR="008816A6">
        <w:t xml:space="preserve">since 2012 </w:t>
      </w:r>
      <w:r>
        <w:t>has exposed the shortages in available foster carers. Concerns about the aging population of carers and fewer numbers of newly approved people have been raised in service reviews (</w:t>
      </w:r>
      <w:r w:rsidRPr="00EA5486">
        <w:t>Baginsky, Gorin and Sands, 2017; Narey and Owers, 2018</w:t>
      </w:r>
      <w:r>
        <w:t xml:space="preserve">) and by fostering agencies and charities (The Fostering Network, </w:t>
      </w:r>
      <w:r w:rsidR="005E7E25">
        <w:t>n.d.</w:t>
      </w:r>
      <w:r>
        <w:t>)</w:t>
      </w:r>
      <w:r w:rsidR="00FF268D">
        <w:t xml:space="preserve">. </w:t>
      </w:r>
      <w:r>
        <w:t>Narey and Owers (2018) suggest that the shortage</w:t>
      </w:r>
      <w:r w:rsidR="00FF268D">
        <w:t xml:space="preserve"> </w:t>
      </w:r>
      <w:r w:rsidR="00FF268D">
        <w:lastRenderedPageBreak/>
        <w:t>of foster carers</w:t>
      </w:r>
      <w:r>
        <w:t xml:space="preserve"> is not ‘absolute’ </w:t>
      </w:r>
      <w:r w:rsidR="005132F1">
        <w:t xml:space="preserve">and argue that most children needing a placement are found one on the same day </w:t>
      </w:r>
      <w:r>
        <w:t>(p. 12)</w:t>
      </w:r>
      <w:r w:rsidR="00FF268D">
        <w:t>. H</w:t>
      </w:r>
      <w:r w:rsidR="005132F1">
        <w:t>owever, whilst a child might be placed with foster carers, this does not mean that they have been matched with the best carer to meet their needs</w:t>
      </w:r>
      <w:r w:rsidR="00FF268D">
        <w:t>,</w:t>
      </w:r>
      <w:r w:rsidR="005132F1">
        <w:t xml:space="preserve"> and </w:t>
      </w:r>
      <w:r>
        <w:t>poor match</w:t>
      </w:r>
      <w:r w:rsidR="00A961E2">
        <w:t xml:space="preserve">ing could lead to early </w:t>
      </w:r>
      <w:r>
        <w:t xml:space="preserve">breakdown of the placement (Hollows and Nelson, 2006). </w:t>
      </w:r>
      <w:r w:rsidRPr="00074127">
        <w:t>Zeijlmans</w:t>
      </w:r>
      <w:r>
        <w:t xml:space="preserve"> et al. (2018) also found that matching processes can be compromised </w:t>
      </w:r>
      <w:r w:rsidR="005132F1">
        <w:t>because</w:t>
      </w:r>
      <w:r>
        <w:t xml:space="preserve"> social workers have pressured workloads, highlighting that higher demand on services</w:t>
      </w:r>
      <w:r w:rsidR="005132F1">
        <w:t xml:space="preserve"> can result in</w:t>
      </w:r>
      <w:r>
        <w:t xml:space="preserve"> children and young people receiv</w:t>
      </w:r>
      <w:r w:rsidR="005132F1">
        <w:t>ing</w:t>
      </w:r>
      <w:r>
        <w:t xml:space="preserve"> a</w:t>
      </w:r>
      <w:r w:rsidR="005132F1">
        <w:t xml:space="preserve"> poorer quality</w:t>
      </w:r>
      <w:r>
        <w:t xml:space="preserve"> service.</w:t>
      </w:r>
      <w:r w:rsidR="00FF268D">
        <w:t xml:space="preserve"> The shortage of </w:t>
      </w:r>
      <w:r w:rsidR="00DF0B95">
        <w:t xml:space="preserve">foster carers is another factor relevant to </w:t>
      </w:r>
      <w:r w:rsidR="00DF0B95" w:rsidRPr="00DF0B95">
        <w:rPr>
          <w:i/>
          <w:iCs/>
        </w:rPr>
        <w:t>Staying Put</w:t>
      </w:r>
      <w:r w:rsidR="00DF0B95">
        <w:t xml:space="preserve"> as carers may not have capacity or space to have both the young person in the </w:t>
      </w:r>
      <w:r w:rsidR="00DF0B95" w:rsidRPr="00DF0B95">
        <w:rPr>
          <w:i/>
          <w:iCs/>
        </w:rPr>
        <w:t>Staying Put</w:t>
      </w:r>
      <w:r w:rsidR="00DF0B95">
        <w:t xml:space="preserve"> arrangement and provide another foster care placement. Consequently, a tension in the system occurs where the needs of young people in </w:t>
      </w:r>
      <w:r w:rsidR="00DF0B95" w:rsidRPr="00DF0B95">
        <w:rPr>
          <w:i/>
          <w:iCs/>
        </w:rPr>
        <w:t>Staying Put</w:t>
      </w:r>
      <w:r w:rsidR="00DF0B95">
        <w:t xml:space="preserve"> </w:t>
      </w:r>
      <w:r w:rsidR="00A961E2">
        <w:t xml:space="preserve">arrangements </w:t>
      </w:r>
      <w:r w:rsidR="00DF0B95">
        <w:t>are in competition with the need to provide another child with a placement.</w:t>
      </w:r>
    </w:p>
    <w:p w14:paraId="12D83BCE" w14:textId="34E1D18B" w:rsidR="002F7F16" w:rsidRDefault="002F7F16" w:rsidP="007C51DB">
      <w:pPr>
        <w:pStyle w:val="Heading3"/>
      </w:pPr>
      <w:r>
        <w:t xml:space="preserve">Retention and turnover </w:t>
      </w:r>
    </w:p>
    <w:p w14:paraId="653ED39F" w14:textId="26F59337" w:rsidR="00785CE1" w:rsidRDefault="002F7F16">
      <w:r>
        <w:t>Following Peter Connelly’s death</w:t>
      </w:r>
      <w:r w:rsidR="005132F1">
        <w:t>,</w:t>
      </w:r>
      <w:r>
        <w:t xml:space="preserve"> Jones (2014, p. 283) described the practice environment as a ‘perfect storm’ where the demand for services, reduced funding and social work recruitment and retention issues coalesced. With an increased workload and fewer workers, local authorities experienced significant pressure. Maintaining a stable workforce of social workers has been recognised as an international problem (Burns and Christie, 2013; Bowyer and Roe, 2015; Russ, Lonn and Lynch, 2020). Figures from the Department for Education (2021) in</w:t>
      </w:r>
      <w:r w:rsidR="00F03F49">
        <w:t xml:space="preserve"> Table </w:t>
      </w:r>
      <w:r w:rsidR="00F43CF3">
        <w:t>3</w:t>
      </w:r>
      <w:r>
        <w:t>, show a small increase of social workers over the last five years. However, what can also be seen in their data is that the number of agency social workers and vacancies have increased</w:t>
      </w:r>
      <w:r w:rsidR="00F37B17">
        <w:t>,</w:t>
      </w:r>
      <w:r>
        <w:t xml:space="preserve"> and turnover and caseloads have remained at a similar level. What this indicates is that despite having more people in the profession, there are still issues with retaining social workers and managing demands within a local authority team.</w:t>
      </w:r>
    </w:p>
    <w:p w14:paraId="361D7CA6" w14:textId="77777777" w:rsidR="00785CE1" w:rsidRDefault="00785CE1">
      <w:pPr>
        <w:spacing w:after="0" w:line="240" w:lineRule="auto"/>
      </w:pPr>
      <w:r>
        <w:br w:type="page"/>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691"/>
        <w:gridCol w:w="987"/>
        <w:gridCol w:w="1265"/>
        <w:gridCol w:w="1264"/>
        <w:gridCol w:w="1264"/>
        <w:gridCol w:w="1264"/>
        <w:gridCol w:w="1265"/>
      </w:tblGrid>
      <w:tr w:rsidR="002F7F16" w:rsidRPr="00CE0E28" w14:paraId="7EA55211" w14:textId="77777777" w:rsidTr="00087D03">
        <w:tc>
          <w:tcPr>
            <w:tcW w:w="1691" w:type="dxa"/>
            <w:tcBorders>
              <w:top w:val="nil"/>
              <w:left w:val="nil"/>
            </w:tcBorders>
            <w:shd w:val="clear" w:color="auto" w:fill="auto"/>
            <w:tcMar>
              <w:top w:w="108" w:type="dxa"/>
              <w:left w:w="108" w:type="dxa"/>
              <w:bottom w:w="108" w:type="dxa"/>
              <w:right w:w="108" w:type="dxa"/>
            </w:tcMar>
            <w:vAlign w:val="center"/>
            <w:hideMark/>
          </w:tcPr>
          <w:p w14:paraId="3434FAC6" w14:textId="77777777" w:rsidR="002F7F16" w:rsidRPr="00CE0E28" w:rsidRDefault="002F7F16" w:rsidP="006E3485">
            <w:pPr>
              <w:pStyle w:val="Tableheading"/>
              <w:rPr>
                <w:lang w:eastAsia="en-GB"/>
              </w:rPr>
            </w:pPr>
            <w:r w:rsidRPr="00CE0E28">
              <w:rPr>
                <w:lang w:eastAsia="en-GB"/>
              </w:rPr>
              <w:lastRenderedPageBreak/>
              <w:t> </w:t>
            </w:r>
          </w:p>
        </w:tc>
        <w:tc>
          <w:tcPr>
            <w:tcW w:w="987" w:type="dxa"/>
            <w:shd w:val="clear" w:color="auto" w:fill="F2F2F2" w:themeFill="background1" w:themeFillShade="F2"/>
            <w:tcMar>
              <w:top w:w="108" w:type="dxa"/>
              <w:left w:w="108" w:type="dxa"/>
              <w:bottom w:w="108" w:type="dxa"/>
              <w:right w:w="108" w:type="dxa"/>
            </w:tcMar>
            <w:vAlign w:val="center"/>
            <w:hideMark/>
          </w:tcPr>
          <w:p w14:paraId="6F855FA2" w14:textId="77777777" w:rsidR="002F7F16" w:rsidRPr="00CE0E28" w:rsidRDefault="002F7F16" w:rsidP="006E3485">
            <w:pPr>
              <w:pStyle w:val="Tableheading"/>
              <w:rPr>
                <w:lang w:eastAsia="en-GB"/>
              </w:rPr>
            </w:pPr>
            <w:r w:rsidRPr="00CE0E28">
              <w:rPr>
                <w:lang w:eastAsia="en-GB"/>
              </w:rPr>
              <w:t>2014</w:t>
            </w:r>
          </w:p>
        </w:tc>
        <w:tc>
          <w:tcPr>
            <w:tcW w:w="1265" w:type="dxa"/>
            <w:shd w:val="clear" w:color="auto" w:fill="F2F2F2" w:themeFill="background1" w:themeFillShade="F2"/>
            <w:tcMar>
              <w:top w:w="108" w:type="dxa"/>
              <w:left w:w="108" w:type="dxa"/>
              <w:bottom w:w="108" w:type="dxa"/>
              <w:right w:w="108" w:type="dxa"/>
            </w:tcMar>
            <w:vAlign w:val="center"/>
            <w:hideMark/>
          </w:tcPr>
          <w:p w14:paraId="6AB2C4A8" w14:textId="77777777" w:rsidR="002F7F16" w:rsidRPr="00CE0E28" w:rsidRDefault="002F7F16" w:rsidP="006E3485">
            <w:pPr>
              <w:pStyle w:val="Tableheading"/>
              <w:rPr>
                <w:lang w:eastAsia="en-GB"/>
              </w:rPr>
            </w:pPr>
            <w:r w:rsidRPr="00CE0E28">
              <w:rPr>
                <w:lang w:eastAsia="en-GB"/>
              </w:rPr>
              <w:t>2015</w:t>
            </w:r>
          </w:p>
        </w:tc>
        <w:tc>
          <w:tcPr>
            <w:tcW w:w="1264" w:type="dxa"/>
            <w:shd w:val="clear" w:color="auto" w:fill="F2F2F2" w:themeFill="background1" w:themeFillShade="F2"/>
            <w:tcMar>
              <w:top w:w="108" w:type="dxa"/>
              <w:left w:w="108" w:type="dxa"/>
              <w:bottom w:w="108" w:type="dxa"/>
              <w:right w:w="108" w:type="dxa"/>
            </w:tcMar>
            <w:vAlign w:val="center"/>
            <w:hideMark/>
          </w:tcPr>
          <w:p w14:paraId="672F5624" w14:textId="77777777" w:rsidR="002F7F16" w:rsidRPr="00CE0E28" w:rsidRDefault="002F7F16" w:rsidP="006E3485">
            <w:pPr>
              <w:pStyle w:val="Tableheading"/>
              <w:rPr>
                <w:lang w:eastAsia="en-GB"/>
              </w:rPr>
            </w:pPr>
            <w:r w:rsidRPr="00CE0E28">
              <w:rPr>
                <w:lang w:eastAsia="en-GB"/>
              </w:rPr>
              <w:t>2016</w:t>
            </w:r>
          </w:p>
        </w:tc>
        <w:tc>
          <w:tcPr>
            <w:tcW w:w="1264" w:type="dxa"/>
            <w:shd w:val="clear" w:color="auto" w:fill="F2F2F2" w:themeFill="background1" w:themeFillShade="F2"/>
            <w:tcMar>
              <w:top w:w="108" w:type="dxa"/>
              <w:left w:w="108" w:type="dxa"/>
              <w:bottom w:w="108" w:type="dxa"/>
              <w:right w:w="108" w:type="dxa"/>
            </w:tcMar>
            <w:vAlign w:val="center"/>
            <w:hideMark/>
          </w:tcPr>
          <w:p w14:paraId="1E089F9D" w14:textId="77777777" w:rsidR="002F7F16" w:rsidRPr="00CE0E28" w:rsidRDefault="002F7F16" w:rsidP="006E3485">
            <w:pPr>
              <w:pStyle w:val="Tableheading"/>
              <w:rPr>
                <w:lang w:eastAsia="en-GB"/>
              </w:rPr>
            </w:pPr>
            <w:r w:rsidRPr="00CE0E28">
              <w:rPr>
                <w:lang w:eastAsia="en-GB"/>
              </w:rPr>
              <w:t>2017</w:t>
            </w:r>
          </w:p>
        </w:tc>
        <w:tc>
          <w:tcPr>
            <w:tcW w:w="1264" w:type="dxa"/>
            <w:shd w:val="clear" w:color="auto" w:fill="F2F2F2" w:themeFill="background1" w:themeFillShade="F2"/>
            <w:tcMar>
              <w:top w:w="108" w:type="dxa"/>
              <w:left w:w="108" w:type="dxa"/>
              <w:bottom w:w="108" w:type="dxa"/>
              <w:right w:w="108" w:type="dxa"/>
            </w:tcMar>
            <w:vAlign w:val="center"/>
            <w:hideMark/>
          </w:tcPr>
          <w:p w14:paraId="4BDFF92A" w14:textId="77777777" w:rsidR="002F7F16" w:rsidRPr="00CE0E28" w:rsidRDefault="002F7F16" w:rsidP="006E3485">
            <w:pPr>
              <w:pStyle w:val="Tableheading"/>
              <w:rPr>
                <w:lang w:eastAsia="en-GB"/>
              </w:rPr>
            </w:pPr>
            <w:r w:rsidRPr="00CE0E28">
              <w:rPr>
                <w:lang w:eastAsia="en-GB"/>
              </w:rPr>
              <w:t>2018</w:t>
            </w:r>
          </w:p>
        </w:tc>
        <w:tc>
          <w:tcPr>
            <w:tcW w:w="1265" w:type="dxa"/>
            <w:shd w:val="clear" w:color="auto" w:fill="F2F2F2" w:themeFill="background1" w:themeFillShade="F2"/>
            <w:tcMar>
              <w:top w:w="108" w:type="dxa"/>
              <w:left w:w="108" w:type="dxa"/>
              <w:bottom w:w="108" w:type="dxa"/>
              <w:right w:w="108" w:type="dxa"/>
            </w:tcMar>
            <w:vAlign w:val="center"/>
            <w:hideMark/>
          </w:tcPr>
          <w:p w14:paraId="6A66A3C3" w14:textId="77777777" w:rsidR="002F7F16" w:rsidRPr="00CE0E28" w:rsidRDefault="002F7F16" w:rsidP="006E3485">
            <w:pPr>
              <w:pStyle w:val="Tableheading"/>
              <w:rPr>
                <w:lang w:eastAsia="en-GB"/>
              </w:rPr>
            </w:pPr>
            <w:r w:rsidRPr="00CE0E28">
              <w:rPr>
                <w:lang w:eastAsia="en-GB"/>
              </w:rPr>
              <w:t>2019</w:t>
            </w:r>
          </w:p>
        </w:tc>
      </w:tr>
      <w:tr w:rsidR="002F7F16" w:rsidRPr="00CE0E28" w14:paraId="5877D464" w14:textId="77777777" w:rsidTr="007302D5">
        <w:tc>
          <w:tcPr>
            <w:tcW w:w="1691" w:type="dxa"/>
            <w:shd w:val="clear" w:color="auto" w:fill="F2F2F2" w:themeFill="background1" w:themeFillShade="F2"/>
            <w:tcMar>
              <w:top w:w="108" w:type="dxa"/>
              <w:left w:w="108" w:type="dxa"/>
              <w:bottom w:w="108" w:type="dxa"/>
              <w:right w:w="108" w:type="dxa"/>
            </w:tcMar>
            <w:vAlign w:val="center"/>
            <w:hideMark/>
          </w:tcPr>
          <w:p w14:paraId="274A5B66" w14:textId="1A5BCDC3" w:rsidR="002F7F16" w:rsidRPr="00CE0E28" w:rsidRDefault="002F7F16" w:rsidP="006E3485">
            <w:pPr>
              <w:pStyle w:val="Tableheading"/>
              <w:rPr>
                <w:lang w:eastAsia="en-GB"/>
              </w:rPr>
            </w:pPr>
            <w:r w:rsidRPr="00CE0E28">
              <w:rPr>
                <w:lang w:eastAsia="en-GB"/>
              </w:rPr>
              <w:t>Number of FTE</w:t>
            </w:r>
            <w:r w:rsidR="00F03F49">
              <w:rPr>
                <w:rStyle w:val="FootnoteReference"/>
                <w:lang w:eastAsia="en-GB"/>
              </w:rPr>
              <w:footnoteReference w:id="4"/>
            </w:r>
            <w:r w:rsidRPr="00CE0E28">
              <w:rPr>
                <w:lang w:eastAsia="en-GB"/>
              </w:rPr>
              <w:t xml:space="preserve"> Social Workers</w:t>
            </w:r>
          </w:p>
        </w:tc>
        <w:tc>
          <w:tcPr>
            <w:tcW w:w="987" w:type="dxa"/>
            <w:tcMar>
              <w:top w:w="108" w:type="dxa"/>
              <w:left w:w="108" w:type="dxa"/>
              <w:bottom w:w="108" w:type="dxa"/>
              <w:right w:w="108" w:type="dxa"/>
            </w:tcMar>
            <w:vAlign w:val="center"/>
            <w:hideMark/>
          </w:tcPr>
          <w:p w14:paraId="6AA13065" w14:textId="77777777" w:rsidR="002F7F16" w:rsidRPr="00CE0E28" w:rsidRDefault="002F7F16" w:rsidP="006E3485">
            <w:pPr>
              <w:pStyle w:val="Tablecontent"/>
              <w:rPr>
                <w:lang w:eastAsia="en-GB"/>
              </w:rPr>
            </w:pPr>
            <w:r w:rsidRPr="00CE0E28">
              <w:rPr>
                <w:lang w:eastAsia="en-GB"/>
              </w:rPr>
              <w:t>26,810</w:t>
            </w:r>
          </w:p>
        </w:tc>
        <w:tc>
          <w:tcPr>
            <w:tcW w:w="1265" w:type="dxa"/>
            <w:tcMar>
              <w:top w:w="108" w:type="dxa"/>
              <w:left w:w="108" w:type="dxa"/>
              <w:bottom w:w="108" w:type="dxa"/>
              <w:right w:w="108" w:type="dxa"/>
            </w:tcMar>
            <w:vAlign w:val="center"/>
            <w:hideMark/>
          </w:tcPr>
          <w:p w14:paraId="44CA7273" w14:textId="77777777" w:rsidR="002F7F16" w:rsidRPr="00CE0E28" w:rsidRDefault="002F7F16" w:rsidP="006E3485">
            <w:pPr>
              <w:pStyle w:val="Tablecontent"/>
              <w:rPr>
                <w:lang w:eastAsia="en-GB"/>
              </w:rPr>
            </w:pPr>
            <w:r w:rsidRPr="00CE0E28">
              <w:rPr>
                <w:lang w:eastAsia="en-GB"/>
              </w:rPr>
              <w:t>28,570</w:t>
            </w:r>
          </w:p>
        </w:tc>
        <w:tc>
          <w:tcPr>
            <w:tcW w:w="1264" w:type="dxa"/>
            <w:tcMar>
              <w:top w:w="108" w:type="dxa"/>
              <w:left w:w="108" w:type="dxa"/>
              <w:bottom w:w="108" w:type="dxa"/>
              <w:right w:w="108" w:type="dxa"/>
            </w:tcMar>
            <w:vAlign w:val="center"/>
            <w:hideMark/>
          </w:tcPr>
          <w:p w14:paraId="259584DD" w14:textId="77777777" w:rsidR="002F7F16" w:rsidRPr="00CE0E28" w:rsidRDefault="002F7F16" w:rsidP="006E3485">
            <w:pPr>
              <w:pStyle w:val="Tablecontent"/>
              <w:rPr>
                <w:lang w:eastAsia="en-GB"/>
              </w:rPr>
            </w:pPr>
            <w:r w:rsidRPr="00CE0E28">
              <w:rPr>
                <w:lang w:eastAsia="en-GB"/>
              </w:rPr>
              <w:t>27,700</w:t>
            </w:r>
          </w:p>
        </w:tc>
        <w:tc>
          <w:tcPr>
            <w:tcW w:w="1264" w:type="dxa"/>
            <w:tcMar>
              <w:top w:w="108" w:type="dxa"/>
              <w:left w:w="108" w:type="dxa"/>
              <w:bottom w:w="108" w:type="dxa"/>
              <w:right w:w="108" w:type="dxa"/>
            </w:tcMar>
            <w:vAlign w:val="center"/>
            <w:hideMark/>
          </w:tcPr>
          <w:p w14:paraId="7416D904" w14:textId="77777777" w:rsidR="002F7F16" w:rsidRPr="00CE0E28" w:rsidRDefault="002F7F16" w:rsidP="006E3485">
            <w:pPr>
              <w:pStyle w:val="Tablecontent"/>
              <w:rPr>
                <w:lang w:eastAsia="en-GB"/>
              </w:rPr>
            </w:pPr>
            <w:r w:rsidRPr="00CE0E28">
              <w:rPr>
                <w:lang w:eastAsia="en-GB"/>
              </w:rPr>
              <w:t>28,500</w:t>
            </w:r>
          </w:p>
        </w:tc>
        <w:tc>
          <w:tcPr>
            <w:tcW w:w="1264" w:type="dxa"/>
            <w:tcMar>
              <w:top w:w="108" w:type="dxa"/>
              <w:left w:w="108" w:type="dxa"/>
              <w:bottom w:w="108" w:type="dxa"/>
              <w:right w:w="108" w:type="dxa"/>
            </w:tcMar>
            <w:vAlign w:val="center"/>
            <w:hideMark/>
          </w:tcPr>
          <w:p w14:paraId="2B905A47" w14:textId="77777777" w:rsidR="002F7F16" w:rsidRPr="00CE0E28" w:rsidRDefault="002F7F16" w:rsidP="006E3485">
            <w:pPr>
              <w:pStyle w:val="Tablecontent"/>
              <w:rPr>
                <w:lang w:eastAsia="en-GB"/>
              </w:rPr>
            </w:pPr>
            <w:r w:rsidRPr="00CE0E28">
              <w:rPr>
                <w:lang w:eastAsia="en-GB"/>
              </w:rPr>
              <w:t>29,470</w:t>
            </w:r>
          </w:p>
        </w:tc>
        <w:tc>
          <w:tcPr>
            <w:tcW w:w="1265" w:type="dxa"/>
            <w:tcMar>
              <w:top w:w="108" w:type="dxa"/>
              <w:left w:w="108" w:type="dxa"/>
              <w:bottom w:w="108" w:type="dxa"/>
              <w:right w:w="108" w:type="dxa"/>
            </w:tcMar>
            <w:vAlign w:val="center"/>
            <w:hideMark/>
          </w:tcPr>
          <w:p w14:paraId="5BE417F4" w14:textId="77777777" w:rsidR="002F7F16" w:rsidRPr="00CE0E28" w:rsidRDefault="002F7F16" w:rsidP="006E3485">
            <w:pPr>
              <w:pStyle w:val="Tablecontent"/>
              <w:rPr>
                <w:lang w:eastAsia="en-GB"/>
              </w:rPr>
            </w:pPr>
            <w:r w:rsidRPr="00CE0E28">
              <w:rPr>
                <w:lang w:eastAsia="en-GB"/>
              </w:rPr>
              <w:t>30,700</w:t>
            </w:r>
          </w:p>
        </w:tc>
      </w:tr>
      <w:tr w:rsidR="002F7F16" w:rsidRPr="00CE0E28" w14:paraId="1CF7608D" w14:textId="77777777" w:rsidTr="007302D5">
        <w:tc>
          <w:tcPr>
            <w:tcW w:w="1691" w:type="dxa"/>
            <w:shd w:val="clear" w:color="auto" w:fill="F2F2F2" w:themeFill="background1" w:themeFillShade="F2"/>
            <w:tcMar>
              <w:top w:w="108" w:type="dxa"/>
              <w:left w:w="108" w:type="dxa"/>
              <w:bottom w:w="108" w:type="dxa"/>
              <w:right w:w="108" w:type="dxa"/>
            </w:tcMar>
            <w:vAlign w:val="center"/>
            <w:hideMark/>
          </w:tcPr>
          <w:p w14:paraId="081BD7A0" w14:textId="77777777" w:rsidR="002F7F16" w:rsidRPr="00CE0E28" w:rsidRDefault="002F7F16" w:rsidP="006E3485">
            <w:pPr>
              <w:pStyle w:val="Tableheading"/>
              <w:rPr>
                <w:lang w:eastAsia="en-GB"/>
              </w:rPr>
            </w:pPr>
            <w:r w:rsidRPr="00CE0E28">
              <w:rPr>
                <w:lang w:eastAsia="en-GB"/>
              </w:rPr>
              <w:t>Number of Vacancies</w:t>
            </w:r>
          </w:p>
        </w:tc>
        <w:tc>
          <w:tcPr>
            <w:tcW w:w="987" w:type="dxa"/>
            <w:tcMar>
              <w:top w:w="108" w:type="dxa"/>
              <w:left w:w="108" w:type="dxa"/>
              <w:bottom w:w="108" w:type="dxa"/>
              <w:right w:w="108" w:type="dxa"/>
            </w:tcMar>
            <w:vAlign w:val="center"/>
            <w:hideMark/>
          </w:tcPr>
          <w:p w14:paraId="2F2BB9B1" w14:textId="77777777" w:rsidR="002F7F16" w:rsidRPr="00CE0E28" w:rsidRDefault="002F7F16" w:rsidP="006E3485">
            <w:pPr>
              <w:pStyle w:val="Tablecontent"/>
              <w:rPr>
                <w:lang w:eastAsia="en-GB"/>
              </w:rPr>
            </w:pPr>
            <w:r w:rsidRPr="00CE0E28">
              <w:rPr>
                <w:lang w:eastAsia="en-GB"/>
              </w:rPr>
              <w:t>4,320</w:t>
            </w:r>
          </w:p>
        </w:tc>
        <w:tc>
          <w:tcPr>
            <w:tcW w:w="1265" w:type="dxa"/>
            <w:tcMar>
              <w:top w:w="108" w:type="dxa"/>
              <w:left w:w="108" w:type="dxa"/>
              <w:bottom w:w="108" w:type="dxa"/>
              <w:right w:w="108" w:type="dxa"/>
            </w:tcMar>
            <w:vAlign w:val="center"/>
            <w:hideMark/>
          </w:tcPr>
          <w:p w14:paraId="3B7F875B" w14:textId="77777777" w:rsidR="002F7F16" w:rsidRPr="00CE0E28" w:rsidRDefault="002F7F16" w:rsidP="006E3485">
            <w:pPr>
              <w:pStyle w:val="Tablecontent"/>
              <w:rPr>
                <w:lang w:eastAsia="en-GB"/>
              </w:rPr>
            </w:pPr>
            <w:r w:rsidRPr="00CE0E28">
              <w:rPr>
                <w:lang w:eastAsia="en-GB"/>
              </w:rPr>
              <w:t>5,470</w:t>
            </w:r>
          </w:p>
        </w:tc>
        <w:tc>
          <w:tcPr>
            <w:tcW w:w="1264" w:type="dxa"/>
            <w:tcMar>
              <w:top w:w="108" w:type="dxa"/>
              <w:left w:w="108" w:type="dxa"/>
              <w:bottom w:w="108" w:type="dxa"/>
              <w:right w:w="108" w:type="dxa"/>
            </w:tcMar>
            <w:vAlign w:val="center"/>
            <w:hideMark/>
          </w:tcPr>
          <w:p w14:paraId="26786F8C" w14:textId="77777777" w:rsidR="002F7F16" w:rsidRPr="00CE0E28" w:rsidRDefault="002F7F16" w:rsidP="006E3485">
            <w:pPr>
              <w:pStyle w:val="Tablecontent"/>
              <w:rPr>
                <w:lang w:eastAsia="en-GB"/>
              </w:rPr>
            </w:pPr>
            <w:r w:rsidRPr="00CE0E28">
              <w:rPr>
                <w:lang w:eastAsia="en-GB"/>
              </w:rPr>
              <w:t>5540</w:t>
            </w:r>
          </w:p>
        </w:tc>
        <w:tc>
          <w:tcPr>
            <w:tcW w:w="1264" w:type="dxa"/>
            <w:tcMar>
              <w:top w:w="108" w:type="dxa"/>
              <w:left w:w="108" w:type="dxa"/>
              <w:bottom w:w="108" w:type="dxa"/>
              <w:right w:w="108" w:type="dxa"/>
            </w:tcMar>
            <w:vAlign w:val="center"/>
            <w:hideMark/>
          </w:tcPr>
          <w:p w14:paraId="755C1E41" w14:textId="77777777" w:rsidR="002F7F16" w:rsidRPr="00CE0E28" w:rsidRDefault="002F7F16" w:rsidP="006E3485">
            <w:pPr>
              <w:pStyle w:val="Tablecontent"/>
              <w:rPr>
                <w:lang w:eastAsia="en-GB"/>
              </w:rPr>
            </w:pPr>
            <w:r w:rsidRPr="00CE0E28">
              <w:rPr>
                <w:lang w:eastAsia="en-GB"/>
              </w:rPr>
              <w:t>5820</w:t>
            </w:r>
          </w:p>
        </w:tc>
        <w:tc>
          <w:tcPr>
            <w:tcW w:w="1264" w:type="dxa"/>
            <w:tcMar>
              <w:top w:w="108" w:type="dxa"/>
              <w:left w:w="108" w:type="dxa"/>
              <w:bottom w:w="108" w:type="dxa"/>
              <w:right w:w="108" w:type="dxa"/>
            </w:tcMar>
            <w:vAlign w:val="center"/>
            <w:hideMark/>
          </w:tcPr>
          <w:p w14:paraId="6A019FFE" w14:textId="77777777" w:rsidR="002F7F16" w:rsidRPr="00CE0E28" w:rsidRDefault="002F7F16" w:rsidP="006E3485">
            <w:pPr>
              <w:pStyle w:val="Tablecontent"/>
              <w:rPr>
                <w:lang w:eastAsia="en-GB"/>
              </w:rPr>
            </w:pPr>
            <w:r w:rsidRPr="00CE0E28">
              <w:rPr>
                <w:lang w:eastAsia="en-GB"/>
              </w:rPr>
              <w:t>5810</w:t>
            </w:r>
          </w:p>
        </w:tc>
        <w:tc>
          <w:tcPr>
            <w:tcW w:w="1265" w:type="dxa"/>
            <w:tcMar>
              <w:top w:w="108" w:type="dxa"/>
              <w:left w:w="108" w:type="dxa"/>
              <w:bottom w:w="108" w:type="dxa"/>
              <w:right w:w="108" w:type="dxa"/>
            </w:tcMar>
            <w:vAlign w:val="center"/>
            <w:hideMark/>
          </w:tcPr>
          <w:p w14:paraId="5B63C131" w14:textId="77777777" w:rsidR="002F7F16" w:rsidRPr="00CE0E28" w:rsidRDefault="002F7F16" w:rsidP="006E3485">
            <w:pPr>
              <w:pStyle w:val="Tablecontent"/>
              <w:rPr>
                <w:lang w:eastAsia="en-GB"/>
              </w:rPr>
            </w:pPr>
            <w:r w:rsidRPr="00CE0E28">
              <w:rPr>
                <w:lang w:eastAsia="en-GB"/>
              </w:rPr>
              <w:t>6000</w:t>
            </w:r>
          </w:p>
        </w:tc>
      </w:tr>
      <w:tr w:rsidR="002F7F16" w:rsidRPr="00CE0E28" w14:paraId="24DCAE45" w14:textId="77777777" w:rsidTr="007302D5">
        <w:tc>
          <w:tcPr>
            <w:tcW w:w="1691" w:type="dxa"/>
            <w:shd w:val="clear" w:color="auto" w:fill="F2F2F2" w:themeFill="background1" w:themeFillShade="F2"/>
            <w:tcMar>
              <w:top w:w="108" w:type="dxa"/>
              <w:left w:w="108" w:type="dxa"/>
              <w:bottom w:w="108" w:type="dxa"/>
              <w:right w:w="108" w:type="dxa"/>
            </w:tcMar>
            <w:vAlign w:val="center"/>
            <w:hideMark/>
          </w:tcPr>
          <w:p w14:paraId="593FBC57" w14:textId="77777777" w:rsidR="002F7F16" w:rsidRPr="00CE0E28" w:rsidRDefault="002F7F16" w:rsidP="006E3485">
            <w:pPr>
              <w:pStyle w:val="Tableheading"/>
              <w:rPr>
                <w:lang w:eastAsia="en-GB"/>
              </w:rPr>
            </w:pPr>
            <w:r w:rsidRPr="00CE0E28">
              <w:rPr>
                <w:lang w:eastAsia="en-GB"/>
              </w:rPr>
              <w:t>Number of FTE Agency Social Workers</w:t>
            </w:r>
          </w:p>
        </w:tc>
        <w:tc>
          <w:tcPr>
            <w:tcW w:w="987" w:type="dxa"/>
            <w:tcMar>
              <w:top w:w="108" w:type="dxa"/>
              <w:left w:w="108" w:type="dxa"/>
              <w:bottom w:w="108" w:type="dxa"/>
              <w:right w:w="108" w:type="dxa"/>
            </w:tcMar>
            <w:vAlign w:val="center"/>
            <w:hideMark/>
          </w:tcPr>
          <w:p w14:paraId="7D293B81" w14:textId="77777777" w:rsidR="002F7F16" w:rsidRPr="00CE0E28" w:rsidRDefault="002F7F16" w:rsidP="006E3485">
            <w:pPr>
              <w:pStyle w:val="Tablecontent"/>
              <w:rPr>
                <w:lang w:eastAsia="en-GB"/>
              </w:rPr>
            </w:pPr>
            <w:r w:rsidRPr="00CE0E28">
              <w:rPr>
                <w:lang w:eastAsia="en-GB"/>
              </w:rPr>
              <w:t>4,430</w:t>
            </w:r>
          </w:p>
        </w:tc>
        <w:tc>
          <w:tcPr>
            <w:tcW w:w="1265" w:type="dxa"/>
            <w:tcMar>
              <w:top w:w="108" w:type="dxa"/>
              <w:left w:w="108" w:type="dxa"/>
              <w:bottom w:w="108" w:type="dxa"/>
              <w:right w:w="108" w:type="dxa"/>
            </w:tcMar>
            <w:vAlign w:val="center"/>
            <w:hideMark/>
          </w:tcPr>
          <w:p w14:paraId="31DCC544" w14:textId="77777777" w:rsidR="002F7F16" w:rsidRPr="00CE0E28" w:rsidRDefault="002F7F16" w:rsidP="006E3485">
            <w:pPr>
              <w:pStyle w:val="Tablecontent"/>
              <w:rPr>
                <w:lang w:eastAsia="en-GB"/>
              </w:rPr>
            </w:pPr>
            <w:r w:rsidRPr="00CE0E28">
              <w:rPr>
                <w:lang w:eastAsia="en-GB"/>
              </w:rPr>
              <w:t>4,860</w:t>
            </w:r>
          </w:p>
        </w:tc>
        <w:tc>
          <w:tcPr>
            <w:tcW w:w="1264" w:type="dxa"/>
            <w:tcMar>
              <w:top w:w="108" w:type="dxa"/>
              <w:left w:w="108" w:type="dxa"/>
              <w:bottom w:w="108" w:type="dxa"/>
              <w:right w:w="108" w:type="dxa"/>
            </w:tcMar>
            <w:vAlign w:val="center"/>
            <w:hideMark/>
          </w:tcPr>
          <w:p w14:paraId="7D888FDA" w14:textId="77777777" w:rsidR="002F7F16" w:rsidRPr="00CE0E28" w:rsidRDefault="002F7F16" w:rsidP="006E3485">
            <w:pPr>
              <w:pStyle w:val="Tablecontent"/>
              <w:rPr>
                <w:lang w:eastAsia="en-GB"/>
              </w:rPr>
            </w:pPr>
            <w:r w:rsidRPr="00CE0E28">
              <w:rPr>
                <w:lang w:eastAsia="en-GB"/>
              </w:rPr>
              <w:t>5,330</w:t>
            </w:r>
          </w:p>
        </w:tc>
        <w:tc>
          <w:tcPr>
            <w:tcW w:w="1264" w:type="dxa"/>
            <w:tcMar>
              <w:top w:w="108" w:type="dxa"/>
              <w:left w:w="108" w:type="dxa"/>
              <w:bottom w:w="108" w:type="dxa"/>
              <w:right w:w="108" w:type="dxa"/>
            </w:tcMar>
            <w:vAlign w:val="center"/>
            <w:hideMark/>
          </w:tcPr>
          <w:p w14:paraId="7B038957" w14:textId="77777777" w:rsidR="002F7F16" w:rsidRPr="00CE0E28" w:rsidRDefault="002F7F16" w:rsidP="006E3485">
            <w:pPr>
              <w:pStyle w:val="Tablecontent"/>
              <w:rPr>
                <w:lang w:eastAsia="en-GB"/>
              </w:rPr>
            </w:pPr>
            <w:r w:rsidRPr="00CE0E28">
              <w:rPr>
                <w:lang w:eastAsia="en-GB"/>
              </w:rPr>
              <w:t>5,340</w:t>
            </w:r>
          </w:p>
        </w:tc>
        <w:tc>
          <w:tcPr>
            <w:tcW w:w="1264" w:type="dxa"/>
            <w:tcMar>
              <w:top w:w="108" w:type="dxa"/>
              <w:left w:w="108" w:type="dxa"/>
              <w:bottom w:w="108" w:type="dxa"/>
              <w:right w:w="108" w:type="dxa"/>
            </w:tcMar>
            <w:vAlign w:val="center"/>
            <w:hideMark/>
          </w:tcPr>
          <w:p w14:paraId="51B8C537" w14:textId="77777777" w:rsidR="002F7F16" w:rsidRPr="00CE0E28" w:rsidRDefault="002F7F16" w:rsidP="006E3485">
            <w:pPr>
              <w:pStyle w:val="Tablecontent"/>
              <w:rPr>
                <w:lang w:eastAsia="en-GB"/>
              </w:rPr>
            </w:pPr>
            <w:r w:rsidRPr="00CE0E28">
              <w:rPr>
                <w:lang w:eastAsia="en-GB"/>
              </w:rPr>
              <w:t>5,360</w:t>
            </w:r>
          </w:p>
        </w:tc>
        <w:tc>
          <w:tcPr>
            <w:tcW w:w="1265" w:type="dxa"/>
            <w:tcMar>
              <w:top w:w="108" w:type="dxa"/>
              <w:left w:w="108" w:type="dxa"/>
              <w:bottom w:w="108" w:type="dxa"/>
              <w:right w:w="108" w:type="dxa"/>
            </w:tcMar>
            <w:vAlign w:val="center"/>
            <w:hideMark/>
          </w:tcPr>
          <w:p w14:paraId="3872BD80" w14:textId="77777777" w:rsidR="002F7F16" w:rsidRPr="00CE0E28" w:rsidRDefault="002F7F16" w:rsidP="006E3485">
            <w:pPr>
              <w:pStyle w:val="Tablecontent"/>
              <w:rPr>
                <w:lang w:eastAsia="en-GB"/>
              </w:rPr>
            </w:pPr>
            <w:r w:rsidRPr="00CE0E28">
              <w:rPr>
                <w:lang w:eastAsia="en-GB"/>
              </w:rPr>
              <w:t>5,800</w:t>
            </w:r>
          </w:p>
        </w:tc>
      </w:tr>
      <w:tr w:rsidR="002F7F16" w:rsidRPr="00CE0E28" w14:paraId="0A1C5053" w14:textId="77777777" w:rsidTr="007302D5">
        <w:tc>
          <w:tcPr>
            <w:tcW w:w="1691" w:type="dxa"/>
            <w:shd w:val="clear" w:color="auto" w:fill="F2F2F2" w:themeFill="background1" w:themeFillShade="F2"/>
            <w:tcMar>
              <w:top w:w="108" w:type="dxa"/>
              <w:left w:w="108" w:type="dxa"/>
              <w:bottom w:w="108" w:type="dxa"/>
              <w:right w:w="108" w:type="dxa"/>
            </w:tcMar>
            <w:vAlign w:val="center"/>
            <w:hideMark/>
          </w:tcPr>
          <w:p w14:paraId="41164D94" w14:textId="77777777" w:rsidR="002F7F16" w:rsidRPr="00CE0E28" w:rsidRDefault="002F7F16" w:rsidP="006E3485">
            <w:pPr>
              <w:pStyle w:val="Tableheading"/>
              <w:rPr>
                <w:lang w:eastAsia="en-GB"/>
              </w:rPr>
            </w:pPr>
            <w:r w:rsidRPr="00CE0E28">
              <w:rPr>
                <w:lang w:eastAsia="en-GB"/>
              </w:rPr>
              <w:t>Turnover of Staff</w:t>
            </w:r>
          </w:p>
        </w:tc>
        <w:tc>
          <w:tcPr>
            <w:tcW w:w="987" w:type="dxa"/>
            <w:tcMar>
              <w:top w:w="108" w:type="dxa"/>
              <w:left w:w="108" w:type="dxa"/>
              <w:bottom w:w="108" w:type="dxa"/>
              <w:right w:w="108" w:type="dxa"/>
            </w:tcMar>
            <w:vAlign w:val="center"/>
            <w:hideMark/>
          </w:tcPr>
          <w:p w14:paraId="0FAB0FAB" w14:textId="77777777" w:rsidR="002F7F16" w:rsidRPr="00CE0E28" w:rsidRDefault="002F7F16" w:rsidP="006E3485">
            <w:pPr>
              <w:pStyle w:val="Tablecontent"/>
              <w:rPr>
                <w:lang w:eastAsia="en-GB"/>
              </w:rPr>
            </w:pPr>
            <w:r w:rsidRPr="00CE0E28">
              <w:rPr>
                <w:lang w:eastAsia="en-GB"/>
              </w:rPr>
              <w:t>17%</w:t>
            </w:r>
          </w:p>
        </w:tc>
        <w:tc>
          <w:tcPr>
            <w:tcW w:w="1265" w:type="dxa"/>
            <w:tcMar>
              <w:top w:w="108" w:type="dxa"/>
              <w:left w:w="108" w:type="dxa"/>
              <w:bottom w:w="108" w:type="dxa"/>
              <w:right w:w="108" w:type="dxa"/>
            </w:tcMar>
            <w:vAlign w:val="center"/>
            <w:hideMark/>
          </w:tcPr>
          <w:p w14:paraId="3084D1FD" w14:textId="77777777" w:rsidR="002F7F16" w:rsidRPr="00CE0E28" w:rsidRDefault="002F7F16" w:rsidP="006E3485">
            <w:pPr>
              <w:pStyle w:val="Tablecontent"/>
              <w:rPr>
                <w:lang w:eastAsia="en-GB"/>
              </w:rPr>
            </w:pPr>
            <w:r w:rsidRPr="00CE0E28">
              <w:rPr>
                <w:lang w:eastAsia="en-GB"/>
              </w:rPr>
              <w:t>16%</w:t>
            </w:r>
          </w:p>
        </w:tc>
        <w:tc>
          <w:tcPr>
            <w:tcW w:w="1264" w:type="dxa"/>
            <w:tcMar>
              <w:top w:w="108" w:type="dxa"/>
              <w:left w:w="108" w:type="dxa"/>
              <w:bottom w:w="108" w:type="dxa"/>
              <w:right w:w="108" w:type="dxa"/>
            </w:tcMar>
            <w:vAlign w:val="center"/>
            <w:hideMark/>
          </w:tcPr>
          <w:p w14:paraId="72789998" w14:textId="77777777" w:rsidR="002F7F16" w:rsidRPr="00CE0E28" w:rsidRDefault="002F7F16" w:rsidP="006E3485">
            <w:pPr>
              <w:pStyle w:val="Tablecontent"/>
              <w:rPr>
                <w:lang w:eastAsia="en-GB"/>
              </w:rPr>
            </w:pPr>
            <w:r w:rsidRPr="00CE0E28">
              <w:rPr>
                <w:lang w:eastAsia="en-GB"/>
              </w:rPr>
              <w:t>15.1%</w:t>
            </w:r>
          </w:p>
        </w:tc>
        <w:tc>
          <w:tcPr>
            <w:tcW w:w="1264" w:type="dxa"/>
            <w:tcMar>
              <w:top w:w="108" w:type="dxa"/>
              <w:left w:w="108" w:type="dxa"/>
              <w:bottom w:w="108" w:type="dxa"/>
              <w:right w:w="108" w:type="dxa"/>
            </w:tcMar>
            <w:vAlign w:val="center"/>
            <w:hideMark/>
          </w:tcPr>
          <w:p w14:paraId="17A94F63" w14:textId="77777777" w:rsidR="002F7F16" w:rsidRPr="00CE0E28" w:rsidRDefault="002F7F16" w:rsidP="006E3485">
            <w:pPr>
              <w:pStyle w:val="Tablecontent"/>
              <w:rPr>
                <w:lang w:eastAsia="en-GB"/>
              </w:rPr>
            </w:pPr>
            <w:r w:rsidRPr="00CE0E28">
              <w:rPr>
                <w:lang w:eastAsia="en-GB"/>
              </w:rPr>
              <w:t>15%</w:t>
            </w:r>
          </w:p>
        </w:tc>
        <w:tc>
          <w:tcPr>
            <w:tcW w:w="1264" w:type="dxa"/>
            <w:tcMar>
              <w:top w:w="108" w:type="dxa"/>
              <w:left w:w="108" w:type="dxa"/>
              <w:bottom w:w="108" w:type="dxa"/>
              <w:right w:w="108" w:type="dxa"/>
            </w:tcMar>
            <w:vAlign w:val="center"/>
            <w:hideMark/>
          </w:tcPr>
          <w:p w14:paraId="5557437C" w14:textId="77777777" w:rsidR="002F7F16" w:rsidRPr="00CE0E28" w:rsidRDefault="002F7F16" w:rsidP="006E3485">
            <w:pPr>
              <w:pStyle w:val="Tablecontent"/>
              <w:rPr>
                <w:lang w:eastAsia="en-GB"/>
              </w:rPr>
            </w:pPr>
            <w:r w:rsidRPr="00CE0E28">
              <w:rPr>
                <w:lang w:eastAsia="en-GB"/>
              </w:rPr>
              <w:t>16%</w:t>
            </w:r>
          </w:p>
        </w:tc>
        <w:tc>
          <w:tcPr>
            <w:tcW w:w="1265" w:type="dxa"/>
            <w:tcMar>
              <w:top w:w="108" w:type="dxa"/>
              <w:left w:w="108" w:type="dxa"/>
              <w:bottom w:w="108" w:type="dxa"/>
              <w:right w:w="108" w:type="dxa"/>
            </w:tcMar>
            <w:vAlign w:val="center"/>
            <w:hideMark/>
          </w:tcPr>
          <w:p w14:paraId="0FC4C092" w14:textId="77777777" w:rsidR="002F7F16" w:rsidRPr="00CE0E28" w:rsidRDefault="002F7F16" w:rsidP="006E3485">
            <w:pPr>
              <w:pStyle w:val="Tablecontent"/>
              <w:rPr>
                <w:lang w:eastAsia="en-GB"/>
              </w:rPr>
            </w:pPr>
            <w:r w:rsidRPr="00CE0E28">
              <w:rPr>
                <w:lang w:eastAsia="en-GB"/>
              </w:rPr>
              <w:t>16%</w:t>
            </w:r>
          </w:p>
        </w:tc>
      </w:tr>
      <w:tr w:rsidR="002F7F16" w:rsidRPr="00CE0E28" w14:paraId="032349AC" w14:textId="77777777" w:rsidTr="007302D5">
        <w:tc>
          <w:tcPr>
            <w:tcW w:w="1691" w:type="dxa"/>
            <w:shd w:val="clear" w:color="auto" w:fill="F2F2F2" w:themeFill="background1" w:themeFillShade="F2"/>
            <w:tcMar>
              <w:top w:w="108" w:type="dxa"/>
              <w:left w:w="108" w:type="dxa"/>
              <w:bottom w:w="108" w:type="dxa"/>
              <w:right w:w="108" w:type="dxa"/>
            </w:tcMar>
            <w:vAlign w:val="center"/>
            <w:hideMark/>
          </w:tcPr>
          <w:p w14:paraId="7B4224DD" w14:textId="77777777" w:rsidR="002F7F16" w:rsidRPr="00CE0E28" w:rsidRDefault="002F7F16" w:rsidP="006E3485">
            <w:pPr>
              <w:pStyle w:val="Tableheading"/>
              <w:rPr>
                <w:lang w:eastAsia="en-GB"/>
              </w:rPr>
            </w:pPr>
            <w:r w:rsidRPr="00CE0E28">
              <w:rPr>
                <w:lang w:eastAsia="en-GB"/>
              </w:rPr>
              <w:t>Average Number of Children allocated per Social Worker</w:t>
            </w:r>
          </w:p>
        </w:tc>
        <w:tc>
          <w:tcPr>
            <w:tcW w:w="987" w:type="dxa"/>
            <w:tcMar>
              <w:top w:w="108" w:type="dxa"/>
              <w:left w:w="108" w:type="dxa"/>
              <w:bottom w:w="108" w:type="dxa"/>
              <w:right w:w="108" w:type="dxa"/>
            </w:tcMar>
            <w:vAlign w:val="center"/>
            <w:hideMark/>
          </w:tcPr>
          <w:p w14:paraId="338D32A3" w14:textId="77777777" w:rsidR="002F7F16" w:rsidRPr="00CE0E28" w:rsidRDefault="002F7F16" w:rsidP="006E3485">
            <w:pPr>
              <w:pStyle w:val="Tablecontent"/>
              <w:rPr>
                <w:lang w:eastAsia="en-GB"/>
              </w:rPr>
            </w:pPr>
            <w:r w:rsidRPr="00CE0E28">
              <w:rPr>
                <w:lang w:eastAsia="en-GB"/>
              </w:rPr>
              <w:t>16</w:t>
            </w:r>
          </w:p>
        </w:tc>
        <w:tc>
          <w:tcPr>
            <w:tcW w:w="1265" w:type="dxa"/>
            <w:tcMar>
              <w:top w:w="108" w:type="dxa"/>
              <w:left w:w="108" w:type="dxa"/>
              <w:bottom w:w="108" w:type="dxa"/>
              <w:right w:w="108" w:type="dxa"/>
            </w:tcMar>
            <w:vAlign w:val="center"/>
            <w:hideMark/>
          </w:tcPr>
          <w:p w14:paraId="4ADC76E6" w14:textId="77777777" w:rsidR="002F7F16" w:rsidRPr="00CE0E28" w:rsidRDefault="002F7F16" w:rsidP="006E3485">
            <w:pPr>
              <w:pStyle w:val="Tablecontent"/>
              <w:rPr>
                <w:lang w:eastAsia="en-GB"/>
              </w:rPr>
            </w:pPr>
            <w:r w:rsidRPr="00CE0E28">
              <w:rPr>
                <w:lang w:eastAsia="en-GB"/>
              </w:rPr>
              <w:t>16</w:t>
            </w:r>
          </w:p>
        </w:tc>
        <w:tc>
          <w:tcPr>
            <w:tcW w:w="1264" w:type="dxa"/>
            <w:tcMar>
              <w:top w:w="108" w:type="dxa"/>
              <w:left w:w="108" w:type="dxa"/>
              <w:bottom w:w="108" w:type="dxa"/>
              <w:right w:w="108" w:type="dxa"/>
            </w:tcMar>
            <w:vAlign w:val="center"/>
            <w:hideMark/>
          </w:tcPr>
          <w:p w14:paraId="06CA2DAD" w14:textId="77777777" w:rsidR="002F7F16" w:rsidRPr="00CE0E28" w:rsidRDefault="002F7F16" w:rsidP="006E3485">
            <w:pPr>
              <w:pStyle w:val="Tablecontent"/>
              <w:rPr>
                <w:lang w:eastAsia="en-GB"/>
              </w:rPr>
            </w:pPr>
            <w:r w:rsidRPr="00CE0E28">
              <w:rPr>
                <w:lang w:eastAsia="en-GB"/>
              </w:rPr>
              <w:t>16.1</w:t>
            </w:r>
          </w:p>
        </w:tc>
        <w:tc>
          <w:tcPr>
            <w:tcW w:w="1264" w:type="dxa"/>
            <w:tcMar>
              <w:top w:w="108" w:type="dxa"/>
              <w:left w:w="108" w:type="dxa"/>
              <w:bottom w:w="108" w:type="dxa"/>
              <w:right w:w="108" w:type="dxa"/>
            </w:tcMar>
            <w:vAlign w:val="center"/>
            <w:hideMark/>
          </w:tcPr>
          <w:p w14:paraId="1546EA57" w14:textId="77777777" w:rsidR="002F7F16" w:rsidRPr="00CE0E28" w:rsidRDefault="002F7F16" w:rsidP="006E3485">
            <w:pPr>
              <w:pStyle w:val="Tablecontent"/>
              <w:rPr>
                <w:lang w:eastAsia="en-GB"/>
              </w:rPr>
            </w:pPr>
            <w:r w:rsidRPr="00CE0E28">
              <w:rPr>
                <w:lang w:eastAsia="en-GB"/>
              </w:rPr>
              <w:t>17.8</w:t>
            </w:r>
          </w:p>
        </w:tc>
        <w:tc>
          <w:tcPr>
            <w:tcW w:w="1264" w:type="dxa"/>
            <w:tcMar>
              <w:top w:w="108" w:type="dxa"/>
              <w:left w:w="108" w:type="dxa"/>
              <w:bottom w:w="108" w:type="dxa"/>
              <w:right w:w="108" w:type="dxa"/>
            </w:tcMar>
            <w:vAlign w:val="center"/>
            <w:hideMark/>
          </w:tcPr>
          <w:p w14:paraId="5C98D0B0" w14:textId="77777777" w:rsidR="002F7F16" w:rsidRPr="00CE0E28" w:rsidRDefault="002F7F16" w:rsidP="006E3485">
            <w:pPr>
              <w:pStyle w:val="Tablecontent"/>
              <w:rPr>
                <w:lang w:eastAsia="en-GB"/>
              </w:rPr>
            </w:pPr>
            <w:r w:rsidRPr="00CE0E28">
              <w:rPr>
                <w:lang w:eastAsia="en-GB"/>
              </w:rPr>
              <w:t>17.4</w:t>
            </w:r>
          </w:p>
        </w:tc>
        <w:tc>
          <w:tcPr>
            <w:tcW w:w="1265" w:type="dxa"/>
            <w:tcMar>
              <w:top w:w="108" w:type="dxa"/>
              <w:left w:w="108" w:type="dxa"/>
              <w:bottom w:w="108" w:type="dxa"/>
              <w:right w:w="108" w:type="dxa"/>
            </w:tcMar>
            <w:vAlign w:val="center"/>
            <w:hideMark/>
          </w:tcPr>
          <w:p w14:paraId="6D8ADBE8" w14:textId="77777777" w:rsidR="002F7F16" w:rsidRPr="00CE0E28" w:rsidRDefault="002F7F16" w:rsidP="006E3485">
            <w:pPr>
              <w:pStyle w:val="Tablecontent"/>
              <w:rPr>
                <w:lang w:eastAsia="en-GB"/>
              </w:rPr>
            </w:pPr>
            <w:r w:rsidRPr="00CE0E28">
              <w:rPr>
                <w:lang w:eastAsia="en-GB"/>
              </w:rPr>
              <w:t>16.9</w:t>
            </w:r>
          </w:p>
        </w:tc>
      </w:tr>
    </w:tbl>
    <w:p w14:paraId="177F7D6C" w14:textId="6F87BC8E" w:rsidR="00454C03" w:rsidRDefault="00454C03" w:rsidP="00454C03">
      <w:pPr>
        <w:pStyle w:val="Caption"/>
      </w:pPr>
      <w:bookmarkStart w:id="23" w:name="_Toc101108554"/>
      <w:r>
        <w:t xml:space="preserve">Table </w:t>
      </w:r>
      <w:fldSimple w:instr=" SEQ Table \* ARABIC ">
        <w:r w:rsidR="00E26E21">
          <w:rPr>
            <w:noProof/>
          </w:rPr>
          <w:t>3</w:t>
        </w:r>
      </w:fldSimple>
      <w:r>
        <w:t xml:space="preserve">: </w:t>
      </w:r>
      <w:r w:rsidRPr="00FB1612">
        <w:t>Social worker workforce data (DfE, 2021)</w:t>
      </w:r>
      <w:bookmarkEnd w:id="23"/>
    </w:p>
    <w:p w14:paraId="6F45AFD2" w14:textId="48F812BA" w:rsidR="00785CE1" w:rsidRDefault="00F03F49" w:rsidP="00931B56">
      <w:pPr>
        <w:rPr>
          <w:bdr w:val="none" w:sz="0" w:space="0" w:color="auto" w:frame="1"/>
          <w:shd w:val="clear" w:color="auto" w:fill="FFFFFF"/>
        </w:rPr>
      </w:pPr>
      <w:r>
        <w:t xml:space="preserve">Table </w:t>
      </w:r>
      <w:r w:rsidR="00F43CF3">
        <w:t>3</w:t>
      </w:r>
      <w:r w:rsidR="00D24A78">
        <w:t xml:space="preserve"> details the level of change across the year but does not provide any context</w:t>
      </w:r>
      <w:r w:rsidR="00DF0B95">
        <w:t xml:space="preserve"> for these changes</w:t>
      </w:r>
      <w:r w:rsidR="00D24A78">
        <w:t xml:space="preserve">. </w:t>
      </w:r>
      <w:r w:rsidR="002F7F16">
        <w:t>Possible explanations for social workers leaving their role are complex, as some workers move on for reasons other than the work environment. Some reasons include being promoted, moving to other roles within an organisation o</w:t>
      </w:r>
      <w:r>
        <w:t>r</w:t>
      </w:r>
      <w:r w:rsidR="002F7F16">
        <w:t xml:space="preserve"> leaving to have children (Burns and Christie, 2013). </w:t>
      </w:r>
      <w:r w:rsidR="002F7F16" w:rsidRPr="009555D1">
        <w:rPr>
          <w:bdr w:val="none" w:sz="0" w:space="0" w:color="auto" w:frame="1"/>
          <w:shd w:val="clear" w:color="auto" w:fill="FFFFFF"/>
        </w:rPr>
        <w:t>Hussein</w:t>
      </w:r>
      <w:r w:rsidR="002F7F16">
        <w:rPr>
          <w:bdr w:val="none" w:sz="0" w:space="0" w:color="auto" w:frame="1"/>
          <w:shd w:val="clear" w:color="auto" w:fill="FFFFFF"/>
        </w:rPr>
        <w:t xml:space="preserve"> et al. (2014) found that newly qualified social workers intentions to leave were based on poor engagement with the role, feelings of being ill prepared and poor renumeration</w:t>
      </w:r>
      <w:r w:rsidR="00A961E2">
        <w:rPr>
          <w:bdr w:val="none" w:sz="0" w:space="0" w:color="auto" w:frame="1"/>
          <w:shd w:val="clear" w:color="auto" w:fill="FFFFFF"/>
        </w:rPr>
        <w:t>, but could be offset by</w:t>
      </w:r>
      <w:r w:rsidR="002F7F16">
        <w:rPr>
          <w:bdr w:val="none" w:sz="0" w:space="0" w:color="auto" w:frame="1"/>
          <w:shd w:val="clear" w:color="auto" w:fill="FFFFFF"/>
        </w:rPr>
        <w:t xml:space="preserve"> being in a supportive team and empowering environment (</w:t>
      </w:r>
      <w:r w:rsidR="002F7F16" w:rsidRPr="009555D1">
        <w:rPr>
          <w:bdr w:val="none" w:sz="0" w:space="0" w:color="auto" w:frame="1"/>
          <w:shd w:val="clear" w:color="auto" w:fill="FFFFFF"/>
        </w:rPr>
        <w:t>Hussein</w:t>
      </w:r>
      <w:r w:rsidR="002F7F16">
        <w:rPr>
          <w:bdr w:val="none" w:sz="0" w:space="0" w:color="auto" w:frame="1"/>
          <w:shd w:val="clear" w:color="auto" w:fill="FFFFFF"/>
        </w:rPr>
        <w:t xml:space="preserve"> et al., 2014). </w:t>
      </w:r>
      <w:r w:rsidR="00A961E2">
        <w:rPr>
          <w:bdr w:val="none" w:sz="0" w:space="0" w:color="auto" w:frame="1"/>
          <w:shd w:val="clear" w:color="auto" w:fill="FFFFFF"/>
        </w:rPr>
        <w:t>S</w:t>
      </w:r>
      <w:r w:rsidR="002F7F16">
        <w:rPr>
          <w:bdr w:val="none" w:sz="0" w:space="0" w:color="auto" w:frame="1"/>
          <w:shd w:val="clear" w:color="auto" w:fill="FFFFFF"/>
        </w:rPr>
        <w:t xml:space="preserve">ocial work has experienced constant change and reorganisation </w:t>
      </w:r>
      <w:r w:rsidR="00A961E2">
        <w:rPr>
          <w:bdr w:val="none" w:sz="0" w:space="0" w:color="auto" w:frame="1"/>
          <w:shd w:val="clear" w:color="auto" w:fill="FFFFFF"/>
        </w:rPr>
        <w:t xml:space="preserve">over a sustained period </w:t>
      </w:r>
      <w:r w:rsidR="00DF0B95">
        <w:rPr>
          <w:bdr w:val="none" w:sz="0" w:space="0" w:color="auto" w:frame="1"/>
          <w:shd w:val="clear" w:color="auto" w:fill="FFFFFF"/>
        </w:rPr>
        <w:t>and w</w:t>
      </w:r>
      <w:r w:rsidR="002F7F16">
        <w:rPr>
          <w:bdr w:val="none" w:sz="0" w:space="0" w:color="auto" w:frame="1"/>
          <w:shd w:val="clear" w:color="auto" w:fill="FFFFFF"/>
        </w:rPr>
        <w:t>orking in such an environment has led to many social workers being moved from their chosen role and feeling disconnected from the wider organisation</w:t>
      </w:r>
      <w:r w:rsidR="00DF0B95">
        <w:rPr>
          <w:bdr w:val="none" w:sz="0" w:space="0" w:color="auto" w:frame="1"/>
          <w:shd w:val="clear" w:color="auto" w:fill="FFFFFF"/>
        </w:rPr>
        <w:t xml:space="preserve"> (</w:t>
      </w:r>
      <w:r w:rsidR="00DF0B95" w:rsidRPr="00EE04A1">
        <w:rPr>
          <w:bdr w:val="none" w:sz="0" w:space="0" w:color="auto" w:frame="1"/>
          <w:shd w:val="clear" w:color="auto" w:fill="FFFFFF"/>
        </w:rPr>
        <w:t>Antonopoulou, Killian</w:t>
      </w:r>
      <w:r w:rsidR="00DF0B95">
        <w:rPr>
          <w:bdr w:val="none" w:sz="0" w:space="0" w:color="auto" w:frame="1"/>
          <w:shd w:val="clear" w:color="auto" w:fill="FFFFFF"/>
        </w:rPr>
        <w:t xml:space="preserve"> </w:t>
      </w:r>
      <w:r w:rsidR="00DF0B95" w:rsidRPr="00EE04A1">
        <w:rPr>
          <w:bdr w:val="none" w:sz="0" w:space="0" w:color="auto" w:frame="1"/>
          <w:shd w:val="clear" w:color="auto" w:fill="FFFFFF"/>
        </w:rPr>
        <w:t>and Forrester, 2017</w:t>
      </w:r>
      <w:r w:rsidR="00DF0B95">
        <w:rPr>
          <w:bdr w:val="none" w:sz="0" w:space="0" w:color="auto" w:frame="1"/>
          <w:shd w:val="clear" w:color="auto" w:fill="FFFFFF"/>
        </w:rPr>
        <w:t>).</w:t>
      </w:r>
    </w:p>
    <w:p w14:paraId="53697DC3" w14:textId="17C7FD60" w:rsidR="002F7F16" w:rsidRDefault="00F43CF3" w:rsidP="00931B56">
      <w:pPr>
        <w:rPr>
          <w:bdr w:val="none" w:sz="0" w:space="0" w:color="auto" w:frame="1"/>
          <w:shd w:val="clear" w:color="auto" w:fill="FFFFFF"/>
        </w:rPr>
      </w:pPr>
      <w:r>
        <w:rPr>
          <w:bdr w:val="none" w:sz="0" w:space="0" w:color="auto" w:frame="1"/>
          <w:shd w:val="clear" w:color="auto" w:fill="FFFFFF"/>
        </w:rPr>
        <w:lastRenderedPageBreak/>
        <w:t>Therefore,</w:t>
      </w:r>
      <w:r w:rsidR="009D47BD">
        <w:rPr>
          <w:bdr w:val="none" w:sz="0" w:space="0" w:color="auto" w:frame="1"/>
          <w:shd w:val="clear" w:color="auto" w:fill="FFFFFF"/>
        </w:rPr>
        <w:t xml:space="preserve"> y</w:t>
      </w:r>
      <w:r w:rsidR="00DF0B95">
        <w:rPr>
          <w:bdr w:val="none" w:sz="0" w:space="0" w:color="auto" w:frame="1"/>
          <w:shd w:val="clear" w:color="auto" w:fill="FFFFFF"/>
        </w:rPr>
        <w:t xml:space="preserve">oung people could be supported by a number of </w:t>
      </w:r>
      <w:r w:rsidR="009D47BD">
        <w:rPr>
          <w:bdr w:val="none" w:sz="0" w:space="0" w:color="auto" w:frame="1"/>
          <w:shd w:val="clear" w:color="auto" w:fill="FFFFFF"/>
        </w:rPr>
        <w:t xml:space="preserve">social workers </w:t>
      </w:r>
      <w:r w:rsidR="00DF0B95">
        <w:rPr>
          <w:bdr w:val="none" w:sz="0" w:space="0" w:color="auto" w:frame="1"/>
          <w:shd w:val="clear" w:color="auto" w:fill="FFFFFF"/>
        </w:rPr>
        <w:t>due to t</w:t>
      </w:r>
      <w:r w:rsidR="009D47BD">
        <w:rPr>
          <w:bdr w:val="none" w:sz="0" w:space="0" w:color="auto" w:frame="1"/>
          <w:shd w:val="clear" w:color="auto" w:fill="FFFFFF"/>
        </w:rPr>
        <w:t>he poor levels of retention,</w:t>
      </w:r>
      <w:r w:rsidR="00A961E2">
        <w:rPr>
          <w:bdr w:val="none" w:sz="0" w:space="0" w:color="auto" w:frame="1"/>
          <w:shd w:val="clear" w:color="auto" w:fill="FFFFFF"/>
        </w:rPr>
        <w:t xml:space="preserve"> or temporary nature of the agency worker role.</w:t>
      </w:r>
      <w:r w:rsidR="009D47BD">
        <w:rPr>
          <w:bdr w:val="none" w:sz="0" w:space="0" w:color="auto" w:frame="1"/>
          <w:shd w:val="clear" w:color="auto" w:fill="FFFFFF"/>
        </w:rPr>
        <w:t xml:space="preserve"> </w:t>
      </w:r>
    </w:p>
    <w:p w14:paraId="2D16EB4E" w14:textId="5A4E50E6" w:rsidR="002F7F16" w:rsidRDefault="002F7F16" w:rsidP="007C51DB">
      <w:pPr>
        <w:pStyle w:val="Heading3"/>
      </w:pPr>
      <w:r>
        <w:t xml:space="preserve">Stress </w:t>
      </w:r>
    </w:p>
    <w:p w14:paraId="3AC14584" w14:textId="4AAF6B53" w:rsidR="002F7F16" w:rsidRDefault="002F7F16">
      <w:r>
        <w:t>The environment of children’s services is by nature a stressful place to work, however the pressures of working with families in moments of crisis are only partially responsible for social worker’s ill health or leaving their role. Where social workers are supported in small teams, with regular supervision they report job satisfaction and commitment to the role (</w:t>
      </w:r>
      <w:r w:rsidRPr="00EE04A1">
        <w:rPr>
          <w:bdr w:val="none" w:sz="0" w:space="0" w:color="auto" w:frame="1"/>
          <w:shd w:val="clear" w:color="auto" w:fill="FFFFFF"/>
        </w:rPr>
        <w:t>Antonopoulou, Killian</w:t>
      </w:r>
      <w:r>
        <w:rPr>
          <w:bdr w:val="none" w:sz="0" w:space="0" w:color="auto" w:frame="1"/>
          <w:shd w:val="clear" w:color="auto" w:fill="FFFFFF"/>
        </w:rPr>
        <w:t xml:space="preserve"> </w:t>
      </w:r>
      <w:r w:rsidRPr="00EE04A1">
        <w:rPr>
          <w:bdr w:val="none" w:sz="0" w:space="0" w:color="auto" w:frame="1"/>
          <w:shd w:val="clear" w:color="auto" w:fill="FFFFFF"/>
        </w:rPr>
        <w:t>and Forrester, 2017</w:t>
      </w:r>
      <w:r>
        <w:rPr>
          <w:bdr w:val="none" w:sz="0" w:space="0" w:color="auto" w:frame="1"/>
          <w:shd w:val="clear" w:color="auto" w:fill="FFFFFF"/>
        </w:rPr>
        <w:t>). Conversely, working in environments with no visible or individual support can lead to burnout</w:t>
      </w:r>
      <w:r w:rsidR="00F03F49">
        <w:rPr>
          <w:bdr w:val="none" w:sz="0" w:space="0" w:color="auto" w:frame="1"/>
          <w:shd w:val="clear" w:color="auto" w:fill="FFFFFF"/>
        </w:rPr>
        <w:t xml:space="preserve"> or emotional exhaustion </w:t>
      </w:r>
      <w:r>
        <w:rPr>
          <w:bdr w:val="none" w:sz="0" w:space="0" w:color="auto" w:frame="1"/>
          <w:shd w:val="clear" w:color="auto" w:fill="FFFFFF"/>
        </w:rPr>
        <w:t xml:space="preserve">resulting in </w:t>
      </w:r>
      <w:r>
        <w:t>disengagement from the profession</w:t>
      </w:r>
      <w:r>
        <w:rPr>
          <w:bdr w:val="none" w:sz="0" w:space="0" w:color="auto" w:frame="1"/>
          <w:shd w:val="clear" w:color="auto" w:fill="FFFFFF"/>
        </w:rPr>
        <w:t xml:space="preserve"> (</w:t>
      </w:r>
      <w:r>
        <w:t xml:space="preserve">Travis, Lizano and Mor Barak, 2016). </w:t>
      </w:r>
      <w:r w:rsidR="00B50E3C" w:rsidRPr="00B04887">
        <w:t xml:space="preserve">Feelings of burnout or emotional exhaustion were also featured in grey literature — </w:t>
      </w:r>
      <w:r>
        <w:t>91</w:t>
      </w:r>
      <w:r w:rsidR="007118C1">
        <w:t xml:space="preserve"> per cent</w:t>
      </w:r>
      <w:r>
        <w:t xml:space="preserve"> of respondents to a Community Care</w:t>
      </w:r>
      <w:r>
        <w:rPr>
          <w:rStyle w:val="FootnoteReference"/>
        </w:rPr>
        <w:footnoteReference w:id="5"/>
      </w:r>
      <w:r>
        <w:t xml:space="preserve"> </w:t>
      </w:r>
      <w:r w:rsidR="00001BC8">
        <w:t>survey</w:t>
      </w:r>
      <w:r w:rsidR="00B50E3C" w:rsidRPr="00B04887">
        <w:t xml:space="preserve"> reported such, regardless of the size of their caseload</w:t>
      </w:r>
      <w:r w:rsidR="00B50E3C">
        <w:t xml:space="preserve"> </w:t>
      </w:r>
      <w:r>
        <w:t xml:space="preserve">(McFadden, 2015). </w:t>
      </w:r>
    </w:p>
    <w:p w14:paraId="4A454C10" w14:textId="6B81F7E0" w:rsidR="002F7F16" w:rsidRDefault="002F7F16">
      <w:r>
        <w:t>The impact of emotional distress on social workers is commonly ill health and sometimes poor eating habits and drug or alcohol problems (McGregor, 2013). As well as affecting the social worker, the impact of stress can also lead to compassion fatigue which could result in dismissive or neglectful responses to services users</w:t>
      </w:r>
      <w:r w:rsidR="009D47BD">
        <w:t xml:space="preserve"> and relevant to this research, young people</w:t>
      </w:r>
      <w:r>
        <w:t xml:space="preserve"> (McFadden, 2015; </w:t>
      </w:r>
      <w:r w:rsidRPr="00D97FA6">
        <w:t>Moriaty, Baginsky</w:t>
      </w:r>
      <w:r>
        <w:t xml:space="preserve"> and</w:t>
      </w:r>
      <w:r w:rsidRPr="00D97FA6">
        <w:t xml:space="preserve"> Manthorpe</w:t>
      </w:r>
      <w:r>
        <w:t xml:space="preserve">, </w:t>
      </w:r>
      <w:r w:rsidRPr="00D97FA6">
        <w:t>2015</w:t>
      </w:r>
      <w:r>
        <w:t xml:space="preserve">; </w:t>
      </w:r>
      <w:r w:rsidRPr="00A31A25">
        <w:t>Truter, Fouché and Theron</w:t>
      </w:r>
      <w:r>
        <w:t xml:space="preserve">, </w:t>
      </w:r>
      <w:r w:rsidRPr="00A31A25">
        <w:t>2017</w:t>
      </w:r>
      <w:r>
        <w:t xml:space="preserve">). Although not acknowledged by most of the participants in McFadden’s </w:t>
      </w:r>
      <w:r w:rsidR="00680E00">
        <w:t>survey</w:t>
      </w:r>
      <w:r>
        <w:t xml:space="preserve">, feeling frustrated or overwhelmed in pressured situations might not be immediately apparent to the social worker but could be to the service user. </w:t>
      </w:r>
    </w:p>
    <w:p w14:paraId="5F83DDBF" w14:textId="19E29B89" w:rsidR="002F7F16" w:rsidRDefault="002F7F16">
      <w:r>
        <w:t>The relationship between feeling burnt out and ineffective or absent supervision has featured in several studies about social work support. Supervision is recognised as a critical tool of support and practice exploration (Munro, 2010; Wilkins, Forrester and Grant, 2017) and one of the ‘</w:t>
      </w:r>
      <w:r w:rsidRPr="00830358">
        <w:t>accepted tenets of the profession</w:t>
      </w:r>
      <w:r>
        <w:t>’ (Wilkins, Forrester and Grant, 2017, p. 942). Even with this widespread recognition, format, frequency and quality of supervision are consistently highlighted as problematic, with scar</w:t>
      </w:r>
      <w:r w:rsidR="00517ACB">
        <w:t>c</w:t>
      </w:r>
      <w:r>
        <w:t xml:space="preserve">e space for critical reflection (Rankine, 2019). Appropriate levels of support including supervision are often combined with other means of work led techniques to enable social workers to respond to the rigors of the role. </w:t>
      </w:r>
      <w:r w:rsidR="009D47BD">
        <w:t>However,</w:t>
      </w:r>
      <w:r>
        <w:t xml:space="preserve"> in some cases</w:t>
      </w:r>
      <w:r w:rsidR="00517ACB">
        <w:t>,</w:t>
      </w:r>
      <w:r>
        <w:t xml:space="preserve"> i</w:t>
      </w:r>
      <w:r w:rsidRPr="00B07EE4">
        <w:t>ssues of well</w:t>
      </w:r>
      <w:r w:rsidR="000C1156">
        <w:t>-</w:t>
      </w:r>
      <w:r w:rsidRPr="00B07EE4">
        <w:t xml:space="preserve">being have become a device to measure </w:t>
      </w:r>
      <w:r w:rsidR="00F03F49">
        <w:t xml:space="preserve">a </w:t>
      </w:r>
      <w:r w:rsidRPr="00B07EE4">
        <w:t>social worker’s performance and their suitability for the role (Bache and Reardon, 2016</w:t>
      </w:r>
      <w:r>
        <w:t xml:space="preserve">; Wilkins, </w:t>
      </w:r>
      <w:r>
        <w:lastRenderedPageBreak/>
        <w:t>Forrester and Grant, 2017</w:t>
      </w:r>
      <w:r w:rsidRPr="00B07EE4">
        <w:t>)</w:t>
      </w:r>
      <w:r>
        <w:t xml:space="preserve">, </w:t>
      </w:r>
      <w:r w:rsidR="00F03F49">
        <w:t>making</w:t>
      </w:r>
      <w:r>
        <w:t xml:space="preserve"> </w:t>
      </w:r>
      <w:r w:rsidR="00F03F49">
        <w:t>the supervisor</w:t>
      </w:r>
      <w:r>
        <w:t xml:space="preserve"> ineffectual in responding to a worker’s issues</w:t>
      </w:r>
      <w:r w:rsidRPr="00B07EE4">
        <w:t>.</w:t>
      </w:r>
      <w:r>
        <w:t xml:space="preserve"> Supervision should be a space for social workers to share their concerns about their work, which is compromised by the domination of risk and process focused </w:t>
      </w:r>
      <w:r w:rsidR="00517ACB">
        <w:t>discussion</w:t>
      </w:r>
      <w:r>
        <w:t>, with l</w:t>
      </w:r>
      <w:r w:rsidRPr="00B07EE4">
        <w:t xml:space="preserve">ow levels of reflection </w:t>
      </w:r>
      <w:r>
        <w:t xml:space="preserve">(Wilkins, Forrester and Grant, 2017). </w:t>
      </w:r>
      <w:r w:rsidRPr="002D1DE5">
        <w:t>Truter, Fouché</w:t>
      </w:r>
      <w:r>
        <w:t xml:space="preserve"> and </w:t>
      </w:r>
      <w:r w:rsidRPr="002D1DE5">
        <w:t>Theron</w:t>
      </w:r>
      <w:r>
        <w:t xml:space="preserve"> (2017) argue that resilience to withstand pressure at work has become the social worker’s </w:t>
      </w:r>
      <w:r w:rsidR="005132F1">
        <w:t xml:space="preserve">individual </w:t>
      </w:r>
      <w:r>
        <w:t>responsibility, and if they are provided with a list of predetermined sources of support but still cannot cope, it is their fault.</w:t>
      </w:r>
    </w:p>
    <w:p w14:paraId="7258C389" w14:textId="04705F4F" w:rsidR="002F7F16" w:rsidRDefault="002F7F16">
      <w:pPr>
        <w:pStyle w:val="Heading2"/>
      </w:pPr>
      <w:bookmarkStart w:id="24" w:name="_Toc101108479"/>
      <w:r>
        <w:t>Chapter Summary</w:t>
      </w:r>
      <w:bookmarkEnd w:id="24"/>
    </w:p>
    <w:p w14:paraId="3D6E4411" w14:textId="6EC4469A" w:rsidR="002F7F16" w:rsidRPr="00161026" w:rsidRDefault="002F7F16">
      <w:r>
        <w:t xml:space="preserve">This chapter has </w:t>
      </w:r>
      <w:r w:rsidR="00F03F49" w:rsidRPr="00F03F49">
        <w:t>highlighted the many challenges and issues associated with contemporary social work practice</w:t>
      </w:r>
      <w:r>
        <w:t xml:space="preserve">. </w:t>
      </w:r>
      <w:r w:rsidR="00E64519">
        <w:t>Whilst it is important to recognise these factors when thinking about the experiences of young people, many people continue into the profession and value the work they are doing (</w:t>
      </w:r>
      <w:r w:rsidR="00E64519" w:rsidRPr="009555D1">
        <w:rPr>
          <w:bdr w:val="none" w:sz="0" w:space="0" w:color="auto" w:frame="1"/>
          <w:shd w:val="clear" w:color="auto" w:fill="FFFFFF"/>
        </w:rPr>
        <w:t>Hussein</w:t>
      </w:r>
      <w:r w:rsidR="00E64519">
        <w:rPr>
          <w:bdr w:val="none" w:sz="0" w:space="0" w:color="auto" w:frame="1"/>
          <w:shd w:val="clear" w:color="auto" w:fill="FFFFFF"/>
        </w:rPr>
        <w:t xml:space="preserve"> et al., 2014; </w:t>
      </w:r>
      <w:r w:rsidR="00E64519">
        <w:t>McFadden, 2015). Nonetheless o</w:t>
      </w:r>
      <w:r>
        <w:t xml:space="preserve">verbearing managerial processes, constant change, poor support, high workload and a fight for resources characterise many social worker’s experiences. These issues may be invisible to </w:t>
      </w:r>
      <w:r w:rsidR="003250BE">
        <w:t>young people leaving care</w:t>
      </w:r>
      <w:r>
        <w:t xml:space="preserve"> but could impact on the way a social worker interacts with them or refuses resources or support. That is not to excuse unempath</w:t>
      </w:r>
      <w:r w:rsidR="006B7D71">
        <w:t>et</w:t>
      </w:r>
      <w:r>
        <w:t xml:space="preserve">ic or neglectful </w:t>
      </w:r>
      <w:r w:rsidR="001A4CA9">
        <w:t>practice but</w:t>
      </w:r>
      <w:r>
        <w:t xml:space="preserve"> </w:t>
      </w:r>
      <w:r w:rsidR="00F03F49">
        <w:t xml:space="preserve">is in </w:t>
      </w:r>
      <w:r>
        <w:t xml:space="preserve">recognition that an individual response might reflect broader contextual issues. In </w:t>
      </w:r>
      <w:r w:rsidR="00F03F49">
        <w:t>Chapter 4</w:t>
      </w:r>
      <w:r>
        <w:t xml:space="preserve"> the young people’s experiences of practice are outlined</w:t>
      </w:r>
      <w:r w:rsidR="00005F6F">
        <w:t>,</w:t>
      </w:r>
      <w:r>
        <w:t xml:space="preserve"> as well as the wider literature describing </w:t>
      </w:r>
      <w:r w:rsidR="00DC59B2">
        <w:t>decision-making</w:t>
      </w:r>
      <w:r>
        <w:t xml:space="preserve"> and leaving care. </w:t>
      </w:r>
    </w:p>
    <w:p w14:paraId="4A360FC0" w14:textId="77777777" w:rsidR="002F7F16" w:rsidRPr="00161026" w:rsidRDefault="002F7F16"/>
    <w:p w14:paraId="17070ED8" w14:textId="77777777" w:rsidR="002F7F16" w:rsidRPr="00161026" w:rsidRDefault="002F7F16"/>
    <w:p w14:paraId="04D142FF" w14:textId="77777777" w:rsidR="002F7F16" w:rsidRPr="00161026" w:rsidRDefault="002F7F16"/>
    <w:p w14:paraId="6B03F1E6" w14:textId="77777777" w:rsidR="002F7F16" w:rsidRPr="00161026" w:rsidRDefault="002F7F16"/>
    <w:p w14:paraId="1163E66A" w14:textId="77777777" w:rsidR="002F7F16" w:rsidRPr="00161026" w:rsidRDefault="002F7F16"/>
    <w:p w14:paraId="408B2CAD" w14:textId="77777777" w:rsidR="002F7F16" w:rsidRPr="00161026" w:rsidRDefault="002F7F16"/>
    <w:p w14:paraId="363DBD38" w14:textId="77777777" w:rsidR="002F7F16" w:rsidRPr="00161026" w:rsidRDefault="002F7F16"/>
    <w:p w14:paraId="7990D50C" w14:textId="77777777" w:rsidR="002F7F16" w:rsidRPr="00161026" w:rsidRDefault="002F7F16"/>
    <w:p w14:paraId="34BADF66" w14:textId="77777777" w:rsidR="007B418C" w:rsidRDefault="007B418C">
      <w:pPr>
        <w:rPr>
          <w:rFonts w:eastAsiaTheme="majorEastAsia"/>
          <w:color w:val="000000" w:themeColor="text1"/>
          <w:sz w:val="28"/>
          <w:szCs w:val="26"/>
          <w:lang w:eastAsia="en-GB"/>
        </w:rPr>
      </w:pPr>
      <w:r>
        <w:rPr>
          <w:lang w:eastAsia="en-GB"/>
        </w:rPr>
        <w:br w:type="page"/>
      </w:r>
    </w:p>
    <w:p w14:paraId="3CF129DE" w14:textId="5FA18F15" w:rsidR="00D95781" w:rsidRDefault="00D95781" w:rsidP="00127FD5">
      <w:pPr>
        <w:pStyle w:val="ChapterHeading1"/>
        <w:rPr>
          <w:lang w:eastAsia="en-GB"/>
        </w:rPr>
      </w:pPr>
      <w:bookmarkStart w:id="25" w:name="_Toc101108480"/>
      <w:r w:rsidRPr="00D95781">
        <w:rPr>
          <w:lang w:eastAsia="en-GB"/>
        </w:rPr>
        <w:lastRenderedPageBreak/>
        <w:t xml:space="preserve">Chapter </w:t>
      </w:r>
      <w:r w:rsidR="007B418C">
        <w:rPr>
          <w:lang w:eastAsia="en-GB"/>
        </w:rPr>
        <w:t>4</w:t>
      </w:r>
      <w:r w:rsidRPr="00D95781">
        <w:rPr>
          <w:lang w:eastAsia="en-GB"/>
        </w:rPr>
        <w:t xml:space="preserve">: </w:t>
      </w:r>
      <w:r w:rsidR="009D47BD">
        <w:rPr>
          <w:lang w:eastAsia="en-GB"/>
        </w:rPr>
        <w:t>Literature</w:t>
      </w:r>
      <w:r w:rsidR="005632FD">
        <w:rPr>
          <w:lang w:eastAsia="en-GB"/>
        </w:rPr>
        <w:t xml:space="preserve"> </w:t>
      </w:r>
      <w:r w:rsidR="00716F63">
        <w:rPr>
          <w:lang w:eastAsia="en-GB"/>
        </w:rPr>
        <w:t xml:space="preserve">Review </w:t>
      </w:r>
      <w:r w:rsidR="005632FD">
        <w:rPr>
          <w:lang w:eastAsia="en-GB"/>
        </w:rPr>
        <w:t>Context</w:t>
      </w:r>
      <w:bookmarkEnd w:id="25"/>
    </w:p>
    <w:p w14:paraId="03E6688F" w14:textId="663FD3C4" w:rsidR="00D95781" w:rsidRPr="00D95781" w:rsidRDefault="003640A9" w:rsidP="006E3485">
      <w:pPr>
        <w:pStyle w:val="Heading2"/>
        <w:rPr>
          <w:lang w:eastAsia="en-GB"/>
        </w:rPr>
      </w:pPr>
      <w:bookmarkStart w:id="26" w:name="_Toc101108481"/>
      <w:r>
        <w:rPr>
          <w:lang w:eastAsia="en-GB"/>
        </w:rPr>
        <w:t xml:space="preserve">Chapter </w:t>
      </w:r>
      <w:r w:rsidR="00D95781" w:rsidRPr="00D95781">
        <w:rPr>
          <w:lang w:eastAsia="en-GB"/>
        </w:rPr>
        <w:t>Introduction</w:t>
      </w:r>
      <w:bookmarkEnd w:id="26"/>
    </w:p>
    <w:p w14:paraId="05A9C58B" w14:textId="79B51180" w:rsidR="0051193F" w:rsidRDefault="0051193F" w:rsidP="00931B56">
      <w:r>
        <w:t>This c</w:t>
      </w:r>
      <w:r w:rsidRPr="00AC0E9E">
        <w:t>hapter</w:t>
      </w:r>
      <w:r w:rsidRPr="00961F40">
        <w:t xml:space="preserve"> review</w:t>
      </w:r>
      <w:r>
        <w:t>s the</w:t>
      </w:r>
      <w:r w:rsidRPr="00961F40">
        <w:t xml:space="preserve"> literature </w:t>
      </w:r>
      <w:r>
        <w:t xml:space="preserve">about children and young people’s experiences of </w:t>
      </w:r>
      <w:r w:rsidRPr="00961F40">
        <w:t xml:space="preserve">public </w:t>
      </w:r>
      <w:r>
        <w:t>care.</w:t>
      </w:r>
      <w:r w:rsidRPr="00961F40">
        <w:t xml:space="preserve"> </w:t>
      </w:r>
      <w:r>
        <w:t xml:space="preserve">To begin there is a </w:t>
      </w:r>
      <w:r w:rsidRPr="00961F40">
        <w:t xml:space="preserve">brief </w:t>
      </w:r>
      <w:r>
        <w:t>summary of the search strategy</w:t>
      </w:r>
      <w:r w:rsidR="009D47BD">
        <w:t xml:space="preserve"> for this chapter</w:t>
      </w:r>
      <w:r>
        <w:t xml:space="preserve"> and rationale for material included. The two key areas relevant to the study are then set out. </w:t>
      </w:r>
      <w:r w:rsidR="009D47BD">
        <w:t>Firstly,</w:t>
      </w:r>
      <w:r>
        <w:t xml:space="preserve"> studies relating to </w:t>
      </w:r>
      <w:r w:rsidR="00DC59B2">
        <w:t>decision-making</w:t>
      </w:r>
      <w:r>
        <w:t xml:space="preserve"> by young people, beginning with the wider literature about being involved in social work process and finishing with their experiences as they leave their care placements</w:t>
      </w:r>
      <w:r w:rsidR="00001BC8">
        <w:t xml:space="preserve"> are considered</w:t>
      </w:r>
      <w:r>
        <w:t>. Secon</w:t>
      </w:r>
      <w:r w:rsidR="009D47BD">
        <w:t>dly</w:t>
      </w:r>
      <w:r>
        <w:t xml:space="preserve">, </w:t>
      </w:r>
      <w:r w:rsidRPr="008B66AA">
        <w:t xml:space="preserve">focus turns to </w:t>
      </w:r>
      <w:r w:rsidRPr="008B66AA">
        <w:rPr>
          <w:color w:val="000000" w:themeColor="text1"/>
        </w:rPr>
        <w:t xml:space="preserve">the national context for young people leaving care, with emphasis on what is known about their experiences, outcomes and issues as they </w:t>
      </w:r>
      <w:r w:rsidRPr="008B66AA">
        <w:t>transition</w:t>
      </w:r>
      <w:r w:rsidRPr="003E3DDD">
        <w:t xml:space="preserve"> from their care placement to independence</w:t>
      </w:r>
      <w:r>
        <w:t xml:space="preserve">. The chapter concludes with </w:t>
      </w:r>
      <w:r w:rsidRPr="003E3DDD">
        <w:t xml:space="preserve">the </w:t>
      </w:r>
      <w:r>
        <w:t xml:space="preserve">limited studies relating to </w:t>
      </w:r>
      <w:r w:rsidRPr="006E3485">
        <w:rPr>
          <w:i/>
          <w:iCs/>
        </w:rPr>
        <w:t>Staying Put</w:t>
      </w:r>
      <w:r>
        <w:t>.</w:t>
      </w:r>
    </w:p>
    <w:p w14:paraId="26E89C0A" w14:textId="77777777" w:rsidR="00D95781" w:rsidRPr="005B667D" w:rsidRDefault="00D95781" w:rsidP="005B667D">
      <w:pPr>
        <w:pStyle w:val="Heading3"/>
      </w:pPr>
      <w:r w:rsidRPr="005B667D">
        <w:t>Searching for Literature</w:t>
      </w:r>
    </w:p>
    <w:p w14:paraId="5A44070A" w14:textId="6E50068B" w:rsidR="0051193F" w:rsidRPr="003E3DDD" w:rsidRDefault="0051193F">
      <w:r>
        <w:t>L</w:t>
      </w:r>
      <w:r w:rsidRPr="003E3DDD">
        <w:t xml:space="preserve">iterature was </w:t>
      </w:r>
      <w:r>
        <w:t xml:space="preserve">identified </w:t>
      </w:r>
      <w:r w:rsidRPr="003E3DDD">
        <w:t xml:space="preserve">through a combination of available databases, general web searches and focused hand searching through key </w:t>
      </w:r>
      <w:r>
        <w:t xml:space="preserve">social work </w:t>
      </w:r>
      <w:r w:rsidRPr="003E3DDD">
        <w:t>journals</w:t>
      </w:r>
      <w:r>
        <w:t xml:space="preserve"> and books</w:t>
      </w:r>
      <w:r w:rsidRPr="003E3DDD">
        <w:t xml:space="preserve">. Applied Social Sciences Index and Abstracts, Sociological Abstracts, ProQuest Central, the university library, Google Scholar and Google were used to identify material relating to the principal topic areas. </w:t>
      </w:r>
      <w:r w:rsidR="00E64519">
        <w:t>S</w:t>
      </w:r>
      <w:r w:rsidRPr="003E3DDD">
        <w:t>earches were also made in grey publications</w:t>
      </w:r>
      <w:r>
        <w:t xml:space="preserve"> or media</w:t>
      </w:r>
      <w:r w:rsidRPr="003E3DDD">
        <w:t xml:space="preserve">, for example Children and Young People Now, Community Care, </w:t>
      </w:r>
      <w:r w:rsidR="003057B2">
        <w:t xml:space="preserve">Research in Practice, </w:t>
      </w:r>
      <w:r w:rsidRPr="003E3DDD">
        <w:t xml:space="preserve">Social Care Institute for Excellence </w:t>
      </w:r>
      <w:r>
        <w:t xml:space="preserve">and </w:t>
      </w:r>
      <w:r w:rsidRPr="003E3DDD">
        <w:t xml:space="preserve">The Care Leaver’s Association and other children’s charities. The subject of young people is well </w:t>
      </w:r>
      <w:r>
        <w:t xml:space="preserve">represented </w:t>
      </w:r>
      <w:r w:rsidRPr="003E3DDD">
        <w:t>in peer</w:t>
      </w:r>
      <w:r w:rsidR="005132F1">
        <w:t>-</w:t>
      </w:r>
      <w:r w:rsidRPr="003E3DDD">
        <w:t xml:space="preserve">reviewed </w:t>
      </w:r>
      <w:r>
        <w:t>journals,</w:t>
      </w:r>
      <w:r w:rsidRPr="003E3DDD">
        <w:t xml:space="preserve"> </w:t>
      </w:r>
      <w:r w:rsidR="001A4CA9">
        <w:t>although</w:t>
      </w:r>
      <w:r w:rsidRPr="003E3DDD">
        <w:t xml:space="preserve"> </w:t>
      </w:r>
      <w:r>
        <w:t xml:space="preserve">reports and briefings are also published in other ways. The decision to include grey material was taken for two reasons, one that </w:t>
      </w:r>
      <w:r w:rsidRPr="00CE5C80">
        <w:rPr>
          <w:i/>
          <w:iCs/>
        </w:rPr>
        <w:t>Staying Put</w:t>
      </w:r>
      <w:r w:rsidRPr="00A81C61">
        <w:t xml:space="preserve"> is a relatively recent measure and there are very few peer</w:t>
      </w:r>
      <w:r w:rsidR="005132F1">
        <w:t>-</w:t>
      </w:r>
      <w:r w:rsidR="001A4CA9">
        <w:t>r</w:t>
      </w:r>
      <w:r w:rsidRPr="00A81C61">
        <w:t>eviewed articles about the scheme. Second</w:t>
      </w:r>
      <w:r w:rsidR="0072356D">
        <w:t>ly</w:t>
      </w:r>
      <w:r w:rsidRPr="00A81C61">
        <w:t>, service user</w:t>
      </w:r>
      <w:r>
        <w:t xml:space="preserve"> and practitioner</w:t>
      </w:r>
      <w:r w:rsidR="005132F1">
        <w:t>-</w:t>
      </w:r>
      <w:r w:rsidRPr="00A81C61">
        <w:t xml:space="preserve">led work is often small scale and self-published </w:t>
      </w:r>
      <w:r>
        <w:t xml:space="preserve">and as </w:t>
      </w:r>
      <w:r w:rsidRPr="00A81C61">
        <w:t xml:space="preserve">Mitchell, Lunt and Shaw (2010) </w:t>
      </w:r>
      <w:r>
        <w:t xml:space="preserve">observe, </w:t>
      </w:r>
      <w:r w:rsidRPr="00A81C61">
        <w:t xml:space="preserve">practitioners and service users may not have the confidence to believe their work is worthy of </w:t>
      </w:r>
      <w:r>
        <w:t xml:space="preserve">publication in </w:t>
      </w:r>
      <w:r w:rsidR="00355B51">
        <w:t xml:space="preserve">academic </w:t>
      </w:r>
      <w:r>
        <w:t>journals</w:t>
      </w:r>
      <w:r w:rsidRPr="00A81C61">
        <w:t>.</w:t>
      </w:r>
      <w:r>
        <w:t xml:space="preserve"> </w:t>
      </w:r>
      <w:r w:rsidRPr="003E3DDD">
        <w:t xml:space="preserve">It was important to include all types of material as professional or service user led </w:t>
      </w:r>
      <w:r>
        <w:t>work</w:t>
      </w:r>
      <w:r w:rsidRPr="003E3DDD">
        <w:t xml:space="preserve"> can offer insight into current or day</w:t>
      </w:r>
      <w:r w:rsidR="00597FC1">
        <w:t>-</w:t>
      </w:r>
      <w:r w:rsidRPr="003E3DDD">
        <w:t>to</w:t>
      </w:r>
      <w:r w:rsidR="00597FC1">
        <w:t>-</w:t>
      </w:r>
      <w:r w:rsidRPr="003E3DDD">
        <w:t>day practice (Becker, Bryman and Ferguson, 2012)</w:t>
      </w:r>
      <w:r w:rsidR="003057B2">
        <w:t xml:space="preserve"> and s</w:t>
      </w:r>
      <w:r w:rsidR="003057B2" w:rsidRPr="003057B2">
        <w:t>ervice users</w:t>
      </w:r>
      <w:r w:rsidR="003057B2">
        <w:t xml:space="preserve"> or practitioners</w:t>
      </w:r>
      <w:r w:rsidR="003057B2" w:rsidRPr="003057B2">
        <w:t xml:space="preserve"> are experts </w:t>
      </w:r>
      <w:r w:rsidR="003057B2">
        <w:t>in their</w:t>
      </w:r>
      <w:r w:rsidR="003057B2" w:rsidRPr="003057B2">
        <w:t xml:space="preserve"> experience</w:t>
      </w:r>
      <w:r w:rsidR="003057B2">
        <w:t xml:space="preserve"> </w:t>
      </w:r>
      <w:r w:rsidR="003057B2" w:rsidRPr="003057B2">
        <w:t xml:space="preserve">and as such their views should be recognised and open to scholarly debate </w:t>
      </w:r>
      <w:r w:rsidR="003057B2">
        <w:t>alongside</w:t>
      </w:r>
      <w:r w:rsidR="003057B2" w:rsidRPr="003057B2">
        <w:t xml:space="preserve"> peer reviewed literature. </w:t>
      </w:r>
    </w:p>
    <w:p w14:paraId="438A08AF" w14:textId="4C69A0D5" w:rsidR="00D95781" w:rsidRPr="003057B2" w:rsidRDefault="0051193F">
      <w:r w:rsidRPr="003E3DDD">
        <w:lastRenderedPageBreak/>
        <w:t xml:space="preserve">Search terms were straightforward for some aspects of the review, however exploring literature about </w:t>
      </w:r>
      <w:r>
        <w:t xml:space="preserve">both </w:t>
      </w:r>
      <w:r w:rsidR="00DC59B2">
        <w:t>decision-making</w:t>
      </w:r>
      <w:r>
        <w:t xml:space="preserve"> and </w:t>
      </w:r>
      <w:r w:rsidRPr="003E3DDD">
        <w:t xml:space="preserve">young people leaving care </w:t>
      </w:r>
      <w:r>
        <w:t>required further thought due to the multiple descriptors of each element. For example</w:t>
      </w:r>
      <w:r w:rsidR="00EF233A">
        <w:t>,</w:t>
      </w:r>
      <w:r>
        <w:t xml:space="preserve"> </w:t>
      </w:r>
      <w:r w:rsidR="003057B2" w:rsidRPr="003057B2">
        <w:t xml:space="preserve">terminology </w:t>
      </w:r>
      <w:r w:rsidR="003057B2">
        <w:t xml:space="preserve">about young people leaving care differs between </w:t>
      </w:r>
      <w:r w:rsidR="003057B2" w:rsidRPr="003057B2">
        <w:t>peer reviewed lit</w:t>
      </w:r>
      <w:r w:rsidR="003057B2">
        <w:t>erature</w:t>
      </w:r>
      <w:r w:rsidR="003057B2" w:rsidRPr="003057B2">
        <w:t xml:space="preserve"> and </w:t>
      </w:r>
      <w:r w:rsidR="003057B2">
        <w:t>language commonly</w:t>
      </w:r>
      <w:r w:rsidR="003057B2" w:rsidRPr="003057B2">
        <w:t xml:space="preserve"> used in practice</w:t>
      </w:r>
      <w:r w:rsidR="00632305">
        <w:t xml:space="preserve">. </w:t>
      </w:r>
      <w:r w:rsidRPr="003E3DDD">
        <w:t xml:space="preserve">Whilst the varied terminology can frame the diversity of experiences, </w:t>
      </w:r>
      <w:r>
        <w:t xml:space="preserve">variance adds </w:t>
      </w:r>
      <w:r w:rsidRPr="003E3DDD">
        <w:t>complex</w:t>
      </w:r>
      <w:r>
        <w:t xml:space="preserve">ity to </w:t>
      </w:r>
      <w:r w:rsidRPr="003E3DDD">
        <w:t>the reviewing process</w:t>
      </w:r>
      <w:r>
        <w:t xml:space="preserve"> as some terms are particular to academic literature and have not gained widespread traction in practitioner or service user discourse</w:t>
      </w:r>
      <w:r w:rsidR="00632305">
        <w:t>, for example ‘aging out of care’ (Stein, 2006c)</w:t>
      </w:r>
      <w:r w:rsidR="00632305" w:rsidRPr="003E3DDD">
        <w:t>.</w:t>
      </w:r>
      <w:r w:rsidRPr="003E3DDD">
        <w:t xml:space="preserve"> To illustrate, leaving care has been described in </w:t>
      </w:r>
      <w:r>
        <w:t>multiple</w:t>
      </w:r>
      <w:r w:rsidRPr="003E3DDD">
        <w:t xml:space="preserve"> ways</w:t>
      </w:r>
      <w:r>
        <w:t xml:space="preserve"> including but not limited to</w:t>
      </w:r>
      <w:r w:rsidRPr="003E3DDD">
        <w:t>: ‘care leaving’, ‘transitioning’, ‘transitioning out of care’, ‘transition from care’, ‘growing out of care’, ‘emerging from care’, ‘emancipated from care’, ‘aging out of care’</w:t>
      </w:r>
      <w:r>
        <w:t xml:space="preserve"> and ‘extended care’</w:t>
      </w:r>
      <w:r w:rsidRPr="003E3DDD">
        <w:t>.</w:t>
      </w:r>
      <w:r>
        <w:t xml:space="preserve"> To ensure that different terminology was picked up, Boolean operators like AND, OR and NOT were used to enable the search process, which Taylor, Killick and McGlade (2015) note as being helpful in practitioner research</w:t>
      </w:r>
      <w:r w:rsidR="00D95781" w:rsidRPr="00D95781">
        <w:rPr>
          <w:rFonts w:eastAsia="Times New Roman"/>
          <w:lang w:eastAsia="en-GB"/>
        </w:rPr>
        <w:t>.</w:t>
      </w:r>
      <w:r w:rsidR="005E7E25">
        <w:rPr>
          <w:rFonts w:eastAsia="Times New Roman"/>
          <w:lang w:eastAsia="en-GB"/>
        </w:rPr>
        <w:t xml:space="preserve"> </w:t>
      </w:r>
      <w:r w:rsidR="001A4CA9">
        <w:rPr>
          <w:rFonts w:eastAsia="Times New Roman"/>
          <w:lang w:eastAsia="en-GB"/>
        </w:rPr>
        <w:t xml:space="preserve">Table </w:t>
      </w:r>
      <w:r w:rsidR="00F43CF3">
        <w:rPr>
          <w:rFonts w:eastAsia="Times New Roman"/>
          <w:lang w:eastAsia="en-GB"/>
        </w:rPr>
        <w:t>4</w:t>
      </w:r>
      <w:r w:rsidR="005E7E25">
        <w:rPr>
          <w:rFonts w:eastAsia="Times New Roman"/>
          <w:lang w:eastAsia="en-GB"/>
        </w:rPr>
        <w:t xml:space="preserve"> indicates </w:t>
      </w:r>
      <w:r w:rsidR="001A4CA9">
        <w:rPr>
          <w:rFonts w:eastAsia="Times New Roman"/>
          <w:lang w:eastAsia="en-GB"/>
        </w:rPr>
        <w:t>the</w:t>
      </w:r>
      <w:r w:rsidR="005E7E25">
        <w:rPr>
          <w:rFonts w:eastAsia="Times New Roman"/>
          <w:lang w:eastAsia="en-GB"/>
        </w:rPr>
        <w:t xml:space="preserve"> inclusion and exclusion </w:t>
      </w:r>
      <w:r w:rsidR="00790AB1">
        <w:rPr>
          <w:rFonts w:eastAsia="Times New Roman"/>
          <w:lang w:eastAsia="en-GB"/>
        </w:rPr>
        <w:t>criteria</w:t>
      </w:r>
      <w:r w:rsidR="001A4CA9">
        <w:rPr>
          <w:rFonts w:eastAsia="Times New Roman"/>
          <w:lang w:eastAsia="en-GB"/>
        </w:rPr>
        <w:t xml:space="preserve"> used </w:t>
      </w:r>
      <w:r w:rsidR="0037089F">
        <w:rPr>
          <w:rFonts w:eastAsia="Times New Roman"/>
          <w:lang w:eastAsia="en-GB"/>
        </w:rPr>
        <w:t xml:space="preserve">to </w:t>
      </w:r>
      <w:r w:rsidR="00001BC8">
        <w:rPr>
          <w:rFonts w:eastAsia="Times New Roman"/>
          <w:lang w:eastAsia="en-GB"/>
        </w:rPr>
        <w:t>identify</w:t>
      </w:r>
      <w:r w:rsidR="0037089F">
        <w:rPr>
          <w:rFonts w:eastAsia="Times New Roman"/>
          <w:lang w:eastAsia="en-GB"/>
        </w:rPr>
        <w:t xml:space="preserve"> the literature in this chapter</w:t>
      </w:r>
      <w:r w:rsidR="00001BC8">
        <w:rPr>
          <w:rFonts w:eastAsia="Times New Roman"/>
          <w:lang w:eastAsia="en-GB"/>
        </w:rPr>
        <w:t xml:space="preserve">. The literature included outside of </w:t>
      </w:r>
      <w:r w:rsidR="00E64519">
        <w:rPr>
          <w:rFonts w:eastAsia="Times New Roman"/>
          <w:lang w:eastAsia="en-GB"/>
        </w:rPr>
        <w:t>the stipulated date range</w:t>
      </w:r>
      <w:r w:rsidR="00001BC8">
        <w:rPr>
          <w:rFonts w:eastAsia="Times New Roman"/>
          <w:lang w:eastAsia="en-GB"/>
        </w:rPr>
        <w:t xml:space="preserve"> includes foundational texts that provide historical context to the discussion.</w:t>
      </w:r>
    </w:p>
    <w:tbl>
      <w:tblPr>
        <w:tblStyle w:val="TableGrid"/>
        <w:tblW w:w="0" w:type="auto"/>
        <w:tblCellMar>
          <w:top w:w="108" w:type="dxa"/>
          <w:bottom w:w="108" w:type="dxa"/>
        </w:tblCellMar>
        <w:tblLook w:val="04A0" w:firstRow="1" w:lastRow="0" w:firstColumn="1" w:lastColumn="0" w:noHBand="0" w:noVBand="1"/>
      </w:tblPr>
      <w:tblGrid>
        <w:gridCol w:w="4505"/>
        <w:gridCol w:w="4505"/>
      </w:tblGrid>
      <w:tr w:rsidR="005E7E25" w:rsidRPr="00576243" w14:paraId="359E6682" w14:textId="77777777" w:rsidTr="0061130B">
        <w:trPr>
          <w:tblHeader/>
        </w:trPr>
        <w:tc>
          <w:tcPr>
            <w:tcW w:w="4505" w:type="dxa"/>
            <w:shd w:val="clear" w:color="auto" w:fill="E7E6E6" w:themeFill="background2"/>
            <w:tcMar>
              <w:top w:w="113" w:type="dxa"/>
              <w:bottom w:w="113" w:type="dxa"/>
            </w:tcMar>
          </w:tcPr>
          <w:p w14:paraId="6AE1882B" w14:textId="77777777" w:rsidR="005E7E25" w:rsidRPr="00790AB1" w:rsidRDefault="005E7E25" w:rsidP="00790AB1">
            <w:pPr>
              <w:pStyle w:val="Tableheading"/>
            </w:pPr>
            <w:r w:rsidRPr="00F57A59">
              <w:t>Criteria</w:t>
            </w:r>
          </w:p>
        </w:tc>
        <w:tc>
          <w:tcPr>
            <w:tcW w:w="4505" w:type="dxa"/>
            <w:shd w:val="clear" w:color="auto" w:fill="E7E6E6" w:themeFill="background2"/>
            <w:tcMar>
              <w:top w:w="113" w:type="dxa"/>
              <w:bottom w:w="113" w:type="dxa"/>
            </w:tcMar>
          </w:tcPr>
          <w:p w14:paraId="6931C6A4" w14:textId="77777777" w:rsidR="005E7E25" w:rsidRPr="00790AB1" w:rsidRDefault="005E7E25" w:rsidP="00790AB1">
            <w:pPr>
              <w:pStyle w:val="Tableheading"/>
            </w:pPr>
            <w:r w:rsidRPr="00F57A59">
              <w:t>Rationale</w:t>
            </w:r>
          </w:p>
        </w:tc>
      </w:tr>
      <w:tr w:rsidR="005E7E25" w:rsidRPr="00576243" w14:paraId="7D26FC8D" w14:textId="77777777" w:rsidTr="00785CE1">
        <w:tc>
          <w:tcPr>
            <w:tcW w:w="4505" w:type="dxa"/>
            <w:tcMar>
              <w:top w:w="113" w:type="dxa"/>
              <w:bottom w:w="113" w:type="dxa"/>
            </w:tcMar>
          </w:tcPr>
          <w:p w14:paraId="18CF5668" w14:textId="77777777" w:rsidR="005E7E25" w:rsidRPr="00F57A59" w:rsidRDefault="005E7E25" w:rsidP="00EF5DF2">
            <w:pPr>
              <w:pStyle w:val="Tablecontent"/>
            </w:pPr>
            <w:r w:rsidRPr="00F57A59">
              <w:t>Only include material from 2008-Feb 2021</w:t>
            </w:r>
          </w:p>
          <w:p w14:paraId="65328AB4" w14:textId="77777777" w:rsidR="005E7E25" w:rsidRPr="00F57A59" w:rsidRDefault="005E7E25" w:rsidP="00EF5DF2">
            <w:pPr>
              <w:pStyle w:val="Tablecontent"/>
            </w:pPr>
          </w:p>
          <w:p w14:paraId="5EFFFAB3" w14:textId="77777777" w:rsidR="005E7E25" w:rsidRPr="00F57A59" w:rsidRDefault="005E7E25" w:rsidP="00EF5DF2">
            <w:pPr>
              <w:pStyle w:val="Tablecontent"/>
            </w:pPr>
          </w:p>
        </w:tc>
        <w:tc>
          <w:tcPr>
            <w:tcW w:w="4505" w:type="dxa"/>
            <w:tcMar>
              <w:top w:w="113" w:type="dxa"/>
              <w:bottom w:w="113" w:type="dxa"/>
            </w:tcMar>
          </w:tcPr>
          <w:p w14:paraId="1D4180AB" w14:textId="7C010BDB" w:rsidR="005E7E25" w:rsidRPr="00F57A59" w:rsidRDefault="005E7E25" w:rsidP="00EF5DF2">
            <w:pPr>
              <w:pStyle w:val="Tablecontent"/>
            </w:pPr>
            <w:r w:rsidRPr="00F57A59">
              <w:t>Research carried out pre 2008 may</w:t>
            </w:r>
            <w:r w:rsidR="00E64519">
              <w:t xml:space="preserve"> </w:t>
            </w:r>
            <w:r w:rsidRPr="00F57A59">
              <w:t xml:space="preserve">include young people receiving services pre 2000 Children (Leaving </w:t>
            </w:r>
            <w:r w:rsidRPr="00790AB1">
              <w:t>Care</w:t>
            </w:r>
            <w:r w:rsidRPr="00F57A59">
              <w:t>) Act</w:t>
            </w:r>
          </w:p>
          <w:p w14:paraId="74F1D937" w14:textId="77777777" w:rsidR="005E7E25" w:rsidRPr="00F57A59" w:rsidRDefault="005E7E25" w:rsidP="00EF5DF2">
            <w:pPr>
              <w:pStyle w:val="Tablecontent"/>
            </w:pPr>
            <w:r w:rsidRPr="00F57A59">
              <w:t xml:space="preserve">End search in February due to deadline for completion </w:t>
            </w:r>
          </w:p>
        </w:tc>
      </w:tr>
      <w:tr w:rsidR="005E7E25" w:rsidRPr="00576243" w14:paraId="5CED000B" w14:textId="77777777" w:rsidTr="00785CE1">
        <w:tc>
          <w:tcPr>
            <w:tcW w:w="4505" w:type="dxa"/>
            <w:tcMar>
              <w:top w:w="113" w:type="dxa"/>
              <w:bottom w:w="113" w:type="dxa"/>
            </w:tcMar>
          </w:tcPr>
          <w:p w14:paraId="5BB3AAE0" w14:textId="77777777" w:rsidR="005E7E25" w:rsidRPr="00F57A59" w:rsidRDefault="005E7E25" w:rsidP="00EF5DF2">
            <w:pPr>
              <w:pStyle w:val="Tablecontent"/>
            </w:pPr>
            <w:r w:rsidRPr="00E64519">
              <w:rPr>
                <w:i/>
                <w:iCs/>
              </w:rPr>
              <w:t>Staying Put</w:t>
            </w:r>
            <w:r w:rsidRPr="00F57A59">
              <w:t xml:space="preserve">/extended care </w:t>
            </w:r>
            <w:r w:rsidRPr="00790AB1">
              <w:t>specific</w:t>
            </w:r>
            <w:r w:rsidRPr="00F57A59">
              <w:t xml:space="preserve"> searches post 2012</w:t>
            </w:r>
          </w:p>
        </w:tc>
        <w:tc>
          <w:tcPr>
            <w:tcW w:w="4505" w:type="dxa"/>
            <w:tcMar>
              <w:top w:w="113" w:type="dxa"/>
              <w:bottom w:w="113" w:type="dxa"/>
            </w:tcMar>
          </w:tcPr>
          <w:p w14:paraId="16AF44BF" w14:textId="77777777" w:rsidR="005E7E25" w:rsidRPr="00790AB1" w:rsidRDefault="005E7E25" w:rsidP="00EF5DF2">
            <w:pPr>
              <w:pStyle w:val="Tablecontent"/>
            </w:pPr>
            <w:r w:rsidRPr="00F57A59">
              <w:t xml:space="preserve">Prior to 2012, </w:t>
            </w:r>
            <w:r w:rsidRPr="00E64519">
              <w:rPr>
                <w:i/>
                <w:iCs/>
              </w:rPr>
              <w:t>Staying Put</w:t>
            </w:r>
            <w:r w:rsidRPr="00F57A59">
              <w:t xml:space="preserve"> was not in use or known</w:t>
            </w:r>
          </w:p>
        </w:tc>
      </w:tr>
      <w:tr w:rsidR="005E7E25" w:rsidRPr="00576243" w14:paraId="2C318377" w14:textId="77777777" w:rsidTr="00785CE1">
        <w:tc>
          <w:tcPr>
            <w:tcW w:w="4505" w:type="dxa"/>
            <w:tcMar>
              <w:top w:w="113" w:type="dxa"/>
              <w:bottom w:w="113" w:type="dxa"/>
            </w:tcMar>
          </w:tcPr>
          <w:p w14:paraId="0B2789BB" w14:textId="77777777" w:rsidR="005E7E25" w:rsidRPr="00F57A59" w:rsidRDefault="005E7E25" w:rsidP="00EF5DF2">
            <w:pPr>
              <w:pStyle w:val="Tablecontent"/>
            </w:pPr>
            <w:r w:rsidRPr="00F57A59">
              <w:t>Only material published in English</w:t>
            </w:r>
          </w:p>
        </w:tc>
        <w:tc>
          <w:tcPr>
            <w:tcW w:w="4505" w:type="dxa"/>
            <w:tcMar>
              <w:top w:w="113" w:type="dxa"/>
              <w:bottom w:w="113" w:type="dxa"/>
            </w:tcMar>
          </w:tcPr>
          <w:p w14:paraId="06DB7559" w14:textId="77777777" w:rsidR="005E7E25" w:rsidRPr="00F57A59" w:rsidRDefault="005E7E25" w:rsidP="00EF5DF2">
            <w:pPr>
              <w:pStyle w:val="Tablecontent"/>
            </w:pPr>
            <w:r w:rsidRPr="00F57A59">
              <w:t>Due to language skills of the researcher</w:t>
            </w:r>
          </w:p>
        </w:tc>
      </w:tr>
      <w:tr w:rsidR="005E7E25" w:rsidRPr="00576243" w14:paraId="40FCF5C6" w14:textId="77777777" w:rsidTr="00785CE1">
        <w:tc>
          <w:tcPr>
            <w:tcW w:w="4505" w:type="dxa"/>
            <w:tcMar>
              <w:top w:w="113" w:type="dxa"/>
              <w:bottom w:w="113" w:type="dxa"/>
            </w:tcMar>
          </w:tcPr>
          <w:p w14:paraId="028D458D" w14:textId="77777777" w:rsidR="005E7E25" w:rsidRPr="00F57A59" w:rsidRDefault="005E7E25" w:rsidP="00EF5DF2">
            <w:pPr>
              <w:pStyle w:val="Tablecontent"/>
            </w:pPr>
            <w:r w:rsidRPr="00F57A59">
              <w:t>Only articles originating from Europe, Australia and America, unless article published by an INTRAC affiliated country (International Research Network on Transitions to Adulthood from Care)</w:t>
            </w:r>
          </w:p>
        </w:tc>
        <w:tc>
          <w:tcPr>
            <w:tcW w:w="4505" w:type="dxa"/>
            <w:tcMar>
              <w:top w:w="113" w:type="dxa"/>
              <w:bottom w:w="113" w:type="dxa"/>
            </w:tcMar>
          </w:tcPr>
          <w:p w14:paraId="00B1D31F" w14:textId="77777777" w:rsidR="005E7E25" w:rsidRPr="00F57A59" w:rsidRDefault="005E7E25" w:rsidP="00EF5DF2">
            <w:pPr>
              <w:pStyle w:val="Tablecontent"/>
            </w:pPr>
            <w:r w:rsidRPr="00F57A59">
              <w:t>Due to similar social structures and welfare organisations or with shared understanding of leaving care.</w:t>
            </w:r>
          </w:p>
        </w:tc>
      </w:tr>
      <w:tr w:rsidR="005E7E25" w:rsidRPr="00576243" w14:paraId="66DF76F3" w14:textId="77777777" w:rsidTr="00785CE1">
        <w:tc>
          <w:tcPr>
            <w:tcW w:w="4505" w:type="dxa"/>
            <w:tcMar>
              <w:top w:w="113" w:type="dxa"/>
              <w:bottom w:w="113" w:type="dxa"/>
            </w:tcMar>
          </w:tcPr>
          <w:p w14:paraId="436D8F88" w14:textId="77777777" w:rsidR="005E7E25" w:rsidRPr="00F57A59" w:rsidRDefault="005E7E25" w:rsidP="00EF5DF2">
            <w:pPr>
              <w:pStyle w:val="Tablecontent"/>
            </w:pPr>
            <w:r w:rsidRPr="00F57A59">
              <w:t xml:space="preserve">Only hard copies or material </w:t>
            </w:r>
            <w:r w:rsidRPr="00790AB1">
              <w:t>available</w:t>
            </w:r>
            <w:r w:rsidRPr="00F57A59">
              <w:t xml:space="preserve"> at ARU library or full text online</w:t>
            </w:r>
          </w:p>
        </w:tc>
        <w:tc>
          <w:tcPr>
            <w:tcW w:w="4505" w:type="dxa"/>
            <w:tcMar>
              <w:top w:w="113" w:type="dxa"/>
              <w:bottom w:w="113" w:type="dxa"/>
            </w:tcMar>
          </w:tcPr>
          <w:p w14:paraId="5D281CA3" w14:textId="77777777" w:rsidR="005E7E25" w:rsidRPr="00790AB1" w:rsidRDefault="005E7E25" w:rsidP="00EF5DF2">
            <w:pPr>
              <w:pStyle w:val="Tablecontent"/>
            </w:pPr>
            <w:r w:rsidRPr="00F57A59">
              <w:t>Due to the resource restrictions of the researcher</w:t>
            </w:r>
          </w:p>
        </w:tc>
      </w:tr>
      <w:tr w:rsidR="005E7E25" w:rsidRPr="00576243" w14:paraId="1277B56C" w14:textId="77777777" w:rsidTr="00785CE1">
        <w:tc>
          <w:tcPr>
            <w:tcW w:w="4505" w:type="dxa"/>
            <w:tcMar>
              <w:top w:w="113" w:type="dxa"/>
              <w:bottom w:w="113" w:type="dxa"/>
            </w:tcMar>
          </w:tcPr>
          <w:p w14:paraId="25E32B09" w14:textId="3C3B6226" w:rsidR="005E7E25" w:rsidRPr="00F57A59" w:rsidRDefault="005E7E25" w:rsidP="00EF5DF2">
            <w:pPr>
              <w:pStyle w:val="Tablecontent"/>
            </w:pPr>
            <w:r w:rsidRPr="00F57A59">
              <w:lastRenderedPageBreak/>
              <w:t xml:space="preserve">Include grey literature produced by service user organisations or </w:t>
            </w:r>
            <w:r w:rsidRPr="00790AB1">
              <w:t>commissioned</w:t>
            </w:r>
            <w:r w:rsidRPr="00F57A59">
              <w:t xml:space="preserve"> </w:t>
            </w:r>
            <w:r w:rsidR="001A4CA9" w:rsidRPr="00F57A59">
              <w:t>H</w:t>
            </w:r>
            <w:r w:rsidR="001A4CA9">
              <w:t xml:space="preserve">igher </w:t>
            </w:r>
            <w:r w:rsidRPr="00F57A59">
              <w:t>E</w:t>
            </w:r>
            <w:r w:rsidR="001A4CA9">
              <w:t xml:space="preserve">ducation </w:t>
            </w:r>
            <w:r w:rsidR="002C07B7" w:rsidRPr="00F57A59">
              <w:t>I</w:t>
            </w:r>
            <w:r w:rsidR="002C07B7">
              <w:t>nstitution</w:t>
            </w:r>
            <w:r w:rsidRPr="00F57A59">
              <w:t xml:space="preserve"> projects</w:t>
            </w:r>
          </w:p>
        </w:tc>
        <w:tc>
          <w:tcPr>
            <w:tcW w:w="4505" w:type="dxa"/>
            <w:tcMar>
              <w:top w:w="113" w:type="dxa"/>
              <w:bottom w:w="113" w:type="dxa"/>
            </w:tcMar>
          </w:tcPr>
          <w:p w14:paraId="16F6BB2F" w14:textId="77777777" w:rsidR="005E7E25" w:rsidRPr="00F57A59" w:rsidRDefault="005E7E25" w:rsidP="00EF5DF2">
            <w:pPr>
              <w:pStyle w:val="Tablecontent"/>
            </w:pPr>
            <w:r w:rsidRPr="00F57A59">
              <w:t xml:space="preserve">Some service user lead material is not peer reviewed and therefore would be absent. Also, there is very little </w:t>
            </w:r>
            <w:r w:rsidRPr="00790AB1">
              <w:t>material</w:t>
            </w:r>
            <w:r w:rsidRPr="00F57A59">
              <w:t xml:space="preserve"> about </w:t>
            </w:r>
            <w:r w:rsidRPr="00E64519">
              <w:rPr>
                <w:i/>
                <w:iCs/>
              </w:rPr>
              <w:t>Staying Put</w:t>
            </w:r>
            <w:r w:rsidRPr="00F57A59">
              <w:t xml:space="preserve"> available in peer reviewed work.</w:t>
            </w:r>
          </w:p>
        </w:tc>
      </w:tr>
    </w:tbl>
    <w:p w14:paraId="4C9100AC" w14:textId="27762D62" w:rsidR="00381FE8" w:rsidRDefault="00381FE8" w:rsidP="00381FE8">
      <w:pPr>
        <w:pStyle w:val="Caption"/>
        <w:rPr>
          <w:lang w:eastAsia="en-GB"/>
        </w:rPr>
      </w:pPr>
      <w:bookmarkStart w:id="27" w:name="_Toc101108555"/>
      <w:r>
        <w:t xml:space="preserve">Table </w:t>
      </w:r>
      <w:fldSimple w:instr=" SEQ Table \* ARABIC ">
        <w:r w:rsidR="00E26E21">
          <w:rPr>
            <w:noProof/>
          </w:rPr>
          <w:t>4</w:t>
        </w:r>
      </w:fldSimple>
      <w:r>
        <w:t xml:space="preserve">: </w:t>
      </w:r>
      <w:r w:rsidRPr="00B91F59">
        <w:t>Inclusion/exclusion criteria</w:t>
      </w:r>
      <w:bookmarkEnd w:id="27"/>
    </w:p>
    <w:p w14:paraId="0FF61B14" w14:textId="194CC454" w:rsidR="00357168" w:rsidRDefault="00790AB1" w:rsidP="00931B56">
      <w:pPr>
        <w:rPr>
          <w:lang w:eastAsia="en-GB"/>
        </w:rPr>
      </w:pPr>
      <w:r>
        <w:rPr>
          <w:lang w:eastAsia="en-GB"/>
        </w:rPr>
        <w:t xml:space="preserve">Using the criteria in Table </w:t>
      </w:r>
      <w:r w:rsidR="00F43CF3">
        <w:rPr>
          <w:lang w:eastAsia="en-GB"/>
        </w:rPr>
        <w:t>4</w:t>
      </w:r>
      <w:r w:rsidR="002C07B7">
        <w:rPr>
          <w:lang w:eastAsia="en-GB"/>
        </w:rPr>
        <w:t>,</w:t>
      </w:r>
      <w:r>
        <w:rPr>
          <w:lang w:eastAsia="en-GB"/>
        </w:rPr>
        <w:t xml:space="preserve"> the following two sections relate to the literature about young people’s decision</w:t>
      </w:r>
      <w:r w:rsidR="00001BC8">
        <w:rPr>
          <w:lang w:eastAsia="en-GB"/>
        </w:rPr>
        <w:t>-</w:t>
      </w:r>
      <w:r>
        <w:rPr>
          <w:lang w:eastAsia="en-GB"/>
        </w:rPr>
        <w:t>making and their experiences of leaving care.</w:t>
      </w:r>
    </w:p>
    <w:p w14:paraId="3FF5CCD9" w14:textId="460C8DB9" w:rsidR="00357168" w:rsidRPr="00357168" w:rsidRDefault="00DC59B2">
      <w:pPr>
        <w:pStyle w:val="Heading2"/>
        <w:rPr>
          <w:rFonts w:eastAsia="Times New Roman"/>
          <w:lang w:eastAsia="en-GB"/>
        </w:rPr>
      </w:pPr>
      <w:bookmarkStart w:id="28" w:name="_Toc101108482"/>
      <w:r>
        <w:rPr>
          <w:rFonts w:eastAsia="Times New Roman"/>
          <w:lang w:eastAsia="en-GB"/>
        </w:rPr>
        <w:t>Decision-Making</w:t>
      </w:r>
      <w:bookmarkEnd w:id="28"/>
    </w:p>
    <w:p w14:paraId="58144AF5" w14:textId="227E4A30" w:rsidR="005F71A3" w:rsidRPr="00786E97" w:rsidRDefault="00001BC8">
      <w:r>
        <w:t xml:space="preserve">Although </w:t>
      </w:r>
      <w:r w:rsidR="00E64519">
        <w:t xml:space="preserve">identified by </w:t>
      </w:r>
      <w:r>
        <w:t xml:space="preserve">Hicks over 15 years ago, </w:t>
      </w:r>
      <w:r w:rsidR="00DC59B2">
        <w:t>decision-making</w:t>
      </w:r>
      <w:r>
        <w:t xml:space="preserve"> continues to be discussed </w:t>
      </w:r>
      <w:r w:rsidRPr="00680E00">
        <w:t>in multiple fields</w:t>
      </w:r>
      <w:r w:rsidR="005F71A3" w:rsidRPr="00680E00">
        <w:t xml:space="preserve">, including economics, neuroscience, health, psychology and engineering (Hicks, 2005). Studies may differ depending on the field, but there is consensus that the central </w:t>
      </w:r>
      <w:r w:rsidR="00E64519" w:rsidRPr="00680E00">
        <w:t>principle</w:t>
      </w:r>
      <w:r w:rsidR="005F71A3" w:rsidRPr="00680E00">
        <w:t xml:space="preserve"> of </w:t>
      </w:r>
      <w:r w:rsidR="00DC59B2" w:rsidRPr="00680E00">
        <w:t>decision-making</w:t>
      </w:r>
      <w:r w:rsidR="005F71A3" w:rsidRPr="00680E00">
        <w:t xml:space="preserve"> is making a choice between several courses of action (Hicks, 200</w:t>
      </w:r>
      <w:r w:rsidR="00680E00">
        <w:t>5</w:t>
      </w:r>
      <w:r w:rsidR="005F71A3" w:rsidRPr="00680E00">
        <w:t>; Brunsson, 2007; Hardman, 2009; O’ Sullivan, 2011).</w:t>
      </w:r>
      <w:r w:rsidR="00E64519">
        <w:t xml:space="preserve"> I</w:t>
      </w:r>
      <w:r w:rsidR="005F71A3" w:rsidRPr="00680E00">
        <w:t>n her work about critical thinking, Halpern</w:t>
      </w:r>
      <w:r w:rsidR="005F71A3">
        <w:t xml:space="preserve"> </w:t>
      </w:r>
      <w:r w:rsidR="005F71A3" w:rsidRPr="003E3DDD">
        <w:t xml:space="preserve">(2014) </w:t>
      </w:r>
      <w:r w:rsidR="005F71A3">
        <w:t xml:space="preserve">notes that it is overly simplistic to view </w:t>
      </w:r>
      <w:r w:rsidR="00DC59B2">
        <w:t>decision-making</w:t>
      </w:r>
      <w:r w:rsidR="005F71A3">
        <w:t xml:space="preserve"> as r</w:t>
      </w:r>
      <w:r w:rsidR="005F71A3" w:rsidRPr="003E3DDD">
        <w:t>ational</w:t>
      </w:r>
      <w:r w:rsidR="005F71A3">
        <w:t xml:space="preserve">ly </w:t>
      </w:r>
      <w:r w:rsidR="005F71A3" w:rsidRPr="003E3DDD">
        <w:t>weigh</w:t>
      </w:r>
      <w:r w:rsidR="005F71A3">
        <w:t xml:space="preserve">ing </w:t>
      </w:r>
      <w:r w:rsidR="005F71A3" w:rsidRPr="003E3DDD">
        <w:t>a series of choices</w:t>
      </w:r>
      <w:r w:rsidR="005F71A3">
        <w:t>. Halpern’s comment is particularly relevant in social work where decisions are often made</w:t>
      </w:r>
      <w:r w:rsidR="005F71A3" w:rsidRPr="003E3DDD">
        <w:t xml:space="preserve"> in emotional</w:t>
      </w:r>
      <w:r w:rsidR="005F71A3">
        <w:t xml:space="preserve">ly complex </w:t>
      </w:r>
      <w:r w:rsidR="005F71A3" w:rsidRPr="003E3DDD">
        <w:t>situations</w:t>
      </w:r>
      <w:r w:rsidR="00E64519">
        <w:t xml:space="preserve"> (Munro</w:t>
      </w:r>
      <w:r w:rsidR="00C3401E">
        <w:t xml:space="preserve"> et al., 2017</w:t>
      </w:r>
      <w:r w:rsidR="00E64519">
        <w:t>)</w:t>
      </w:r>
      <w:r w:rsidR="005F71A3">
        <w:t xml:space="preserve">. The difficulty for practitioner </w:t>
      </w:r>
      <w:r w:rsidR="00DC59B2">
        <w:t>decision-making</w:t>
      </w:r>
      <w:r w:rsidR="005F71A3">
        <w:t xml:space="preserve"> is widely recognised and noted that social workers </w:t>
      </w:r>
      <w:r w:rsidR="005F71A3" w:rsidRPr="00786E97">
        <w:t>us</w:t>
      </w:r>
      <w:r w:rsidR="005F71A3">
        <w:t>e</w:t>
      </w:r>
      <w:r w:rsidR="005F71A3" w:rsidRPr="00786E97">
        <w:t xml:space="preserve"> skills and judgement (Taylor, 2017) </w:t>
      </w:r>
      <w:r w:rsidR="00BB750B">
        <w:t>which involve</w:t>
      </w:r>
      <w:r w:rsidR="005F71A3" w:rsidRPr="00786E97">
        <w:t xml:space="preserve"> </w:t>
      </w:r>
      <w:r w:rsidR="005F71A3">
        <w:t>‘</w:t>
      </w:r>
      <w:r w:rsidR="005F71A3" w:rsidRPr="00786E97">
        <w:t xml:space="preserve">multi-layered negotiation, applications of professional judgement and interpretation of knowledge and evidence’ (O’Conner and Leonard, 2014, p. 1806). </w:t>
      </w:r>
      <w:r w:rsidR="005F71A3">
        <w:t xml:space="preserve">When writing about children and young people involved in social work services, this </w:t>
      </w:r>
      <w:r w:rsidR="00785CE1">
        <w:t>technical</w:t>
      </w:r>
      <w:r w:rsidR="005F71A3">
        <w:t xml:space="preserve"> interpretation of making a decision is not applied. Instead</w:t>
      </w:r>
      <w:r w:rsidR="003B278E">
        <w:t>,</w:t>
      </w:r>
      <w:r w:rsidR="005F71A3">
        <w:t xml:space="preserve"> there is </w:t>
      </w:r>
      <w:r w:rsidR="005F71A3" w:rsidRPr="003E3DDD">
        <w:t>an emphasis on participative methods and levels of involvement rather than the more clearly defined language of choice and judgement</w:t>
      </w:r>
      <w:r w:rsidR="005F71A3">
        <w:t xml:space="preserve"> more commonplace in adult </w:t>
      </w:r>
      <w:r w:rsidR="00FC6991">
        <w:t>decision-making</w:t>
      </w:r>
      <w:r w:rsidR="005F71A3">
        <w:t xml:space="preserve"> research</w:t>
      </w:r>
      <w:r w:rsidR="005F71A3" w:rsidRPr="003E3DDD">
        <w:t>.</w:t>
      </w:r>
      <w:r w:rsidR="005F71A3">
        <w:t xml:space="preserve"> ‘Participation’, ‘involvement’, ‘having a say’, ‘</w:t>
      </w:r>
      <w:r w:rsidR="00DC59B2">
        <w:t>decision-making</w:t>
      </w:r>
      <w:r w:rsidR="005F71A3">
        <w:t>’, ‘having a voice’, ‘listening’ are used interchangeably to describe the ways in which children and young people have contributed to their own care decisions. Interchangeable use of language in the literature can be problematic as each descriptor can be interpret</w:t>
      </w:r>
      <w:r w:rsidR="00517ACB">
        <w:t>ed</w:t>
      </w:r>
      <w:r w:rsidR="005F71A3">
        <w:t xml:space="preserve"> differently. For example, terms </w:t>
      </w:r>
      <w:r>
        <w:t>such as</w:t>
      </w:r>
      <w:r w:rsidR="005F71A3" w:rsidRPr="00AC2FE4">
        <w:rPr>
          <w:i/>
          <w:iCs/>
        </w:rPr>
        <w:t xml:space="preserve"> listening</w:t>
      </w:r>
      <w:r w:rsidR="005F71A3">
        <w:t xml:space="preserve"> need to be critically </w:t>
      </w:r>
      <w:r w:rsidR="005F71A3" w:rsidRPr="00BB090D">
        <w:t>considered (Moss, Clark and Kjørholt, 2005) a</w:t>
      </w:r>
      <w:r w:rsidR="005F71A3">
        <w:t>s</w:t>
      </w:r>
      <w:r w:rsidR="005F71A3" w:rsidRPr="00BB090D">
        <w:t xml:space="preserve"> being heard does not equate to determining a choice</w:t>
      </w:r>
      <w:r w:rsidR="005F71A3">
        <w:t xml:space="preserve"> </w:t>
      </w:r>
      <w:r w:rsidR="00E80775">
        <w:t>—</w:t>
      </w:r>
      <w:r w:rsidR="005F71A3">
        <w:t xml:space="preserve"> children can be asked what they think or want without </w:t>
      </w:r>
      <w:r w:rsidR="002C07B7">
        <w:t xml:space="preserve">there being </w:t>
      </w:r>
      <w:r w:rsidR="005F71A3">
        <w:t>any commitment to act on their views</w:t>
      </w:r>
      <w:r w:rsidR="005F71A3" w:rsidRPr="00BB090D">
        <w:t xml:space="preserve">. Whilst it is unlikely </w:t>
      </w:r>
      <w:r w:rsidR="005F71A3" w:rsidRPr="00BB090D">
        <w:lastRenderedPageBreak/>
        <w:t>that a child or young person will consistently make independent decisions about their care</w:t>
      </w:r>
      <w:r w:rsidR="005F71A3">
        <w:t xml:space="preserve"> due to the involvement of multiple parties including parents and professionals</w:t>
      </w:r>
      <w:r w:rsidR="005F71A3" w:rsidRPr="00BB090D">
        <w:t xml:space="preserve">, their </w:t>
      </w:r>
      <w:r w:rsidR="005F71A3">
        <w:t xml:space="preserve">right to </w:t>
      </w:r>
      <w:r w:rsidR="005F71A3" w:rsidRPr="00BB090D">
        <w:t>participat</w:t>
      </w:r>
      <w:r w:rsidR="005F71A3">
        <w:t>e</w:t>
      </w:r>
      <w:r w:rsidR="005F71A3" w:rsidRPr="00BB090D">
        <w:t xml:space="preserve"> is embedded within the legislative framework</w:t>
      </w:r>
      <w:r w:rsidR="005F71A3">
        <w:t xml:space="preserve"> (Kennedy, 2020)</w:t>
      </w:r>
      <w:r w:rsidR="005F71A3" w:rsidRPr="00BB090D">
        <w:t>.</w:t>
      </w:r>
      <w:r w:rsidR="005F71A3">
        <w:t xml:space="preserve"> The decision at the heart of my study is referred to as a decision that the young person makes with the foster carer, but the emphasis is on their part in what happens (The Fostering Network, </w:t>
      </w:r>
      <w:r w:rsidR="005E7E25">
        <w:t>2017</w:t>
      </w:r>
      <w:r w:rsidR="005F71A3">
        <w:t>).</w:t>
      </w:r>
    </w:p>
    <w:p w14:paraId="34A22627" w14:textId="650FF7A0" w:rsidR="005F71A3" w:rsidRPr="000B083F" w:rsidRDefault="005F71A3">
      <w:r>
        <w:t xml:space="preserve">As introduced </w:t>
      </w:r>
      <w:r w:rsidRPr="00333360">
        <w:t xml:space="preserve">in </w:t>
      </w:r>
      <w:r w:rsidR="00333360" w:rsidRPr="00333360">
        <w:t>C</w:t>
      </w:r>
      <w:r w:rsidRPr="00333360">
        <w:t>hapter</w:t>
      </w:r>
      <w:r w:rsidR="00333360" w:rsidRPr="00333360">
        <w:t xml:space="preserve"> 1</w:t>
      </w:r>
      <w:r w:rsidRPr="00333360">
        <w:t xml:space="preserve">, </w:t>
      </w:r>
      <w:r w:rsidR="00DC59B2">
        <w:t>decision-making</w:t>
      </w:r>
      <w:r w:rsidRPr="003E3DDD">
        <w:t xml:space="preserve"> by children and young people is grounded in a children’s rights paradigm. </w:t>
      </w:r>
      <w:r>
        <w:t xml:space="preserve">A child’s right </w:t>
      </w:r>
      <w:r w:rsidRPr="003E3DDD">
        <w:t xml:space="preserve">to share their views and contribute to significant decisions is enshrined in </w:t>
      </w:r>
      <w:r w:rsidR="005F2D38">
        <w:t xml:space="preserve">Article 12 of </w:t>
      </w:r>
      <w:r w:rsidRPr="003E3DDD">
        <w:t xml:space="preserve">the </w:t>
      </w:r>
      <w:r w:rsidRPr="007F1A2F">
        <w:rPr>
          <w:i/>
          <w:iCs/>
        </w:rPr>
        <w:t>UN Convention on the Rights of the Child</w:t>
      </w:r>
      <w:r w:rsidRPr="003E3DDD">
        <w:t xml:space="preserve">, and the central legislative framework for social work practice (Carr and Goosey, </w:t>
      </w:r>
      <w:r w:rsidRPr="00B34016">
        <w:t xml:space="preserve">2021). </w:t>
      </w:r>
      <w:r w:rsidR="007733FC" w:rsidRPr="00B34016">
        <w:t xml:space="preserve">Within </w:t>
      </w:r>
      <w:r w:rsidRPr="00B34016">
        <w:t xml:space="preserve">the </w:t>
      </w:r>
      <w:r w:rsidRPr="00B34016">
        <w:rPr>
          <w:i/>
          <w:iCs/>
        </w:rPr>
        <w:t>Children Act 1989</w:t>
      </w:r>
      <w:r w:rsidRPr="00B34016">
        <w:t xml:space="preserve"> the role of involvement is framed as sharing ‘wishes and feelings’ (s. 1 (30) (a))</w:t>
      </w:r>
      <w:r w:rsidR="005665A9" w:rsidRPr="00B34016">
        <w:t xml:space="preserve">, whilst the </w:t>
      </w:r>
      <w:r w:rsidR="000E63B5" w:rsidRPr="00B34016">
        <w:rPr>
          <w:i/>
          <w:iCs/>
        </w:rPr>
        <w:t>Mental Capacity Act 2005</w:t>
      </w:r>
      <w:r w:rsidR="000E63B5" w:rsidRPr="00B34016">
        <w:t xml:space="preserve">, </w:t>
      </w:r>
      <w:r w:rsidR="00F7666B" w:rsidRPr="00B34016">
        <w:t>stipulates that</w:t>
      </w:r>
      <w:r w:rsidR="00D063A8" w:rsidRPr="00B34016">
        <w:t xml:space="preserve"> anyone over the age of 16 has</w:t>
      </w:r>
      <w:r w:rsidR="00F7666B" w:rsidRPr="00B34016">
        <w:t xml:space="preserve"> presumed</w:t>
      </w:r>
      <w:r w:rsidR="00D063A8" w:rsidRPr="00B34016">
        <w:t xml:space="preserve"> capacity to make decisions that affect them (Johns, </w:t>
      </w:r>
      <w:r w:rsidR="00F7666B" w:rsidRPr="00B34016">
        <w:t>2017)</w:t>
      </w:r>
      <w:r w:rsidRPr="00B34016">
        <w:t>. Regardless of the</w:t>
      </w:r>
      <w:r>
        <w:t xml:space="preserve"> intentions of the legislative and policy measures, a child’s or young person’s </w:t>
      </w:r>
      <w:r w:rsidRPr="003E3DDD">
        <w:t xml:space="preserve">involvement is </w:t>
      </w:r>
      <w:r>
        <w:t xml:space="preserve">more often </w:t>
      </w:r>
      <w:r w:rsidRPr="003E3DDD">
        <w:t xml:space="preserve">predicated by </w:t>
      </w:r>
      <w:r>
        <w:t>a social worker’s</w:t>
      </w:r>
      <w:r w:rsidRPr="003E3DDD">
        <w:t xml:space="preserve"> assessment </w:t>
      </w:r>
      <w:r>
        <w:t xml:space="preserve">of their ability to make a decision, </w:t>
      </w:r>
      <w:r w:rsidRPr="003E3DDD">
        <w:t xml:space="preserve">based on age and perceived maturity. Assessment of competence to make decisions is either informed by formal application of </w:t>
      </w:r>
      <w:r w:rsidR="005E7E25">
        <w:t>the Gillick competence test</w:t>
      </w:r>
      <w:r w:rsidR="005E7E25">
        <w:rPr>
          <w:rStyle w:val="FootnoteReference"/>
        </w:rPr>
        <w:footnoteReference w:id="6"/>
      </w:r>
      <w:r w:rsidRPr="003E3DDD">
        <w:t xml:space="preserve">, individual assessment by the professional or determined by a local policy </w:t>
      </w:r>
      <w:r>
        <w:t xml:space="preserve">based on a chronological </w:t>
      </w:r>
      <w:r w:rsidR="00BB750B">
        <w:t xml:space="preserve">age </w:t>
      </w:r>
      <w:r>
        <w:t xml:space="preserve">or </w:t>
      </w:r>
      <w:r w:rsidR="00BB750B">
        <w:t>o</w:t>
      </w:r>
      <w:r w:rsidR="00BB750B" w:rsidRPr="00BB750B">
        <w:t xml:space="preserve">rganisation of services and service provision </w:t>
      </w:r>
      <w:r w:rsidRPr="003E3DDD">
        <w:t>(Leeson, 2007; O’Hare et al., 2016). Rather than children and young people being seen as agents with rights</w:t>
      </w:r>
      <w:r>
        <w:t xml:space="preserve"> and accepted as decision makers</w:t>
      </w:r>
      <w:r w:rsidRPr="003E3DDD">
        <w:t xml:space="preserve">, they are </w:t>
      </w:r>
      <w:r>
        <w:t xml:space="preserve">more often </w:t>
      </w:r>
      <w:r w:rsidRPr="003E3DDD">
        <w:t>viewed as a</w:t>
      </w:r>
      <w:r>
        <w:t xml:space="preserve"> </w:t>
      </w:r>
      <w:r w:rsidR="005F2D38">
        <w:t xml:space="preserve">objects of service intervention </w:t>
      </w:r>
      <w:r w:rsidRPr="003E3DDD">
        <w:t xml:space="preserve">who are enabled by adults to participate in processes (Berrick, Dickens, Pösö and Skirenes, 2015). </w:t>
      </w:r>
      <w:r>
        <w:t xml:space="preserve">As </w:t>
      </w:r>
      <w:r w:rsidR="00DC59B2">
        <w:t>decision-making</w:t>
      </w:r>
      <w:r w:rsidRPr="003E3DDD">
        <w:t xml:space="preserve"> </w:t>
      </w:r>
      <w:r>
        <w:t xml:space="preserve">is often </w:t>
      </w:r>
      <w:r w:rsidR="00BB750B">
        <w:t>contingent on a</w:t>
      </w:r>
      <w:r w:rsidR="005F2D38">
        <w:t>n</w:t>
      </w:r>
      <w:r w:rsidR="00BB750B">
        <w:t xml:space="preserve"> adult’s decision</w:t>
      </w:r>
      <w:r>
        <w:t xml:space="preserve">, there is a broad field of work that looks at the importance and value of participation (James, 2007; </w:t>
      </w:r>
      <w:r w:rsidRPr="00502D37">
        <w:rPr>
          <w:bdr w:val="none" w:sz="0" w:space="0" w:color="auto" w:frame="1"/>
          <w:shd w:val="clear" w:color="auto" w:fill="FFFFFF"/>
        </w:rPr>
        <w:t>McCafferty</w:t>
      </w:r>
      <w:r>
        <w:rPr>
          <w:bdr w:val="none" w:sz="0" w:space="0" w:color="auto" w:frame="1"/>
          <w:shd w:val="clear" w:color="auto" w:fill="FFFFFF"/>
        </w:rPr>
        <w:t xml:space="preserve">, </w:t>
      </w:r>
      <w:r w:rsidRPr="00502D37">
        <w:rPr>
          <w:bdr w:val="none" w:sz="0" w:space="0" w:color="auto" w:frame="1"/>
          <w:shd w:val="clear" w:color="auto" w:fill="FFFFFF"/>
        </w:rPr>
        <w:t>2017</w:t>
      </w:r>
      <w:r>
        <w:rPr>
          <w:bdr w:val="none" w:sz="0" w:space="0" w:color="auto" w:frame="1"/>
          <w:shd w:val="clear" w:color="auto" w:fill="FFFFFF"/>
        </w:rPr>
        <w:t xml:space="preserve">; </w:t>
      </w:r>
      <w:r w:rsidRPr="007319F9">
        <w:rPr>
          <w:bdr w:val="none" w:sz="0" w:space="0" w:color="auto" w:frame="1"/>
          <w:shd w:val="clear" w:color="auto" w:fill="FFFFFF"/>
        </w:rPr>
        <w:t>Merkel</w:t>
      </w:r>
      <w:r w:rsidRPr="007319F9">
        <w:rPr>
          <w:rFonts w:ascii="Cambria Math" w:hAnsi="Cambria Math" w:cs="Cambria Math"/>
          <w:bdr w:val="none" w:sz="0" w:space="0" w:color="auto" w:frame="1"/>
          <w:shd w:val="clear" w:color="auto" w:fill="FFFFFF"/>
        </w:rPr>
        <w:t>‐</w:t>
      </w:r>
      <w:r w:rsidRPr="007319F9">
        <w:rPr>
          <w:bdr w:val="none" w:sz="0" w:space="0" w:color="auto" w:frame="1"/>
          <w:shd w:val="clear" w:color="auto" w:fill="FFFFFF"/>
        </w:rPr>
        <w:t>Holguin</w:t>
      </w:r>
      <w:r>
        <w:rPr>
          <w:bdr w:val="none" w:sz="0" w:space="0" w:color="auto" w:frame="1"/>
          <w:shd w:val="clear" w:color="auto" w:fill="FFFFFF"/>
        </w:rPr>
        <w:t>, 2020</w:t>
      </w:r>
      <w:r>
        <w:t xml:space="preserve">), </w:t>
      </w:r>
      <w:r w:rsidRPr="003E3DDD">
        <w:t>experience of being involved in participation projects and boards (Nybell, 2013)</w:t>
      </w:r>
      <w:r>
        <w:t xml:space="preserve"> or </w:t>
      </w:r>
      <w:r w:rsidRPr="003E3DDD">
        <w:t>the perceptions of their level of participation</w:t>
      </w:r>
      <w:r>
        <w:t>. Most of the</w:t>
      </w:r>
      <w:r w:rsidRPr="003E3DDD">
        <w:t xml:space="preserve"> research in this field is concerned with </w:t>
      </w:r>
      <w:r>
        <w:t>different aspects of participation, instead of</w:t>
      </w:r>
      <w:r w:rsidRPr="003E3DDD">
        <w:t xml:space="preserve"> </w:t>
      </w:r>
      <w:r>
        <w:t>focus</w:t>
      </w:r>
      <w:r w:rsidR="00E80775">
        <w:t>ing</w:t>
      </w:r>
      <w:r>
        <w:t xml:space="preserve"> on children and young people being </w:t>
      </w:r>
      <w:r w:rsidRPr="003E3DDD">
        <w:t xml:space="preserve">agents engaged in </w:t>
      </w:r>
      <w:r w:rsidR="00DC59B2">
        <w:t>decision-making</w:t>
      </w:r>
      <w:r w:rsidRPr="003E3DDD">
        <w:t xml:space="preserve"> about their own fate (Berrick, </w:t>
      </w:r>
      <w:r>
        <w:t>et al.</w:t>
      </w:r>
      <w:r w:rsidRPr="003E3DDD">
        <w:t>, 2015)</w:t>
      </w:r>
      <w:r w:rsidR="004A328F">
        <w:t>, which is the focus of this study</w:t>
      </w:r>
      <w:r>
        <w:t xml:space="preserve">. </w:t>
      </w:r>
    </w:p>
    <w:p w14:paraId="31C52B61" w14:textId="47E80905" w:rsidR="005F71A3" w:rsidRPr="003E3DDD" w:rsidRDefault="005F71A3">
      <w:r>
        <w:t xml:space="preserve">The next two </w:t>
      </w:r>
      <w:r w:rsidR="002C07B7">
        <w:t>sections</w:t>
      </w:r>
      <w:r>
        <w:t xml:space="preserve"> of this chapter focus on two perspectives about </w:t>
      </w:r>
      <w:r w:rsidR="00DC59B2">
        <w:t>decision-making</w:t>
      </w:r>
      <w:r>
        <w:t xml:space="preserve"> by children and young people. First, research that highlights the social worker’s perspective, </w:t>
      </w:r>
      <w:r>
        <w:lastRenderedPageBreak/>
        <w:t>including their approaches to involving children or young people. The second section then brings together research involving children and young people and highlights their experience of participation in social care processes. Both are included because</w:t>
      </w:r>
      <w:r w:rsidR="004A328F">
        <w:t>,</w:t>
      </w:r>
      <w:r>
        <w:t xml:space="preserve"> </w:t>
      </w:r>
      <w:r w:rsidR="004A328F">
        <w:t xml:space="preserve">as previously stated, </w:t>
      </w:r>
      <w:r w:rsidRPr="006063FB">
        <w:t xml:space="preserve">children and young people are </w:t>
      </w:r>
      <w:r>
        <w:t xml:space="preserve">routinely </w:t>
      </w:r>
      <w:r w:rsidRPr="006063FB">
        <w:t xml:space="preserve">reliant </w:t>
      </w:r>
      <w:r>
        <w:t xml:space="preserve">on practitioners </w:t>
      </w:r>
      <w:r w:rsidRPr="006063FB">
        <w:t>to facilitate their involvement (Zeijlmans et al., 2019)</w:t>
      </w:r>
      <w:r>
        <w:t xml:space="preserve"> and are not independently participating in their care decisions</w:t>
      </w:r>
      <w:r w:rsidRPr="006063FB">
        <w:t>.</w:t>
      </w:r>
      <w:r>
        <w:t xml:space="preserve"> </w:t>
      </w:r>
      <w:r w:rsidR="00FC6991" w:rsidRPr="00FC6991">
        <w:t>First, as children and young people's involvement in decision</w:t>
      </w:r>
      <w:r w:rsidR="00FC6991">
        <w:t>-</w:t>
      </w:r>
      <w:r w:rsidR="00FC6991" w:rsidRPr="00FC6991">
        <w:t>making is routinely facilitated by the social worker, literature pertaining to the social work perspective on this involvement is considered</w:t>
      </w:r>
      <w:r w:rsidR="00CA5977">
        <w:t>.</w:t>
      </w:r>
    </w:p>
    <w:p w14:paraId="66982926" w14:textId="25819E7E" w:rsidR="005F71A3" w:rsidRPr="003E3DDD" w:rsidRDefault="005F71A3" w:rsidP="007C51DB">
      <w:pPr>
        <w:pStyle w:val="Heading3"/>
      </w:pPr>
      <w:r>
        <w:t xml:space="preserve">Process, Organisations, Skills and Attitudes </w:t>
      </w:r>
    </w:p>
    <w:p w14:paraId="206C0146" w14:textId="77777777" w:rsidR="004A328F" w:rsidRDefault="005F71A3">
      <w:r w:rsidRPr="00FC2398">
        <w:t xml:space="preserve">In exploring the literature </w:t>
      </w:r>
      <w:r>
        <w:t xml:space="preserve">relating to </w:t>
      </w:r>
      <w:r w:rsidRPr="00FC2398">
        <w:t xml:space="preserve">social workers’ perspectives on involving children </w:t>
      </w:r>
      <w:r>
        <w:t>a</w:t>
      </w:r>
      <w:r w:rsidRPr="00FC2398">
        <w:t xml:space="preserve">nd young people in </w:t>
      </w:r>
      <w:r w:rsidR="00DC59B2">
        <w:t>decision-making</w:t>
      </w:r>
      <w:r w:rsidRPr="00FC2398">
        <w:t xml:space="preserve">, </w:t>
      </w:r>
      <w:r>
        <w:t>some</w:t>
      </w:r>
      <w:r w:rsidRPr="00FC2398">
        <w:t xml:space="preserve"> consistent </w:t>
      </w:r>
      <w:r>
        <w:t xml:space="preserve">organisational </w:t>
      </w:r>
      <w:r w:rsidRPr="00FC2398">
        <w:t xml:space="preserve">issues </w:t>
      </w:r>
      <w:r>
        <w:t>were apparent</w:t>
      </w:r>
      <w:r w:rsidRPr="00FC2398">
        <w:t>.</w:t>
      </w:r>
      <w:r>
        <w:t xml:space="preserve"> An organisation’s meeting structures, paperwork, IT systems, supervision, visiting patterns, funding panels</w:t>
      </w:r>
      <w:r w:rsidRPr="00FC2398">
        <w:t xml:space="preserve"> </w:t>
      </w:r>
      <w:r>
        <w:t>all constitute the daily task of a social worker, within which a relationship with a service user is formed (Hodgson and Watts, 2017). In a study about participation in child protection conferences</w:t>
      </w:r>
      <w:r w:rsidR="00D26E61">
        <w:t>,</w:t>
      </w:r>
      <w:r>
        <w:t xml:space="preserve"> social workers identified that organisational processes and their own misunderstanding about work systems limited the way they had involved a child (</w:t>
      </w:r>
      <w:r w:rsidRPr="003E3DDD">
        <w:t>Vis, Holton and Thomas, 2012</w:t>
      </w:r>
      <w:r>
        <w:t xml:space="preserve">). In other </w:t>
      </w:r>
      <w:r w:rsidR="004A328F">
        <w:t>studies,</w:t>
      </w:r>
      <w:r>
        <w:t xml:space="preserve"> about participation in care and family support services, social workers were committed to involving children in decisions and systems but felt that unclear guidance or uncertainty about the parameters of a child’s involvement meant that the child’s voice became excluded </w:t>
      </w:r>
      <w:r w:rsidRPr="00B061E8">
        <w:t>(Vis and Fossum</w:t>
      </w:r>
      <w:r w:rsidRPr="003E3DDD">
        <w:t>, 2013</w:t>
      </w:r>
      <w:r>
        <w:t xml:space="preserve">; </w:t>
      </w:r>
      <w:r w:rsidRPr="008E16C9">
        <w:t>Harkin, Stafford, and Leggatt</w:t>
      </w:r>
      <w:r w:rsidRPr="008E16C9">
        <w:rPr>
          <w:rFonts w:ascii="Cambria Math" w:hAnsi="Cambria Math" w:cs="Cambria Math"/>
        </w:rPr>
        <w:t>‐</w:t>
      </w:r>
      <w:r w:rsidRPr="008E16C9">
        <w:t>Cook</w:t>
      </w:r>
      <w:r>
        <w:t>,</w:t>
      </w:r>
      <w:r w:rsidRPr="008E16C9">
        <w:t xml:space="preserve"> 2020</w:t>
      </w:r>
      <w:r w:rsidRPr="003E3DDD">
        <w:t>)</w:t>
      </w:r>
      <w:r>
        <w:t xml:space="preserve">. Formal meeting settings were another barrier identified by social workers, where there was a disconnect between their intention to involve a child, and </w:t>
      </w:r>
      <w:r w:rsidR="00403AAA">
        <w:t xml:space="preserve">the </w:t>
      </w:r>
      <w:r>
        <w:t xml:space="preserve">realities of what they were able to achieve in practice. Social workers might value the involvement of children and young people, but if the processes remain adult orientated, they are unlikely to succeed (Diaz, Pert and Thomas, 2019; </w:t>
      </w:r>
      <w:r w:rsidRPr="008E16C9">
        <w:t>Harkin, Stafford, and Leggatt</w:t>
      </w:r>
      <w:r w:rsidRPr="008E16C9">
        <w:rPr>
          <w:rFonts w:ascii="Cambria Math" w:hAnsi="Cambria Math" w:cs="Cambria Math"/>
        </w:rPr>
        <w:t>‐</w:t>
      </w:r>
      <w:r w:rsidRPr="008E16C9">
        <w:t>Cook</w:t>
      </w:r>
      <w:r>
        <w:t>, 2020). Being child focused within meeting structures was found to be insufficient to be genuinely inclusive (</w:t>
      </w:r>
      <w:r w:rsidRPr="008E16C9">
        <w:t>Harkin, Stafford, and Leggatt</w:t>
      </w:r>
      <w:r w:rsidRPr="008E16C9">
        <w:rPr>
          <w:rFonts w:ascii="Cambria Math" w:hAnsi="Cambria Math" w:cs="Cambria Math"/>
        </w:rPr>
        <w:t>‐</w:t>
      </w:r>
      <w:r w:rsidRPr="008E16C9">
        <w:t>Cook</w:t>
      </w:r>
      <w:r>
        <w:t>,</w:t>
      </w:r>
      <w:r w:rsidRPr="008E16C9">
        <w:t xml:space="preserve"> 2020</w:t>
      </w:r>
      <w:r>
        <w:t xml:space="preserve">), suggesting that even if social workers were willing to support a child’s </w:t>
      </w:r>
      <w:r w:rsidR="004A328F">
        <w:t>participation</w:t>
      </w:r>
      <w:r>
        <w:t>, the environment in which they are working inhibits their attempts. For some social workers</w:t>
      </w:r>
      <w:r w:rsidR="002540AF">
        <w:t>,</w:t>
      </w:r>
      <w:r>
        <w:t xml:space="preserve"> the presence of a child or young person at a meeting was found to be effective in </w:t>
      </w:r>
      <w:r w:rsidR="0012418C">
        <w:t>influencing</w:t>
      </w:r>
      <w:r>
        <w:t xml:space="preserve"> whether or not the child’s voice was presented (Vis, H</w:t>
      </w:r>
      <w:r w:rsidR="00680E00">
        <w:t>o</w:t>
      </w:r>
      <w:r>
        <w:t xml:space="preserve">lton and Thomas, 2012; Porter, 2020). </w:t>
      </w:r>
    </w:p>
    <w:p w14:paraId="3096C9B2" w14:textId="6A799E9D" w:rsidR="005F71A3" w:rsidRDefault="005F71A3">
      <w:r>
        <w:t xml:space="preserve">All the studies detailed so far suggest that despite drives to include children and young people in decisions, practice techniques or systems can inhibit rather than facilitate their involvement. Concerns about the absence of the views of children are reflected in wider </w:t>
      </w:r>
      <w:r>
        <w:lastRenderedPageBreak/>
        <w:t xml:space="preserve">research about assessment and planning where the prioritisation of adult engagement leads to the child becoming invisible (Brandon et al, 2012; Ferguson, 2017; </w:t>
      </w:r>
      <w:r w:rsidRPr="008E16C9">
        <w:t>Harkin, Stafford, and Leggatt</w:t>
      </w:r>
      <w:r w:rsidRPr="008E16C9">
        <w:rPr>
          <w:rFonts w:ascii="Cambria Math" w:hAnsi="Cambria Math" w:cs="Cambria Math"/>
        </w:rPr>
        <w:t>‐</w:t>
      </w:r>
      <w:r w:rsidRPr="008E16C9">
        <w:t>Cook</w:t>
      </w:r>
      <w:r>
        <w:t>,</w:t>
      </w:r>
      <w:r w:rsidRPr="008E16C9">
        <w:t xml:space="preserve"> 2020</w:t>
      </w:r>
      <w:r>
        <w:t>). These barriers</w:t>
      </w:r>
      <w:r w:rsidR="00E447DF">
        <w:t xml:space="preserve"> to participation </w:t>
      </w:r>
      <w:r>
        <w:t xml:space="preserve">are relevant to my study as </w:t>
      </w:r>
      <w:r w:rsidR="00E45B2E">
        <w:t xml:space="preserve">young people </w:t>
      </w:r>
      <w:r w:rsidR="00E447DF">
        <w:t xml:space="preserve">will have been involved in meetings with social workers about </w:t>
      </w:r>
      <w:r w:rsidR="00E45B2E" w:rsidRPr="00E447DF">
        <w:rPr>
          <w:i/>
          <w:iCs/>
        </w:rPr>
        <w:t>Staying Put</w:t>
      </w:r>
      <w:r w:rsidR="00E45B2E">
        <w:t xml:space="preserve">. Thinking about </w:t>
      </w:r>
      <w:r w:rsidR="00E447DF">
        <w:t xml:space="preserve">how much </w:t>
      </w:r>
      <w:r w:rsidR="00E45B2E">
        <w:t>influenc</w:t>
      </w:r>
      <w:r w:rsidR="00E447DF">
        <w:t xml:space="preserve">e they felt they had </w:t>
      </w:r>
      <w:r w:rsidR="00D81EAB">
        <w:t>wa</w:t>
      </w:r>
      <w:r w:rsidR="00E45B2E">
        <w:t xml:space="preserve">s an aim </w:t>
      </w:r>
      <w:r w:rsidR="00E447DF">
        <w:t xml:space="preserve">of </w:t>
      </w:r>
      <w:r w:rsidR="00E45B2E">
        <w:t xml:space="preserve">my study and </w:t>
      </w:r>
      <w:r w:rsidR="0098430A">
        <w:t xml:space="preserve">could build </w:t>
      </w:r>
      <w:r w:rsidR="00E447DF">
        <w:t xml:space="preserve">on knowledge about the formal processes relating to </w:t>
      </w:r>
      <w:r w:rsidR="00DC59B2">
        <w:t>decision-making</w:t>
      </w:r>
      <w:r w:rsidR="0098430A">
        <w:t xml:space="preserve"> by young people leaving care</w:t>
      </w:r>
      <w:r>
        <w:t>.</w:t>
      </w:r>
    </w:p>
    <w:p w14:paraId="78974BA4" w14:textId="0BDF962F" w:rsidR="005F71A3" w:rsidRDefault="005F71A3">
      <w:r>
        <w:t xml:space="preserve">The pressures on social workers operating within </w:t>
      </w:r>
      <w:r w:rsidR="0012418C">
        <w:t xml:space="preserve">bureaucratic and resource poor organisations </w:t>
      </w:r>
      <w:r>
        <w:t xml:space="preserve">noted in </w:t>
      </w:r>
      <w:r w:rsidR="00333360" w:rsidRPr="00333360">
        <w:t>C</w:t>
      </w:r>
      <w:r w:rsidRPr="00333360">
        <w:t>hapter</w:t>
      </w:r>
      <w:r w:rsidR="00333360" w:rsidRPr="00333360">
        <w:t xml:space="preserve"> 3</w:t>
      </w:r>
      <w:r w:rsidRPr="00333360">
        <w:t xml:space="preserve"> also</w:t>
      </w:r>
      <w:r>
        <w:t xml:space="preserve"> featured in the explanations for poor levels of participation. </w:t>
      </w:r>
      <w:r w:rsidR="004A328F">
        <w:t xml:space="preserve">Barriers to relationships resulting from normative organisational activity are relevant to this study as I am interested in how young people have experienced support as they make their decision about </w:t>
      </w:r>
      <w:r w:rsidR="004A328F" w:rsidRPr="005C2E5E">
        <w:rPr>
          <w:i/>
          <w:iCs/>
        </w:rPr>
        <w:t>Staying Put</w:t>
      </w:r>
      <w:r w:rsidR="004A328F">
        <w:t xml:space="preserve">. </w:t>
      </w:r>
      <w:r>
        <w:t>Limited time and turnover of staff were seen as barriers to involve and prepare a child for their statutory review meeting (Diaz, Pert and Thomas, 2019) and a general block to building relationships with children (Barnes, 2012</w:t>
      </w:r>
      <w:r w:rsidR="00AE2718">
        <w:t xml:space="preserve">; </w:t>
      </w:r>
      <w:r w:rsidR="00AE2718" w:rsidRPr="00C30374">
        <w:t>van Bijleveld, Bunders-Aelen and Dedding</w:t>
      </w:r>
      <w:r w:rsidR="00AE2718">
        <w:t xml:space="preserve">, </w:t>
      </w:r>
      <w:r w:rsidR="00AE2718" w:rsidRPr="00C30374">
        <w:t>2020</w:t>
      </w:r>
      <w:r>
        <w:t>). Social workers also felt the lack of time, tools and materials restricted their ability to make their interactions with children and young people more participative (McLeod, 2006; O’Rei</w:t>
      </w:r>
      <w:r w:rsidR="00680E00">
        <w:t>l</w:t>
      </w:r>
      <w:r>
        <w:t xml:space="preserve">ly and Dolan, 2016; </w:t>
      </w:r>
      <w:r w:rsidRPr="008E16C9">
        <w:t>Harkin, Stafford, and Leggatt</w:t>
      </w:r>
      <w:r w:rsidRPr="008E16C9">
        <w:rPr>
          <w:rFonts w:ascii="Cambria Math" w:hAnsi="Cambria Math" w:cs="Cambria Math"/>
        </w:rPr>
        <w:t>‐</w:t>
      </w:r>
      <w:r w:rsidRPr="008E16C9">
        <w:t>Cook</w:t>
      </w:r>
      <w:r>
        <w:t>,</w:t>
      </w:r>
      <w:r w:rsidRPr="008E16C9">
        <w:t xml:space="preserve"> 2020</w:t>
      </w:r>
      <w:r>
        <w:t>).</w:t>
      </w:r>
      <w:r w:rsidR="00AE2718">
        <w:t xml:space="preserve"> </w:t>
      </w:r>
    </w:p>
    <w:p w14:paraId="61FA1255" w14:textId="6E77744E" w:rsidR="005F71A3" w:rsidRDefault="003E0476">
      <w:r>
        <w:t>Barriers to participation resulting from o</w:t>
      </w:r>
      <w:r w:rsidR="005F71A3">
        <w:t>rganisational structure, systemic resource issues and forums for participation</w:t>
      </w:r>
      <w:r>
        <w:t xml:space="preserve"> provide </w:t>
      </w:r>
      <w:r w:rsidR="00041524">
        <w:t xml:space="preserve">useful context when exploring the decisions made by young people leaving care. </w:t>
      </w:r>
      <w:r w:rsidR="001D645E">
        <w:t>However,</w:t>
      </w:r>
      <w:r>
        <w:t xml:space="preserve"> there are other issues identified in the literature which </w:t>
      </w:r>
      <w:r w:rsidR="004A328F">
        <w:t xml:space="preserve">also </w:t>
      </w:r>
      <w:r w:rsidR="001D645E">
        <w:t xml:space="preserve">could </w:t>
      </w:r>
      <w:r w:rsidR="00D81EAB">
        <w:t xml:space="preserve">help me think about the experiences of young people making their decision about </w:t>
      </w:r>
      <w:r w:rsidR="00D81EAB" w:rsidRPr="00D81EAB">
        <w:rPr>
          <w:i/>
          <w:iCs/>
        </w:rPr>
        <w:t>Staying Put</w:t>
      </w:r>
      <w:r w:rsidR="001D645E">
        <w:t xml:space="preserve">. Some </w:t>
      </w:r>
      <w:r w:rsidR="005F71A3">
        <w:t xml:space="preserve">studies found that social workers felt </w:t>
      </w:r>
      <w:r w:rsidR="00041524">
        <w:t xml:space="preserve">they lacked skills and confidence </w:t>
      </w:r>
      <w:r w:rsidR="005F71A3">
        <w:t>to</w:t>
      </w:r>
      <w:r w:rsidR="00041524">
        <w:t xml:space="preserve"> </w:t>
      </w:r>
      <w:r w:rsidR="005F71A3">
        <w:t>facilitate better involvement. In their work about the child protection system</w:t>
      </w:r>
      <w:r w:rsidR="00AF38D1">
        <w:t>,</w:t>
      </w:r>
      <w:r w:rsidR="005F71A3">
        <w:t xml:space="preserve"> </w:t>
      </w:r>
      <w:r w:rsidR="007005BE">
        <w:t xml:space="preserve">Munro’s (2012) report about a child-centred system and </w:t>
      </w:r>
      <w:r w:rsidR="005F71A3">
        <w:t xml:space="preserve">Ferguson’s (2016) study about communicating with children, found that social workers had varied levels of skill which influenced their ability to </w:t>
      </w:r>
      <w:r w:rsidR="001D645E">
        <w:t>use participatory methods of intervention. A</w:t>
      </w:r>
      <w:r w:rsidR="005F71A3">
        <w:t>s well as deficiencies in skill</w:t>
      </w:r>
      <w:r w:rsidR="00AF38D1">
        <w:t>,</w:t>
      </w:r>
      <w:r w:rsidR="005F71A3">
        <w:t xml:space="preserve"> some social workers felt insecure in their ability to involve children and young people. Although Winter et al</w:t>
      </w:r>
      <w:r w:rsidR="00015D04">
        <w:t>.</w:t>
      </w:r>
      <w:r w:rsidR="005F71A3">
        <w:t xml:space="preserve">’s (2016) research is about communication more generally, their work highlighted how low levels of confidence impacted on the worker’s ability to talk to a child, potentially impacting on their involvement in decisions. In studies about social work attitudes to participation in Israel, and review meetings in England, an absence of specific participation training was felt to be a barrier for workers to effectively involve children (Kosher and Ben-Arieh, 2020; Diaz, </w:t>
      </w:r>
      <w:r w:rsidR="005F71A3">
        <w:lastRenderedPageBreak/>
        <w:t xml:space="preserve">Pert and Thomas, 2019). The lack of understanding </w:t>
      </w:r>
      <w:r w:rsidR="00C611A2">
        <w:t>about</w:t>
      </w:r>
      <w:r w:rsidR="005F71A3">
        <w:t xml:space="preserve"> how to involve children, meant they did not always employ appropriate participative approaches. </w:t>
      </w:r>
    </w:p>
    <w:p w14:paraId="5ECC7203" w14:textId="07E5825E" w:rsidR="00D81EAB" w:rsidRDefault="005F71A3">
      <w:r>
        <w:t>Wh</w:t>
      </w:r>
      <w:r w:rsidR="00FC6991">
        <w:t>ile</w:t>
      </w:r>
      <w:r>
        <w:t xml:space="preserve"> </w:t>
      </w:r>
      <w:r w:rsidR="007005BE">
        <w:t xml:space="preserve">Munro (2012), </w:t>
      </w:r>
      <w:r>
        <w:t>Ferguson (2016), and Winter et al</w:t>
      </w:r>
      <w:r w:rsidR="00015D04">
        <w:t>.</w:t>
      </w:r>
      <w:r>
        <w:t xml:space="preserve">’s (2016) work recognises the problems for children if their worker lacks the means or confidence to involve them, Kosher and Ben-Arieh (2020) suggest that there is a need to address this concern alongside considerations about broader attitudinal barriers. Shemmings’ (2000) early work about attitudes to children’s </w:t>
      </w:r>
      <w:r w:rsidR="00DC59B2">
        <w:t>decision-making</w:t>
      </w:r>
      <w:r>
        <w:t xml:space="preserve"> found that there were two dominant dichotomous </w:t>
      </w:r>
      <w:r w:rsidR="00C611A2">
        <w:t>discourses</w:t>
      </w:r>
      <w:r>
        <w:t>: upholding the rights of a child or rescuing them from harm. This practice quandary was found to shape a social worker’s position in their day</w:t>
      </w:r>
      <w:r w:rsidR="003A2118">
        <w:t>-</w:t>
      </w:r>
      <w:r>
        <w:t>to</w:t>
      </w:r>
      <w:r w:rsidR="003A2118">
        <w:t>-</w:t>
      </w:r>
      <w:r>
        <w:t>day work</w:t>
      </w:r>
      <w:r w:rsidR="00F64D96">
        <w:t xml:space="preserve"> and could be relevant to the young people making their decision about </w:t>
      </w:r>
      <w:r w:rsidR="00F64D96" w:rsidRPr="004A328F">
        <w:rPr>
          <w:i/>
          <w:iCs/>
        </w:rPr>
        <w:t>Staying Put</w:t>
      </w:r>
      <w:r w:rsidR="00F64D96">
        <w:t xml:space="preserve"> as they will have had adverse childhood experiences</w:t>
      </w:r>
      <w:r>
        <w:t xml:space="preserve">. </w:t>
      </w:r>
      <w:r w:rsidR="00F64D96">
        <w:t>Shemmings (2000) identified that e</w:t>
      </w:r>
      <w:r>
        <w:t xml:space="preserve">ither </w:t>
      </w:r>
      <w:r w:rsidR="00D81EAB">
        <w:t>social workers</w:t>
      </w:r>
      <w:r>
        <w:t xml:space="preserve"> believed that a child should be involved regardless of age</w:t>
      </w:r>
      <w:r w:rsidR="00F778A4">
        <w:t>,</w:t>
      </w:r>
      <w:r>
        <w:t xml:space="preserve"> or they believed that participation should be restricted for fear of causing more harm and distress</w:t>
      </w:r>
      <w:r w:rsidR="00D81EAB" w:rsidRPr="00D81EAB">
        <w:t>. In their study about participation in Dutch child protection services, van Bijleveld, Bunders-Aelen and Dedding (2020) identified the tensions between protecting children and working in a participative way. They highlighted social worker’s reluctance to work participatively was based on concerns about a child’s capabilities due to their experiences (van Bijleveld, Bunders-Aelen and Dedding, 2020). Their work supports earlier studies which also identified reduced involvement where children and young people had been subject to abuse or neglect (Archard and Skivenes 2009; Vis and Thomas 2009) or receiving services in a statutory social work setting (Healy and Dartington, 2009). Being both protective and facilitative appears to challenge social workers even if they have the tools to support participation (van Bijleveld, Bunders-Aelen and Dedding, 2020) as they face a balancing act between the child’s participation and best interests, and their own anxieties about making decisions about protection and harm.</w:t>
      </w:r>
    </w:p>
    <w:p w14:paraId="3CF206A4" w14:textId="61D8BCBA" w:rsidR="005F71A3" w:rsidRDefault="005F71A3">
      <w:r>
        <w:t xml:space="preserve">Shemmings’ </w:t>
      </w:r>
      <w:r w:rsidR="00F64D96">
        <w:t xml:space="preserve">(2000) </w:t>
      </w:r>
      <w:r>
        <w:t xml:space="preserve">research also highlighted how social workers conflated participation with independent </w:t>
      </w:r>
      <w:r w:rsidR="00DC59B2">
        <w:t>decision-making</w:t>
      </w:r>
      <w:r w:rsidR="001D645E">
        <w:t xml:space="preserve">. This conflation of terminology was </w:t>
      </w:r>
      <w:r>
        <w:t xml:space="preserve">also found in Kosher </w:t>
      </w:r>
      <w:r w:rsidRPr="00DA5C5A">
        <w:t xml:space="preserve">and Ben-Arieh’s (2020) more recent study where participation and consultation were </w:t>
      </w:r>
      <w:r>
        <w:t>viewed</w:t>
      </w:r>
      <w:r w:rsidRPr="00DA5C5A">
        <w:t xml:space="preserve"> interchangeably</w:t>
      </w:r>
      <w:r w:rsidR="001D645E">
        <w:t>. Interchangeable use of language can be problematic</w:t>
      </w:r>
      <w:r w:rsidR="00D81EAB">
        <w:t xml:space="preserve"> and result in different approaches by social workers </w:t>
      </w:r>
      <w:r w:rsidR="001D645E">
        <w:t>as consultation</w:t>
      </w:r>
      <w:r w:rsidR="00D81EAB">
        <w:t xml:space="preserve"> only relates to gathering information from children and young people whereas participation means they are ‘joining in the </w:t>
      </w:r>
      <w:r w:rsidR="00DC59B2">
        <w:t>decision-making</w:t>
      </w:r>
      <w:r w:rsidR="00D81EAB">
        <w:t>’ (Stabler, 2020, p. 27)</w:t>
      </w:r>
      <w:r w:rsidRPr="00DA5C5A">
        <w:t xml:space="preserve">. The prevalence of a protectionist stance identified by Shemmings, was also found in Križ and Skivenes’ (2017) comparative study. Children were deemed incapable of knowing what the right course of action would be, but also </w:t>
      </w:r>
      <w:r>
        <w:t xml:space="preserve">that they </w:t>
      </w:r>
      <w:r w:rsidRPr="00DA5C5A">
        <w:lastRenderedPageBreak/>
        <w:t>need</w:t>
      </w:r>
      <w:r>
        <w:t>ed</w:t>
      </w:r>
      <w:r w:rsidRPr="00DA5C5A">
        <w:t xml:space="preserve"> protection from the effect of participation.</w:t>
      </w:r>
      <w:r>
        <w:t xml:space="preserve"> Whilst some social workers excluded children for reasons of protection other research found that participation was limited due to concerns about a challenge to the social worker’s authority (</w:t>
      </w:r>
      <w:r w:rsidRPr="00DA5C5A">
        <w:t>Kosher, and Ben</w:t>
      </w:r>
      <w:r w:rsidRPr="00DA5C5A">
        <w:rPr>
          <w:rFonts w:ascii="Cambria Math" w:hAnsi="Cambria Math" w:cs="Cambria Math"/>
        </w:rPr>
        <w:t>‐</w:t>
      </w:r>
      <w:r w:rsidRPr="00DA5C5A">
        <w:t>Arieh</w:t>
      </w:r>
      <w:r>
        <w:t>,</w:t>
      </w:r>
      <w:r w:rsidRPr="00DA5C5A">
        <w:t xml:space="preserve"> 2020</w:t>
      </w:r>
      <w:r>
        <w:t>)</w:t>
      </w:r>
      <w:r w:rsidR="00F64D96">
        <w:t xml:space="preserve"> or because of fears a child could </w:t>
      </w:r>
      <w:r w:rsidR="000A294E">
        <w:t>have ‘unrealistic requests’ (</w:t>
      </w:r>
      <w:r w:rsidR="000A294E" w:rsidRPr="00D81EAB">
        <w:t>van Bijleveld, Bunders-Aelen and Dedding, 2020</w:t>
      </w:r>
      <w:r w:rsidR="000A294E">
        <w:t>, p. 291)</w:t>
      </w:r>
      <w:r>
        <w:t>. Varied attitudes to participative practice were also noted by Vis</w:t>
      </w:r>
      <w:r w:rsidR="003C0EBC">
        <w:t>, Holtan</w:t>
      </w:r>
      <w:r>
        <w:t xml:space="preserve"> and Thomas (2012) who identified a lack of consensus between the social workers in their study. They concluded that social workers tended to think participation was appropriate when the child’s involvement was unlikely to change the outcome, particularly in contentious situations. These studies about the context of the decision are useful to think about the young person’s decision to stay put</w:t>
      </w:r>
      <w:r w:rsidR="00E42310">
        <w:t>,</w:t>
      </w:r>
      <w:r>
        <w:t xml:space="preserve"> as consensus is needed if the young person remains with the foster carers.</w:t>
      </w:r>
    </w:p>
    <w:p w14:paraId="0957FE09" w14:textId="2BE8468F" w:rsidR="005F71A3" w:rsidRDefault="005F71A3">
      <w:r>
        <w:t xml:space="preserve">Other elements also influenced the social worker’s attitude to participation. A number of studies highlighted the age of a child or young person as a determining factor in whether they were supported to participate in </w:t>
      </w:r>
      <w:r w:rsidR="00DC59B2">
        <w:t>decision-making</w:t>
      </w:r>
      <w:r w:rsidR="00A80EA3">
        <w:t xml:space="preserve"> (</w:t>
      </w:r>
      <w:r>
        <w:t>Vis and Thomas, 2009</w:t>
      </w:r>
      <w:r>
        <w:rPr>
          <w:bdr w:val="none" w:sz="0" w:space="0" w:color="auto" w:frame="1"/>
          <w:shd w:val="clear" w:color="auto" w:fill="FFFFFF"/>
        </w:rPr>
        <w:t>;</w:t>
      </w:r>
      <w:r w:rsidRPr="00D16B36">
        <w:t xml:space="preserve"> </w:t>
      </w:r>
      <w:r w:rsidRPr="00D16B36">
        <w:rPr>
          <w:bdr w:val="none" w:sz="0" w:space="0" w:color="auto" w:frame="1"/>
          <w:shd w:val="clear" w:color="auto" w:fill="FFFFFF"/>
        </w:rPr>
        <w:t xml:space="preserve">Križ </w:t>
      </w:r>
      <w:r w:rsidR="007005BE">
        <w:rPr>
          <w:bdr w:val="none" w:sz="0" w:space="0" w:color="auto" w:frame="1"/>
          <w:shd w:val="clear" w:color="auto" w:fill="FFFFFF"/>
        </w:rPr>
        <w:t xml:space="preserve">and </w:t>
      </w:r>
      <w:r w:rsidRPr="00D16B36">
        <w:rPr>
          <w:bdr w:val="none" w:sz="0" w:space="0" w:color="auto" w:frame="1"/>
          <w:shd w:val="clear" w:color="auto" w:fill="FFFFFF"/>
        </w:rPr>
        <w:t>Skivenes, 2017</w:t>
      </w:r>
      <w:r>
        <w:rPr>
          <w:bdr w:val="none" w:sz="0" w:space="0" w:color="auto" w:frame="1"/>
          <w:shd w:val="clear" w:color="auto" w:fill="FFFFFF"/>
        </w:rPr>
        <w:t xml:space="preserve">; </w:t>
      </w:r>
      <w:r w:rsidRPr="002A7786">
        <w:rPr>
          <w:bdr w:val="none" w:sz="0" w:space="0" w:color="auto" w:frame="1"/>
          <w:shd w:val="clear" w:color="auto" w:fill="FFFFFF"/>
        </w:rPr>
        <w:t>Alfandari</w:t>
      </w:r>
      <w:r>
        <w:rPr>
          <w:bdr w:val="none" w:sz="0" w:space="0" w:color="auto" w:frame="1"/>
          <w:shd w:val="clear" w:color="auto" w:fill="FFFFFF"/>
        </w:rPr>
        <w:t xml:space="preserve">, 2017; </w:t>
      </w:r>
      <w:r w:rsidRPr="00BE188F">
        <w:rPr>
          <w:bdr w:val="none" w:sz="0" w:space="0" w:color="auto" w:frame="1"/>
          <w:shd w:val="clear" w:color="auto" w:fill="FFFFFF"/>
        </w:rPr>
        <w:t xml:space="preserve">Woodman, Roche, </w:t>
      </w:r>
      <w:r>
        <w:rPr>
          <w:bdr w:val="none" w:sz="0" w:space="0" w:color="auto" w:frame="1"/>
          <w:shd w:val="clear" w:color="auto" w:fill="FFFFFF"/>
        </w:rPr>
        <w:t xml:space="preserve">and </w:t>
      </w:r>
      <w:r w:rsidRPr="00BE188F">
        <w:rPr>
          <w:bdr w:val="none" w:sz="0" w:space="0" w:color="auto" w:frame="1"/>
          <w:shd w:val="clear" w:color="auto" w:fill="FFFFFF"/>
        </w:rPr>
        <w:t>McArthur</w:t>
      </w:r>
      <w:r>
        <w:rPr>
          <w:bdr w:val="none" w:sz="0" w:space="0" w:color="auto" w:frame="1"/>
          <w:shd w:val="clear" w:color="auto" w:fill="FFFFFF"/>
        </w:rPr>
        <w:t xml:space="preserve">, </w:t>
      </w:r>
      <w:r w:rsidRPr="00BE188F">
        <w:rPr>
          <w:bdr w:val="none" w:sz="0" w:space="0" w:color="auto" w:frame="1"/>
          <w:shd w:val="clear" w:color="auto" w:fill="FFFFFF"/>
        </w:rPr>
        <w:t>201</w:t>
      </w:r>
      <w:r>
        <w:rPr>
          <w:bdr w:val="none" w:sz="0" w:space="0" w:color="auto" w:frame="1"/>
          <w:shd w:val="clear" w:color="auto" w:fill="FFFFFF"/>
        </w:rPr>
        <w:t xml:space="preserve">8, </w:t>
      </w:r>
      <w:r w:rsidRPr="00D16B36">
        <w:rPr>
          <w:bdr w:val="none" w:sz="0" w:space="0" w:color="auto" w:frame="1"/>
          <w:shd w:val="clear" w:color="auto" w:fill="FFFFFF"/>
        </w:rPr>
        <w:t>Rap,</w:t>
      </w:r>
      <w:r>
        <w:rPr>
          <w:bdr w:val="none" w:sz="0" w:space="0" w:color="auto" w:frame="1"/>
          <w:shd w:val="clear" w:color="auto" w:fill="FFFFFF"/>
        </w:rPr>
        <w:t xml:space="preserve"> </w:t>
      </w:r>
      <w:r w:rsidRPr="00D16B36">
        <w:rPr>
          <w:bdr w:val="none" w:sz="0" w:space="0" w:color="auto" w:frame="1"/>
          <w:shd w:val="clear" w:color="auto" w:fill="FFFFFF"/>
        </w:rPr>
        <w:t>Verkroost</w:t>
      </w:r>
      <w:r>
        <w:rPr>
          <w:bdr w:val="none" w:sz="0" w:space="0" w:color="auto" w:frame="1"/>
          <w:shd w:val="clear" w:color="auto" w:fill="FFFFFF"/>
        </w:rPr>
        <w:t xml:space="preserve"> and </w:t>
      </w:r>
      <w:r w:rsidRPr="00D16B36">
        <w:rPr>
          <w:bdr w:val="none" w:sz="0" w:space="0" w:color="auto" w:frame="1"/>
          <w:shd w:val="clear" w:color="auto" w:fill="FFFFFF"/>
        </w:rPr>
        <w:t>Bruning</w:t>
      </w:r>
      <w:r>
        <w:rPr>
          <w:bdr w:val="none" w:sz="0" w:space="0" w:color="auto" w:frame="1"/>
          <w:shd w:val="clear" w:color="auto" w:fill="FFFFFF"/>
        </w:rPr>
        <w:t>, 2019). Whilst social workers often expressed the importance of children’s participation, intentions did not translate into practice where issues of capacity and understanding for younger children (</w:t>
      </w:r>
      <w:r w:rsidRPr="00BE188F">
        <w:rPr>
          <w:bdr w:val="none" w:sz="0" w:space="0" w:color="auto" w:frame="1"/>
          <w:shd w:val="clear" w:color="auto" w:fill="FFFFFF"/>
        </w:rPr>
        <w:t xml:space="preserve">Woodman, Roche, </w:t>
      </w:r>
      <w:r>
        <w:rPr>
          <w:bdr w:val="none" w:sz="0" w:space="0" w:color="auto" w:frame="1"/>
          <w:shd w:val="clear" w:color="auto" w:fill="FFFFFF"/>
        </w:rPr>
        <w:t xml:space="preserve">and </w:t>
      </w:r>
      <w:r w:rsidRPr="00BE188F">
        <w:rPr>
          <w:bdr w:val="none" w:sz="0" w:space="0" w:color="auto" w:frame="1"/>
          <w:shd w:val="clear" w:color="auto" w:fill="FFFFFF"/>
        </w:rPr>
        <w:t>McArthur</w:t>
      </w:r>
      <w:r>
        <w:rPr>
          <w:bdr w:val="none" w:sz="0" w:space="0" w:color="auto" w:frame="1"/>
          <w:shd w:val="clear" w:color="auto" w:fill="FFFFFF"/>
        </w:rPr>
        <w:t xml:space="preserve">, </w:t>
      </w:r>
      <w:r w:rsidRPr="00BE188F">
        <w:rPr>
          <w:bdr w:val="none" w:sz="0" w:space="0" w:color="auto" w:frame="1"/>
          <w:shd w:val="clear" w:color="auto" w:fill="FFFFFF"/>
        </w:rPr>
        <w:t>201</w:t>
      </w:r>
      <w:r>
        <w:rPr>
          <w:bdr w:val="none" w:sz="0" w:space="0" w:color="auto" w:frame="1"/>
          <w:shd w:val="clear" w:color="auto" w:fill="FFFFFF"/>
        </w:rPr>
        <w:t>8) and distress (</w:t>
      </w:r>
      <w:r w:rsidRPr="002A7786">
        <w:rPr>
          <w:bdr w:val="none" w:sz="0" w:space="0" w:color="auto" w:frame="1"/>
          <w:shd w:val="clear" w:color="auto" w:fill="FFFFFF"/>
        </w:rPr>
        <w:t>Alfandari</w:t>
      </w:r>
      <w:r>
        <w:rPr>
          <w:bdr w:val="none" w:sz="0" w:space="0" w:color="auto" w:frame="1"/>
          <w:shd w:val="clear" w:color="auto" w:fill="FFFFFF"/>
        </w:rPr>
        <w:t>, 2017) were felt to be more important. Common to these studies</w:t>
      </w:r>
      <w:r w:rsidR="00C611A2">
        <w:rPr>
          <w:bdr w:val="none" w:sz="0" w:space="0" w:color="auto" w:frame="1"/>
          <w:shd w:val="clear" w:color="auto" w:fill="FFFFFF"/>
        </w:rPr>
        <w:t xml:space="preserve"> about capacity and appropriate participation</w:t>
      </w:r>
      <w:r>
        <w:rPr>
          <w:bdr w:val="none" w:sz="0" w:space="0" w:color="auto" w:frame="1"/>
          <w:shd w:val="clear" w:color="auto" w:fill="FFFFFF"/>
        </w:rPr>
        <w:t xml:space="preserve"> is the suggestion that social workers generally agreed that older children were more likely to be involved in decisions that impact them. However</w:t>
      </w:r>
      <w:r w:rsidR="006D6F17">
        <w:rPr>
          <w:bdr w:val="none" w:sz="0" w:space="0" w:color="auto" w:frame="1"/>
          <w:shd w:val="clear" w:color="auto" w:fill="FFFFFF"/>
        </w:rPr>
        <w:t>,</w:t>
      </w:r>
      <w:r>
        <w:rPr>
          <w:bdr w:val="none" w:sz="0" w:space="0" w:color="auto" w:frame="1"/>
          <w:shd w:val="clear" w:color="auto" w:fill="FFFFFF"/>
        </w:rPr>
        <w:t xml:space="preserve"> as noted earlier in this section</w:t>
      </w:r>
      <w:r w:rsidR="006D6F17">
        <w:rPr>
          <w:bdr w:val="none" w:sz="0" w:space="0" w:color="auto" w:frame="1"/>
          <w:shd w:val="clear" w:color="auto" w:fill="FFFFFF"/>
        </w:rPr>
        <w:t>,</w:t>
      </w:r>
      <w:r>
        <w:rPr>
          <w:bdr w:val="none" w:sz="0" w:space="0" w:color="auto" w:frame="1"/>
          <w:shd w:val="clear" w:color="auto" w:fill="FFFFFF"/>
        </w:rPr>
        <w:t xml:space="preserve"> there may be other considerations applied regardless of the age of a child, concluding that the reasons why a child is not involved are multifaceted. The young people in my study are making the decision later in their care pathway and in the context of established relationships with their foster carers, therefore it will be interesting to locate their experiences within the research reviewed in this section to understand if age was a factor in their involvement</w:t>
      </w:r>
      <w:r w:rsidR="003250BE">
        <w:rPr>
          <w:bdr w:val="none" w:sz="0" w:space="0" w:color="auto" w:frame="1"/>
          <w:shd w:val="clear" w:color="auto" w:fill="FFFFFF"/>
        </w:rPr>
        <w:t xml:space="preserve"> in their decision</w:t>
      </w:r>
      <w:r>
        <w:rPr>
          <w:bdr w:val="none" w:sz="0" w:space="0" w:color="auto" w:frame="1"/>
          <w:shd w:val="clear" w:color="auto" w:fill="FFFFFF"/>
        </w:rPr>
        <w:t xml:space="preserve">. </w:t>
      </w:r>
      <w:r w:rsidR="00E447DF">
        <w:t xml:space="preserve">In summary, social workers may </w:t>
      </w:r>
      <w:r w:rsidR="00E447DF" w:rsidRPr="0098430A">
        <w:t xml:space="preserve">face ethical dilemmas </w:t>
      </w:r>
      <w:r w:rsidR="00E447DF">
        <w:t xml:space="preserve">when involving children </w:t>
      </w:r>
      <w:r w:rsidR="00E447DF" w:rsidRPr="0098430A">
        <w:t xml:space="preserve">in decision-making due to </w:t>
      </w:r>
      <w:r w:rsidR="00E447DF">
        <w:t>dominant discourses of protection which override their participative intentions. Any barriers resulting from organisational structures or process can reinforce the operation of p</w:t>
      </w:r>
      <w:r w:rsidR="00E447DF" w:rsidRPr="0098430A">
        <w:t xml:space="preserve">ower in a normative way </w:t>
      </w:r>
      <w:r w:rsidR="000A294E">
        <w:t xml:space="preserve">during which </w:t>
      </w:r>
      <w:r w:rsidR="00E447DF">
        <w:t xml:space="preserve">the professional perspective is given primacy. </w:t>
      </w:r>
      <w:r>
        <w:rPr>
          <w:bdr w:val="none" w:sz="0" w:space="0" w:color="auto" w:frame="1"/>
          <w:shd w:val="clear" w:color="auto" w:fill="FFFFFF"/>
        </w:rPr>
        <w:t xml:space="preserve">The next section highlights the multifaceted nature of decisions further by drawing on research that presents the perspectives of children and young people. </w:t>
      </w:r>
    </w:p>
    <w:p w14:paraId="4422AEB9" w14:textId="34E9C79D" w:rsidR="005F71A3" w:rsidRDefault="00C611A2">
      <w:pPr>
        <w:pStyle w:val="Heading2"/>
      </w:pPr>
      <w:bookmarkStart w:id="29" w:name="_Toc101108483"/>
      <w:r>
        <w:lastRenderedPageBreak/>
        <w:t xml:space="preserve">Children and Young People’s </w:t>
      </w:r>
      <w:r w:rsidR="005F71A3">
        <w:t>Experience</w:t>
      </w:r>
      <w:r>
        <w:t xml:space="preserve"> of Participation</w:t>
      </w:r>
      <w:bookmarkEnd w:id="29"/>
      <w:r>
        <w:t xml:space="preserve"> </w:t>
      </w:r>
    </w:p>
    <w:p w14:paraId="363A100E" w14:textId="22B73232" w:rsidR="005F71A3" w:rsidRPr="003E3DDD" w:rsidRDefault="005F71A3">
      <w:r w:rsidRPr="003E3DDD">
        <w:t xml:space="preserve">There is an emerging body of work </w:t>
      </w:r>
      <w:r>
        <w:t xml:space="preserve">which considers </w:t>
      </w:r>
      <w:r w:rsidRPr="003E3DDD">
        <w:t xml:space="preserve">the </w:t>
      </w:r>
      <w:r w:rsidR="00F30ACE">
        <w:t xml:space="preserve">lived experienced of children and young people’s </w:t>
      </w:r>
      <w:r w:rsidRPr="003E3DDD">
        <w:t xml:space="preserve">involvement in formal </w:t>
      </w:r>
      <w:r w:rsidR="000A294E" w:rsidRPr="003E3DDD">
        <w:t>decision-making</w:t>
      </w:r>
      <w:r w:rsidRPr="003E3DDD">
        <w:t xml:space="preserve"> meetings with social workers (Bolin, 2016). Primarily the research focusses on the interaction between child/young person and the professionals, exploring their agency in these settings (Aubrey and Dhal, 2006; Pert, Diaz and Thomas, 2017). Although there is </w:t>
      </w:r>
      <w:r>
        <w:t xml:space="preserve">often a </w:t>
      </w:r>
      <w:r w:rsidRPr="003E3DDD">
        <w:t>focal point for decision</w:t>
      </w:r>
      <w:r w:rsidR="000A294E">
        <w:t>-</w:t>
      </w:r>
      <w:r w:rsidRPr="003E3DDD">
        <w:t>making in the form of a meeting structure</w:t>
      </w:r>
      <w:r>
        <w:t xml:space="preserve"> (</w:t>
      </w:r>
      <w:r w:rsidRPr="00441A87">
        <w:t>Dillon Greenop Hills 2016</w:t>
      </w:r>
      <w:r>
        <w:t>)</w:t>
      </w:r>
      <w:r w:rsidRPr="003E3DDD">
        <w:t>, this work can add to an understanding of decision</w:t>
      </w:r>
      <w:r w:rsidR="000A294E">
        <w:t>-</w:t>
      </w:r>
      <w:r w:rsidRPr="003E3DDD">
        <w:t>making generally. As Leeson (2007) argues, children need ongoing practice to make decisions as this increases their confidence and proficiency. From her study with younger children</w:t>
      </w:r>
      <w:r>
        <w:t>,</w:t>
      </w:r>
      <w:r w:rsidRPr="003E3DDD">
        <w:t xml:space="preserve"> she goes on to say that children are expected to prove their capability of </w:t>
      </w:r>
      <w:r w:rsidR="00DC59B2">
        <w:t>decision-making</w:t>
      </w:r>
      <w:r w:rsidRPr="003E3DDD">
        <w:t xml:space="preserve">, often without adults allowing them opportunities to try (Leeson, 2007). This </w:t>
      </w:r>
      <w:r>
        <w:t>issue</w:t>
      </w:r>
      <w:r w:rsidRPr="003E3DDD">
        <w:t xml:space="preserve"> </w:t>
      </w:r>
      <w:r>
        <w:t xml:space="preserve">is </w:t>
      </w:r>
      <w:r w:rsidRPr="003E3DDD">
        <w:t xml:space="preserve">relevant </w:t>
      </w:r>
      <w:r w:rsidR="009C25A6">
        <w:t xml:space="preserve">to </w:t>
      </w:r>
      <w:r w:rsidRPr="003E3DDD">
        <w:t>understand</w:t>
      </w:r>
      <w:r w:rsidR="002C6966">
        <w:t xml:space="preserve"> </w:t>
      </w:r>
      <w:r w:rsidRPr="003E3DDD">
        <w:t xml:space="preserve">decisions made by </w:t>
      </w:r>
      <w:r w:rsidR="00E16B03">
        <w:t>young people leaving care</w:t>
      </w:r>
      <w:r w:rsidRPr="003E3DDD">
        <w:t xml:space="preserve">, as it provides a sense of the experiences of </w:t>
      </w:r>
      <w:r w:rsidR="00DC59B2">
        <w:t>decision-making</w:t>
      </w:r>
      <w:r w:rsidRPr="003E3DDD">
        <w:t xml:space="preserve"> during their life in the care system. </w:t>
      </w:r>
    </w:p>
    <w:p w14:paraId="0752E265" w14:textId="35825B6B" w:rsidR="005F71A3" w:rsidRDefault="005F71A3">
      <w:r>
        <w:t>Whether or not a child or young person feels involved in particular aspects of the social care journey was the aim of a number of different studies, some of which related to child protection. Whilst these studies are useful to understand a system-based approach to participation, the relationships between children, young people and social workers are different</w:t>
      </w:r>
      <w:r w:rsidR="008F26E1">
        <w:t xml:space="preserve"> to relationships in </w:t>
      </w:r>
      <w:r w:rsidR="00102D47">
        <w:t>longer</w:t>
      </w:r>
      <w:r w:rsidR="008F26E1">
        <w:t xml:space="preserve"> term work</w:t>
      </w:r>
      <w:r>
        <w:t xml:space="preserve">. </w:t>
      </w:r>
      <w:r w:rsidR="008F26E1">
        <w:t xml:space="preserve">These differences are </w:t>
      </w:r>
      <w:r>
        <w:t xml:space="preserve">because interactions </w:t>
      </w:r>
      <w:r w:rsidR="00102D47">
        <w:t xml:space="preserve">centre on decisions </w:t>
      </w:r>
      <w:r>
        <w:t xml:space="preserve">about </w:t>
      </w:r>
      <w:r w:rsidR="00102D47">
        <w:t xml:space="preserve">risk and sometimes whether children are </w:t>
      </w:r>
      <w:r>
        <w:t>remov</w:t>
      </w:r>
      <w:r w:rsidR="00102D47">
        <w:t>ed</w:t>
      </w:r>
      <w:r>
        <w:t xml:space="preserve"> </w:t>
      </w:r>
      <w:r w:rsidR="00102D47">
        <w:t xml:space="preserve">from their birth family. </w:t>
      </w:r>
      <w:r w:rsidR="00F30ACE">
        <w:t xml:space="preserve">The </w:t>
      </w:r>
      <w:r>
        <w:t xml:space="preserve">focus of the work </w:t>
      </w:r>
      <w:r w:rsidR="00F30ACE">
        <w:t xml:space="preserve">in these interactions </w:t>
      </w:r>
      <w:r w:rsidR="00102D47">
        <w:t xml:space="preserve">is </w:t>
      </w:r>
      <w:r>
        <w:t xml:space="preserve">likely to include birth families in emotive circumstances. Whilst these concerns may have been resolved to some extent for children and young people in the care system, the formality of assessment, planning and support are similar. For this reason, involvement in wider social work decisions have been included in this review where </w:t>
      </w:r>
      <w:r w:rsidR="00DC59B2">
        <w:t>decision-making</w:t>
      </w:r>
      <w:r>
        <w:t xml:space="preserve"> was part of the study. </w:t>
      </w:r>
    </w:p>
    <w:p w14:paraId="2787D4C6" w14:textId="64222022" w:rsidR="005F71A3" w:rsidRDefault="005F71A3">
      <w:r>
        <w:t xml:space="preserve">Generally, children and </w:t>
      </w:r>
      <w:r w:rsidRPr="00BB090D">
        <w:t xml:space="preserve">young people </w:t>
      </w:r>
      <w:r>
        <w:t xml:space="preserve">involved with social care services felt they had </w:t>
      </w:r>
      <w:r w:rsidRPr="00BB090D">
        <w:t>limited opportunities to participate in decision</w:t>
      </w:r>
      <w:r w:rsidRPr="00BB090D">
        <w:rPr>
          <w:rFonts w:ascii="Cambria Math" w:hAnsi="Cambria Math" w:cs="Cambria Math"/>
        </w:rPr>
        <w:t>‐</w:t>
      </w:r>
      <w:r w:rsidRPr="00BB090D">
        <w:t xml:space="preserve">making </w:t>
      </w:r>
      <w:r>
        <w:t xml:space="preserve">relating to their lives </w:t>
      </w:r>
      <w:r w:rsidRPr="00BB090D">
        <w:t>(Leeson 2007; Bessell 2011</w:t>
      </w:r>
      <w:r>
        <w:t xml:space="preserve">; Goodyer, 2014; </w:t>
      </w:r>
      <w:r w:rsidRPr="00CB62AC">
        <w:rPr>
          <w:bdr w:val="none" w:sz="0" w:space="0" w:color="auto" w:frame="1"/>
          <w:shd w:val="clear" w:color="auto" w:fill="FFFFFF"/>
        </w:rPr>
        <w:t>Balsells, Fuentes-Peláez,</w:t>
      </w:r>
      <w:r>
        <w:rPr>
          <w:bdr w:val="none" w:sz="0" w:space="0" w:color="auto" w:frame="1"/>
          <w:shd w:val="clear" w:color="auto" w:fill="FFFFFF"/>
        </w:rPr>
        <w:t xml:space="preserve"> and </w:t>
      </w:r>
      <w:r w:rsidRPr="00CB62AC">
        <w:rPr>
          <w:bdr w:val="none" w:sz="0" w:space="0" w:color="auto" w:frame="1"/>
          <w:shd w:val="clear" w:color="auto" w:fill="FFFFFF"/>
        </w:rPr>
        <w:t>Pastor</w:t>
      </w:r>
      <w:r>
        <w:rPr>
          <w:bdr w:val="none" w:sz="0" w:space="0" w:color="auto" w:frame="1"/>
          <w:shd w:val="clear" w:color="auto" w:fill="FFFFFF"/>
        </w:rPr>
        <w:t>, 2017)</w:t>
      </w:r>
      <w:r>
        <w:t xml:space="preserve">. Information </w:t>
      </w:r>
      <w:r w:rsidRPr="00BB090D">
        <w:t xml:space="preserve">about </w:t>
      </w:r>
      <w:r>
        <w:t>process or what they should expect was often minimal (</w:t>
      </w:r>
      <w:r w:rsidRPr="00BB090D">
        <w:t>Leeson 2007; Bessell 2011)</w:t>
      </w:r>
      <w:r>
        <w:t xml:space="preserve"> yet for many children the need to be involved was important. In Cashmore’s (2011) work relating to court proceedings there was a complex mix of </w:t>
      </w:r>
      <w:r w:rsidR="00F30ACE">
        <w:t xml:space="preserve">some </w:t>
      </w:r>
      <w:r>
        <w:t xml:space="preserve">children wanting to be involved and recognised in the process, and others who felt that their involvement might compromise their relationships with family. Regardless, of these reservations they still wanted to be taken </w:t>
      </w:r>
      <w:r>
        <w:lastRenderedPageBreak/>
        <w:t xml:space="preserve">seriously in the decisions that affected them reflecting the distinction between </w:t>
      </w:r>
      <w:r w:rsidR="00DC59B2">
        <w:t>decision-making</w:t>
      </w:r>
      <w:r>
        <w:t xml:space="preserve"> and participating in decisions.</w:t>
      </w:r>
    </w:p>
    <w:p w14:paraId="446D744B" w14:textId="0E77DCEE" w:rsidR="005F71A3" w:rsidRPr="00F54D04" w:rsidRDefault="005F71A3">
      <w:r>
        <w:t>In research where involvement and participation felt possible, children and young people were able to identify facilitative factors that either helped or could improve their involvement. Individual worker traits were identified as being helpful</w:t>
      </w:r>
      <w:r w:rsidR="00F30ACE">
        <w:t>, for example w</w:t>
      </w:r>
      <w:r>
        <w:t xml:space="preserve">orkers that projected a non-judgmental approach, ability to listen and </w:t>
      </w:r>
      <w:r w:rsidR="00F30ACE">
        <w:t xml:space="preserve">those who </w:t>
      </w:r>
      <w:r>
        <w:t xml:space="preserve">provide opportunities to talk were deemed important </w:t>
      </w:r>
      <w:r w:rsidR="00F30ACE">
        <w:t xml:space="preserve">assets </w:t>
      </w:r>
      <w:r>
        <w:t>to children when asked about their views of services (Mainey, Ellis and Lewis, 2009). Across a range of practice situations including child protection, statutory review meetings and residential care, being honest and trustworthy were also cited as key traits to feeling able to talk</w:t>
      </w:r>
      <w:r w:rsidR="00F30ACE">
        <w:t xml:space="preserve"> to professionals</w:t>
      </w:r>
      <w:r>
        <w:t xml:space="preserve"> (Cossar and Long, 2008; Pert, Diaz and Thomas,</w:t>
      </w:r>
      <w:r w:rsidR="0066791B">
        <w:t xml:space="preserve"> </w:t>
      </w:r>
      <w:r w:rsidR="0066791B" w:rsidRPr="00563EC7">
        <w:rPr>
          <w:rStyle w:val="bibauth"/>
          <w:sz w:val="21"/>
          <w:szCs w:val="21"/>
          <w:bdr w:val="none" w:sz="0" w:space="0" w:color="auto" w:frame="1"/>
          <w:shd w:val="clear" w:color="auto" w:fill="FFFFFF"/>
        </w:rPr>
        <w:t>Cossar, Brandon</w:t>
      </w:r>
      <w:r w:rsidR="0066791B">
        <w:rPr>
          <w:rStyle w:val="bibauth"/>
          <w:sz w:val="21"/>
          <w:szCs w:val="21"/>
          <w:bdr w:val="none" w:sz="0" w:space="0" w:color="auto" w:frame="1"/>
          <w:shd w:val="clear" w:color="auto" w:fill="FFFFFF"/>
        </w:rPr>
        <w:t xml:space="preserve"> </w:t>
      </w:r>
      <w:r w:rsidR="0066791B" w:rsidRPr="00563EC7">
        <w:rPr>
          <w:rStyle w:val="bibauth"/>
          <w:sz w:val="21"/>
          <w:szCs w:val="21"/>
          <w:bdr w:val="none" w:sz="0" w:space="0" w:color="auto" w:frame="1"/>
          <w:shd w:val="clear" w:color="auto" w:fill="FFFFFF"/>
        </w:rPr>
        <w:t>and Jordan</w:t>
      </w:r>
      <w:r w:rsidR="0066791B">
        <w:rPr>
          <w:rStyle w:val="bibauth"/>
          <w:sz w:val="21"/>
          <w:szCs w:val="21"/>
          <w:bdr w:val="none" w:sz="0" w:space="0" w:color="auto" w:frame="1"/>
          <w:shd w:val="clear" w:color="auto" w:fill="FFFFFF"/>
        </w:rPr>
        <w:t>,</w:t>
      </w:r>
      <w:r>
        <w:t xml:space="preserve"> 201</w:t>
      </w:r>
      <w:r w:rsidR="00680E00">
        <w:t>6</w:t>
      </w:r>
      <w:r>
        <w:t xml:space="preserve">; </w:t>
      </w:r>
      <w:r w:rsidRPr="00553B80">
        <w:t>Schofield, Larsson and Ward</w:t>
      </w:r>
      <w:r>
        <w:t xml:space="preserve">, </w:t>
      </w:r>
      <w:r w:rsidRPr="00553B80">
        <w:t>2017</w:t>
      </w:r>
      <w:r>
        <w:t xml:space="preserve">). Although hard to specify what these elements look or feel like, what is apparent is the need to feel that there is care and interest from their worker. In Narey and Ower’s (2018) review of fostering services, children and young people identified that </w:t>
      </w:r>
      <w:r w:rsidR="006B360C">
        <w:t xml:space="preserve">care and interest shown by the social worker is </w:t>
      </w:r>
      <w:r>
        <w:t xml:space="preserve">a necessary </w:t>
      </w:r>
      <w:r w:rsidR="006B360C">
        <w:t xml:space="preserve">trait for a successful </w:t>
      </w:r>
      <w:r>
        <w:t>relationship. Trust in a relationship was also found to be key in supporting a sense of agency (Munford and Saunders, 2015) and</w:t>
      </w:r>
      <w:r w:rsidR="00BB1F89">
        <w:t xml:space="preserve"> in</w:t>
      </w:r>
      <w:r>
        <w:t xml:space="preserve"> developing a participative environment (Roesch-Marsh, Gillies and Green, 201</w:t>
      </w:r>
      <w:r w:rsidR="00680E00">
        <w:t>7</w:t>
      </w:r>
      <w:r>
        <w:t>).</w:t>
      </w:r>
    </w:p>
    <w:p w14:paraId="1AA08EBC" w14:textId="5A08A78C" w:rsidR="005F71A3" w:rsidRDefault="005F71A3">
      <w:r>
        <w:t>The issue of agency is relevant to t</w:t>
      </w:r>
      <w:r w:rsidRPr="00174389">
        <w:t>he experiences of</w:t>
      </w:r>
      <w:r>
        <w:t xml:space="preserve"> children and young people </w:t>
      </w:r>
      <w:r w:rsidRPr="00174389">
        <w:t>in or leaving care placements</w:t>
      </w:r>
      <w:r>
        <w:t>. For this group</w:t>
      </w:r>
      <w:r w:rsidR="007A453D">
        <w:t>,</w:t>
      </w:r>
      <w:r>
        <w:t xml:space="preserve"> time, opportunity and more established relationships with professionals mean that there are multiple interactions where decisions are made. In Priestley’s (2020) study about agency and empowerment, the young people experience</w:t>
      </w:r>
      <w:r w:rsidR="006B360C">
        <w:t>d</w:t>
      </w:r>
      <w:r>
        <w:t xml:space="preserve"> the paradox of participation, where their </w:t>
      </w:r>
      <w:r w:rsidR="00F30ACE">
        <w:t xml:space="preserve">views about policy were sought when in a </w:t>
      </w:r>
      <w:r w:rsidR="002C6966">
        <w:t xml:space="preserve">focus </w:t>
      </w:r>
      <w:r>
        <w:t xml:space="preserve">group, </w:t>
      </w:r>
      <w:r w:rsidR="00F30ACE">
        <w:t xml:space="preserve">but </w:t>
      </w:r>
      <w:r w:rsidR="008307C7">
        <w:t xml:space="preserve">not in their </w:t>
      </w:r>
      <w:r w:rsidR="00F30ACE">
        <w:t xml:space="preserve">individual </w:t>
      </w:r>
      <w:r w:rsidR="008307C7">
        <w:t>experiences with social workers</w:t>
      </w:r>
      <w:r>
        <w:t xml:space="preserve">. </w:t>
      </w:r>
      <w:r w:rsidR="008307C7">
        <w:t>Through their i</w:t>
      </w:r>
      <w:r>
        <w:t xml:space="preserve">nvolvement in the </w:t>
      </w:r>
      <w:r w:rsidR="002C6966">
        <w:t>group,</w:t>
      </w:r>
      <w:r>
        <w:t xml:space="preserve"> </w:t>
      </w:r>
      <w:r w:rsidR="008307C7">
        <w:t>they became aware of the</w:t>
      </w:r>
      <w:r>
        <w:t xml:space="preserve"> possibilities for change and their ability to act</w:t>
      </w:r>
      <w:r w:rsidR="002C6966">
        <w:t xml:space="preserve"> (Priestley, 2020)</w:t>
      </w:r>
      <w:r>
        <w:t>. Agency was identified as a resilience factor in the lives of young people in residential care (</w:t>
      </w:r>
      <w:r w:rsidRPr="00553B80">
        <w:t>Schofield, Larsson and Ward</w:t>
      </w:r>
      <w:r>
        <w:t xml:space="preserve">, </w:t>
      </w:r>
      <w:r w:rsidRPr="00553B80">
        <w:t>2017</w:t>
      </w:r>
      <w:r>
        <w:t xml:space="preserve">). Personal narratives about behaviour and actions shaped the young person’s understanding of how change came about. </w:t>
      </w:r>
      <w:r w:rsidRPr="00553B80">
        <w:t xml:space="preserve">Schofield, Larsson and Ward’s (2017) study about leaving residential care, found that young people had </w:t>
      </w:r>
      <w:r>
        <w:t xml:space="preserve">a </w:t>
      </w:r>
      <w:r w:rsidRPr="00553B80">
        <w:t xml:space="preserve">mixed </w:t>
      </w:r>
      <w:r>
        <w:t xml:space="preserve">understanding </w:t>
      </w:r>
      <w:r w:rsidRPr="00553B80">
        <w:t xml:space="preserve">about their power </w:t>
      </w:r>
      <w:r>
        <w:t xml:space="preserve">in </w:t>
      </w:r>
      <w:r w:rsidRPr="00553B80">
        <w:t>decision</w:t>
      </w:r>
      <w:r>
        <w:t>s made</w:t>
      </w:r>
      <w:r w:rsidRPr="00553B80">
        <w:t>. In matters relating to them, young people stated that they felt powerless</w:t>
      </w:r>
      <w:r>
        <w:t xml:space="preserve"> but when a placement ended as a result of their actions, they felt powerful</w:t>
      </w:r>
      <w:r w:rsidR="002C6966">
        <w:t xml:space="preserve"> (</w:t>
      </w:r>
      <w:r w:rsidR="002C6966" w:rsidRPr="00553B80">
        <w:t>Schofield, Larsson and Ward</w:t>
      </w:r>
      <w:r w:rsidR="002C6966">
        <w:t xml:space="preserve">, </w:t>
      </w:r>
      <w:r w:rsidR="002C6966" w:rsidRPr="00553B80">
        <w:t>2017</w:t>
      </w:r>
      <w:r w:rsidR="002C6966">
        <w:t>)</w:t>
      </w:r>
      <w:r>
        <w:t xml:space="preserve">. This interpretation of agency suggests that young people need support to help them understand the parameters of decisions made. The inclination to be involved in decisions was also reflected by </w:t>
      </w:r>
      <w:r w:rsidRPr="00D17C73">
        <w:t>Gaskell</w:t>
      </w:r>
      <w:r>
        <w:t xml:space="preserve"> (</w:t>
      </w:r>
      <w:r w:rsidRPr="00D17C73">
        <w:t>2010</w:t>
      </w:r>
      <w:r>
        <w:t>). Young people felt c</w:t>
      </w:r>
      <w:r w:rsidRPr="00D17C73">
        <w:t>onfused by decisions made about them</w:t>
      </w:r>
      <w:r>
        <w:t xml:space="preserve">, and </w:t>
      </w:r>
      <w:r>
        <w:lastRenderedPageBreak/>
        <w:t xml:space="preserve">the lack of involvement conveyed a sense of not being </w:t>
      </w:r>
      <w:r w:rsidRPr="00D17C73">
        <w:t>valued</w:t>
      </w:r>
      <w:r>
        <w:t xml:space="preserve"> or respected by workers. Despite the desire to be involved, young people felt disillusioned by the response deterring them from future attempts (Gaskell, 2010). The wish to be involved is not confined to older children and young people, recognition was important to younger children in care who wanted to talk and have their views included in assessment (Winter, 2010).</w:t>
      </w:r>
    </w:p>
    <w:p w14:paraId="167FEFC2" w14:textId="1BEFAA3D" w:rsidR="005F71A3" w:rsidRDefault="005F71A3">
      <w:r w:rsidRPr="003E3DDD">
        <w:t xml:space="preserve">Studies about placement </w:t>
      </w:r>
      <w:r>
        <w:t>moves highlight the impact for children and young people when feel</w:t>
      </w:r>
      <w:r w:rsidR="002C6966">
        <w:t>ing</w:t>
      </w:r>
      <w:r>
        <w:t xml:space="preserve"> excluded from decisions.</w:t>
      </w:r>
      <w:r w:rsidRPr="003E3DDD">
        <w:t xml:space="preserve"> </w:t>
      </w:r>
      <w:r w:rsidR="00412FCB">
        <w:t xml:space="preserve">Children and young people felt that they had </w:t>
      </w:r>
      <w:r w:rsidR="00BC494C">
        <w:t>a</w:t>
      </w:r>
      <w:r>
        <w:t xml:space="preserve"> lack of understanding </w:t>
      </w:r>
      <w:r w:rsidR="00BC494C">
        <w:t xml:space="preserve">about </w:t>
      </w:r>
      <w:r>
        <w:t>why a move ha</w:t>
      </w:r>
      <w:r w:rsidR="00BC494C">
        <w:t>d</w:t>
      </w:r>
      <w:r>
        <w:t xml:space="preserve"> happened and </w:t>
      </w:r>
      <w:r w:rsidR="00BC494C">
        <w:t xml:space="preserve">generally expressed </w:t>
      </w:r>
      <w:r>
        <w:t xml:space="preserve">feelings of confusion </w:t>
      </w:r>
      <w:r w:rsidR="00BC494C">
        <w:t xml:space="preserve">about their situation </w:t>
      </w:r>
      <w:r w:rsidRPr="003E3DDD">
        <w:t>(</w:t>
      </w:r>
      <w:r>
        <w:t xml:space="preserve">Nybell, 2013; Goodyer, 2014; </w:t>
      </w:r>
      <w:r w:rsidRPr="003E3DDD">
        <w:t xml:space="preserve">Mateos et al., 2017). Nybell’s (2013) study exploring the voice of American children in foster care, </w:t>
      </w:r>
      <w:r>
        <w:t>outlined</w:t>
      </w:r>
      <w:r w:rsidRPr="003E3DDD">
        <w:t xml:space="preserve"> the complex nature of self-advocac</w:t>
      </w:r>
      <w:r w:rsidR="00BC494C">
        <w:t>y with young people</w:t>
      </w:r>
      <w:r w:rsidR="002C6966">
        <w:t>,</w:t>
      </w:r>
      <w:r w:rsidR="00BC494C">
        <w:t xml:space="preserve"> </w:t>
      </w:r>
      <w:r w:rsidRPr="003E3DDD">
        <w:t>describ</w:t>
      </w:r>
      <w:r w:rsidR="00BC494C">
        <w:t>ing</w:t>
      </w:r>
      <w:r w:rsidRPr="003E3DDD">
        <w:t xml:space="preserve"> fluctuating confidence, opportunity and relationship quality as determining factors for their involvement in decisions made about their lives</w:t>
      </w:r>
      <w:r w:rsidR="00BC494C">
        <w:t xml:space="preserve">. </w:t>
      </w:r>
      <w:r w:rsidRPr="003E3DDD">
        <w:t xml:space="preserve">An overriding message </w:t>
      </w:r>
      <w:r w:rsidR="002C6966">
        <w:t>in Nybell’s (2013)</w:t>
      </w:r>
      <w:r w:rsidR="002C6966" w:rsidRPr="003E3DDD">
        <w:t xml:space="preserve"> </w:t>
      </w:r>
      <w:r w:rsidR="002C6966">
        <w:t xml:space="preserve">study </w:t>
      </w:r>
      <w:r w:rsidRPr="003E3DDD">
        <w:t xml:space="preserve">was that </w:t>
      </w:r>
      <w:r>
        <w:t xml:space="preserve">young people </w:t>
      </w:r>
      <w:r w:rsidRPr="003E3DDD">
        <w:t xml:space="preserve">felt greater weight and time </w:t>
      </w:r>
      <w:r w:rsidR="002C6966">
        <w:t xml:space="preserve">was </w:t>
      </w:r>
      <w:r w:rsidRPr="003E3DDD">
        <w:t xml:space="preserve">needed to </w:t>
      </w:r>
      <w:r w:rsidR="002C6966">
        <w:t>facilitate</w:t>
      </w:r>
      <w:r w:rsidRPr="003E3DDD">
        <w:t xml:space="preserve"> their involvement in placement choices. This </w:t>
      </w:r>
      <w:r w:rsidR="00CE275D">
        <w:t>is</w:t>
      </w:r>
      <w:r w:rsidRPr="003E3DDD">
        <w:t xml:space="preserve"> consistent with an earlier study by McLeod (2006)</w:t>
      </w:r>
      <w:r>
        <w:t xml:space="preserve"> and a more recent study by Goodyer (2014)</w:t>
      </w:r>
      <w:r w:rsidRPr="003E3DDD">
        <w:t>, who noted that</w:t>
      </w:r>
      <w:r w:rsidR="002C6966">
        <w:t xml:space="preserve"> a lack of say in placement moves increased the young people’s anxiety and</w:t>
      </w:r>
      <w:r w:rsidRPr="003E3DDD">
        <w:t xml:space="preserve"> feeling heard in their choice of placement was the single most important factor. </w:t>
      </w:r>
    </w:p>
    <w:p w14:paraId="1CDA8ACC" w14:textId="2C96CF38" w:rsidR="005F71A3" w:rsidRPr="003E3DDD" w:rsidRDefault="005F71A3">
      <w:r w:rsidRPr="003E3DDD">
        <w:t>Other studies have found that children and young people fe</w:t>
      </w:r>
      <w:r>
        <w:t>lt</w:t>
      </w:r>
      <w:r w:rsidRPr="003E3DDD">
        <w:t xml:space="preserve"> removed from decisions about where they live. In Coy’s (2009) </w:t>
      </w:r>
      <w:r w:rsidR="008307C7">
        <w:t>study with</w:t>
      </w:r>
      <w:r w:rsidRPr="003E3DDD">
        <w:t xml:space="preserve"> young women who had been sexually exploited</w:t>
      </w:r>
      <w:r w:rsidR="008307C7">
        <w:t xml:space="preserve">, participants </w:t>
      </w:r>
      <w:r w:rsidRPr="003E3DDD">
        <w:t xml:space="preserve">expressed their sense of powerlessness in the frequency and unexpected change of carers. The result of </w:t>
      </w:r>
      <w:r>
        <w:t xml:space="preserve">these changes </w:t>
      </w:r>
      <w:r w:rsidRPr="003E3DDD">
        <w:t xml:space="preserve">meant that young women did not invest in their placement, </w:t>
      </w:r>
      <w:r w:rsidR="008307C7">
        <w:t xml:space="preserve">and </w:t>
      </w:r>
      <w:r w:rsidRPr="003E3DDD">
        <w:t xml:space="preserve">they chose to bypass the </w:t>
      </w:r>
      <w:r w:rsidR="008307C7">
        <w:t>l</w:t>
      </w:r>
      <w:r w:rsidRPr="003E3DDD">
        <w:t xml:space="preserve">ocal </w:t>
      </w:r>
      <w:r w:rsidR="008307C7">
        <w:t>a</w:t>
      </w:r>
      <w:r w:rsidRPr="003E3DDD">
        <w:t xml:space="preserve">uthority to find their own accommodation to combat the possibility of further moves (Coy, 2009). </w:t>
      </w:r>
      <w:r>
        <w:t xml:space="preserve">Young people living in residential care also felt in the dark during placement changes (Kor, Fernandez and Spangaro, 2017) leading to </w:t>
      </w:r>
      <w:r>
        <w:rPr>
          <w:bdr w:val="none" w:sz="0" w:space="0" w:color="auto" w:frame="1"/>
          <w:shd w:val="clear" w:color="auto" w:fill="FFFFFF"/>
        </w:rPr>
        <w:t xml:space="preserve">feelings of disconnect with </w:t>
      </w:r>
      <w:r w:rsidR="008307C7">
        <w:rPr>
          <w:bdr w:val="none" w:sz="0" w:space="0" w:color="auto" w:frame="1"/>
          <w:shd w:val="clear" w:color="auto" w:fill="FFFFFF"/>
        </w:rPr>
        <w:t xml:space="preserve">professionals during </w:t>
      </w:r>
      <w:r>
        <w:rPr>
          <w:bdr w:val="none" w:sz="0" w:space="0" w:color="auto" w:frame="1"/>
          <w:shd w:val="clear" w:color="auto" w:fill="FFFFFF"/>
        </w:rPr>
        <w:t xml:space="preserve">changes they experienced, contributing to an overall weaker sense of agency. </w:t>
      </w:r>
    </w:p>
    <w:p w14:paraId="5C2170B2" w14:textId="210BD972" w:rsidR="005F71A3" w:rsidRDefault="005F71A3">
      <w:r w:rsidRPr="003E3DDD">
        <w:t>Further studies repeat messages of young people feeling unable to participate in decisions about when and where the</w:t>
      </w:r>
      <w:r>
        <w:t>y</w:t>
      </w:r>
      <w:r w:rsidRPr="003E3DDD">
        <w:t xml:space="preserve"> moved to. In a Canadian study with participants aged 15 years old, a reduced or absent sense of agency is reported before moving but also</w:t>
      </w:r>
      <w:r>
        <w:t xml:space="preserve"> in </w:t>
      </w:r>
      <w:r w:rsidRPr="003E3DDD">
        <w:t>opportunities to express their view after the move has taken place (Hébert, Lanctôt and Turcott, 2016). In turn this led to greater instability</w:t>
      </w:r>
      <w:r w:rsidR="00684DB6">
        <w:t>,</w:t>
      </w:r>
      <w:r w:rsidRPr="003E3DDD">
        <w:t xml:space="preserve"> as young people lost trust in adult relationships and experienced feelings of rejection. The impact on the relationships with adults was a </w:t>
      </w:r>
      <w:r>
        <w:t>notable</w:t>
      </w:r>
      <w:r w:rsidRPr="003E3DDD">
        <w:t xml:space="preserve"> </w:t>
      </w:r>
      <w:r w:rsidRPr="003E3DDD">
        <w:lastRenderedPageBreak/>
        <w:t>finding of Munford and Sander’s (2015) study focusing on young people’s agency in New Zealand. Young people again report</w:t>
      </w:r>
      <w:r>
        <w:t>ed</w:t>
      </w:r>
      <w:r w:rsidRPr="003E3DDD">
        <w:t xml:space="preserve"> that they were not included in making decisions about where they lived and other aspects of their care. Being isolated in this way meant that young people felt distant from the adults they were working with and wanted this bond to help them face the transitions they were experiencing. </w:t>
      </w:r>
    </w:p>
    <w:p w14:paraId="6FDD1BAA" w14:textId="3BC5C156" w:rsidR="005F71A3" w:rsidRDefault="005F71A3">
      <w:r>
        <w:t xml:space="preserve">The research combining the issues of leaving state care and </w:t>
      </w:r>
      <w:r w:rsidR="00DC59B2">
        <w:t>decision-making</w:t>
      </w:r>
      <w:r>
        <w:t xml:space="preserve"> is limited</w:t>
      </w:r>
      <w:r w:rsidR="00513E4D">
        <w:t>, highlighting the value of my study in this field</w:t>
      </w:r>
      <w:r>
        <w:t>. During the planning for post care support, some young people leading up to their 18</w:t>
      </w:r>
      <w:r w:rsidRPr="00F07181">
        <w:rPr>
          <w:vertAlign w:val="superscript"/>
        </w:rPr>
        <w:t>th</w:t>
      </w:r>
      <w:r>
        <w:t xml:space="preserve"> birthday say they fe</w:t>
      </w:r>
      <w:r w:rsidR="00CE275D">
        <w:t>lt</w:t>
      </w:r>
      <w:r>
        <w:t xml:space="preserve"> they ma</w:t>
      </w:r>
      <w:r w:rsidR="00CE275D">
        <w:t>de</w:t>
      </w:r>
      <w:r>
        <w:t xml:space="preserve"> no contribution to or were unaware of their pathway or transition plan (Mitchell et al</w:t>
      </w:r>
      <w:r w:rsidR="00015D04">
        <w:t>.</w:t>
      </w:r>
      <w:r>
        <w:t xml:space="preserve">, 2015; Glynn and Maycock, 2018; </w:t>
      </w:r>
      <w:r>
        <w:rPr>
          <w:bdr w:val="none" w:sz="0" w:space="0" w:color="auto" w:frame="1"/>
          <w:shd w:val="clear" w:color="auto" w:fill="FFFFFF"/>
        </w:rPr>
        <w:t>Brihelm-Crookall et al</w:t>
      </w:r>
      <w:r w:rsidR="00015D04">
        <w:rPr>
          <w:bdr w:val="none" w:sz="0" w:space="0" w:color="auto" w:frame="1"/>
          <w:shd w:val="clear" w:color="auto" w:fill="FFFFFF"/>
        </w:rPr>
        <w:t>.</w:t>
      </w:r>
      <w:r>
        <w:rPr>
          <w:bdr w:val="none" w:sz="0" w:space="0" w:color="auto" w:frame="1"/>
          <w:shd w:val="clear" w:color="auto" w:fill="FFFFFF"/>
        </w:rPr>
        <w:t xml:space="preserve">, 2020). Whilst these studies are not specifically about </w:t>
      </w:r>
      <w:r w:rsidR="00DC59B2">
        <w:rPr>
          <w:bdr w:val="none" w:sz="0" w:space="0" w:color="auto" w:frame="1"/>
          <w:shd w:val="clear" w:color="auto" w:fill="FFFFFF"/>
        </w:rPr>
        <w:t>decision-making</w:t>
      </w:r>
      <w:r>
        <w:rPr>
          <w:bdr w:val="none" w:sz="0" w:space="0" w:color="auto" w:frame="1"/>
          <w:shd w:val="clear" w:color="auto" w:fill="FFFFFF"/>
        </w:rPr>
        <w:t>, the lack of involvement in planning suggests a continuation of exclusion from key events highlighted by previously noted research. Young people leaving care understood leaving to mean becoming self-reliant, which could bring about apprehensions but also hope (Kor, Fernandez and Spangaro, 2021). However, it is more likely that young people’s sense of apprehension is exacerbated by a lack of participation and not feeling listened to (Pauls</w:t>
      </w:r>
      <w:r w:rsidR="008126B8">
        <w:rPr>
          <w:bdr w:val="none" w:sz="0" w:space="0" w:color="auto" w:frame="1"/>
          <w:shd w:val="clear" w:color="auto" w:fill="FFFFFF"/>
        </w:rPr>
        <w:t>e</w:t>
      </w:r>
      <w:r>
        <w:rPr>
          <w:bdr w:val="none" w:sz="0" w:space="0" w:color="auto" w:frame="1"/>
          <w:shd w:val="clear" w:color="auto" w:fill="FFFFFF"/>
        </w:rPr>
        <w:t xml:space="preserve">n and Thomas, 2018). </w:t>
      </w:r>
      <w:r>
        <w:t xml:space="preserve">Overall, much like other aspects of the care pathway the experiences of young people leaving care suggests that there is a general lack </w:t>
      </w:r>
      <w:r w:rsidRPr="00655CC2">
        <w:t>of involvement in the decisions as they make the transition to living away from their placement (Bessell, 2011; Daly, 2012; Törrönen &amp; Vornanen, 2014</w:t>
      </w:r>
      <w:r>
        <w:t>; Glynn and Mayock, 2018).</w:t>
      </w:r>
    </w:p>
    <w:p w14:paraId="64EA1444" w14:textId="3FDF7C39" w:rsidR="005F71A3" w:rsidRDefault="005F71A3">
      <w:r>
        <w:t xml:space="preserve">The </w:t>
      </w:r>
      <w:r w:rsidR="008307C7">
        <w:t>literature</w:t>
      </w:r>
      <w:r w:rsidR="000A294E">
        <w:t xml:space="preserve"> presented in this chapter</w:t>
      </w:r>
      <w:r w:rsidR="008307C7">
        <w:t xml:space="preserve"> about </w:t>
      </w:r>
      <w:r w:rsidR="000A294E">
        <w:t xml:space="preserve">participation in </w:t>
      </w:r>
      <w:r>
        <w:t>decision</w:t>
      </w:r>
      <w:r w:rsidR="000A294E">
        <w:t>-</w:t>
      </w:r>
      <w:r>
        <w:t>making</w:t>
      </w:r>
      <w:r w:rsidR="008307C7">
        <w:t xml:space="preserve"> </w:t>
      </w:r>
      <w:r>
        <w:t xml:space="preserve">has underlined the mixed experiences of children and young people making decisions about their care. </w:t>
      </w:r>
      <w:r w:rsidR="008307C7">
        <w:t xml:space="preserve">Social workers </w:t>
      </w:r>
      <w:r w:rsidR="000A294E">
        <w:t>can</w:t>
      </w:r>
      <w:r w:rsidR="008307C7">
        <w:t xml:space="preserve"> be </w:t>
      </w:r>
      <w:r w:rsidR="000927DC">
        <w:t xml:space="preserve">caught between </w:t>
      </w:r>
      <w:r w:rsidR="008307C7">
        <w:t>conflic</w:t>
      </w:r>
      <w:r w:rsidR="000927DC">
        <w:t xml:space="preserve">ting discourses about a child’s protection and their right to participate in decisions (Shemmings, 2000). </w:t>
      </w:r>
      <w:r w:rsidR="000A294E">
        <w:t xml:space="preserve">These </w:t>
      </w:r>
      <w:r w:rsidR="000927DC">
        <w:t xml:space="preserve">personal </w:t>
      </w:r>
      <w:r w:rsidR="000A294E">
        <w:t xml:space="preserve">conflicts </w:t>
      </w:r>
      <w:r w:rsidR="00C2177C">
        <w:t xml:space="preserve">coexisted with other systemic </w:t>
      </w:r>
      <w:r w:rsidR="000927DC">
        <w:t>and structur</w:t>
      </w:r>
      <w:r w:rsidR="00C2177C">
        <w:t>al barriers</w:t>
      </w:r>
      <w:r w:rsidR="006C67D8">
        <w:t xml:space="preserve">, reinforcing Lundy’s (2009) assertion that a child’s participation is more likely if thought is given to questions of what, how and when a child is being involved. </w:t>
      </w:r>
      <w:r>
        <w:t xml:space="preserve">In the second </w:t>
      </w:r>
      <w:r w:rsidR="00CE275D">
        <w:t>section</w:t>
      </w:r>
      <w:r>
        <w:t xml:space="preserve">, the literature underlined that children and young people recognise their exclusion and </w:t>
      </w:r>
      <w:r w:rsidR="00C2177C">
        <w:t>echo</w:t>
      </w:r>
      <w:r>
        <w:t xml:space="preserve"> some of the social worker’s reasons for feeling unable to participate. Both elements are relevant to thinking about the young people in my study</w:t>
      </w:r>
      <w:r w:rsidR="009E31B0">
        <w:t>,</w:t>
      </w:r>
      <w:r>
        <w:t xml:space="preserve"> as the decision to stay put is explicitly understood as a decision and the young people are approaching legal adulthood. None of the literature has specifically addressed </w:t>
      </w:r>
      <w:r w:rsidRPr="006E3485">
        <w:rPr>
          <w:i/>
          <w:iCs/>
        </w:rPr>
        <w:t>Staying Put</w:t>
      </w:r>
      <w:r>
        <w:t xml:space="preserve"> based decisions, therefore my study is informed by th</w:t>
      </w:r>
      <w:r w:rsidR="00C2177C">
        <w:t>is</w:t>
      </w:r>
      <w:r>
        <w:t xml:space="preserve"> wider range of </w:t>
      </w:r>
      <w:r w:rsidR="00C2177C">
        <w:t>decision-making</w:t>
      </w:r>
      <w:r>
        <w:t xml:space="preserve"> research. The next </w:t>
      </w:r>
      <w:r w:rsidR="00CE275D">
        <w:t>section</w:t>
      </w:r>
      <w:r>
        <w:t xml:space="preserve"> of this chapter reviews the studies relating to leaving care, which </w:t>
      </w:r>
      <w:r>
        <w:lastRenderedPageBreak/>
        <w:t>help locate the young people’s decision in the context of what is known about this period of the care journey.</w:t>
      </w:r>
    </w:p>
    <w:p w14:paraId="61C5DE39" w14:textId="1A3D0F57" w:rsidR="00840F8A" w:rsidRDefault="00840F8A">
      <w:pPr>
        <w:pStyle w:val="Heading2"/>
      </w:pPr>
      <w:bookmarkStart w:id="30" w:name="_Toc101108484"/>
      <w:r>
        <w:t>Leaving Care</w:t>
      </w:r>
      <w:bookmarkEnd w:id="30"/>
    </w:p>
    <w:p w14:paraId="0C127DB8" w14:textId="7C707204" w:rsidR="00840F8A" w:rsidRPr="00917CDE" w:rsidRDefault="00840F8A">
      <w:r w:rsidRPr="00917CDE">
        <w:t xml:space="preserve">This section explores the literature relating to options for young people leaving care and the impact of moving on from their care placement. Although the focus of </w:t>
      </w:r>
      <w:r>
        <w:t xml:space="preserve">my </w:t>
      </w:r>
      <w:r w:rsidRPr="00917CDE">
        <w:t>study is not specifically looking at outcome measures, research highlighting young people’s experiences and issues</w:t>
      </w:r>
      <w:r w:rsidR="006C67D8">
        <w:t xml:space="preserve"> about leaving care</w:t>
      </w:r>
      <w:r w:rsidRPr="00917CDE">
        <w:t xml:space="preserve"> is helpful in locating both the driver for </w:t>
      </w:r>
      <w:r w:rsidRPr="009A72EE">
        <w:rPr>
          <w:i/>
          <w:iCs/>
        </w:rPr>
        <w:t>Staying Put</w:t>
      </w:r>
      <w:r w:rsidRPr="00917CDE">
        <w:t xml:space="preserve">, and context of a young person’s life in care and </w:t>
      </w:r>
      <w:r w:rsidR="00183EB2">
        <w:t xml:space="preserve">opportunities and challenges </w:t>
      </w:r>
      <w:r w:rsidRPr="00917CDE">
        <w:t>once they have left their placement. The core issues commonly discussed in research</w:t>
      </w:r>
      <w:r w:rsidR="00183EB2">
        <w:t xml:space="preserve"> about young people leaving care </w:t>
      </w:r>
      <w:r w:rsidR="00430C3C">
        <w:t>are</w:t>
      </w:r>
      <w:r w:rsidRPr="00917CDE">
        <w:t xml:space="preserve"> education, employment, housing and social problems, </w:t>
      </w:r>
      <w:r w:rsidR="00183EB2">
        <w:t xml:space="preserve">which </w:t>
      </w:r>
      <w:r w:rsidRPr="00917CDE">
        <w:t>are areas of life that generate fears and anxieties for young people about future choices (</w:t>
      </w:r>
      <w:r w:rsidR="00F316CC">
        <w:t>Arnett</w:t>
      </w:r>
      <w:r w:rsidRPr="00917CDE">
        <w:t>, 201</w:t>
      </w:r>
      <w:r w:rsidR="00F316CC">
        <w:t>5</w:t>
      </w:r>
      <w:r w:rsidRPr="00917CDE">
        <w:t xml:space="preserve">). Young people will be grappling with these issues alongside the experience of renegotiating their relationships with carers and social workers, and in the case of </w:t>
      </w:r>
      <w:r w:rsidRPr="009A72EE">
        <w:rPr>
          <w:i/>
          <w:iCs/>
        </w:rPr>
        <w:t>Staying Put</w:t>
      </w:r>
      <w:r w:rsidRPr="00917CDE">
        <w:t xml:space="preserve">, decisions about </w:t>
      </w:r>
      <w:r w:rsidR="00183EB2">
        <w:t>whether or not to stay with</w:t>
      </w:r>
      <w:r w:rsidRPr="00917CDE">
        <w:t xml:space="preserve"> their foster carers. </w:t>
      </w:r>
      <w:r>
        <w:t>In t</w:t>
      </w:r>
      <w:r w:rsidRPr="00917CDE">
        <w:t xml:space="preserve">he first section </w:t>
      </w:r>
      <w:r>
        <w:t xml:space="preserve">the </w:t>
      </w:r>
      <w:r w:rsidRPr="00917CDE">
        <w:t>literature relating to the core issues for young people leaving care</w:t>
      </w:r>
      <w:r>
        <w:t xml:space="preserve"> are explored</w:t>
      </w:r>
      <w:r w:rsidRPr="00917CDE">
        <w:t xml:space="preserve">, followed by </w:t>
      </w:r>
      <w:r w:rsidR="00183EB2">
        <w:t xml:space="preserve">a </w:t>
      </w:r>
      <w:r w:rsidRPr="00917CDE">
        <w:t xml:space="preserve">discussion about living arrangements for young people as they reach the age of 18. </w:t>
      </w:r>
    </w:p>
    <w:p w14:paraId="7B4841D7" w14:textId="61D1F349" w:rsidR="005C2238" w:rsidRPr="00917CDE" w:rsidRDefault="00840F8A" w:rsidP="005C2238">
      <w:r w:rsidRPr="00917CDE">
        <w:t>The experiences of young people leaving public care are multifaceted and nuanced due to</w:t>
      </w:r>
      <w:r w:rsidR="00183EB2">
        <w:t xml:space="preserve"> a number of different factors. Young people will have come into care </w:t>
      </w:r>
      <w:r w:rsidR="00071E3D">
        <w:t xml:space="preserve">at different ages and </w:t>
      </w:r>
      <w:r w:rsidR="00183EB2">
        <w:t>for multiple</w:t>
      </w:r>
      <w:r w:rsidRPr="00917CDE">
        <w:t xml:space="preserve"> reasons</w:t>
      </w:r>
      <w:r w:rsidR="00183EB2">
        <w:t xml:space="preserve">, they will have experienced </w:t>
      </w:r>
      <w:r w:rsidR="00071E3D">
        <w:t>a rang</w:t>
      </w:r>
      <w:r w:rsidR="005C2238">
        <w:t>e</w:t>
      </w:r>
      <w:r w:rsidR="00071E3D">
        <w:t xml:space="preserve"> of</w:t>
      </w:r>
      <w:r w:rsidRPr="00917CDE">
        <w:t xml:space="preserve"> placement </w:t>
      </w:r>
      <w:r w:rsidR="00183EB2">
        <w:t xml:space="preserve">types and had varying </w:t>
      </w:r>
      <w:r w:rsidRPr="00917CDE">
        <w:t xml:space="preserve">support </w:t>
      </w:r>
      <w:r w:rsidR="00071E3D">
        <w:t>from professionals, friends and family</w:t>
      </w:r>
      <w:r w:rsidRPr="00917CDE">
        <w:t>. Like any other social group</w:t>
      </w:r>
      <w:r w:rsidR="00F76B63">
        <w:t xml:space="preserve"> of people</w:t>
      </w:r>
      <w:r w:rsidR="00907360">
        <w:t>,</w:t>
      </w:r>
      <w:r w:rsidRPr="00917CDE">
        <w:t xml:space="preserve"> homogeneity can only be identified within specific boundaries and is problematic when explaining the transition for all young people, reflected in research with this group (Pinkerton, 2011). </w:t>
      </w:r>
      <w:r w:rsidR="00071E3D" w:rsidRPr="00071E3D">
        <w:t xml:space="preserve">Therefore, it should not be assumed that experiences of care </w:t>
      </w:r>
      <w:r w:rsidR="00071E3D">
        <w:t xml:space="preserve">are </w:t>
      </w:r>
      <w:r w:rsidR="00071E3D" w:rsidRPr="00071E3D">
        <w:t>negative</w:t>
      </w:r>
      <w:r w:rsidR="00071E3D">
        <w:t xml:space="preserve"> and a</w:t>
      </w:r>
      <w:r w:rsidRPr="00917CDE">
        <w:t xml:space="preserve">lthough not the dominant narrative, the impact of becoming </w:t>
      </w:r>
      <w:r w:rsidRPr="009A72EE">
        <w:rPr>
          <w:i/>
          <w:iCs/>
        </w:rPr>
        <w:t>looked after</w:t>
      </w:r>
      <w:r w:rsidRPr="00917CDE">
        <w:t xml:space="preserve"> can be</w:t>
      </w:r>
      <w:r w:rsidR="00071E3D">
        <w:t xml:space="preserve"> </w:t>
      </w:r>
      <w:r w:rsidRPr="00917CDE">
        <w:t xml:space="preserve">beneficial for many children and young people, and result in positive outcomes in family life and education and employment (Morgan, 2014; Sebba et al., 2015; Selwyn and Biheim-Crookall, 2017). There is also research that suggests greater stability can be achieved for children and young people who remain in care through to adulthood, compared with those who return to their birth family (Wade et al., 2010). However, being in care can also accentuate difficulties experienced before becoming </w:t>
      </w:r>
      <w:r w:rsidRPr="009A72EE">
        <w:rPr>
          <w:i/>
          <w:iCs/>
        </w:rPr>
        <w:t>looked after</w:t>
      </w:r>
      <w:r w:rsidRPr="00917CDE">
        <w:t>, characterised by a care system that is often inconsistent, unstable and transitory (Stein, 2006; McAuley and Davis, 2009).</w:t>
      </w:r>
      <w:r w:rsidR="005C2238">
        <w:t xml:space="preserve"> These experiences could have </w:t>
      </w:r>
      <w:r w:rsidR="005C2238" w:rsidRPr="00071E3D">
        <w:t xml:space="preserve">implications for </w:t>
      </w:r>
      <w:r w:rsidR="005C2238">
        <w:t xml:space="preserve">young people’s </w:t>
      </w:r>
      <w:r w:rsidR="005C2238" w:rsidRPr="00071E3D">
        <w:t xml:space="preserve">decision-making </w:t>
      </w:r>
      <w:r w:rsidR="005C2238">
        <w:t>due to</w:t>
      </w:r>
      <w:r w:rsidR="005C2238" w:rsidRPr="00071E3D">
        <w:t xml:space="preserve"> the influences and possible pressures that </w:t>
      </w:r>
      <w:r w:rsidR="005C2238">
        <w:t xml:space="preserve">might </w:t>
      </w:r>
      <w:r w:rsidR="005C2238" w:rsidRPr="00071E3D">
        <w:t xml:space="preserve">impact on </w:t>
      </w:r>
      <w:r w:rsidR="005C2238">
        <w:t xml:space="preserve">them during this time. </w:t>
      </w:r>
    </w:p>
    <w:p w14:paraId="097B6D23" w14:textId="55384E1B" w:rsidR="005C2238" w:rsidRDefault="00840F8A">
      <w:r w:rsidRPr="00917CDE">
        <w:lastRenderedPageBreak/>
        <w:t xml:space="preserve">Despite such wide-ranging experiences during their care pathway, research relating to young people leaving care continues to reflect a consistent picture of less favourable outcomes in </w:t>
      </w:r>
      <w:r w:rsidR="00657D76">
        <w:t>different</w:t>
      </w:r>
      <w:r w:rsidRPr="00917CDE">
        <w:t xml:space="preserve"> areas, compared to peers without care experience (Biehal et al., 1995; Dixon and Stein, 2005; Stein and Munro, 2008; Stein 2012, Dixon and Baker, 2016; Selwyn and Briheim-Crookall, 2017). These findings suggest that even when the benefits of being in care are significant, leaving care marks a different life phase, underlined by</w:t>
      </w:r>
      <w:r w:rsidR="00AD00F8">
        <w:t xml:space="preserve"> Stein</w:t>
      </w:r>
      <w:r w:rsidR="00657D76">
        <w:t xml:space="preserve"> </w:t>
      </w:r>
      <w:r w:rsidR="00AD00F8">
        <w:t>(2012</w:t>
      </w:r>
      <w:r w:rsidR="0037759F">
        <w:t>)</w:t>
      </w:r>
      <w:r w:rsidR="00F76B63">
        <w:t>,</w:t>
      </w:r>
      <w:r w:rsidRPr="00917CDE">
        <w:t xml:space="preserve"> who noted that positive care pathways can be undermined by the leaving care junction</w:t>
      </w:r>
      <w:r>
        <w:t xml:space="preserve">. </w:t>
      </w:r>
      <w:r w:rsidR="005C2238" w:rsidRPr="005C2238">
        <w:rPr>
          <w:i/>
          <w:iCs/>
        </w:rPr>
        <w:t>Staying Put</w:t>
      </w:r>
      <w:r w:rsidR="005C2238">
        <w:t xml:space="preserve"> was introduced to ease this junction and establish a less difficult transition from a foster care placement.</w:t>
      </w:r>
    </w:p>
    <w:p w14:paraId="786A74A9" w14:textId="407E9461" w:rsidR="00840F8A" w:rsidRPr="00917CDE" w:rsidRDefault="00840F8A">
      <w:r w:rsidRPr="00917CDE">
        <w:t xml:space="preserve">The recurring discourse about </w:t>
      </w:r>
      <w:r>
        <w:t>leaving care</w:t>
      </w:r>
      <w:r w:rsidRPr="00917CDE">
        <w:t xml:space="preserve"> </w:t>
      </w:r>
      <w:r>
        <w:t xml:space="preserve">is </w:t>
      </w:r>
      <w:r w:rsidRPr="00917CDE">
        <w:t xml:space="preserve">often associated with </w:t>
      </w:r>
      <w:r w:rsidR="00071E3D">
        <w:t xml:space="preserve">outcome </w:t>
      </w:r>
      <w:r w:rsidRPr="00917CDE">
        <w:t xml:space="preserve">indicators measured by local authorities for national government comparison, for example education, employment, health, housing, and </w:t>
      </w:r>
      <w:r w:rsidR="00071E3D">
        <w:t xml:space="preserve">broader </w:t>
      </w:r>
      <w:r w:rsidRPr="00917CDE">
        <w:t xml:space="preserve">social problems. What constitutes an outcome is not considered </w:t>
      </w:r>
      <w:r>
        <w:t xml:space="preserve">in this </w:t>
      </w:r>
      <w:r w:rsidR="00033A54">
        <w:t xml:space="preserve">literature </w:t>
      </w:r>
      <w:r>
        <w:t>review,</w:t>
      </w:r>
      <w:r w:rsidRPr="00917CDE">
        <w:t xml:space="preserve"> </w:t>
      </w:r>
      <w:r w:rsidR="005C4777">
        <w:t>b</w:t>
      </w:r>
      <w:r w:rsidR="005C4777" w:rsidRPr="005C4777">
        <w:t xml:space="preserve">ecause </w:t>
      </w:r>
      <w:r w:rsidR="005C4777">
        <w:t xml:space="preserve">I am </w:t>
      </w:r>
      <w:r w:rsidR="005C4777" w:rsidRPr="005C4777">
        <w:t>more interested in understanding the decision-making process and intersubjectivity between young people and other actor</w:t>
      </w:r>
      <w:r w:rsidR="00657D76">
        <w:t>s</w:t>
      </w:r>
      <w:r w:rsidR="005C4777">
        <w:t>. H</w:t>
      </w:r>
      <w:r w:rsidRPr="00917CDE">
        <w:t>owever</w:t>
      </w:r>
      <w:r w:rsidR="005C4777">
        <w:t xml:space="preserve">, as outcomes feature in much of the research </w:t>
      </w:r>
      <w:r w:rsidRPr="00917CDE">
        <w:t xml:space="preserve">it </w:t>
      </w:r>
      <w:r w:rsidR="005C4777">
        <w:t xml:space="preserve">should be </w:t>
      </w:r>
      <w:r w:rsidRPr="00917CDE">
        <w:t xml:space="preserve">acknowledged that measuring or defining outcomes is complex, with researchers trying to delineate between measures and perceptions (Tilbury, 2004). Further caution is </w:t>
      </w:r>
      <w:r w:rsidR="00384173">
        <w:t>given</w:t>
      </w:r>
      <w:r w:rsidRPr="00917CDE">
        <w:t xml:space="preserve"> by Akister, Owens and Goodyer (2010) who state</w:t>
      </w:r>
      <w:r w:rsidR="007C104D">
        <w:t>d</w:t>
      </w:r>
      <w:r w:rsidRPr="00917CDE">
        <w:t xml:space="preserve"> that outcomes can be measured in absolute terms but can also be relative to the individual, making comparison problematic.</w:t>
      </w:r>
      <w:r w:rsidR="00457422">
        <w:t xml:space="preserve"> </w:t>
      </w:r>
      <w:r w:rsidRPr="00917CDE">
        <w:t xml:space="preserve">Although </w:t>
      </w:r>
      <w:r w:rsidR="00033A54">
        <w:t>issues such as employment or social problems are</w:t>
      </w:r>
      <w:r w:rsidRPr="00917CDE">
        <w:t xml:space="preserve"> often </w:t>
      </w:r>
      <w:r>
        <w:t>discussed</w:t>
      </w:r>
      <w:r w:rsidRPr="00917CDE">
        <w:t xml:space="preserve"> individually, there is significant overlap in how different life choices impact on a young person’s life</w:t>
      </w:r>
      <w:r w:rsidR="00033A54">
        <w:t xml:space="preserve"> trajectory</w:t>
      </w:r>
      <w:r w:rsidRPr="00917CDE">
        <w:t>, making it impossible to attribute outcomes to specific issues. Additionally</w:t>
      </w:r>
      <w:r w:rsidR="00651177">
        <w:t>,</w:t>
      </w:r>
      <w:r w:rsidRPr="00917CDE">
        <w:t xml:space="preserve"> researchers do not always differentiate between the experiences of young people leaving residential, kinship or fostering placements, which may also account for difficulties faced </w:t>
      </w:r>
      <w:r w:rsidR="00033A54">
        <w:t xml:space="preserve">by young people </w:t>
      </w:r>
      <w:r w:rsidRPr="00917CDE">
        <w:t>due to different levels of support or ties with family members. For the purpose</w:t>
      </w:r>
      <w:r w:rsidR="00033A54">
        <w:t>s</w:t>
      </w:r>
      <w:r w:rsidRPr="00917CDE">
        <w:t xml:space="preserve"> of </w:t>
      </w:r>
      <w:r>
        <w:t>my</w:t>
      </w:r>
      <w:r w:rsidRPr="00917CDE">
        <w:t xml:space="preserve"> research the experiences of young people leaving their placement </w:t>
      </w:r>
      <w:r w:rsidR="00B457BD">
        <w:t>are</w:t>
      </w:r>
      <w:r w:rsidR="00B457BD" w:rsidRPr="00917CDE">
        <w:t xml:space="preserve"> </w:t>
      </w:r>
      <w:r w:rsidRPr="00917CDE">
        <w:t>collectively viewed</w:t>
      </w:r>
      <w:r w:rsidR="007C104D">
        <w:t>, p</w:t>
      </w:r>
      <w:r w:rsidRPr="00917CDE">
        <w:t xml:space="preserve">rimarily because the changes to policy are often informed by </w:t>
      </w:r>
      <w:r>
        <w:t>an</w:t>
      </w:r>
      <w:r w:rsidRPr="00917CDE">
        <w:t xml:space="preserve"> overall narrative that young people leaving </w:t>
      </w:r>
      <w:r w:rsidR="00033A54">
        <w:t>public</w:t>
      </w:r>
      <w:r w:rsidRPr="00917CDE">
        <w:t xml:space="preserve"> care are more likely to experience difficulties. </w:t>
      </w:r>
    </w:p>
    <w:p w14:paraId="3481BD3F" w14:textId="613DE201" w:rsidR="00840F8A" w:rsidRPr="00917CDE" w:rsidRDefault="00840F8A" w:rsidP="007C51DB">
      <w:pPr>
        <w:pStyle w:val="Heading3"/>
      </w:pPr>
      <w:r w:rsidRPr="00917CDE">
        <w:t>Not (consistently) in Employment, Education or Training</w:t>
      </w:r>
    </w:p>
    <w:p w14:paraId="47C92B0D" w14:textId="530F2ABF" w:rsidR="00840F8A" w:rsidRPr="00917CDE" w:rsidRDefault="00840F8A">
      <w:r w:rsidRPr="00917CDE">
        <w:t>The measurement of young people’s participation in education and employment is commonly known as NEET</w:t>
      </w:r>
      <w:r w:rsidR="00022798">
        <w:t xml:space="preserve"> (n</w:t>
      </w:r>
      <w:r w:rsidR="00022798" w:rsidRPr="00022798">
        <w:t xml:space="preserve">ot in </w:t>
      </w:r>
      <w:r w:rsidR="00022798">
        <w:t>e</w:t>
      </w:r>
      <w:r w:rsidR="00022798" w:rsidRPr="00022798">
        <w:t xml:space="preserve">mployment, </w:t>
      </w:r>
      <w:r w:rsidR="00022798">
        <w:t>e</w:t>
      </w:r>
      <w:r w:rsidR="00022798" w:rsidRPr="00022798">
        <w:t xml:space="preserve">ducation or </w:t>
      </w:r>
      <w:r w:rsidR="00022798">
        <w:t>t</w:t>
      </w:r>
      <w:r w:rsidR="00022798" w:rsidRPr="00022798">
        <w:t>raining</w:t>
      </w:r>
      <w:r w:rsidR="00022798">
        <w:t>)</w:t>
      </w:r>
      <w:r w:rsidRPr="00917CDE">
        <w:t xml:space="preserve"> and has become shorthand for young people on the margins of opportunity, who </w:t>
      </w:r>
      <w:r w:rsidR="00033A54">
        <w:t xml:space="preserve">tend to </w:t>
      </w:r>
      <w:r w:rsidRPr="00917CDE">
        <w:t xml:space="preserve">lack aspiration (Simmons and Thompson, 2011). As part of their </w:t>
      </w:r>
      <w:r w:rsidR="006A1B91">
        <w:rPr>
          <w:i/>
          <w:iCs/>
        </w:rPr>
        <w:t>c</w:t>
      </w:r>
      <w:r w:rsidRPr="006E3485">
        <w:rPr>
          <w:i/>
          <w:iCs/>
        </w:rPr>
        <w:t xml:space="preserve">orporate </w:t>
      </w:r>
      <w:r w:rsidR="006A1B91">
        <w:rPr>
          <w:i/>
          <w:iCs/>
        </w:rPr>
        <w:t>p</w:t>
      </w:r>
      <w:r w:rsidRPr="006E3485">
        <w:rPr>
          <w:i/>
          <w:iCs/>
        </w:rPr>
        <w:t>arenting</w:t>
      </w:r>
      <w:r w:rsidRPr="00917CDE">
        <w:t xml:space="preserve"> responsibilities</w:t>
      </w:r>
      <w:r>
        <w:t>,</w:t>
      </w:r>
      <w:r w:rsidRPr="00917CDE">
        <w:t xml:space="preserve"> local authorities </w:t>
      </w:r>
      <w:r w:rsidR="003250BE" w:rsidRPr="00917CDE">
        <w:t>must</w:t>
      </w:r>
      <w:r w:rsidRPr="00917CDE">
        <w:t xml:space="preserve"> collate education and employment information about young people leaving </w:t>
      </w:r>
      <w:r w:rsidRPr="00917CDE">
        <w:lastRenderedPageBreak/>
        <w:t>care. The most recent figures suggesting the numbers of young people not in education or employment range from 27</w:t>
      </w:r>
      <w:r w:rsidR="007118C1">
        <w:t xml:space="preserve"> per cent</w:t>
      </w:r>
      <w:r w:rsidRPr="00917CDE">
        <w:t xml:space="preserve"> at 17 years to 39</w:t>
      </w:r>
      <w:r w:rsidR="007118C1">
        <w:t xml:space="preserve"> per cent</w:t>
      </w:r>
      <w:r w:rsidRPr="00917CDE">
        <w:t xml:space="preserve"> for 19</w:t>
      </w:r>
      <w:r w:rsidR="00A259B7">
        <w:t>–</w:t>
      </w:r>
      <w:r w:rsidR="00033A54" w:rsidRPr="00917CDE">
        <w:t>21-year-olds</w:t>
      </w:r>
      <w:r w:rsidRPr="00917CDE">
        <w:t>, compared to 13</w:t>
      </w:r>
      <w:r w:rsidR="007118C1">
        <w:t xml:space="preserve"> per cent</w:t>
      </w:r>
      <w:r w:rsidRPr="00917CDE">
        <w:t xml:space="preserve"> of the wider population of 19</w:t>
      </w:r>
      <w:r w:rsidR="00960C3A">
        <w:t>–</w:t>
      </w:r>
      <w:r w:rsidR="00033A54" w:rsidRPr="00917CDE">
        <w:t>21-year-olds</w:t>
      </w:r>
      <w:r w:rsidRPr="00917CDE">
        <w:t xml:space="preserve"> (DfE, 2020). Whilst the DfE does not offer explanation for this disparity, other studies suggest that children in care are likely to have an unsettled journey through the education system (Jackson and Cameron, 2014), compromising their ability to go onto further and higher education and seek employment. Although children in care have higher levels of special educational need, lower levels of GCSE grade 5 and higher levels of longer-term absenteeism (DfE, 2020),</w:t>
      </w:r>
      <w:r>
        <w:t xml:space="preserve"> </w:t>
      </w:r>
      <w:r w:rsidR="00AB4616">
        <w:t xml:space="preserve">explanations about </w:t>
      </w:r>
      <w:r w:rsidR="00AB4616" w:rsidRPr="00917CDE">
        <w:t>education</w:t>
      </w:r>
      <w:r w:rsidR="00AB4616">
        <w:t>al</w:t>
      </w:r>
      <w:r w:rsidR="00AB4616" w:rsidRPr="00917CDE">
        <w:t xml:space="preserve"> </w:t>
      </w:r>
      <w:r w:rsidR="00AB4616">
        <w:t xml:space="preserve">experience are </w:t>
      </w:r>
      <w:r w:rsidRPr="00917CDE">
        <w:t xml:space="preserve">complex. </w:t>
      </w:r>
    </w:p>
    <w:p w14:paraId="18AA42EB" w14:textId="51DC4D7E" w:rsidR="00840F8A" w:rsidRPr="00917CDE" w:rsidRDefault="00840F8A">
      <w:r w:rsidRPr="00917CDE">
        <w:t xml:space="preserve">Being in care itself may not </w:t>
      </w:r>
      <w:r>
        <w:t>explain</w:t>
      </w:r>
      <w:r w:rsidRPr="00917CDE">
        <w:t xml:space="preserve"> </w:t>
      </w:r>
      <w:r w:rsidR="00AB4616">
        <w:t>why children and young people</w:t>
      </w:r>
      <w:r w:rsidRPr="00917CDE">
        <w:t xml:space="preserve"> </w:t>
      </w:r>
      <w:r w:rsidR="00AB4616">
        <w:t xml:space="preserve">have </w:t>
      </w:r>
      <w:r w:rsidRPr="00917CDE">
        <w:t>low attainment or participation</w:t>
      </w:r>
      <w:r w:rsidR="00AB4616">
        <w:t xml:space="preserve"> in education</w:t>
      </w:r>
      <w:r w:rsidRPr="00917CDE">
        <w:t xml:space="preserve">. </w:t>
      </w:r>
      <w:r w:rsidR="00657D76">
        <w:t>A complex</w:t>
      </w:r>
      <w:r w:rsidR="00AB4616">
        <w:t xml:space="preserve"> picture of c</w:t>
      </w:r>
      <w:r w:rsidRPr="00917CDE">
        <w:t xml:space="preserve">hildhood abuse, neglect or living in families experiencing poverty prior to being in care, could account for a disrupted education (Berridge, 2012; Welbourne and Leeson, 2012). Driscoll (2013) reflects this </w:t>
      </w:r>
      <w:r>
        <w:t>understanding</w:t>
      </w:r>
      <w:r w:rsidRPr="00917CDE">
        <w:t xml:space="preserve"> and states that it is unsurprising that children and young people entering the care system struggle with education, given the reasons they become </w:t>
      </w:r>
      <w:r w:rsidRPr="00691CB5">
        <w:rPr>
          <w:i/>
          <w:iCs/>
        </w:rPr>
        <w:t>looked after</w:t>
      </w:r>
      <w:r w:rsidRPr="00917CDE">
        <w:t xml:space="preserve"> in the first place. Rather than being in care, it is more likely that aspects of the system, notably changes in care placements resulting in moving school and higher periods of school absence</w:t>
      </w:r>
      <w:r w:rsidR="000B5755">
        <w:t>,</w:t>
      </w:r>
      <w:r>
        <w:t xml:space="preserve"> </w:t>
      </w:r>
      <w:r w:rsidR="00657D76">
        <w:t xml:space="preserve">that </w:t>
      </w:r>
      <w:r w:rsidRPr="00917CDE">
        <w:t>account for those young people struggling in school (Jackson and Cameron, 2014; Sebba, et al</w:t>
      </w:r>
      <w:r w:rsidR="00015D04">
        <w:t>.</w:t>
      </w:r>
      <w:r w:rsidRPr="00917CDE">
        <w:t xml:space="preserve">, 2015). </w:t>
      </w:r>
      <w:r w:rsidR="003250BE" w:rsidRPr="00917CDE">
        <w:t>Furthermore,</w:t>
      </w:r>
      <w:r w:rsidRPr="00917CDE">
        <w:t xml:space="preserve"> many aspects of the care experience are positive, with children at the beginning of their education</w:t>
      </w:r>
      <w:r>
        <w:t xml:space="preserve"> and </w:t>
      </w:r>
      <w:r w:rsidRPr="00917CDE">
        <w:t>those in longer term placements comparing favourably with other children not in care (Sebba, et al</w:t>
      </w:r>
      <w:r w:rsidR="00015D04">
        <w:t>.</w:t>
      </w:r>
      <w:r w:rsidRPr="00917CDE">
        <w:t xml:space="preserve">, 2015). Whilst some of the problems arising from early childhood experience could be addressed by being in care, through additional support and resources, it would be difficult to distinguish whether low attainment is a result of early experiences or the impact of being </w:t>
      </w:r>
      <w:r w:rsidRPr="00691CB5">
        <w:rPr>
          <w:i/>
          <w:iCs/>
        </w:rPr>
        <w:t>looked after</w:t>
      </w:r>
      <w:r w:rsidRPr="00917CDE">
        <w:t xml:space="preserve">. </w:t>
      </w:r>
    </w:p>
    <w:p w14:paraId="6845D8A8" w14:textId="0B95AABA" w:rsidR="00840F8A" w:rsidRPr="00917CDE" w:rsidRDefault="00840F8A">
      <w:r w:rsidRPr="00917CDE">
        <w:t xml:space="preserve">When thinking about the significance for young people leaving care, the timing of transition to independence can coincide with a combination of endings in </w:t>
      </w:r>
      <w:r w:rsidR="00AB4616">
        <w:t xml:space="preserve">personal </w:t>
      </w:r>
      <w:r w:rsidRPr="00917CDE">
        <w:t>relationships, organisations and care placements. This in turn could impact decisions about education, as the need to identify accommodation is prioritised over education choices (Hollingworth and Jackson, 2016). Uncertainty about emotional and financial support, being underestimated and</w:t>
      </w:r>
      <w:r w:rsidR="00B7224B">
        <w:t xml:space="preserve"> a</w:t>
      </w:r>
      <w:r w:rsidRPr="00917CDE">
        <w:t xml:space="preserve"> lack of practical support have also been identified as contributory factors to the low numbers of </w:t>
      </w:r>
      <w:r w:rsidR="00E16B03">
        <w:t>young people</w:t>
      </w:r>
      <w:r w:rsidRPr="00917CDE">
        <w:t xml:space="preserve"> going onto higher education (Cotton, Nash and Kneale, 2014; McNamara, Harvey and Andewartha, 2017). However</w:t>
      </w:r>
      <w:r w:rsidR="00657D76">
        <w:t>,</w:t>
      </w:r>
      <w:r w:rsidR="00F424D4">
        <w:t xml:space="preserve"> </w:t>
      </w:r>
      <w:r w:rsidRPr="00917CDE">
        <w:t>as previously noted</w:t>
      </w:r>
      <w:r w:rsidR="00F424D4">
        <w:t>,</w:t>
      </w:r>
      <w:r w:rsidRPr="00917CDE">
        <w:t xml:space="preserve"> pre care experience could also be </w:t>
      </w:r>
      <w:r w:rsidR="00AB4616">
        <w:t>a significant factor</w:t>
      </w:r>
      <w:r w:rsidR="00A2083A">
        <w:t>,</w:t>
      </w:r>
      <w:r w:rsidRPr="00917CDE">
        <w:t xml:space="preserve"> and as Berridge (2012) suggest</w:t>
      </w:r>
      <w:r>
        <w:t>ed</w:t>
      </w:r>
      <w:r w:rsidRPr="00917CDE">
        <w:t xml:space="preserve">, higher education might be unattainable due to </w:t>
      </w:r>
      <w:r w:rsidR="00AB4616">
        <w:t xml:space="preserve">a </w:t>
      </w:r>
      <w:r w:rsidRPr="00917CDE">
        <w:t xml:space="preserve">fragmented secondary school education. </w:t>
      </w:r>
    </w:p>
    <w:p w14:paraId="352277D2" w14:textId="56271546" w:rsidR="00840F8A" w:rsidRPr="00917CDE" w:rsidRDefault="00840F8A">
      <w:r w:rsidRPr="00917CDE">
        <w:lastRenderedPageBreak/>
        <w:t>When examining the issue of employment, young people leaving care cannot be disconnected from the wider picture for all young people. At the time of writing</w:t>
      </w:r>
      <w:r w:rsidR="00383422">
        <w:t>,</w:t>
      </w:r>
      <w:r w:rsidRPr="00917CDE">
        <w:t xml:space="preserve"> the issues facing young people under the age of 25 include higher levels of unemployment than the wider population (Powell, Francis-Devine and Foley, 2021), transient positions, </w:t>
      </w:r>
      <w:r w:rsidR="00657D76" w:rsidRPr="00917CDE">
        <w:t>zero-hour</w:t>
      </w:r>
      <w:r w:rsidRPr="00917CDE">
        <w:t xml:space="preserve"> contracts and uncertain employment status (Forth and Metcalf, 2014; Green, 2017). Whilst many young people </w:t>
      </w:r>
      <w:r w:rsidR="00657D76">
        <w:t xml:space="preserve">not in care </w:t>
      </w:r>
      <w:r w:rsidRPr="00917CDE">
        <w:t xml:space="preserve">live with adverse life factors, the experience of being </w:t>
      </w:r>
      <w:r w:rsidRPr="00691CB5">
        <w:rPr>
          <w:i/>
          <w:iCs/>
        </w:rPr>
        <w:t>looked after</w:t>
      </w:r>
      <w:r w:rsidRPr="00917CDE">
        <w:t xml:space="preserve"> brings additional challenges. </w:t>
      </w:r>
    </w:p>
    <w:p w14:paraId="010E3EFE" w14:textId="4C592CAA" w:rsidR="00840F8A" w:rsidRPr="00917CDE" w:rsidRDefault="00840F8A">
      <w:r w:rsidRPr="00917CDE">
        <w:t xml:space="preserve">As well as the consequence of a fragmented education </w:t>
      </w:r>
      <w:r w:rsidR="00AB4616">
        <w:t>negatively impacting on young people</w:t>
      </w:r>
      <w:r w:rsidRPr="00917CDE">
        <w:t xml:space="preserve"> seeking employment, other difficulties have been identified in older research. Uncertain housing can mean that providing permanent addresses to employers and certainty about location of home can impact on employer perceptions and decisions about work (Dixon, 200</w:t>
      </w:r>
      <w:r w:rsidR="00D75574">
        <w:t>8</w:t>
      </w:r>
      <w:r w:rsidRPr="00917CDE">
        <w:t xml:space="preserve">). Finding a home and trying to establish networks can also impact on employment, due to the practical difficulties and the emotional impact of young people fending for themselves (Biehal et al.,1995). </w:t>
      </w:r>
      <w:r w:rsidR="00657D76">
        <w:t>Dixon</w:t>
      </w:r>
      <w:r w:rsidRPr="00917CDE">
        <w:t xml:space="preserve"> (200</w:t>
      </w:r>
      <w:r w:rsidR="00D75574">
        <w:t>8</w:t>
      </w:r>
      <w:r w:rsidRPr="00917CDE">
        <w:t xml:space="preserve">) also found that the benefit system influenced decisions about the job market, with </w:t>
      </w:r>
      <w:r w:rsidR="00E16B03">
        <w:t>young people leaving care</w:t>
      </w:r>
      <w:r w:rsidRPr="00917CDE">
        <w:t xml:space="preserve"> having to weigh up short term employment with the complexities of claiming benefits. Whilst these earlier studies predate later changes to leaving care support, young people continue to report confusion and difficulties in both claiming benefits and dealing with the repercussions of balancing work with benefit claims (Barnardo’s, 2014).</w:t>
      </w:r>
      <w:r w:rsidR="00022798">
        <w:t xml:space="preserve"> </w:t>
      </w:r>
    </w:p>
    <w:p w14:paraId="1F0E2199" w14:textId="7AAAF61B" w:rsidR="00840F8A" w:rsidRPr="00917CDE" w:rsidRDefault="00840F8A" w:rsidP="007C51DB">
      <w:pPr>
        <w:pStyle w:val="Heading3"/>
      </w:pPr>
      <w:r w:rsidRPr="00917CDE">
        <w:t xml:space="preserve">Tackling Physical and Mental Health Issues </w:t>
      </w:r>
      <w:r w:rsidR="00DF1B37">
        <w:t>and Other Social Problems</w:t>
      </w:r>
    </w:p>
    <w:p w14:paraId="33B86064" w14:textId="20E48B70" w:rsidR="00840F8A" w:rsidRPr="00917CDE" w:rsidRDefault="00840F8A">
      <w:r w:rsidRPr="00917CDE">
        <w:t>Health is not an issue that young people leaving care tend to prioritise over other aspects of their life (Liabo et al., 2017). However</w:t>
      </w:r>
      <w:r w:rsidR="009976C7">
        <w:t>,</w:t>
      </w:r>
      <w:r w:rsidRPr="00917CDE">
        <w:t xml:space="preserve"> where health issues are a concern, a poor transition from care could compound any existing problems (Stein and Dum</w:t>
      </w:r>
      <w:r w:rsidR="00CC6E09">
        <w:t>a</w:t>
      </w:r>
      <w:r w:rsidRPr="00917CDE">
        <w:t xml:space="preserve">rat, 2011). Whilst in care, children and young people are likely to experience general health issues in line with their peers, but to a greater extent (Mooney et al., 2009). </w:t>
      </w:r>
      <w:r w:rsidR="00DF1B37" w:rsidRPr="00DF1B37">
        <w:t>With respect to the mental health, young people are more likely to experience mental ill-health and distress</w:t>
      </w:r>
      <w:r w:rsidRPr="00917CDE">
        <w:t xml:space="preserve"> and use services than other young people (Melzter et al., 2003; </w:t>
      </w:r>
      <w:r w:rsidRPr="00917CDE">
        <w:rPr>
          <w:bdr w:val="none" w:sz="0" w:space="0" w:color="auto" w:frame="1"/>
          <w:shd w:val="clear" w:color="auto" w:fill="FFFFFF"/>
        </w:rPr>
        <w:t>Havlicek, Garcia, and Smith, 2013;</w:t>
      </w:r>
      <w:r w:rsidRPr="00917CDE">
        <w:t xml:space="preserve"> Tarren-Sweeney and Vetere, 2014; Bazalgette, Rahilly and Trevelyon, 2015), highlighting the need to ensure that any move is carefully considered</w:t>
      </w:r>
      <w:r w:rsidR="00022798">
        <w:t>, which could be a factor in my study</w:t>
      </w:r>
      <w:r w:rsidRPr="00917CDE">
        <w:t xml:space="preserve">. </w:t>
      </w:r>
    </w:p>
    <w:p w14:paraId="6CA94E8E" w14:textId="3BDED627" w:rsidR="00840F8A" w:rsidRPr="00917CDE" w:rsidRDefault="00840F8A">
      <w:r w:rsidRPr="00917CDE">
        <w:t>Other</w:t>
      </w:r>
      <w:r w:rsidR="00022798">
        <w:t xml:space="preserve"> issues</w:t>
      </w:r>
      <w:r w:rsidRPr="00917CDE">
        <w:t xml:space="preserve"> already outlined also interrelate with the young person’s </w:t>
      </w:r>
      <w:r w:rsidR="00DF1B37">
        <w:t xml:space="preserve">physical and mental </w:t>
      </w:r>
      <w:r w:rsidRPr="00917CDE">
        <w:t xml:space="preserve">health. For example, the ability to remain in employment or education, maintain a tenancy and relationships could be compromised for young people living with mental </w:t>
      </w:r>
      <w:r w:rsidR="00DF1B37">
        <w:t>ill-</w:t>
      </w:r>
      <w:r w:rsidRPr="00917CDE">
        <w:t>health (Melzter et al., 2003; Stein and Dum</w:t>
      </w:r>
      <w:r w:rsidR="00CC6E09">
        <w:t>a</w:t>
      </w:r>
      <w:r w:rsidRPr="00917CDE">
        <w:t xml:space="preserve">rat 2011; Liabo et al., 2017). Seeking support once the </w:t>
      </w:r>
      <w:r w:rsidRPr="00917CDE">
        <w:lastRenderedPageBreak/>
        <w:t xml:space="preserve">young person has left care is also more difficult as the help of carers and social workers to facilitate appointments and navigate waiting lists becomes limited or non-existent (Bazalgette, Rahilly and Trevelyon, 2015; Butterworth et., 2016; Liabo et al., 2017). </w:t>
      </w:r>
    </w:p>
    <w:p w14:paraId="111B1F74" w14:textId="59D6D900" w:rsidR="00840F8A" w:rsidRPr="007B2363" w:rsidRDefault="00840F8A">
      <w:r w:rsidRPr="007B2363">
        <w:t>Education, employment and health are common concerns for many young people as they move into adulthood. However, many young people leaving care experience additional factors in their lives</w:t>
      </w:r>
      <w:r w:rsidR="00F72239">
        <w:t>,</w:t>
      </w:r>
      <w:r w:rsidRPr="007B2363">
        <w:t xml:space="preserve"> including higher levels of problematic substance use (Dixon, 2008; Baidawi and Mendes, 2010), involvement with the criminal justice system (Ministry of Justice, 2016) and early parenthood (King et al., 2014; Centre for Social Justice, 2015). None of these studies suggest that </w:t>
      </w:r>
      <w:r w:rsidR="00E16B03">
        <w:t>leaving care</w:t>
      </w:r>
      <w:r w:rsidRPr="007B2363">
        <w:t xml:space="preserve"> is inherently a predictor of these additional issues, instead the nature of a young person’s </w:t>
      </w:r>
      <w:r w:rsidR="00DF1B37">
        <w:t xml:space="preserve">individual </w:t>
      </w:r>
      <w:r w:rsidRPr="007B2363">
        <w:t>circumstances mean that these complicating factors are symptomatic of other elements of their care experience and arguably create further obstacles to a smooth transition.</w:t>
      </w:r>
    </w:p>
    <w:p w14:paraId="749EB321" w14:textId="01DD8AAB" w:rsidR="00840F8A" w:rsidRPr="00917CDE" w:rsidRDefault="00840F8A" w:rsidP="006E3485">
      <w:pPr>
        <w:pStyle w:val="Heading3"/>
      </w:pPr>
      <w:r w:rsidRPr="00917CDE">
        <w:t>What Young People Said</w:t>
      </w:r>
    </w:p>
    <w:p w14:paraId="3E59D76E" w14:textId="275332D4" w:rsidR="003B42B1" w:rsidRPr="00B70A72" w:rsidRDefault="00840F8A" w:rsidP="003B42B1">
      <w:pPr>
        <w:rPr>
          <w:highlight w:val="yellow"/>
        </w:rPr>
      </w:pPr>
      <w:r w:rsidRPr="0073120B">
        <w:t xml:space="preserve">Having outlined the messages from research </w:t>
      </w:r>
      <w:r w:rsidRPr="0073120B">
        <w:rPr>
          <w:i/>
          <w:iCs/>
        </w:rPr>
        <w:t>about</w:t>
      </w:r>
      <w:r w:rsidRPr="0073120B">
        <w:t xml:space="preserve"> young people, this section focuses on some of the topics</w:t>
      </w:r>
      <w:r w:rsidR="005C2238" w:rsidRPr="0073120B">
        <w:t xml:space="preserve"> previously</w:t>
      </w:r>
      <w:r w:rsidRPr="0073120B">
        <w:t xml:space="preserve"> raised </w:t>
      </w:r>
      <w:r w:rsidRPr="0073120B">
        <w:rPr>
          <w:i/>
          <w:iCs/>
        </w:rPr>
        <w:t>by</w:t>
      </w:r>
      <w:r w:rsidRPr="0073120B">
        <w:t xml:space="preserve"> young people about their transition from care.</w:t>
      </w:r>
      <w:r w:rsidR="003B42B1" w:rsidRPr="0073120B">
        <w:t xml:space="preserve"> </w:t>
      </w:r>
      <w:r w:rsidR="00C927ED" w:rsidRPr="0073120B">
        <w:t>There were some commonalities between th</w:t>
      </w:r>
      <w:r w:rsidR="00B70A72" w:rsidRPr="0073120B">
        <w:t>e</w:t>
      </w:r>
      <w:r w:rsidR="0073120B" w:rsidRPr="0073120B">
        <w:t>se</w:t>
      </w:r>
      <w:r w:rsidR="00B70A72" w:rsidRPr="0073120B">
        <w:t xml:space="preserve"> two areas of research. For </w:t>
      </w:r>
      <w:r w:rsidR="0073120B" w:rsidRPr="0073120B">
        <w:t>example,</w:t>
      </w:r>
      <w:r w:rsidR="00B70A72" w:rsidRPr="0073120B">
        <w:t xml:space="preserve"> </w:t>
      </w:r>
      <w:r w:rsidR="00C927ED" w:rsidRPr="0073120B">
        <w:t xml:space="preserve">young people also stated problems already highlighted in this chapter </w:t>
      </w:r>
      <w:r w:rsidR="00B70A72" w:rsidRPr="0073120B">
        <w:t>about</w:t>
      </w:r>
      <w:r w:rsidR="00C927ED" w:rsidRPr="0073120B">
        <w:t xml:space="preserve"> facing employment and education difficulties without support (Ofsted, 2012; Gilligan and Arnau</w:t>
      </w:r>
      <w:r w:rsidR="00C927ED" w:rsidRPr="0073120B">
        <w:rPr>
          <w:rFonts w:ascii="Cambria Math" w:hAnsi="Cambria Math" w:cs="Cambria Math"/>
        </w:rPr>
        <w:t>‐</w:t>
      </w:r>
      <w:r w:rsidR="00C927ED" w:rsidRPr="0073120B">
        <w:t xml:space="preserve">Sabatés, 2017; Brady and Gilligan, 2019; </w:t>
      </w:r>
      <w:r w:rsidR="00C927ED" w:rsidRPr="0073120B">
        <w:rPr>
          <w:bdr w:val="none" w:sz="0" w:space="0" w:color="auto" w:frame="1"/>
          <w:shd w:val="clear" w:color="auto" w:fill="FFFFFF"/>
        </w:rPr>
        <w:t>Furey and Harris</w:t>
      </w:r>
      <w:r w:rsidR="00C927ED" w:rsidRPr="0073120B">
        <w:rPr>
          <w:rFonts w:ascii="Cambria Math" w:hAnsi="Cambria Math" w:cs="Cambria Math"/>
          <w:bdr w:val="none" w:sz="0" w:space="0" w:color="auto" w:frame="1"/>
          <w:shd w:val="clear" w:color="auto" w:fill="FFFFFF"/>
        </w:rPr>
        <w:t>‐</w:t>
      </w:r>
      <w:r w:rsidR="00C927ED" w:rsidRPr="0073120B">
        <w:rPr>
          <w:bdr w:val="none" w:sz="0" w:space="0" w:color="auto" w:frame="1"/>
          <w:shd w:val="clear" w:color="auto" w:fill="FFFFFF"/>
        </w:rPr>
        <w:t>Evans, 2021).</w:t>
      </w:r>
      <w:r w:rsidR="00C927ED" w:rsidRPr="0073120B">
        <w:t xml:space="preserve"> The following issues are other </w:t>
      </w:r>
      <w:r w:rsidR="003B42B1" w:rsidRPr="0073120B">
        <w:t>topics</w:t>
      </w:r>
      <w:r w:rsidR="00C927ED" w:rsidRPr="0073120B">
        <w:t xml:space="preserve"> raised which are</w:t>
      </w:r>
      <w:r w:rsidR="003B42B1" w:rsidRPr="0073120B">
        <w:t xml:space="preserve"> relevant to my study</w:t>
      </w:r>
      <w:r w:rsidR="00C927ED" w:rsidRPr="0073120B">
        <w:t>, g</w:t>
      </w:r>
      <w:r w:rsidR="003B42B1" w:rsidRPr="0073120B">
        <w:t>iv</w:t>
      </w:r>
      <w:r w:rsidR="00C927ED" w:rsidRPr="0073120B">
        <w:t>ing</w:t>
      </w:r>
      <w:r w:rsidR="003B42B1" w:rsidRPr="0073120B">
        <w:t xml:space="preserve"> a</w:t>
      </w:r>
      <w:r w:rsidR="00C927ED" w:rsidRPr="0073120B">
        <w:t xml:space="preserve"> broader</w:t>
      </w:r>
      <w:r w:rsidR="003B42B1" w:rsidRPr="0073120B">
        <w:t xml:space="preserve"> sense of the young people’s experiences of transitioning from care</w:t>
      </w:r>
      <w:r w:rsidR="00B70A72" w:rsidRPr="0073120B">
        <w:t xml:space="preserve"> in relation to decision-making</w:t>
      </w:r>
      <w:r w:rsidR="0073120B" w:rsidRPr="0073120B">
        <w:t>,</w:t>
      </w:r>
      <w:r w:rsidR="00B70A72" w:rsidRPr="0073120B">
        <w:t xml:space="preserve"> support and guidance</w:t>
      </w:r>
      <w:r w:rsidR="003B42B1" w:rsidRPr="0073120B">
        <w:t>.</w:t>
      </w:r>
      <w:r w:rsidR="003B42B1" w:rsidRPr="00917CDE">
        <w:t xml:space="preserve"> </w:t>
      </w:r>
    </w:p>
    <w:p w14:paraId="074B0170" w14:textId="34764322" w:rsidR="00840F8A" w:rsidRPr="00917CDE" w:rsidRDefault="00840F8A">
      <w:r w:rsidRPr="00917CDE">
        <w:t>As with other areas of research in this field, many of the studies conclude with a picture of young people navigating a multitude of personal and organisational difficulties. In her research</w:t>
      </w:r>
      <w:r w:rsidR="007B0219">
        <w:t>,</w:t>
      </w:r>
      <w:r w:rsidRPr="00917CDE">
        <w:t xml:space="preserve"> Rogers (2011) observed that despite asking open questions, young people more often spoke negatively about their experiences of leaving</w:t>
      </w:r>
      <w:r w:rsidR="001669D5">
        <w:t xml:space="preserve"> care</w:t>
      </w:r>
      <w:r w:rsidRPr="00917CDE">
        <w:t xml:space="preserve">. </w:t>
      </w:r>
      <w:r w:rsidR="001669D5">
        <w:t>Further u</w:t>
      </w:r>
      <w:r w:rsidRPr="00917CDE">
        <w:t>nderlining the breadth of experiences</w:t>
      </w:r>
      <w:r>
        <w:t>,</w:t>
      </w:r>
      <w:r w:rsidRPr="00917CDE">
        <w:t xml:space="preserve"> some studies </w:t>
      </w:r>
      <w:r w:rsidR="00DF1B37">
        <w:t xml:space="preserve">have </w:t>
      </w:r>
      <w:r w:rsidRPr="00917CDE">
        <w:t>captured positive feelings and experiences where young people had optimistic ideas about moving out of foster care, associating adulthood with independent living and learning to drive (Liabo et al</w:t>
      </w:r>
      <w:r w:rsidR="00015D04">
        <w:t>.</w:t>
      </w:r>
      <w:r w:rsidRPr="00917CDE">
        <w:t xml:space="preserve">, 2017), feelings of preparedness (Adley and Jupp Kina, 2014) and pleasure when reconnecting with families (Duncalf, 2010). </w:t>
      </w:r>
    </w:p>
    <w:p w14:paraId="2FEE599E" w14:textId="60668646" w:rsidR="00840F8A" w:rsidRPr="00917CDE" w:rsidRDefault="00840F8A">
      <w:r w:rsidRPr="00917CDE">
        <w:t xml:space="preserve">Despite some aspects of hopeful and important changes for young people, in general emphasis was placed on the </w:t>
      </w:r>
      <w:r w:rsidR="001669D5">
        <w:t xml:space="preserve">challenging aspects of the </w:t>
      </w:r>
      <w:r w:rsidRPr="00917CDE">
        <w:t xml:space="preserve">transition. </w:t>
      </w:r>
      <w:r w:rsidR="00383422" w:rsidRPr="00917CDE">
        <w:t>Several</w:t>
      </w:r>
      <w:r w:rsidRPr="00917CDE">
        <w:t xml:space="preserve"> studies highlighted how isolated and lonely young people felt once they had moved on (Duncalf, </w:t>
      </w:r>
      <w:r w:rsidRPr="00917CDE">
        <w:lastRenderedPageBreak/>
        <w:t>2010; Rogers, 2011; Hiles et al</w:t>
      </w:r>
      <w:r w:rsidR="00015D04">
        <w:t>.</w:t>
      </w:r>
      <w:r w:rsidRPr="00917CDE">
        <w:t>, 2013; Baker, 2017; Liabo et al</w:t>
      </w:r>
      <w:r w:rsidR="00015D04">
        <w:t>.</w:t>
      </w:r>
      <w:r w:rsidRPr="00917CDE">
        <w:t>, 2017) and in Adley and Jupp Kina’s (2014) study</w:t>
      </w:r>
      <w:r w:rsidR="00F03672">
        <w:t xml:space="preserve">, </w:t>
      </w:r>
      <w:r w:rsidRPr="00917CDE">
        <w:t xml:space="preserve">young people talked about </w:t>
      </w:r>
      <w:r>
        <w:t xml:space="preserve">feeling </w:t>
      </w:r>
      <w:r w:rsidRPr="00917CDE">
        <w:t>overwhelmed by the experience. Arguably this could reflect many young people’s experiences of moving out, however for young people leaving care, the option to ‘boomerang’ between independence and returning home (Tosi and Grundy, 2018) is not possible. Without this safety net</w:t>
      </w:r>
      <w:r>
        <w:t>,</w:t>
      </w:r>
      <w:r w:rsidRPr="00917CDE">
        <w:t xml:space="preserve"> the need for support and social networks are accentuated, however young people felt that levels of support were an issue during this time. </w:t>
      </w:r>
      <w:r w:rsidR="001669D5">
        <w:t xml:space="preserve">These perspectives are valuable when thinking about </w:t>
      </w:r>
      <w:r w:rsidR="001669D5" w:rsidRPr="001669D5">
        <w:rPr>
          <w:i/>
          <w:iCs/>
        </w:rPr>
        <w:t>Staying Put</w:t>
      </w:r>
      <w:r w:rsidR="001669D5">
        <w:t xml:space="preserve"> as the decision appears to be irreversible. </w:t>
      </w:r>
      <w:r w:rsidR="0073120B">
        <w:t>Furthermore,</w:t>
      </w:r>
      <w:r w:rsidR="001669D5">
        <w:t xml:space="preserve"> young people may not have had experience of living independently and may be reliant on their support network for guidance.</w:t>
      </w:r>
    </w:p>
    <w:p w14:paraId="630D2F8A" w14:textId="5CB12C34" w:rsidR="00840F8A" w:rsidRPr="00917CDE" w:rsidRDefault="00840F8A">
      <w:r w:rsidRPr="00917CDE">
        <w:t>In the study by Hiles et al</w:t>
      </w:r>
      <w:r>
        <w:t>.</w:t>
      </w:r>
      <w:r w:rsidRPr="00917CDE">
        <w:t xml:space="preserve"> (2013)</w:t>
      </w:r>
      <w:r w:rsidR="00A2277B">
        <w:t>,</w:t>
      </w:r>
      <w:r w:rsidRPr="00917CDE">
        <w:t xml:space="preserve"> focus groups of young men reflected on the balance needed between greater levels of independence</w:t>
      </w:r>
      <w:r w:rsidR="00383422">
        <w:t xml:space="preserve"> and </w:t>
      </w:r>
      <w:r w:rsidRPr="00917CDE">
        <w:t xml:space="preserve">the support </w:t>
      </w:r>
      <w:r w:rsidR="001669D5">
        <w:t xml:space="preserve">and guidance </w:t>
      </w:r>
      <w:r w:rsidR="00383422">
        <w:t xml:space="preserve">needed </w:t>
      </w:r>
      <w:r w:rsidRPr="00917CDE">
        <w:t>to make</w:t>
      </w:r>
      <w:r w:rsidR="0073120B">
        <w:t xml:space="preserve"> successful independent living achievable</w:t>
      </w:r>
      <w:r w:rsidRPr="00917CDE">
        <w:t xml:space="preserve">. </w:t>
      </w:r>
      <w:r w:rsidR="00383422">
        <w:t>The views of the young people in Hiles et al.’s study h</w:t>
      </w:r>
      <w:r w:rsidRPr="00917CDE">
        <w:t>ighligh</w:t>
      </w:r>
      <w:r w:rsidR="00383422">
        <w:t>t</w:t>
      </w:r>
      <w:r w:rsidRPr="00917CDE">
        <w:t xml:space="preserve"> the need to provide young people with a structure that enables them to take risks and develop confidence. Unfortunately</w:t>
      </w:r>
      <w:r w:rsidR="0093054E">
        <w:t>,</w:t>
      </w:r>
      <w:r w:rsidRPr="00917CDE">
        <w:t xml:space="preserve"> the young people in this and other studies talked about the gaps in support, underlining the constantly changing social networks and difficulty in making contact with workers (Hiles et al</w:t>
      </w:r>
      <w:r>
        <w:t>.</w:t>
      </w:r>
      <w:r w:rsidRPr="00917CDE">
        <w:t xml:space="preserve">, 2013), lack of general support (Harris, 2009; Duncalf, 2010, Baker, 2017) and reliance on professional support as there were holes in their </w:t>
      </w:r>
      <w:r>
        <w:t>personal</w:t>
      </w:r>
      <w:r w:rsidRPr="00917CDE">
        <w:t xml:space="preserve"> network (</w:t>
      </w:r>
      <w:r w:rsidRPr="00917CDE">
        <w:rPr>
          <w:bdr w:val="none" w:sz="0" w:space="0" w:color="auto" w:frame="1"/>
          <w:shd w:val="clear" w:color="auto" w:fill="FFFFFF"/>
        </w:rPr>
        <w:t>Berzin</w:t>
      </w:r>
      <w:r w:rsidR="00C87864">
        <w:rPr>
          <w:bdr w:val="none" w:sz="0" w:space="0" w:color="auto" w:frame="1"/>
          <w:shd w:val="clear" w:color="auto" w:fill="FFFFFF"/>
        </w:rPr>
        <w:t>, Singer</w:t>
      </w:r>
      <w:r w:rsidRPr="00917CDE">
        <w:rPr>
          <w:bdr w:val="none" w:sz="0" w:space="0" w:color="auto" w:frame="1"/>
          <w:shd w:val="clear" w:color="auto" w:fill="FFFFFF"/>
        </w:rPr>
        <w:t xml:space="preserve"> and Hokanson</w:t>
      </w:r>
      <w:r w:rsidRPr="00917CDE">
        <w:t xml:space="preserve"> 201</w:t>
      </w:r>
      <w:r w:rsidR="00C87864">
        <w:t>4</w:t>
      </w:r>
      <w:r w:rsidRPr="00917CDE">
        <w:t xml:space="preserve">). </w:t>
      </w:r>
    </w:p>
    <w:p w14:paraId="049EFB4D" w14:textId="43F1BA48" w:rsidR="00840F8A" w:rsidRPr="00917CDE" w:rsidRDefault="00840F8A">
      <w:r w:rsidRPr="00917CDE">
        <w:t>Even if support is needed, sustaining a relationship with their social worker or carer may not be straightforward and could be complicated by complex feelings and associations with the transition from care. Some young people described feelings of abandonment by workers and carers once they had left care (Roger</w:t>
      </w:r>
      <w:r>
        <w:t>s</w:t>
      </w:r>
      <w:r w:rsidRPr="00917CDE">
        <w:t xml:space="preserve">, 2011) making it hard to reach out even if help was needed. For other young people barriers included the </w:t>
      </w:r>
      <w:r w:rsidR="00CC54B6">
        <w:t xml:space="preserve">social </w:t>
      </w:r>
      <w:r w:rsidRPr="00917CDE">
        <w:t>worker’s professional status as a block to form trusting relationships (Hiles et al., 2013)</w:t>
      </w:r>
      <w:r w:rsidR="00BB413D">
        <w:t>,</w:t>
      </w:r>
      <w:r w:rsidRPr="00917CDE">
        <w:t xml:space="preserve"> that social workers were perceived to be only concerned with their job (Rogers, 2011)</w:t>
      </w:r>
      <w:r w:rsidR="00BB413D">
        <w:t>,</w:t>
      </w:r>
      <w:r w:rsidRPr="00917CDE">
        <w:t xml:space="preserve"> or </w:t>
      </w:r>
      <w:r w:rsidR="0073120B">
        <w:t xml:space="preserve">that </w:t>
      </w:r>
      <w:r w:rsidRPr="00917CDE">
        <w:t xml:space="preserve">previous experiences of workers put them off (Baker, 2017). Notably for young people in a Swedish study, they identified the need to talk to someone at all times, not just when things were difficult (Höjer </w:t>
      </w:r>
      <w:r w:rsidR="00383422">
        <w:t>and</w:t>
      </w:r>
      <w:r w:rsidRPr="00917CDE">
        <w:t xml:space="preserve"> Sjöblom, 2014). Also underlined by one young person from Ayre et al</w:t>
      </w:r>
      <w:r>
        <w:t>.</w:t>
      </w:r>
      <w:r w:rsidRPr="00917CDE">
        <w:t xml:space="preserve">’s </w:t>
      </w:r>
      <w:r w:rsidR="00CC54B6">
        <w:t>(</w:t>
      </w:r>
      <w:r w:rsidR="00CC54B6" w:rsidRPr="00917CDE">
        <w:t>2016</w:t>
      </w:r>
      <w:r w:rsidR="00CC54B6">
        <w:t xml:space="preserve">) </w:t>
      </w:r>
      <w:r w:rsidRPr="00917CDE">
        <w:t>study about financial education who said that workers were only there when they were ‘in the shit’ (</w:t>
      </w:r>
      <w:r w:rsidR="0073120B">
        <w:t xml:space="preserve">2016, </w:t>
      </w:r>
      <w:r w:rsidRPr="00917CDE">
        <w:t>p. 9). A more proactive stance is suggested by some young people</w:t>
      </w:r>
      <w:r w:rsidR="002C5413">
        <w:t>,</w:t>
      </w:r>
      <w:r w:rsidRPr="00917CDE">
        <w:t xml:space="preserve"> who note that workers need to interrogate the reasons why help might be rejected</w:t>
      </w:r>
      <w:r w:rsidR="00906CA2">
        <w:t>,</w:t>
      </w:r>
      <w:r w:rsidRPr="00917CDE">
        <w:t xml:space="preserve"> and the need to ask more than once if support is needed (Adley and Jupp Kina, 2014). </w:t>
      </w:r>
      <w:r>
        <w:t xml:space="preserve">These studies about support are relevant to my study as </w:t>
      </w:r>
      <w:r w:rsidR="003250BE">
        <w:t xml:space="preserve">they provide context about the </w:t>
      </w:r>
      <w:r>
        <w:t xml:space="preserve">actors that </w:t>
      </w:r>
      <w:r w:rsidR="001669D5">
        <w:t xml:space="preserve">contribute </w:t>
      </w:r>
      <w:r w:rsidR="0073120B">
        <w:t>when</w:t>
      </w:r>
      <w:r>
        <w:t xml:space="preserve"> the young person </w:t>
      </w:r>
      <w:r w:rsidR="0073120B">
        <w:t xml:space="preserve">is </w:t>
      </w:r>
      <w:r>
        <w:lastRenderedPageBreak/>
        <w:t xml:space="preserve">making their decision about </w:t>
      </w:r>
      <w:r w:rsidRPr="006E3485">
        <w:rPr>
          <w:i/>
          <w:iCs/>
        </w:rPr>
        <w:t>Staying Put</w:t>
      </w:r>
      <w:r w:rsidR="00F01EA3">
        <w:rPr>
          <w:i/>
          <w:iCs/>
        </w:rPr>
        <w:t xml:space="preserve"> </w:t>
      </w:r>
      <w:r w:rsidR="00F01EA3" w:rsidRPr="00F01EA3">
        <w:t xml:space="preserve">and indicate some of the factors that might influence the participation and subjectivities of young people in this decision-making </w:t>
      </w:r>
      <w:r w:rsidR="005527DD">
        <w:t xml:space="preserve">process </w:t>
      </w:r>
    </w:p>
    <w:p w14:paraId="5332F165" w14:textId="022E78DC" w:rsidR="00840F8A" w:rsidRPr="00917CDE" w:rsidRDefault="00840F8A">
      <w:r w:rsidRPr="00917CDE">
        <w:t xml:space="preserve">As well as support </w:t>
      </w:r>
      <w:r w:rsidR="00CC54B6">
        <w:t xml:space="preserve">in the transition to leaving care </w:t>
      </w:r>
      <w:r w:rsidRPr="00917CDE">
        <w:t xml:space="preserve">being important to young people, the issue of preparation was also discussed across </w:t>
      </w:r>
      <w:r w:rsidR="0073120B" w:rsidRPr="00917CDE">
        <w:t>several</w:t>
      </w:r>
      <w:r w:rsidRPr="00917CDE">
        <w:t xml:space="preserve"> studies. Typical factors raised were insufficient time to prepare (Hiles et al</w:t>
      </w:r>
      <w:r>
        <w:t>.,</w:t>
      </w:r>
      <w:r w:rsidRPr="00917CDE">
        <w:t xml:space="preserve"> 2014)</w:t>
      </w:r>
      <w:r w:rsidR="00DD4457">
        <w:t>,</w:t>
      </w:r>
      <w:r w:rsidRPr="00917CDE">
        <w:t xml:space="preserve"> focus on practical rather than emotional readiness (Baker, 2017) and an overall feeling that preparation was inadequate (Harris, 2009; Rogers, 2011: Baker, 2017) or inconsistent (Ayre et al</w:t>
      </w:r>
      <w:r w:rsidR="00015D04">
        <w:t>.</w:t>
      </w:r>
      <w:r w:rsidRPr="00917CDE">
        <w:t>, 2016). Planning was also viewed as a patchy experience</w:t>
      </w:r>
      <w:r w:rsidR="00900817">
        <w:t>,</w:t>
      </w:r>
      <w:r w:rsidRPr="00917CDE">
        <w:t xml:space="preserve"> where young people felt they were subject to the planning process rather than taking an active lead (Dixon and Robey, 2014; Baker, 2017). Also highlighted was an absence of finance planning (Ayre et al., 2016) and a general feeling that </w:t>
      </w:r>
      <w:r w:rsidR="0073120B">
        <w:t xml:space="preserve">pathway </w:t>
      </w:r>
      <w:r w:rsidRPr="00917CDE">
        <w:t>plans did not support their transition (Dixon and Robey, 2014; Hung and Appleton, 2016; Baker, 2017).</w:t>
      </w:r>
      <w:r w:rsidR="00F01EA3">
        <w:t xml:space="preserve"> The views about young people regarding preparation are key when thinking about </w:t>
      </w:r>
      <w:r w:rsidR="00F01EA3" w:rsidRPr="00F01EA3">
        <w:rPr>
          <w:i/>
          <w:iCs/>
        </w:rPr>
        <w:t>Staying Put</w:t>
      </w:r>
      <w:r w:rsidR="00F01EA3">
        <w:t xml:space="preserve"> as I am interested in the young people’s role in their decision which will also reflect </w:t>
      </w:r>
      <w:r w:rsidR="0073120B">
        <w:t>any</w:t>
      </w:r>
      <w:r w:rsidR="00F01EA3">
        <w:t xml:space="preserve"> plans about their future.</w:t>
      </w:r>
    </w:p>
    <w:p w14:paraId="59AB778F" w14:textId="2B8447D4" w:rsidR="00840F8A" w:rsidRPr="00917CDE" w:rsidRDefault="00840F8A">
      <w:r w:rsidRPr="00917CDE">
        <w:t xml:space="preserve">Aside from support and preparation, the other element to feature in the literature is what young people say about accommodation after leaving their placement. Centrepoint’s report </w:t>
      </w:r>
      <w:r w:rsidRPr="00917CDE">
        <w:rPr>
          <w:i/>
          <w:iCs/>
        </w:rPr>
        <w:t>From Care to Where?</w:t>
      </w:r>
      <w:r w:rsidRPr="00917CDE">
        <w:t xml:space="preserve"> highlighted the difficulties for young people navigating through the benefits system and housing market whilst leaving care, noting the lack of preparation, planning and understanding about living independently and not having enough money to rent privately </w:t>
      </w:r>
      <w:r w:rsidR="00BF2CD2" w:rsidRPr="00917CDE">
        <w:t>(</w:t>
      </w:r>
      <w:r w:rsidR="00BF2CD2">
        <w:t xml:space="preserve">Gill and Daw, </w:t>
      </w:r>
      <w:r w:rsidR="00BF2CD2" w:rsidRPr="00917CDE">
        <w:t>2017</w:t>
      </w:r>
      <w:r w:rsidR="00BF2CD2">
        <w:t xml:space="preserve">, </w:t>
      </w:r>
      <w:r w:rsidRPr="00917CDE">
        <w:t>p.</w:t>
      </w:r>
      <w:r w:rsidR="005527DD">
        <w:t xml:space="preserve"> </w:t>
      </w:r>
      <w:r w:rsidRPr="00917CDE">
        <w:t xml:space="preserve">14). Further issues relating to accommodation have been explored by other researchers, often repeating messages about having inadequate information and grasp of the systems. Some young people talked about the difficulties in finding stable accommodation, sharing how ill-informed they were about where to start (Ayre et al., 2016) and how difficult it was to find somewhere to live (Duncalf, 2010). Many studies focused on the practical aspects of finding somewhere to live, however for some young people the type of accommodation was the problem, </w:t>
      </w:r>
      <w:r w:rsidR="00270798">
        <w:t xml:space="preserve">feeling </w:t>
      </w:r>
      <w:r w:rsidRPr="00917CDE">
        <w:t>they were living in unstable or unsuitable places (</w:t>
      </w:r>
      <w:r w:rsidR="00680E00">
        <w:t>Gill and Daw,</w:t>
      </w:r>
      <w:r w:rsidRPr="00917CDE">
        <w:t xml:space="preserve"> 2017) or fe</w:t>
      </w:r>
      <w:r w:rsidR="00270798">
        <w:t>eling</w:t>
      </w:r>
      <w:r w:rsidRPr="00917CDE">
        <w:t xml:space="preserve"> unsafe and nervous about where they were living (Liabo et al., 2017). </w:t>
      </w:r>
    </w:p>
    <w:p w14:paraId="57DA6C11" w14:textId="239B276E" w:rsidR="00840F8A" w:rsidRPr="00917CDE" w:rsidRDefault="00840F8A">
      <w:r w:rsidRPr="00917CDE">
        <w:t>The picture described by young people in this brief summary of their perspectives, highlights the gaps in support and understanding needed to face the changes they will experience as they leave care. It is apparent from the experiences of young people that they need a range of factors</w:t>
      </w:r>
      <w:r w:rsidR="0050463C">
        <w:t>,</w:t>
      </w:r>
      <w:r w:rsidRPr="00917CDE">
        <w:t xml:space="preserve"> including organisational support</w:t>
      </w:r>
      <w:r w:rsidR="008B6CB9">
        <w:t>,</w:t>
      </w:r>
      <w:r w:rsidRPr="00917CDE">
        <w:t xml:space="preserve"> as well as a safety net of care provided by a trusted adult. Sen’s (2018) description of housing as a ‘gateway issue’ captures the systemic </w:t>
      </w:r>
      <w:r w:rsidRPr="00917CDE">
        <w:lastRenderedPageBreak/>
        <w:t xml:space="preserve">nature of support young people need </w:t>
      </w:r>
      <w:r w:rsidR="00F01EA3">
        <w:t xml:space="preserve">when leaving care </w:t>
      </w:r>
      <w:r w:rsidRPr="00917CDE">
        <w:t>(</w:t>
      </w:r>
      <w:r w:rsidR="00270798">
        <w:t xml:space="preserve">2018, </w:t>
      </w:r>
      <w:r w:rsidRPr="00917CDE">
        <w:t>p. 183). Meaning that without the security of a place to live, choices about day</w:t>
      </w:r>
      <w:r w:rsidR="00F678B8">
        <w:t>-</w:t>
      </w:r>
      <w:r w:rsidRPr="00917CDE">
        <w:t>to</w:t>
      </w:r>
      <w:r w:rsidR="00F678B8">
        <w:t>-</w:t>
      </w:r>
      <w:r w:rsidRPr="00917CDE">
        <w:t>day life are more likely to be problematic</w:t>
      </w:r>
      <w:r w:rsidR="00BE4A26">
        <w:t xml:space="preserve"> —</w:t>
      </w:r>
      <w:r w:rsidRPr="00917CDE">
        <w:t xml:space="preserve"> however without the practical and emotional support and preparation, maintaining a tenancy to establish a sense of security may be hard to achieve. Delaying the move from care has been established as a possible solution to manage the young person’s transition, making the move to other living arrangements </w:t>
      </w:r>
      <w:r w:rsidR="00F01EA3">
        <w:t xml:space="preserve">detailed in Chapter </w:t>
      </w:r>
      <w:r w:rsidR="005537DE">
        <w:t xml:space="preserve">1 </w:t>
      </w:r>
      <w:r w:rsidRPr="00917CDE">
        <w:t xml:space="preserve">more </w:t>
      </w:r>
      <w:r w:rsidR="00F01EA3">
        <w:t xml:space="preserve">aligned with </w:t>
      </w:r>
      <w:r w:rsidRPr="00917CDE">
        <w:t>the young person’s timescales.</w:t>
      </w:r>
    </w:p>
    <w:p w14:paraId="0A8B338A" w14:textId="0F174610" w:rsidR="00840F8A" w:rsidRPr="00917CDE" w:rsidRDefault="00840F8A" w:rsidP="007C51DB">
      <w:pPr>
        <w:pStyle w:val="Heading3"/>
      </w:pPr>
      <w:r w:rsidRPr="00917CDE">
        <w:t>‘Extending’ Care?</w:t>
      </w:r>
    </w:p>
    <w:p w14:paraId="05CFE100" w14:textId="1E20E48A" w:rsidR="00840F8A" w:rsidRPr="00917CDE" w:rsidRDefault="00840F8A">
      <w:r w:rsidRPr="002F4CD2">
        <w:t>Internationally, leaving care support has concentrated on short term interventions that have a practical focus (Mendes and Rogers, 2020). In part</w:t>
      </w:r>
      <w:r w:rsidR="00456278" w:rsidRPr="002F4CD2">
        <w:t>,</w:t>
      </w:r>
      <w:r w:rsidRPr="002F4CD2">
        <w:t xml:space="preserve"> it is likely </w:t>
      </w:r>
      <w:r w:rsidR="00383422" w:rsidRPr="002F4CD2">
        <w:t xml:space="preserve">that </w:t>
      </w:r>
      <w:r w:rsidRPr="002F4CD2">
        <w:t>this</w:t>
      </w:r>
      <w:r w:rsidR="00383422" w:rsidRPr="002F4CD2">
        <w:t xml:space="preserve"> focus</w:t>
      </w:r>
      <w:r w:rsidRPr="002F4CD2">
        <w:t xml:space="preserve"> is due to the fear of creating dependency on state support (Jones, 2019). The much quoted ‘accelerated and compressed’ description of leaving care coined by Stein (</w:t>
      </w:r>
      <w:r w:rsidR="00235135" w:rsidRPr="00235135">
        <w:t>2016, p. v</w:t>
      </w:r>
      <w:r w:rsidRPr="002F4CD2">
        <w:t>) has helpfully</w:t>
      </w:r>
      <w:r w:rsidRPr="00917CDE">
        <w:t xml:space="preserve"> shed light on the need to rethink the abrupt ending of some young people’s care experience. In response, a number of options for support beyond a care placement have developed alongside other independently organised solutions. As </w:t>
      </w:r>
      <w:r w:rsidR="005537DE">
        <w:t>introduced</w:t>
      </w:r>
      <w:r w:rsidRPr="00917CDE">
        <w:t xml:space="preserve"> </w:t>
      </w:r>
      <w:r w:rsidRPr="00333360">
        <w:t xml:space="preserve">in </w:t>
      </w:r>
      <w:r w:rsidR="00333360" w:rsidRPr="00333360">
        <w:t>C</w:t>
      </w:r>
      <w:r w:rsidRPr="00333360">
        <w:t>hapter</w:t>
      </w:r>
      <w:r w:rsidR="00333360" w:rsidRPr="00333360">
        <w:t xml:space="preserve"> </w:t>
      </w:r>
      <w:r w:rsidR="005537DE">
        <w:t xml:space="preserve">1 and </w:t>
      </w:r>
      <w:r w:rsidR="00333360" w:rsidRPr="00333360">
        <w:t>2</w:t>
      </w:r>
      <w:r w:rsidRPr="00333360">
        <w:t>, the concept</w:t>
      </w:r>
      <w:r w:rsidRPr="00917CDE">
        <w:t xml:space="preserve"> of extended care describes those arrangements that delay the transition from a care placement. </w:t>
      </w:r>
      <w:r w:rsidR="005C2238">
        <w:t>These arrangements e</w:t>
      </w:r>
      <w:r w:rsidRPr="00917CDE">
        <w:t>nsur</w:t>
      </w:r>
      <w:r w:rsidR="005C2238">
        <w:t>e</w:t>
      </w:r>
      <w:r w:rsidRPr="00917CDE">
        <w:t xml:space="preserve"> that support </w:t>
      </w:r>
      <w:r w:rsidR="005537DE">
        <w:t xml:space="preserve">for young people </w:t>
      </w:r>
      <w:r w:rsidRPr="00917CDE">
        <w:t xml:space="preserve">is based on individual needs rather than responding to chronological age or ‘bureaucratic constructs’ (McGhee, 2017, p. 4). In England the two main schemes associated with extended care are </w:t>
      </w:r>
      <w:r w:rsidRPr="00CF3109">
        <w:rPr>
          <w:i/>
          <w:iCs/>
        </w:rPr>
        <w:t>Staying Put</w:t>
      </w:r>
      <w:r w:rsidRPr="00917CDE">
        <w:t xml:space="preserve"> as </w:t>
      </w:r>
      <w:r w:rsidRPr="00333360">
        <w:t xml:space="preserve">detailed in </w:t>
      </w:r>
      <w:r w:rsidR="00333360" w:rsidRPr="00333360">
        <w:t>C</w:t>
      </w:r>
      <w:r w:rsidRPr="00333360">
        <w:t>hapter</w:t>
      </w:r>
      <w:r w:rsidR="00333360" w:rsidRPr="00333360">
        <w:t xml:space="preserve"> 1</w:t>
      </w:r>
      <w:r w:rsidRPr="00333360">
        <w:t xml:space="preserve"> and</w:t>
      </w:r>
      <w:r w:rsidRPr="00917CDE">
        <w:t xml:space="preserve"> </w:t>
      </w:r>
      <w:r w:rsidRPr="00CF3109">
        <w:rPr>
          <w:i/>
          <w:iCs/>
        </w:rPr>
        <w:t>Staying Close</w:t>
      </w:r>
      <w:r w:rsidRPr="00917CDE">
        <w:t xml:space="preserve"> for young people in residential care. The extended care agenda is not universally applied, as young people in residential care are not automatically afforded the same opportunity to remain in placement at the time of writing due to affordability (Narey, 2016)</w:t>
      </w:r>
      <w:r w:rsidR="00BE7AC3">
        <w:t>,</w:t>
      </w:r>
      <w:r w:rsidRPr="00917CDE">
        <w:t xml:space="preserve"> and the perceived risks of young people across a wide age range living in the same placement (Munro, 2019). Currently the </w:t>
      </w:r>
      <w:r w:rsidRPr="00CF3109">
        <w:rPr>
          <w:i/>
          <w:iCs/>
        </w:rPr>
        <w:t>Staying Close</w:t>
      </w:r>
      <w:r w:rsidRPr="00917CDE">
        <w:t xml:space="preserve"> pilots are ending, and early evaluation work suggests that the scheme provided young people with greater stability, increased involvement in community activities and feeling happier over time (Dixon, Cresswell and Ward, 2020). </w:t>
      </w:r>
    </w:p>
    <w:p w14:paraId="39410E64" w14:textId="1201E5AF" w:rsidR="00840F8A" w:rsidRPr="00917CDE" w:rsidRDefault="00840F8A">
      <w:r w:rsidRPr="00917CDE">
        <w:t xml:space="preserve">The research relating to extending a young person’s stay in foster care is somewhat limited. </w:t>
      </w:r>
      <w:r w:rsidR="003801EF">
        <w:t xml:space="preserve">North </w:t>
      </w:r>
      <w:r w:rsidRPr="00917CDE">
        <w:t xml:space="preserve">American research is broader as their extended care scheme has been in place since the </w:t>
      </w:r>
      <w:r w:rsidRPr="00CF3109">
        <w:rPr>
          <w:i/>
          <w:iCs/>
        </w:rPr>
        <w:t>Fostering Connections Act</w:t>
      </w:r>
      <w:r w:rsidRPr="00917CDE">
        <w:t xml:space="preserve"> (2008)</w:t>
      </w:r>
      <w:r w:rsidR="003801EF">
        <w:t>.</w:t>
      </w:r>
      <w:r w:rsidRPr="00917CDE">
        <w:t xml:space="preserve"> </w:t>
      </w:r>
      <w:r w:rsidR="003801EF">
        <w:t>S</w:t>
      </w:r>
      <w:r w:rsidRPr="00917CDE">
        <w:t xml:space="preserve">imilar to </w:t>
      </w:r>
      <w:r w:rsidRPr="00CF3109">
        <w:rPr>
          <w:i/>
          <w:iCs/>
        </w:rPr>
        <w:t>Staying Put,</w:t>
      </w:r>
      <w:r w:rsidRPr="00917CDE">
        <w:t xml:space="preserve"> </w:t>
      </w:r>
      <w:r w:rsidR="00CC54B6">
        <w:t>th</w:t>
      </w:r>
      <w:r w:rsidR="002F4CD2">
        <w:t>e</w:t>
      </w:r>
      <w:r w:rsidR="00CC54B6">
        <w:t xml:space="preserve"> </w:t>
      </w:r>
      <w:r w:rsidR="002F4CD2">
        <w:t>North American policy</w:t>
      </w:r>
      <w:r w:rsidR="00CC54B6">
        <w:t xml:space="preserve"> enables </w:t>
      </w:r>
      <w:r w:rsidRPr="00917CDE">
        <w:t xml:space="preserve">young people are able to remain with their foster carer until they are 21. The </w:t>
      </w:r>
      <w:r w:rsidR="003801EF">
        <w:t xml:space="preserve">North </w:t>
      </w:r>
      <w:r w:rsidRPr="00917CDE">
        <w:t xml:space="preserve">American scheme stipulates that </w:t>
      </w:r>
      <w:r>
        <w:t xml:space="preserve">only </w:t>
      </w:r>
      <w:r w:rsidRPr="00917CDE">
        <w:t>young people engaged with education</w:t>
      </w:r>
      <w:r w:rsidR="003801EF">
        <w:t>,</w:t>
      </w:r>
      <w:r w:rsidRPr="00917CDE">
        <w:t xml:space="preserve"> employment or </w:t>
      </w:r>
      <w:r>
        <w:t xml:space="preserve">living with </w:t>
      </w:r>
      <w:r w:rsidRPr="00917CDE">
        <w:t>a health issue</w:t>
      </w:r>
      <w:r>
        <w:t xml:space="preserve"> are eligible</w:t>
      </w:r>
      <w:r w:rsidRPr="00917CDE">
        <w:t xml:space="preserve"> (Courtney, 2019). Early</w:t>
      </w:r>
      <w:r w:rsidR="00CC54B6">
        <w:t xml:space="preserve"> studies about extended care by</w:t>
      </w:r>
      <w:r w:rsidRPr="00917CDE">
        <w:t xml:space="preserve"> research</w:t>
      </w:r>
      <w:r w:rsidR="00CC54B6">
        <w:t>ers</w:t>
      </w:r>
      <w:r w:rsidRPr="00917CDE">
        <w:t xml:space="preserve"> from the </w:t>
      </w:r>
      <w:r w:rsidR="003801EF">
        <w:t>United States of America</w:t>
      </w:r>
      <w:r w:rsidRPr="00917CDE">
        <w:t xml:space="preserve"> suggests that young people had improved </w:t>
      </w:r>
      <w:r w:rsidRPr="00917CDE">
        <w:lastRenderedPageBreak/>
        <w:t xml:space="preserve">outcomes in education, employment and were less likely to be involved in criminal behaviour (Courtney, 2015). Likewise, the evaluation from </w:t>
      </w:r>
      <w:r w:rsidR="002F4CD2">
        <w:t>England’s</w:t>
      </w:r>
      <w:r w:rsidRPr="00917CDE">
        <w:t xml:space="preserve"> </w:t>
      </w:r>
      <w:r w:rsidRPr="00CF3109">
        <w:rPr>
          <w:i/>
          <w:iCs/>
        </w:rPr>
        <w:t>Staying Put</w:t>
      </w:r>
      <w:r w:rsidRPr="00917CDE">
        <w:t xml:space="preserve"> pilot was generally positive and found that remaining with carers supported young people to maintain more stable relationships and stable housing (N</w:t>
      </w:r>
      <w:r w:rsidR="00CC54B6">
        <w:t xml:space="preserve">ational </w:t>
      </w:r>
      <w:r w:rsidRPr="00917CDE">
        <w:t>C</w:t>
      </w:r>
      <w:r w:rsidR="00CC54B6">
        <w:t xml:space="preserve">are </w:t>
      </w:r>
      <w:r w:rsidRPr="00917CDE">
        <w:t>A</w:t>
      </w:r>
      <w:r w:rsidR="00CC54B6">
        <w:t xml:space="preserve">dvisory </w:t>
      </w:r>
      <w:r w:rsidRPr="00917CDE">
        <w:t>S</w:t>
      </w:r>
      <w:r w:rsidR="00CC54B6">
        <w:t>ervice</w:t>
      </w:r>
      <w:r w:rsidRPr="00917CDE">
        <w:t xml:space="preserve">, 2012). </w:t>
      </w:r>
    </w:p>
    <w:p w14:paraId="014D1718" w14:textId="628A55E3" w:rsidR="00840F8A" w:rsidRPr="00917CDE" w:rsidRDefault="00840F8A">
      <w:r w:rsidRPr="00917CDE">
        <w:t xml:space="preserve">As it has been previously noted, </w:t>
      </w:r>
      <w:r w:rsidRPr="00C50222">
        <w:rPr>
          <w:i/>
          <w:iCs/>
        </w:rPr>
        <w:t>Staying Put</w:t>
      </w:r>
      <w:r w:rsidRPr="00917CDE">
        <w:t xml:space="preserve"> and </w:t>
      </w:r>
      <w:r w:rsidRPr="00C50222">
        <w:rPr>
          <w:i/>
          <w:iCs/>
        </w:rPr>
        <w:t>Staying Close</w:t>
      </w:r>
      <w:r w:rsidRPr="00917CDE">
        <w:t xml:space="preserve"> mark a different approach </w:t>
      </w:r>
      <w:r>
        <w:t xml:space="preserve">for </w:t>
      </w:r>
      <w:r w:rsidRPr="00917CDE">
        <w:t xml:space="preserve">young people </w:t>
      </w:r>
      <w:r w:rsidR="00756E8E">
        <w:t xml:space="preserve">leaving care </w:t>
      </w:r>
      <w:r w:rsidRPr="00917CDE">
        <w:t>and as McGhee (2017) recognises, there needs to be a change in culture as well as policy</w:t>
      </w:r>
      <w:r w:rsidR="00756E8E">
        <w:t xml:space="preserve"> to ensure that young people do not leave their placement prematurely</w:t>
      </w:r>
      <w:r w:rsidRPr="00917CDE">
        <w:t xml:space="preserve">. </w:t>
      </w:r>
      <w:r>
        <w:t>The</w:t>
      </w:r>
      <w:r w:rsidR="00756E8E">
        <w:t xml:space="preserve"> number of young people</w:t>
      </w:r>
      <w:r>
        <w:t xml:space="preserve"> us</w:t>
      </w:r>
      <w:r w:rsidR="00756E8E">
        <w:t xml:space="preserve">ing </w:t>
      </w:r>
      <w:r w:rsidRPr="00CF3109">
        <w:rPr>
          <w:i/>
          <w:iCs/>
        </w:rPr>
        <w:t>Staying Put</w:t>
      </w:r>
      <w:r>
        <w:t xml:space="preserve"> and extended </w:t>
      </w:r>
      <w:r w:rsidR="003801EF">
        <w:t xml:space="preserve">care </w:t>
      </w:r>
      <w:r>
        <w:t>schemes</w:t>
      </w:r>
      <w:r w:rsidR="00756E8E">
        <w:t xml:space="preserve"> in other countries</w:t>
      </w:r>
      <w:r>
        <w:t xml:space="preserve"> has </w:t>
      </w:r>
      <w:r w:rsidR="00756E8E">
        <w:t>only increased in limited numbers</w:t>
      </w:r>
      <w:r>
        <w:t xml:space="preserve"> following their introduction, suggesting that there are ongoing issues with implementation.</w:t>
      </w:r>
      <w:r w:rsidR="002F4CD2">
        <w:t xml:space="preserve"> Although not the focus of my study, the experiences of young people could contribute to the understanding of the transition to </w:t>
      </w:r>
      <w:r w:rsidR="002F4CD2" w:rsidRPr="002F4CD2">
        <w:rPr>
          <w:i/>
          <w:iCs/>
        </w:rPr>
        <w:t>Staying Put</w:t>
      </w:r>
      <w:r w:rsidR="002F4CD2">
        <w:t>.</w:t>
      </w:r>
      <w:r>
        <w:t xml:space="preserve"> </w:t>
      </w:r>
      <w:r w:rsidR="002F4CD2">
        <w:t>The barriers identified in the existing literature centre on finance, information, young people’s choice and organisational issues.</w:t>
      </w:r>
    </w:p>
    <w:p w14:paraId="725FCB21" w14:textId="512464FF" w:rsidR="00840F8A" w:rsidRPr="00917CDE" w:rsidRDefault="00840F8A" w:rsidP="007C51DB">
      <w:pPr>
        <w:pStyle w:val="Heading3"/>
      </w:pPr>
      <w:r>
        <w:t xml:space="preserve">Financial Constraints </w:t>
      </w:r>
    </w:p>
    <w:p w14:paraId="14962449" w14:textId="63FA4438" w:rsidR="00840F8A" w:rsidRDefault="000A75F5">
      <w:r>
        <w:t>Funding</w:t>
      </w:r>
      <w:r w:rsidR="00840F8A">
        <w:t xml:space="preserve"> has been identified as a problem for </w:t>
      </w:r>
      <w:r w:rsidR="00840F8A" w:rsidRPr="00CF3109">
        <w:rPr>
          <w:i/>
          <w:iCs/>
        </w:rPr>
        <w:t>Staying Put</w:t>
      </w:r>
      <w:r w:rsidR="00840F8A">
        <w:t xml:space="preserve"> from the outset, </w:t>
      </w:r>
      <w:r w:rsidR="00840F8A" w:rsidRPr="00C50222">
        <w:t>and levels</w:t>
      </w:r>
      <w:r w:rsidR="00840F8A">
        <w:t xml:space="preserve"> of </w:t>
      </w:r>
      <w:r>
        <w:t>investment</w:t>
      </w:r>
      <w:r w:rsidR="00840F8A">
        <w:t xml:space="preserve"> have been described as</w:t>
      </w:r>
      <w:r w:rsidR="00840F8A" w:rsidRPr="00C50222">
        <w:t xml:space="preserve"> inadequate (The Fostering Network, 2018).</w:t>
      </w:r>
      <w:r w:rsidR="00840F8A">
        <w:t xml:space="preserve"> Central </w:t>
      </w:r>
      <w:r w:rsidR="004F07D5">
        <w:t>G</w:t>
      </w:r>
      <w:r w:rsidR="00840F8A">
        <w:t>overnment h</w:t>
      </w:r>
      <w:r>
        <w:t>as</w:t>
      </w:r>
      <w:r w:rsidR="00840F8A">
        <w:t xml:space="preserve"> f</w:t>
      </w:r>
      <w:r w:rsidR="00840F8A" w:rsidRPr="00C50222">
        <w:t xml:space="preserve">unded </w:t>
      </w:r>
      <w:r w:rsidR="00840F8A" w:rsidRPr="00CF3109">
        <w:rPr>
          <w:i/>
          <w:iCs/>
        </w:rPr>
        <w:t>Staying Put</w:t>
      </w:r>
      <w:r w:rsidR="00840F8A">
        <w:t xml:space="preserve"> </w:t>
      </w:r>
      <w:r w:rsidR="00840F8A" w:rsidRPr="00C50222">
        <w:t xml:space="preserve">through </w:t>
      </w:r>
      <w:r w:rsidR="00840F8A">
        <w:t>an</w:t>
      </w:r>
      <w:r w:rsidR="00840F8A" w:rsidRPr="00C50222">
        <w:t xml:space="preserve"> implementation grant</w:t>
      </w:r>
      <w:r w:rsidR="00840F8A">
        <w:t xml:space="preserve">, and at the time of writing this </w:t>
      </w:r>
      <w:r>
        <w:t xml:space="preserve">funding </w:t>
      </w:r>
      <w:r w:rsidR="00840F8A">
        <w:t>has not been</w:t>
      </w:r>
      <w:r w:rsidR="00840F8A" w:rsidRPr="00C50222">
        <w:t xml:space="preserve"> guaranteed beyond 2021</w:t>
      </w:r>
      <w:r w:rsidR="00840F8A">
        <w:t xml:space="preserve"> (Action for Children, 2020). Furthermore, ongoing </w:t>
      </w:r>
      <w:r>
        <w:t xml:space="preserve">funding </w:t>
      </w:r>
      <w:r w:rsidR="00840F8A">
        <w:t xml:space="preserve">cuts and savings targets jeopardise expansion or cementing the use of </w:t>
      </w:r>
      <w:r w:rsidR="00840F8A" w:rsidRPr="00CF3109">
        <w:rPr>
          <w:i/>
          <w:iCs/>
        </w:rPr>
        <w:t>Staying Put</w:t>
      </w:r>
      <w:r w:rsidR="00840F8A">
        <w:t xml:space="preserve">. Action for Children’s (2020) review of </w:t>
      </w:r>
      <w:r w:rsidR="00840F8A" w:rsidRPr="006E3485">
        <w:rPr>
          <w:i/>
          <w:iCs/>
        </w:rPr>
        <w:t>Staying Put</w:t>
      </w:r>
      <w:r w:rsidR="00840F8A">
        <w:t xml:space="preserve"> found that</w:t>
      </w:r>
      <w:r w:rsidR="00840F8A" w:rsidRPr="0059662D">
        <w:t xml:space="preserve"> successful scheme</w:t>
      </w:r>
      <w:r w:rsidR="00840F8A">
        <w:t>s were problematic due to the financial implication</w:t>
      </w:r>
      <w:r w:rsidR="00756E8E">
        <w:t>s</w:t>
      </w:r>
      <w:r w:rsidR="00840F8A">
        <w:t xml:space="preserve"> of implementation. Managers in the review highlighted that budget</w:t>
      </w:r>
      <w:r w:rsidR="00756E8E">
        <w:t xml:space="preserve"> cuts</w:t>
      </w:r>
      <w:r w:rsidR="00840F8A">
        <w:t xml:space="preserve"> made it ‘</w:t>
      </w:r>
      <w:r w:rsidR="00840F8A" w:rsidRPr="0059662D">
        <w:t>hard to maintain good practice</w:t>
      </w:r>
      <w:r w:rsidR="00840F8A">
        <w:t xml:space="preserve">’ in promoting and running </w:t>
      </w:r>
      <w:r w:rsidR="00840F8A" w:rsidRPr="00CF3109">
        <w:rPr>
          <w:i/>
          <w:iCs/>
        </w:rPr>
        <w:t xml:space="preserve">Staying Put </w:t>
      </w:r>
      <w:r w:rsidR="00840F8A" w:rsidRPr="0059662D">
        <w:t>(</w:t>
      </w:r>
      <w:r w:rsidR="00680E00">
        <w:t xml:space="preserve">2020, </w:t>
      </w:r>
      <w:r w:rsidR="00840F8A" w:rsidRPr="0059662D">
        <w:t>p. 20)</w:t>
      </w:r>
      <w:r w:rsidR="002F4CD2">
        <w:t xml:space="preserve">, exacerbated by </w:t>
      </w:r>
      <w:r w:rsidR="00B9557B" w:rsidRPr="00B9557B">
        <w:t>biennia</w:t>
      </w:r>
      <w:r w:rsidR="00B9557B">
        <w:t>l funding announcements</w:t>
      </w:r>
      <w:r w:rsidR="00840F8A">
        <w:t xml:space="preserve">. In summary, changing practice and attitudes is arguably more difficult when funding is precarious and incrementally agreed. </w:t>
      </w:r>
    </w:p>
    <w:p w14:paraId="560F452D" w14:textId="44B2F94C" w:rsidR="00840F8A" w:rsidRPr="00C50222" w:rsidRDefault="00840F8A">
      <w:r>
        <w:t xml:space="preserve">As well as the funding arrangements between central </w:t>
      </w:r>
      <w:r w:rsidR="00B9557B">
        <w:t>g</w:t>
      </w:r>
      <w:r>
        <w:t xml:space="preserve">overnment and local authority, there are more localised resource issues resulting from the change in policy. </w:t>
      </w:r>
      <w:r w:rsidRPr="00CF3109">
        <w:rPr>
          <w:i/>
          <w:iCs/>
        </w:rPr>
        <w:t>Staying Put</w:t>
      </w:r>
      <w:r>
        <w:t xml:space="preserve"> arrangements have reduced the capacity in the foster carer network, as the turnover of young people has slowed </w:t>
      </w:r>
      <w:r w:rsidRPr="00C50222">
        <w:t>(</w:t>
      </w:r>
      <w:r w:rsidR="005E17B9">
        <w:t>Donovan</w:t>
      </w:r>
      <w:r w:rsidRPr="00C50222">
        <w:t>, 2018)</w:t>
      </w:r>
      <w:r>
        <w:t>. With fewer available foster care placements, local authorities may be forced to widen their use of independent fostering agencies or residential care placements to meet local need. In turn</w:t>
      </w:r>
      <w:r w:rsidR="00497D1C">
        <w:t>,</w:t>
      </w:r>
      <w:r>
        <w:t xml:space="preserve"> this may impact on the ability of young people to extend their time in placement, as there are no payments for </w:t>
      </w:r>
      <w:r w:rsidRPr="00C50222">
        <w:t xml:space="preserve">independent fostering agencies </w:t>
      </w:r>
      <w:r>
        <w:t xml:space="preserve">to support </w:t>
      </w:r>
      <w:r w:rsidRPr="006E3485">
        <w:rPr>
          <w:i/>
          <w:iCs/>
        </w:rPr>
        <w:t xml:space="preserve">Staying Put </w:t>
      </w:r>
      <w:r>
        <w:t>(</w:t>
      </w:r>
      <w:r w:rsidR="005E17B9">
        <w:t>Donovan</w:t>
      </w:r>
      <w:r w:rsidRPr="00C50222">
        <w:t>, 2018)</w:t>
      </w:r>
      <w:r>
        <w:t xml:space="preserve">. </w:t>
      </w:r>
      <w:r w:rsidR="000A75F5">
        <w:t>Funding</w:t>
      </w:r>
      <w:r>
        <w:t xml:space="preserve"> was also identified as a </w:t>
      </w:r>
      <w:r>
        <w:lastRenderedPageBreak/>
        <w:t>prohibitive factor for individual carers and young people. Regarding the take up of the scheme, y</w:t>
      </w:r>
      <w:r w:rsidRPr="00C50222">
        <w:t xml:space="preserve">oung people </w:t>
      </w:r>
      <w:r>
        <w:t xml:space="preserve">were found to be prevented from </w:t>
      </w:r>
      <w:r w:rsidRPr="00CF3109">
        <w:rPr>
          <w:i/>
          <w:iCs/>
        </w:rPr>
        <w:t>Staying Put</w:t>
      </w:r>
      <w:r>
        <w:t xml:space="preserve"> due</w:t>
      </w:r>
      <w:r w:rsidRPr="00C50222">
        <w:t xml:space="preserve"> to local policies and payment</w:t>
      </w:r>
      <w:r>
        <w:t xml:space="preserve"> restrictions</w:t>
      </w:r>
      <w:r w:rsidR="009E6E85">
        <w:t>,</w:t>
      </w:r>
      <w:r>
        <w:t xml:space="preserve"> and </w:t>
      </w:r>
      <w:r w:rsidR="00497D1C">
        <w:t>because of</w:t>
      </w:r>
      <w:r>
        <w:t xml:space="preserve"> confusion and inconsistency about how the scheme could be used</w:t>
      </w:r>
      <w:r w:rsidRPr="00C50222">
        <w:t xml:space="preserve"> (Action for Children, 2020)</w:t>
      </w:r>
      <w:r>
        <w:t xml:space="preserve">. Feelings of confusion and uncertainty were also introduced to the relationship as a result of money paid to carers by young people. Both foster carers and young people </w:t>
      </w:r>
      <w:r w:rsidRPr="00C50222">
        <w:t>struggle</w:t>
      </w:r>
      <w:r>
        <w:t>d</w:t>
      </w:r>
      <w:r w:rsidRPr="00C50222">
        <w:t xml:space="preserve"> with the financial aspects of their relationship</w:t>
      </w:r>
      <w:r>
        <w:t xml:space="preserve"> where benefits, agreements and pay became routine topics to navigate </w:t>
      </w:r>
      <w:r w:rsidRPr="00C50222">
        <w:t>(Action for Children, 2020)</w:t>
      </w:r>
      <w:r>
        <w:t xml:space="preserve">. </w:t>
      </w:r>
    </w:p>
    <w:p w14:paraId="2C740AD4" w14:textId="16A0F956" w:rsidR="00840F8A" w:rsidRDefault="00840F8A" w:rsidP="007C51DB">
      <w:pPr>
        <w:pStyle w:val="Heading3"/>
      </w:pPr>
      <w:r w:rsidRPr="00C50222">
        <w:t xml:space="preserve">Take </w:t>
      </w:r>
      <w:r>
        <w:t>U</w:t>
      </w:r>
      <w:r w:rsidRPr="00C50222">
        <w:t>p</w:t>
      </w:r>
      <w:r w:rsidR="00497D1C">
        <w:t xml:space="preserve"> and Other Barriers</w:t>
      </w:r>
    </w:p>
    <w:p w14:paraId="1DFC7548" w14:textId="4CF2FFD3" w:rsidR="00840F8A" w:rsidRPr="00C50222" w:rsidRDefault="00840F8A">
      <w:r>
        <w:t>I</w:t>
      </w:r>
      <w:r w:rsidRPr="00CA644C">
        <w:t>n addition to financ</w:t>
      </w:r>
      <w:r>
        <w:t>es,</w:t>
      </w:r>
      <w:r w:rsidRPr="00CA644C">
        <w:t xml:space="preserve"> there were other factors identified in the available research explaining the barriers to young people engaging with an extended care option. Studies conducted in select states in </w:t>
      </w:r>
      <w:r w:rsidR="000A75F5">
        <w:t xml:space="preserve">North </w:t>
      </w:r>
      <w:r w:rsidRPr="00CA644C">
        <w:t>America acknowledge</w:t>
      </w:r>
      <w:r>
        <w:t>d</w:t>
      </w:r>
      <w:r w:rsidRPr="00CA644C">
        <w:t xml:space="preserve"> that not all young people will want to continue living with their carers (Berzin, Singer and Hokanson, 2014). </w:t>
      </w:r>
      <w:r w:rsidR="000A75F5">
        <w:t xml:space="preserve">For example, </w:t>
      </w:r>
      <w:r w:rsidRPr="00CA644C">
        <w:t xml:space="preserve">some young people </w:t>
      </w:r>
      <w:r w:rsidR="000A75F5">
        <w:t xml:space="preserve">were </w:t>
      </w:r>
      <w:r w:rsidRPr="00CA644C">
        <w:t>keen to leave</w:t>
      </w:r>
      <w:r>
        <w:t xml:space="preserve">, </w:t>
      </w:r>
      <w:r w:rsidR="000A75F5">
        <w:t xml:space="preserve">and </w:t>
      </w:r>
      <w:r>
        <w:t>s</w:t>
      </w:r>
      <w:r w:rsidR="000A75F5">
        <w:t>aw</w:t>
      </w:r>
      <w:r>
        <w:t xml:space="preserve"> </w:t>
      </w:r>
      <w:r w:rsidRPr="00CA644C">
        <w:t xml:space="preserve">moving on as a sign </w:t>
      </w:r>
      <w:r w:rsidR="000A75F5">
        <w:t xml:space="preserve">of </w:t>
      </w:r>
      <w:r w:rsidRPr="00CA644C">
        <w:t>freedom (Napolitano, Sulimani-Aidan and Courtney, 2015)</w:t>
      </w:r>
      <w:r>
        <w:t>. However</w:t>
      </w:r>
      <w:r w:rsidR="00490BF5">
        <w:t>,</w:t>
      </w:r>
      <w:r>
        <w:t xml:space="preserve"> </w:t>
      </w:r>
      <w:r w:rsidRPr="00C50222">
        <w:rPr>
          <w:bdr w:val="none" w:sz="0" w:space="0" w:color="auto" w:frame="1"/>
          <w:shd w:val="clear" w:color="auto" w:fill="FFFFFF"/>
        </w:rPr>
        <w:t>this</w:t>
      </w:r>
      <w:r>
        <w:rPr>
          <w:bdr w:val="none" w:sz="0" w:space="0" w:color="auto" w:frame="1"/>
          <w:shd w:val="clear" w:color="auto" w:fill="FFFFFF"/>
        </w:rPr>
        <w:t xml:space="preserve"> determination to move out</w:t>
      </w:r>
      <w:r w:rsidRPr="00C50222">
        <w:rPr>
          <w:bdr w:val="none" w:sz="0" w:space="0" w:color="auto" w:frame="1"/>
          <w:shd w:val="clear" w:color="auto" w:fill="FFFFFF"/>
        </w:rPr>
        <w:t xml:space="preserve"> might be as a result of issues with the system rather than their desire to be independent (McCoy, McMillen and Spitznagel, 2008)</w:t>
      </w:r>
      <w:r>
        <w:rPr>
          <w:bdr w:val="none" w:sz="0" w:space="0" w:color="auto" w:frame="1"/>
          <w:shd w:val="clear" w:color="auto" w:fill="FFFFFF"/>
        </w:rPr>
        <w:t xml:space="preserve">. </w:t>
      </w:r>
      <w:r w:rsidR="000A75F5">
        <w:rPr>
          <w:bdr w:val="none" w:sz="0" w:space="0" w:color="auto" w:frame="1"/>
          <w:shd w:val="clear" w:color="auto" w:fill="FFFFFF"/>
        </w:rPr>
        <w:t>In other research</w:t>
      </w:r>
      <w:r>
        <w:rPr>
          <w:bdr w:val="none" w:sz="0" w:space="0" w:color="auto" w:frame="1"/>
          <w:shd w:val="clear" w:color="auto" w:fill="FFFFFF"/>
        </w:rPr>
        <w:t xml:space="preserve"> young people</w:t>
      </w:r>
      <w:r w:rsidR="000A75F5">
        <w:rPr>
          <w:bdr w:val="none" w:sz="0" w:space="0" w:color="auto" w:frame="1"/>
          <w:shd w:val="clear" w:color="auto" w:fill="FFFFFF"/>
        </w:rPr>
        <w:t xml:space="preserve"> stated that they</w:t>
      </w:r>
      <w:r>
        <w:rPr>
          <w:bdr w:val="none" w:sz="0" w:space="0" w:color="auto" w:frame="1"/>
          <w:shd w:val="clear" w:color="auto" w:fill="FFFFFF"/>
        </w:rPr>
        <w:t xml:space="preserve"> did not remain with their carers</w:t>
      </w:r>
      <w:r w:rsidR="00512198">
        <w:rPr>
          <w:bdr w:val="none" w:sz="0" w:space="0" w:color="auto" w:frame="1"/>
          <w:shd w:val="clear" w:color="auto" w:fill="FFFFFF"/>
        </w:rPr>
        <w:t>,</w:t>
      </w:r>
      <w:r>
        <w:rPr>
          <w:bdr w:val="none" w:sz="0" w:space="0" w:color="auto" w:frame="1"/>
          <w:shd w:val="clear" w:color="auto" w:fill="FFFFFF"/>
        </w:rPr>
        <w:t xml:space="preserve"> as they were uncertain about </w:t>
      </w:r>
      <w:r w:rsidR="00497D1C" w:rsidRPr="00497D1C">
        <w:rPr>
          <w:i/>
          <w:iCs/>
          <w:bdr w:val="none" w:sz="0" w:space="0" w:color="auto" w:frame="1"/>
          <w:shd w:val="clear" w:color="auto" w:fill="FFFFFF"/>
        </w:rPr>
        <w:t>Staying Put</w:t>
      </w:r>
      <w:r w:rsidR="00497D1C">
        <w:rPr>
          <w:bdr w:val="none" w:sz="0" w:space="0" w:color="auto" w:frame="1"/>
          <w:shd w:val="clear" w:color="auto" w:fill="FFFFFF"/>
        </w:rPr>
        <w:t xml:space="preserve"> and </w:t>
      </w:r>
      <w:r>
        <w:rPr>
          <w:bdr w:val="none" w:sz="0" w:space="0" w:color="auto" w:frame="1"/>
          <w:shd w:val="clear" w:color="auto" w:fill="FFFFFF"/>
        </w:rPr>
        <w:t>the</w:t>
      </w:r>
      <w:r w:rsidR="00497D1C">
        <w:rPr>
          <w:bdr w:val="none" w:sz="0" w:space="0" w:color="auto" w:frame="1"/>
          <w:shd w:val="clear" w:color="auto" w:fill="FFFFFF"/>
        </w:rPr>
        <w:t>ir</w:t>
      </w:r>
      <w:r>
        <w:rPr>
          <w:bdr w:val="none" w:sz="0" w:space="0" w:color="auto" w:frame="1"/>
          <w:shd w:val="clear" w:color="auto" w:fill="FFFFFF"/>
        </w:rPr>
        <w:t xml:space="preserve"> situation and were not aware that they could stay (</w:t>
      </w:r>
      <w:r w:rsidRPr="00C50222">
        <w:rPr>
          <w:rStyle w:val="bibauth"/>
          <w:color w:val="000000"/>
        </w:rPr>
        <w:t>Goodkind, Schelbe, and Shook 2011</w:t>
      </w:r>
      <w:r>
        <w:rPr>
          <w:rStyle w:val="bibauth"/>
          <w:color w:val="000000"/>
        </w:rPr>
        <w:t xml:space="preserve">). Uncertainty about </w:t>
      </w:r>
      <w:r w:rsidRPr="00682F62">
        <w:rPr>
          <w:rStyle w:val="bibauth"/>
          <w:i/>
          <w:iCs/>
          <w:color w:val="000000"/>
        </w:rPr>
        <w:t>Staying Put</w:t>
      </w:r>
      <w:r>
        <w:rPr>
          <w:rStyle w:val="bibauth"/>
          <w:color w:val="000000"/>
        </w:rPr>
        <w:t xml:space="preserve"> was further highlighted </w:t>
      </w:r>
      <w:r w:rsidR="000A75F5">
        <w:rPr>
          <w:rStyle w:val="bibauth"/>
          <w:color w:val="000000"/>
        </w:rPr>
        <w:t>in</w:t>
      </w:r>
      <w:r>
        <w:rPr>
          <w:rStyle w:val="bibauth"/>
          <w:color w:val="000000"/>
        </w:rPr>
        <w:t xml:space="preserve"> </w:t>
      </w:r>
      <w:r w:rsidRPr="00CA644C">
        <w:rPr>
          <w:rStyle w:val="bibauth"/>
          <w:color w:val="000000"/>
        </w:rPr>
        <w:t>Hiles et al</w:t>
      </w:r>
      <w:r>
        <w:rPr>
          <w:rStyle w:val="bibauth"/>
          <w:color w:val="000000"/>
        </w:rPr>
        <w:t>.</w:t>
      </w:r>
      <w:r w:rsidR="000A75F5">
        <w:rPr>
          <w:rStyle w:val="bibauth"/>
          <w:color w:val="000000"/>
        </w:rPr>
        <w:t>’s study</w:t>
      </w:r>
      <w:r w:rsidRPr="00CA644C">
        <w:rPr>
          <w:rStyle w:val="bibauth"/>
          <w:color w:val="000000"/>
        </w:rPr>
        <w:t xml:space="preserve"> </w:t>
      </w:r>
      <w:r>
        <w:rPr>
          <w:rStyle w:val="bibauth"/>
          <w:color w:val="000000"/>
        </w:rPr>
        <w:t>(</w:t>
      </w:r>
      <w:r w:rsidRPr="00CA644C">
        <w:rPr>
          <w:rStyle w:val="bibauth"/>
          <w:color w:val="000000"/>
        </w:rPr>
        <w:t>2014</w:t>
      </w:r>
      <w:r>
        <w:rPr>
          <w:rStyle w:val="bibauth"/>
          <w:color w:val="000000"/>
        </w:rPr>
        <w:t>)</w:t>
      </w:r>
      <w:r w:rsidR="000A75F5">
        <w:rPr>
          <w:rStyle w:val="bibauth"/>
          <w:color w:val="000000"/>
        </w:rPr>
        <w:t>. A</w:t>
      </w:r>
      <w:r>
        <w:rPr>
          <w:rStyle w:val="bibauth"/>
          <w:color w:val="000000"/>
        </w:rPr>
        <w:t xml:space="preserve">lthough </w:t>
      </w:r>
      <w:r w:rsidRPr="00CA644C">
        <w:rPr>
          <w:rStyle w:val="bibauth"/>
          <w:color w:val="000000"/>
        </w:rPr>
        <w:t xml:space="preserve">not specifically about </w:t>
      </w:r>
      <w:r>
        <w:rPr>
          <w:rStyle w:val="bibauth"/>
          <w:color w:val="000000"/>
        </w:rPr>
        <w:t xml:space="preserve">extended care, the </w:t>
      </w:r>
      <w:r w:rsidRPr="00CA644C">
        <w:rPr>
          <w:rStyle w:val="bibauth"/>
          <w:color w:val="000000"/>
        </w:rPr>
        <w:t>focus group</w:t>
      </w:r>
      <w:r>
        <w:rPr>
          <w:rStyle w:val="bibauth"/>
          <w:color w:val="000000"/>
        </w:rPr>
        <w:t xml:space="preserve"> of young people </w:t>
      </w:r>
      <w:r w:rsidR="000A75F5">
        <w:rPr>
          <w:rStyle w:val="bibauth"/>
          <w:color w:val="000000"/>
        </w:rPr>
        <w:t xml:space="preserve">in this study </w:t>
      </w:r>
      <w:r w:rsidRPr="00CA644C">
        <w:rPr>
          <w:rStyle w:val="bibauth"/>
          <w:color w:val="000000"/>
        </w:rPr>
        <w:t xml:space="preserve">described </w:t>
      </w:r>
      <w:r>
        <w:rPr>
          <w:rStyle w:val="bibauth"/>
          <w:color w:val="000000"/>
        </w:rPr>
        <w:t xml:space="preserve">the </w:t>
      </w:r>
      <w:r w:rsidRPr="00CA644C">
        <w:rPr>
          <w:rStyle w:val="bibauth"/>
          <w:color w:val="000000"/>
        </w:rPr>
        <w:t>period leading up to their 18th birthday as being ‘in limbo’ (</w:t>
      </w:r>
      <w:r w:rsidR="00B772FE">
        <w:rPr>
          <w:rStyle w:val="bibauth"/>
          <w:color w:val="000000"/>
        </w:rPr>
        <w:t xml:space="preserve">2014, </w:t>
      </w:r>
      <w:r w:rsidRPr="00CA644C">
        <w:rPr>
          <w:rStyle w:val="bibauth"/>
          <w:color w:val="000000"/>
        </w:rPr>
        <w:t xml:space="preserve">p. 6) </w:t>
      </w:r>
      <w:r w:rsidR="00497D1C">
        <w:rPr>
          <w:rStyle w:val="bibauth"/>
          <w:color w:val="000000"/>
        </w:rPr>
        <w:t>and that</w:t>
      </w:r>
      <w:r>
        <w:rPr>
          <w:rStyle w:val="bibauth"/>
          <w:color w:val="000000"/>
        </w:rPr>
        <w:t xml:space="preserve"> decisions about </w:t>
      </w:r>
      <w:r w:rsidRPr="00682F62">
        <w:rPr>
          <w:rStyle w:val="bibauth"/>
          <w:i/>
          <w:iCs/>
          <w:color w:val="000000"/>
        </w:rPr>
        <w:t>Staying Put</w:t>
      </w:r>
      <w:r>
        <w:rPr>
          <w:rStyle w:val="bibauth"/>
          <w:color w:val="000000"/>
        </w:rPr>
        <w:t xml:space="preserve"> were vague.</w:t>
      </w:r>
    </w:p>
    <w:p w14:paraId="405DBEE7" w14:textId="40726A32" w:rsidR="00840F8A" w:rsidRPr="00C50222" w:rsidRDefault="00840F8A">
      <w:r>
        <w:t xml:space="preserve">Whilst barriers to </w:t>
      </w:r>
      <w:r w:rsidRPr="00682F62">
        <w:rPr>
          <w:i/>
          <w:iCs/>
        </w:rPr>
        <w:t>Staying Put</w:t>
      </w:r>
      <w:r>
        <w:t xml:space="preserve"> and other options might be as a result of organisational issues and finances, the question of who is eligible for extended care was also identified in the research</w:t>
      </w:r>
      <w:r w:rsidR="00B772FE">
        <w:t xml:space="preserve"> reviewed</w:t>
      </w:r>
      <w:r>
        <w:t xml:space="preserve">. </w:t>
      </w:r>
      <w:r w:rsidR="00497D1C">
        <w:t xml:space="preserve">For </w:t>
      </w:r>
      <w:r w:rsidR="00E747ED">
        <w:t>e</w:t>
      </w:r>
      <w:r w:rsidR="00497D1C">
        <w:t>xample, i</w:t>
      </w:r>
      <w:r>
        <w:t xml:space="preserve">n England, the </w:t>
      </w:r>
      <w:r w:rsidRPr="00B74B76">
        <w:t>original pilot</w:t>
      </w:r>
      <w:r>
        <w:t xml:space="preserve"> scheme for </w:t>
      </w:r>
      <w:r w:rsidRPr="00682F62">
        <w:rPr>
          <w:i/>
          <w:iCs/>
        </w:rPr>
        <w:t xml:space="preserve">Staying Put </w:t>
      </w:r>
      <w:r>
        <w:t xml:space="preserve">included local authorities who expected young people to be in </w:t>
      </w:r>
      <w:r w:rsidRPr="00B74B76">
        <w:t>education and employment</w:t>
      </w:r>
      <w:r w:rsidR="004D6943">
        <w:t>,</w:t>
      </w:r>
      <w:r>
        <w:t xml:space="preserve"> </w:t>
      </w:r>
      <w:r w:rsidR="00497D1C">
        <w:t xml:space="preserve">while </w:t>
      </w:r>
      <w:r>
        <w:t xml:space="preserve">others </w:t>
      </w:r>
      <w:r w:rsidR="00497D1C">
        <w:t>only expected the</w:t>
      </w:r>
      <w:r>
        <w:t xml:space="preserve"> </w:t>
      </w:r>
      <w:r w:rsidRPr="00B74B76">
        <w:t>need for an established relationship</w:t>
      </w:r>
      <w:r>
        <w:t xml:space="preserve"> (</w:t>
      </w:r>
      <w:r w:rsidRPr="00B74B76">
        <w:t>Munro et al</w:t>
      </w:r>
      <w:r>
        <w:t>.,</w:t>
      </w:r>
      <w:r w:rsidRPr="00B74B76">
        <w:t xml:space="preserve"> 2012</w:t>
      </w:r>
      <w:r>
        <w:t xml:space="preserve">). Since the change in legislation, the </w:t>
      </w:r>
      <w:r w:rsidRPr="00333360">
        <w:t xml:space="preserve">only stipulation is that the young person needs to have been </w:t>
      </w:r>
      <w:r w:rsidRPr="00333360">
        <w:rPr>
          <w:i/>
          <w:iCs/>
        </w:rPr>
        <w:t>looked after</w:t>
      </w:r>
      <w:r w:rsidRPr="00333360">
        <w:t xml:space="preserve"> as described in </w:t>
      </w:r>
      <w:r w:rsidR="00333360" w:rsidRPr="00333360">
        <w:t>C</w:t>
      </w:r>
      <w:r w:rsidRPr="00333360">
        <w:t>hapter</w:t>
      </w:r>
      <w:r w:rsidR="00333360" w:rsidRPr="00333360">
        <w:t xml:space="preserve"> 1</w:t>
      </w:r>
      <w:r w:rsidRPr="00333360">
        <w:t>. Although</w:t>
      </w:r>
      <w:r>
        <w:t xml:space="preserve"> guidance issued by the DfE (2015) and the Fostering Network (</w:t>
      </w:r>
      <w:r w:rsidR="005E7E25">
        <w:t>2017</w:t>
      </w:r>
      <w:r>
        <w:t>) aims to clarify eligibility</w:t>
      </w:r>
      <w:r w:rsidR="002C3DB9">
        <w:t xml:space="preserve"> —</w:t>
      </w:r>
      <w:r>
        <w:t xml:space="preserve"> carers, young people and local authorities still report feeling unclear about the parameters (Action for Children, 2020). In particular there is u</w:t>
      </w:r>
      <w:r w:rsidRPr="00C50222">
        <w:t xml:space="preserve">ncertainty about young people who go </w:t>
      </w:r>
      <w:r>
        <w:t>t</w:t>
      </w:r>
      <w:r w:rsidRPr="00C50222">
        <w:t xml:space="preserve">o university and </w:t>
      </w:r>
      <w:r>
        <w:t>those involved with</w:t>
      </w:r>
      <w:r w:rsidRPr="00C50222">
        <w:t xml:space="preserve"> temporary opportun</w:t>
      </w:r>
      <w:r>
        <w:t>ities</w:t>
      </w:r>
      <w:r w:rsidRPr="00C50222">
        <w:t xml:space="preserve"> away fr</w:t>
      </w:r>
      <w:r>
        <w:t>o</w:t>
      </w:r>
      <w:r w:rsidRPr="00C50222">
        <w:t>m the care</w:t>
      </w:r>
      <w:r>
        <w:t xml:space="preserve">r (Action for Children, 2020). In </w:t>
      </w:r>
      <w:r w:rsidR="00B772FE">
        <w:t xml:space="preserve">North </w:t>
      </w:r>
      <w:r w:rsidR="00B772FE">
        <w:lastRenderedPageBreak/>
        <w:t>America</w:t>
      </w:r>
      <w:r>
        <w:t xml:space="preserve"> where the eligibility is more restrictive, questions about what constitutes a health issue ha</w:t>
      </w:r>
      <w:r w:rsidR="00B772FE">
        <w:t>ve</w:t>
      </w:r>
      <w:r>
        <w:t xml:space="preserve"> been raised</w:t>
      </w:r>
      <w:r w:rsidR="00497D1C">
        <w:t xml:space="preserve"> in relation to </w:t>
      </w:r>
      <w:r w:rsidR="001413ED">
        <w:t>eligibility</w:t>
      </w:r>
      <w:r w:rsidRPr="00C50222">
        <w:t>,</w:t>
      </w:r>
      <w:r w:rsidR="00B772FE">
        <w:t xml:space="preserve"> including</w:t>
      </w:r>
      <w:r w:rsidRPr="00C50222">
        <w:t xml:space="preserve"> </w:t>
      </w:r>
      <w:r>
        <w:t xml:space="preserve">whether or not a substance </w:t>
      </w:r>
      <w:r w:rsidRPr="00C50222">
        <w:t>misuse problem</w:t>
      </w:r>
      <w:r>
        <w:t xml:space="preserve"> </w:t>
      </w:r>
      <w:r w:rsidRPr="00C50222">
        <w:t>qualif</w:t>
      </w:r>
      <w:r>
        <w:t>ies</w:t>
      </w:r>
      <w:r w:rsidRPr="00C50222">
        <w:t xml:space="preserve"> as a health issue (Stott, 201</w:t>
      </w:r>
      <w:r w:rsidR="00CC6E09">
        <w:t>3</w:t>
      </w:r>
      <w:r w:rsidRPr="00C50222">
        <w:t>)</w:t>
      </w:r>
      <w:r>
        <w:t>.</w:t>
      </w:r>
    </w:p>
    <w:p w14:paraId="07D58E72" w14:textId="1DCB7156" w:rsidR="00840F8A" w:rsidRDefault="00840F8A">
      <w:pPr>
        <w:rPr>
          <w:bdr w:val="none" w:sz="0" w:space="0" w:color="auto" w:frame="1"/>
          <w:shd w:val="clear" w:color="auto" w:fill="FFFFFF"/>
        </w:rPr>
      </w:pPr>
      <w:r>
        <w:t>The final point highlighted by the research</w:t>
      </w:r>
      <w:r w:rsidR="00B772FE">
        <w:t xml:space="preserve"> reviewed</w:t>
      </w:r>
      <w:r>
        <w:t xml:space="preserve"> centres on the question of transition. Extending care is designed to elongate the transition for young people, however there is still an end point of any arrangement. In Jones’ review of </w:t>
      </w:r>
      <w:r w:rsidR="00B772FE">
        <w:t xml:space="preserve">North </w:t>
      </w:r>
      <w:r>
        <w:t>American literature</w:t>
      </w:r>
      <w:r w:rsidR="00497D1C">
        <w:t xml:space="preserve"> about extended care</w:t>
      </w:r>
      <w:r>
        <w:t>, she raises the question of w</w:t>
      </w:r>
      <w:r w:rsidRPr="00C50222">
        <w:t>hat happens after the</w:t>
      </w:r>
      <w:r>
        <w:t xml:space="preserve"> extension to the </w:t>
      </w:r>
      <w:r w:rsidR="00B772FE">
        <w:t xml:space="preserve">placement, </w:t>
      </w:r>
      <w:r w:rsidR="001413ED">
        <w:t>suggesting</w:t>
      </w:r>
      <w:r>
        <w:t xml:space="preserve"> that young people will s</w:t>
      </w:r>
      <w:r w:rsidRPr="00C50222">
        <w:rPr>
          <w:bdr w:val="none" w:sz="0" w:space="0" w:color="auto" w:frame="1"/>
          <w:shd w:val="clear" w:color="auto" w:fill="FFFFFF"/>
        </w:rPr>
        <w:t>till need help even after the extended period (Jones, 2019)</w:t>
      </w:r>
      <w:r>
        <w:rPr>
          <w:bdr w:val="none" w:sz="0" w:space="0" w:color="auto" w:frame="1"/>
          <w:shd w:val="clear" w:color="auto" w:fill="FFFFFF"/>
        </w:rPr>
        <w:t xml:space="preserve">. Jones’ conclusion illustrates that </w:t>
      </w:r>
      <w:r w:rsidRPr="00682F62">
        <w:rPr>
          <w:i/>
          <w:iCs/>
          <w:bdr w:val="none" w:sz="0" w:space="0" w:color="auto" w:frame="1"/>
          <w:shd w:val="clear" w:color="auto" w:fill="FFFFFF"/>
        </w:rPr>
        <w:t>Staying Put</w:t>
      </w:r>
      <w:r>
        <w:rPr>
          <w:bdr w:val="none" w:sz="0" w:space="0" w:color="auto" w:frame="1"/>
          <w:shd w:val="clear" w:color="auto" w:fill="FFFFFF"/>
        </w:rPr>
        <w:t xml:space="preserve"> and similar schemes are not in themselves a</w:t>
      </w:r>
      <w:r w:rsidR="00B772FE">
        <w:rPr>
          <w:bdr w:val="none" w:sz="0" w:space="0" w:color="auto" w:frame="1"/>
          <w:shd w:val="clear" w:color="auto" w:fill="FFFFFF"/>
        </w:rPr>
        <w:t xml:space="preserve"> solution</w:t>
      </w:r>
      <w:r>
        <w:rPr>
          <w:bdr w:val="none" w:sz="0" w:space="0" w:color="auto" w:frame="1"/>
          <w:shd w:val="clear" w:color="auto" w:fill="FFFFFF"/>
        </w:rPr>
        <w:t xml:space="preserve"> and only partially address the issues faced by young people leaving care. </w:t>
      </w:r>
    </w:p>
    <w:p w14:paraId="238F1E5D" w14:textId="42489FC2" w:rsidR="00840F8A" w:rsidRDefault="00840F8A">
      <w:pPr>
        <w:rPr>
          <w:bdr w:val="none" w:sz="0" w:space="0" w:color="auto" w:frame="1"/>
          <w:shd w:val="clear" w:color="auto" w:fill="FFFFFF"/>
        </w:rPr>
      </w:pPr>
      <w:r>
        <w:rPr>
          <w:bdr w:val="none" w:sz="0" w:space="0" w:color="auto" w:frame="1"/>
          <w:shd w:val="clear" w:color="auto" w:fill="FFFFFF"/>
        </w:rPr>
        <w:t xml:space="preserve">Whilst the studies outlined in this section present a picture of the merits and outcomes of </w:t>
      </w:r>
      <w:r w:rsidRPr="00682F62">
        <w:rPr>
          <w:i/>
          <w:iCs/>
          <w:bdr w:val="none" w:sz="0" w:space="0" w:color="auto" w:frame="1"/>
          <w:shd w:val="clear" w:color="auto" w:fill="FFFFFF"/>
        </w:rPr>
        <w:t>Staying Put</w:t>
      </w:r>
      <w:r>
        <w:rPr>
          <w:bdr w:val="none" w:sz="0" w:space="0" w:color="auto" w:frame="1"/>
          <w:shd w:val="clear" w:color="auto" w:fill="FFFFFF"/>
        </w:rPr>
        <w:t xml:space="preserve"> and other extended care schemes, none of them develop a wider understanding of the young person’s perspective of </w:t>
      </w:r>
      <w:r w:rsidRPr="00682F62">
        <w:rPr>
          <w:i/>
          <w:iCs/>
          <w:bdr w:val="none" w:sz="0" w:space="0" w:color="auto" w:frame="1"/>
          <w:shd w:val="clear" w:color="auto" w:fill="FFFFFF"/>
        </w:rPr>
        <w:t>Staying Put</w:t>
      </w:r>
      <w:r>
        <w:rPr>
          <w:bdr w:val="none" w:sz="0" w:space="0" w:color="auto" w:frame="1"/>
          <w:shd w:val="clear" w:color="auto" w:fill="FFFFFF"/>
        </w:rPr>
        <w:t xml:space="preserve"> leading up to their 18</w:t>
      </w:r>
      <w:r w:rsidRPr="007959E0">
        <w:rPr>
          <w:bdr w:val="none" w:sz="0" w:space="0" w:color="auto" w:frame="1"/>
          <w:shd w:val="clear" w:color="auto" w:fill="FFFFFF"/>
          <w:vertAlign w:val="superscript"/>
        </w:rPr>
        <w:t>th</w:t>
      </w:r>
      <w:r>
        <w:rPr>
          <w:bdr w:val="none" w:sz="0" w:space="0" w:color="auto" w:frame="1"/>
          <w:shd w:val="clear" w:color="auto" w:fill="FFFFFF"/>
        </w:rPr>
        <w:t xml:space="preserve"> birthday. My research aims to address this gap by ta</w:t>
      </w:r>
      <w:r w:rsidR="00B772FE">
        <w:rPr>
          <w:bdr w:val="none" w:sz="0" w:space="0" w:color="auto" w:frame="1"/>
          <w:shd w:val="clear" w:color="auto" w:fill="FFFFFF"/>
        </w:rPr>
        <w:t>l</w:t>
      </w:r>
      <w:r>
        <w:rPr>
          <w:bdr w:val="none" w:sz="0" w:space="0" w:color="auto" w:frame="1"/>
          <w:shd w:val="clear" w:color="auto" w:fill="FFFFFF"/>
        </w:rPr>
        <w:t xml:space="preserve">king </w:t>
      </w:r>
      <w:r w:rsidR="00B772FE">
        <w:rPr>
          <w:bdr w:val="none" w:sz="0" w:space="0" w:color="auto" w:frame="1"/>
          <w:shd w:val="clear" w:color="auto" w:fill="FFFFFF"/>
        </w:rPr>
        <w:t>with</w:t>
      </w:r>
      <w:r>
        <w:rPr>
          <w:bdr w:val="none" w:sz="0" w:space="0" w:color="auto" w:frame="1"/>
          <w:shd w:val="clear" w:color="auto" w:fill="FFFFFF"/>
        </w:rPr>
        <w:t xml:space="preserve"> young people about their feelings and thoughts leading up to the</w:t>
      </w:r>
      <w:r w:rsidR="001413ED">
        <w:rPr>
          <w:bdr w:val="none" w:sz="0" w:space="0" w:color="auto" w:frame="1"/>
          <w:shd w:val="clear" w:color="auto" w:fill="FFFFFF"/>
        </w:rPr>
        <w:t>ir</w:t>
      </w:r>
      <w:r>
        <w:rPr>
          <w:bdr w:val="none" w:sz="0" w:space="0" w:color="auto" w:frame="1"/>
          <w:shd w:val="clear" w:color="auto" w:fill="FFFFFF"/>
        </w:rPr>
        <w:t xml:space="preserve"> decision </w:t>
      </w:r>
      <w:r w:rsidR="001413ED">
        <w:rPr>
          <w:bdr w:val="none" w:sz="0" w:space="0" w:color="auto" w:frame="1"/>
          <w:shd w:val="clear" w:color="auto" w:fill="FFFFFF"/>
        </w:rPr>
        <w:t xml:space="preserve">about </w:t>
      </w:r>
      <w:r w:rsidR="001413ED" w:rsidRPr="001413ED">
        <w:rPr>
          <w:i/>
          <w:iCs/>
          <w:bdr w:val="none" w:sz="0" w:space="0" w:color="auto" w:frame="1"/>
          <w:shd w:val="clear" w:color="auto" w:fill="FFFFFF"/>
        </w:rPr>
        <w:t>Staying Put</w:t>
      </w:r>
      <w:r>
        <w:rPr>
          <w:bdr w:val="none" w:sz="0" w:space="0" w:color="auto" w:frame="1"/>
          <w:shd w:val="clear" w:color="auto" w:fill="FFFFFF"/>
        </w:rPr>
        <w:t>.</w:t>
      </w:r>
    </w:p>
    <w:p w14:paraId="01337506" w14:textId="02BFB4D9" w:rsidR="005F71A3" w:rsidRDefault="00840F8A">
      <w:pPr>
        <w:pStyle w:val="Heading2"/>
      </w:pPr>
      <w:bookmarkStart w:id="31" w:name="_Toc101108485"/>
      <w:r>
        <w:t>Chapter Summ</w:t>
      </w:r>
      <w:r w:rsidR="00B772FE">
        <w:t>a</w:t>
      </w:r>
      <w:r>
        <w:t>ry</w:t>
      </w:r>
      <w:bookmarkEnd w:id="31"/>
    </w:p>
    <w:p w14:paraId="26723DA7" w14:textId="77777777" w:rsidR="00B16C99" w:rsidRDefault="00415F2B">
      <w:r w:rsidRPr="00B772FE">
        <w:t xml:space="preserve">This chapter has presented an overview of the two fields of research </w:t>
      </w:r>
      <w:r w:rsidR="001413ED">
        <w:t xml:space="preserve">most </w:t>
      </w:r>
      <w:r w:rsidRPr="00B772FE">
        <w:t xml:space="preserve">relevant to my study. As explained in the introduction, viewing </w:t>
      </w:r>
      <w:r w:rsidRPr="00B772FE">
        <w:rPr>
          <w:i/>
          <w:iCs/>
        </w:rPr>
        <w:t>Staying Put</w:t>
      </w:r>
      <w:r w:rsidRPr="00B772FE">
        <w:t xml:space="preserve"> through the </w:t>
      </w:r>
      <w:r w:rsidR="00B9557B">
        <w:t xml:space="preserve">context of </w:t>
      </w:r>
      <w:r w:rsidRPr="00B772FE">
        <w:t>decision</w:t>
      </w:r>
      <w:r w:rsidR="00B9557B">
        <w:t>-making</w:t>
      </w:r>
      <w:r w:rsidR="00497D1C">
        <w:t xml:space="preserve">, </w:t>
      </w:r>
      <w:r w:rsidRPr="00B772FE">
        <w:t xml:space="preserve">draws together two key aspects of the leaving care experience – the experience of leaving itself, </w:t>
      </w:r>
      <w:r w:rsidR="00497D1C">
        <w:t>and</w:t>
      </w:r>
      <w:r w:rsidRPr="00B772FE">
        <w:t xml:space="preserve"> the young person’s </w:t>
      </w:r>
      <w:r w:rsidR="00497D1C">
        <w:t xml:space="preserve">agency in the </w:t>
      </w:r>
      <w:r w:rsidR="001413ED">
        <w:t>decision-making</w:t>
      </w:r>
      <w:r w:rsidR="00497D1C">
        <w:t xml:space="preserve"> process</w:t>
      </w:r>
      <w:r w:rsidRPr="00B772FE">
        <w:t xml:space="preserve">. The chapter has presented a mixed picture </w:t>
      </w:r>
      <w:r w:rsidR="00B772FE">
        <w:t xml:space="preserve">of experiences </w:t>
      </w:r>
      <w:r w:rsidRPr="00B772FE">
        <w:t xml:space="preserve">with some sense that little has changed over the last 20 years. Researchers were consistent in identifying inconsistencies in both the leaving care experiences and the involvement in </w:t>
      </w:r>
      <w:r w:rsidR="00DC59B2">
        <w:t>decision-making</w:t>
      </w:r>
      <w:r w:rsidRPr="00B772FE">
        <w:t>. There is</w:t>
      </w:r>
      <w:r w:rsidRPr="00415F2B">
        <w:rPr>
          <w:sz w:val="24"/>
          <w:szCs w:val="24"/>
        </w:rPr>
        <w:t xml:space="preserve"> </w:t>
      </w:r>
      <w:r w:rsidRPr="00B772FE">
        <w:t xml:space="preserve">however an evident change in </w:t>
      </w:r>
      <w:r w:rsidR="00B772FE">
        <w:t>young people’s</w:t>
      </w:r>
      <w:r w:rsidRPr="00B772FE">
        <w:t xml:space="preserve"> understanding about their rights to be involved </w:t>
      </w:r>
      <w:r w:rsidR="00B772FE">
        <w:t>and to</w:t>
      </w:r>
      <w:r w:rsidRPr="00B772FE">
        <w:t xml:space="preserve"> also receive a different service. In the next chapter I set out the theoretical ideas that have informed my study.</w:t>
      </w:r>
    </w:p>
    <w:p w14:paraId="0ED93ACB" w14:textId="77777777" w:rsidR="00B16C99" w:rsidRDefault="00B16C99">
      <w:pPr>
        <w:rPr>
          <w:lang w:eastAsia="en-GB"/>
        </w:rPr>
      </w:pPr>
    </w:p>
    <w:p w14:paraId="2DBA6342" w14:textId="77777777" w:rsidR="00B16C99" w:rsidRDefault="00B16C99">
      <w:pPr>
        <w:rPr>
          <w:lang w:eastAsia="en-GB"/>
        </w:rPr>
      </w:pPr>
    </w:p>
    <w:p w14:paraId="2FC9602C" w14:textId="77777777" w:rsidR="00B16C99" w:rsidRDefault="00B16C99">
      <w:pPr>
        <w:rPr>
          <w:lang w:eastAsia="en-GB"/>
        </w:rPr>
      </w:pPr>
    </w:p>
    <w:p w14:paraId="21898529" w14:textId="77777777" w:rsidR="00B16C99" w:rsidRDefault="00B16C99">
      <w:pPr>
        <w:rPr>
          <w:lang w:eastAsia="en-GB"/>
        </w:rPr>
      </w:pPr>
    </w:p>
    <w:p w14:paraId="3B5E3217" w14:textId="5D34B45D" w:rsidR="0051193F" w:rsidRDefault="00B16C99">
      <w:pPr>
        <w:rPr>
          <w:rFonts w:eastAsiaTheme="majorEastAsia"/>
          <w:color w:val="000000" w:themeColor="text1"/>
          <w:sz w:val="28"/>
          <w:szCs w:val="26"/>
          <w:lang w:eastAsia="en-GB"/>
        </w:rPr>
      </w:pPr>
      <w:r>
        <w:rPr>
          <w:noProof/>
          <w:lang w:eastAsia="en-GB"/>
        </w:rPr>
        <mc:AlternateContent>
          <mc:Choice Requires="wps">
            <w:drawing>
              <wp:anchor distT="0" distB="0" distL="114300" distR="114300" simplePos="0" relativeHeight="251658240" behindDoc="0" locked="0" layoutInCell="1" allowOverlap="1" wp14:anchorId="49F84CA5" wp14:editId="7C6BFDEB">
                <wp:simplePos x="0" y="0"/>
                <wp:positionH relativeFrom="column">
                  <wp:posOffset>2276549</wp:posOffset>
                </wp:positionH>
                <wp:positionV relativeFrom="paragraph">
                  <wp:posOffset>4626610</wp:posOffset>
                </wp:positionV>
                <wp:extent cx="3343835" cy="286871"/>
                <wp:effectExtent l="0" t="0" r="0" b="5715"/>
                <wp:wrapNone/>
                <wp:docPr id="13" name="Text Box 13"/>
                <wp:cNvGraphicFramePr/>
                <a:graphic xmlns:a="http://schemas.openxmlformats.org/drawingml/2006/main">
                  <a:graphicData uri="http://schemas.microsoft.com/office/word/2010/wordprocessingShape">
                    <wps:wsp>
                      <wps:cNvSpPr txBox="1"/>
                      <wps:spPr>
                        <a:xfrm>
                          <a:off x="0" y="0"/>
                          <a:ext cx="3343835" cy="286871"/>
                        </a:xfrm>
                        <a:prstGeom prst="rect">
                          <a:avLst/>
                        </a:prstGeom>
                        <a:solidFill>
                          <a:schemeClr val="lt1"/>
                        </a:solidFill>
                        <a:ln w="6350">
                          <a:noFill/>
                        </a:ln>
                      </wps:spPr>
                      <wps:txbx>
                        <w:txbxContent>
                          <w:p w14:paraId="1A693917" w14:textId="589733B5" w:rsidR="00B16C99" w:rsidRPr="00B16C99" w:rsidRDefault="00B16C99" w:rsidP="00B16C99">
                            <w:pPr>
                              <w:jc w:val="right"/>
                              <w:rPr>
                                <w:sz w:val="11"/>
                                <w:szCs w:val="11"/>
                              </w:rPr>
                            </w:pPr>
                            <w:r w:rsidRPr="00B16C99">
                              <w:rPr>
                                <w:sz w:val="11"/>
                                <w:szCs w:val="11"/>
                              </w:rPr>
                              <w:t>© Harry Venning - http://www.harryvenning.co.uk/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F84CA5" id="_x0000_t202" coordsize="21600,21600" o:spt="202" path="m,l,21600r21600,l21600,xe">
                <v:stroke joinstyle="miter"/>
                <v:path gradientshapeok="t" o:connecttype="rect"/>
              </v:shapetype>
              <v:shape id="Text Box 13" o:spid="_x0000_s1026" type="#_x0000_t202" style="position:absolute;margin-left:179.25pt;margin-top:364.3pt;width:263.3pt;height:2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" fillcolor="white [3201]" stroked="f" strokeweight=".5pt">
                <v:textbox>
                  <w:txbxContent>
                    <w:p w14:paraId="1A693917" w14:textId="589733B5" w:rsidR="00B16C99" w:rsidRPr="00B16C99" w:rsidRDefault="00B16C99" w:rsidP="00B16C99">
                      <w:pPr>
                        <w:jc w:val="right"/>
                        <w:rPr>
                          <w:sz w:val="11"/>
                          <w:szCs w:val="11"/>
                        </w:rPr>
                      </w:pPr>
                      <w:r w:rsidRPr="00B16C99">
                        <w:rPr>
                          <w:sz w:val="11"/>
                          <w:szCs w:val="11"/>
                        </w:rPr>
                        <w:t>© Harry Venning - http://www.harryvenning.co.uk/</w:t>
                      </w:r>
                    </w:p>
                  </w:txbxContent>
                </v:textbox>
              </v:shape>
            </w:pict>
          </mc:Fallback>
        </mc:AlternateContent>
      </w:r>
      <w:r>
        <w:rPr>
          <w:noProof/>
          <w:lang w:eastAsia="en-GB"/>
        </w:rPr>
        <w:drawing>
          <wp:inline distT="0" distB="0" distL="0" distR="0" wp14:anchorId="65AF7971" wp14:editId="7C479DE0">
            <wp:extent cx="5727700" cy="4552950"/>
            <wp:effectExtent l="0" t="0" r="0" b="6350"/>
            <wp:docPr id="11" name="Picture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a:extLst>
                        <a:ext uri="{C183D7F6-B498-43B3-948B-1728B52AA6E4}">
                          <adec:decorative xmlns:adec="http://schemas.microsoft.com/office/drawing/2017/decorative" val="1"/>
                        </a:ext>
                      </a:extLst>
                    </pic:cNvPr>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27700" cy="4552950"/>
                    </a:xfrm>
                    <a:prstGeom prst="rect">
                      <a:avLst/>
                    </a:prstGeom>
                  </pic:spPr>
                </pic:pic>
              </a:graphicData>
            </a:graphic>
          </wp:inline>
        </w:drawing>
      </w:r>
      <w:r w:rsidR="0051193F">
        <w:rPr>
          <w:lang w:eastAsia="en-GB"/>
        </w:rPr>
        <w:br w:type="page"/>
      </w:r>
    </w:p>
    <w:p w14:paraId="2A87A3F6" w14:textId="18750EAF" w:rsidR="00CC3865" w:rsidRDefault="00357168" w:rsidP="00127FD5">
      <w:pPr>
        <w:pStyle w:val="ChapterHeading1"/>
        <w:rPr>
          <w:lang w:eastAsia="en-GB"/>
        </w:rPr>
      </w:pPr>
      <w:bookmarkStart w:id="32" w:name="_Toc101108486"/>
      <w:r w:rsidRPr="004A626F">
        <w:rPr>
          <w:lang w:eastAsia="en-GB"/>
        </w:rPr>
        <w:lastRenderedPageBreak/>
        <w:t xml:space="preserve">Chapter </w:t>
      </w:r>
      <w:r w:rsidR="008431BA">
        <w:rPr>
          <w:lang w:eastAsia="en-GB"/>
        </w:rPr>
        <w:t>5</w:t>
      </w:r>
      <w:r w:rsidRPr="004A626F">
        <w:rPr>
          <w:lang w:eastAsia="en-GB"/>
        </w:rPr>
        <w:t xml:space="preserve">: </w:t>
      </w:r>
      <w:r w:rsidR="00840F8A">
        <w:rPr>
          <w:lang w:eastAsia="en-GB"/>
        </w:rPr>
        <w:t>Theoretical Context</w:t>
      </w:r>
      <w:bookmarkEnd w:id="32"/>
    </w:p>
    <w:p w14:paraId="0CDFCBA0" w14:textId="7D862CD1" w:rsidR="0056661A" w:rsidRPr="00CB1A33" w:rsidRDefault="003640A9" w:rsidP="006E3485">
      <w:pPr>
        <w:pStyle w:val="Heading2"/>
      </w:pPr>
      <w:bookmarkStart w:id="33" w:name="_Toc101108487"/>
      <w:r>
        <w:t xml:space="preserve">Chapter </w:t>
      </w:r>
      <w:r w:rsidR="0056661A" w:rsidRPr="00CB1A33">
        <w:t>Introduction</w:t>
      </w:r>
      <w:bookmarkEnd w:id="33"/>
    </w:p>
    <w:p w14:paraId="009381E2" w14:textId="3D1F663B" w:rsidR="0056661A" w:rsidRPr="00CB1A33" w:rsidRDefault="0056661A">
      <w:r w:rsidRPr="00CB1A33">
        <w:t xml:space="preserve">Articulating a theoretical frame, </w:t>
      </w:r>
      <w:r w:rsidR="00AC5D98">
        <w:t>also</w:t>
      </w:r>
      <w:r w:rsidRPr="00CB1A33">
        <w:t xml:space="preserve"> expres</w:t>
      </w:r>
      <w:r w:rsidR="00AC5D98">
        <w:t>ses</w:t>
      </w:r>
      <w:r w:rsidRPr="00CB1A33">
        <w:t xml:space="preserve"> the ontological and epistemological stance</w:t>
      </w:r>
      <w:r w:rsidR="00AC5D98">
        <w:t xml:space="preserve"> of the researcher</w:t>
      </w:r>
      <w:r w:rsidRPr="00CB1A33">
        <w:t xml:space="preserve">. Setting out a research lens enables the reader to </w:t>
      </w:r>
      <w:r w:rsidRPr="00CB1A33">
        <w:rPr>
          <w:i/>
          <w:iCs/>
        </w:rPr>
        <w:t>see</w:t>
      </w:r>
      <w:r w:rsidRPr="00CB1A33">
        <w:t xml:space="preserve"> the blueprint used to shape the methodological decisions made (Grant and Osanloo, 2015) and tools used to provide an overarching idea that ‘organises many others’ (Collins and Stockton 2018. p. 2). This chapter outlines t</w:t>
      </w:r>
      <w:r>
        <w:t>hree</w:t>
      </w:r>
      <w:r w:rsidRPr="00CB1A33">
        <w:t xml:space="preserve"> </w:t>
      </w:r>
      <w:r w:rsidRPr="00E316B9">
        <w:t xml:space="preserve">theoretical threads that have helped me think through the experiences of young people </w:t>
      </w:r>
      <w:r w:rsidRPr="00E316B9">
        <w:rPr>
          <w:i/>
          <w:iCs/>
        </w:rPr>
        <w:t>Staying Put</w:t>
      </w:r>
      <w:r w:rsidRPr="00E316B9">
        <w:t xml:space="preserve">. </w:t>
      </w:r>
      <w:r w:rsidR="005C00A4" w:rsidRPr="00E316B9">
        <w:t>Although seemingly disparate</w:t>
      </w:r>
      <w:r w:rsidR="001254BE" w:rsidRPr="00E316B9">
        <w:t xml:space="preserve">, each element </w:t>
      </w:r>
      <w:r w:rsidR="00420BA8" w:rsidRPr="00E316B9">
        <w:t xml:space="preserve">provides shape to </w:t>
      </w:r>
      <w:r w:rsidR="00E35D3E" w:rsidRPr="00E316B9">
        <w:t>how ideas and actions become constructed through discourse and discursive practices.</w:t>
      </w:r>
      <w:r w:rsidR="001254BE" w:rsidRPr="00E316B9">
        <w:t xml:space="preserve"> </w:t>
      </w:r>
      <w:r w:rsidRPr="00E316B9">
        <w:t>The first thread is Foucault’s conceptualisation of power and how his ideas about discursive practices play a role in the subjectification</w:t>
      </w:r>
      <w:r w:rsidRPr="00CB1A33">
        <w:t xml:space="preserve"> of young people. The second thread is the conceptualisation of childhood and how society comes to understand what childhood means. </w:t>
      </w:r>
      <w:r>
        <w:t xml:space="preserve">The third thread </w:t>
      </w:r>
      <w:r w:rsidR="00AC5D98">
        <w:t>is about</w:t>
      </w:r>
      <w:r>
        <w:t xml:space="preserve"> the discourses of participation and </w:t>
      </w:r>
      <w:r w:rsidR="00AC5D98">
        <w:t xml:space="preserve">how these </w:t>
      </w:r>
      <w:r>
        <w:t>link</w:t>
      </w:r>
      <w:r w:rsidR="00AC5D98">
        <w:t xml:space="preserve"> to </w:t>
      </w:r>
      <w:r>
        <w:t>concepts of childhood</w:t>
      </w:r>
      <w:r w:rsidR="00FE7665">
        <w:t>.</w:t>
      </w:r>
    </w:p>
    <w:p w14:paraId="7FC5FCBC" w14:textId="6937849D" w:rsidR="0056661A" w:rsidRPr="00CB1A33" w:rsidRDefault="0056661A">
      <w:r w:rsidRPr="00CB1A33">
        <w:t xml:space="preserve">The chapter starts with an overview of key theories of power, then moves on to outline </w:t>
      </w:r>
      <w:r w:rsidR="00EA0A73">
        <w:t xml:space="preserve">Foucault’s </w:t>
      </w:r>
      <w:r w:rsidR="00EA0A73" w:rsidRPr="00EA0A73">
        <w:t>Ideas about power that are of particular relevance to</w:t>
      </w:r>
      <w:r w:rsidR="00EA0A73">
        <w:t xml:space="preserve"> my stud</w:t>
      </w:r>
      <w:r w:rsidR="005360D9">
        <w:t>y</w:t>
      </w:r>
      <w:r w:rsidRPr="00CB1A33">
        <w:t xml:space="preserve"> and their application in social work</w:t>
      </w:r>
      <w:r w:rsidR="00553DA9">
        <w:t xml:space="preserve">. </w:t>
      </w:r>
      <w:r w:rsidR="00B9557B" w:rsidRPr="00CB1A33">
        <w:t>The</w:t>
      </w:r>
      <w:r w:rsidRPr="00CB1A33">
        <w:t xml:space="preserve"> chapter then sets out my rationale for using a Foucauldian understanding of power, outlining how this provides a useful tool when responding to the research questions. The chapter concludes with an overview of discourses of childhood and how they are useful to understand in the context of participation and the way we work with children and young people in social work practice. </w:t>
      </w:r>
    </w:p>
    <w:p w14:paraId="15C8A783" w14:textId="744E1342" w:rsidR="0056661A" w:rsidRPr="00CB1A33" w:rsidRDefault="0056661A">
      <w:pPr>
        <w:pStyle w:val="Heading2"/>
      </w:pPr>
      <w:bookmarkStart w:id="34" w:name="_Toc101108488"/>
      <w:r w:rsidRPr="00CB1A33">
        <w:t>Social Work and Power</w:t>
      </w:r>
      <w:bookmarkEnd w:id="34"/>
    </w:p>
    <w:p w14:paraId="185F4811" w14:textId="7503A6A6" w:rsidR="0056661A" w:rsidRPr="00CB1A33" w:rsidRDefault="0056661A">
      <w:pPr>
        <w:rPr>
          <w:rFonts w:eastAsia="Times New Roman"/>
        </w:rPr>
      </w:pPr>
      <w:r w:rsidRPr="00CB1A33">
        <w:t>Social work is a profession that intersects the private domain of people’s lives with the structures and legislative frameworks of local, national and international government bodies and treaties. Through relationships, the application of duties and statutory powers are negotiated and applied at the invisible boundary between the social worker’s professional and personal actions (Thompson, 20</w:t>
      </w:r>
      <w:r w:rsidR="00B63005">
        <w:t>20</w:t>
      </w:r>
      <w:r w:rsidRPr="00CB1A33">
        <w:t xml:space="preserve">). It is therefore accepted that issues of power are central to social work practice, whether this is through the mandate of a legal framework, working with people experiencing discrimination, or the less visible interactions between a professional and a person in crisis or need (Hasenfeld, 1987; </w:t>
      </w:r>
      <w:r w:rsidRPr="00CB1A33">
        <w:rPr>
          <w:rFonts w:eastAsia="Times New Roman"/>
        </w:rPr>
        <w:t>Tew, 2006; Dominelli, 201</w:t>
      </w:r>
      <w:r w:rsidR="005E17B9">
        <w:rPr>
          <w:rFonts w:eastAsia="Times New Roman"/>
        </w:rPr>
        <w:t>8</w:t>
      </w:r>
      <w:r w:rsidRPr="00CB1A33">
        <w:rPr>
          <w:rFonts w:eastAsia="Times New Roman"/>
        </w:rPr>
        <w:t>).</w:t>
      </w:r>
    </w:p>
    <w:p w14:paraId="2976EB5C" w14:textId="2F4FD4FA" w:rsidR="00EA6F8D" w:rsidRPr="00CB1A33" w:rsidRDefault="0056661A">
      <w:r w:rsidRPr="00CB1A33">
        <w:lastRenderedPageBreak/>
        <w:t xml:space="preserve">Social work education and practice is attentive to issues of power, </w:t>
      </w:r>
      <w:r w:rsidR="00553DA9" w:rsidRPr="00CB1A33">
        <w:t>to</w:t>
      </w:r>
      <w:r w:rsidRPr="00CB1A33">
        <w:t xml:space="preserve"> address the potential for oppressive and dehumanising consequences of any intervention.</w:t>
      </w:r>
      <w:r w:rsidRPr="00CB1A33">
        <w:rPr>
          <w:rFonts w:eastAsia="Times New Roman"/>
        </w:rPr>
        <w:t xml:space="preserve"> This recognition is evident in the profession’s current </w:t>
      </w:r>
      <w:r w:rsidRPr="00CB1A33">
        <w:t xml:space="preserve">value statements and frameworks that reflect an anti-oppressive stance </w:t>
      </w:r>
      <w:r>
        <w:t>(</w:t>
      </w:r>
      <w:r w:rsidRPr="00CB1A33">
        <w:t>I</w:t>
      </w:r>
      <w:r w:rsidR="00BC2670">
        <w:t xml:space="preserve">nternational </w:t>
      </w:r>
      <w:r w:rsidRPr="00CB1A33">
        <w:t>F</w:t>
      </w:r>
      <w:r w:rsidR="00BC2670">
        <w:t xml:space="preserve">ederation of </w:t>
      </w:r>
      <w:r w:rsidRPr="00CB1A33">
        <w:t>S</w:t>
      </w:r>
      <w:r w:rsidR="00BC2670">
        <w:t xml:space="preserve">ocial </w:t>
      </w:r>
      <w:r w:rsidRPr="00CB1A33">
        <w:t>W</w:t>
      </w:r>
      <w:r w:rsidR="00BC2670">
        <w:t>orkers</w:t>
      </w:r>
      <w:r w:rsidRPr="00CB1A33">
        <w:t>, 201</w:t>
      </w:r>
      <w:r w:rsidR="00BC2670">
        <w:t>8</w:t>
      </w:r>
      <w:r w:rsidRPr="00CB1A33">
        <w:t>; B</w:t>
      </w:r>
      <w:r w:rsidR="00BC2670">
        <w:t xml:space="preserve">ritish </w:t>
      </w:r>
      <w:r w:rsidRPr="00CB1A33">
        <w:t>A</w:t>
      </w:r>
      <w:r w:rsidR="00BC2670">
        <w:t xml:space="preserve">ssociation of </w:t>
      </w:r>
      <w:r w:rsidRPr="00CB1A33">
        <w:t>S</w:t>
      </w:r>
      <w:r w:rsidR="00BC2670">
        <w:t xml:space="preserve">ocial </w:t>
      </w:r>
      <w:r w:rsidRPr="00CB1A33">
        <w:t>W</w:t>
      </w:r>
      <w:r w:rsidR="00BC2670">
        <w:t>orkers</w:t>
      </w:r>
      <w:r w:rsidRPr="00CB1A33">
        <w:t>, 2018). As a result, using a theoretical framework focusing on power</w:t>
      </w:r>
      <w:r w:rsidR="008F3BA4">
        <w:t xml:space="preserve"> for this research</w:t>
      </w:r>
      <w:r w:rsidRPr="00CB1A33">
        <w:t>, reflects personal practice experience and professional values, commonplace in doctoral research (Trafford and Lesh</w:t>
      </w:r>
      <w:r w:rsidR="00256B93">
        <w:t>e</w:t>
      </w:r>
      <w:r w:rsidRPr="00CB1A33">
        <w:t>m, 2008). In summary</w:t>
      </w:r>
      <w:r w:rsidR="009A3430">
        <w:t>,</w:t>
      </w:r>
      <w:r w:rsidRPr="00CB1A33">
        <w:t xml:space="preserve"> this research focuses on decisions made by young people in public care, where issues of power are entangled within legal status, age and individual vulnerabilities, as discussed </w:t>
      </w:r>
      <w:r w:rsidRPr="00333360">
        <w:t xml:space="preserve">in </w:t>
      </w:r>
      <w:r w:rsidR="00333360" w:rsidRPr="00333360">
        <w:t>C</w:t>
      </w:r>
      <w:r w:rsidRPr="00333360">
        <w:t>hapter</w:t>
      </w:r>
      <w:r w:rsidR="00333360" w:rsidRPr="00333360">
        <w:t xml:space="preserve"> 4</w:t>
      </w:r>
      <w:r w:rsidRPr="00333360">
        <w:t>. Using</w:t>
      </w:r>
      <w:r w:rsidRPr="00CB1A33">
        <w:t xml:space="preserve"> power as a theoretical lens is useful to explore operations of power, and the relevance of power manifestations to the decisions young people make.</w:t>
      </w:r>
    </w:p>
    <w:p w14:paraId="6F0ADB22" w14:textId="03853EA3" w:rsidR="0056661A" w:rsidRPr="00CB1A33" w:rsidRDefault="0056661A" w:rsidP="005C65E8">
      <w:pPr>
        <w:pStyle w:val="Heading3"/>
      </w:pPr>
      <w:r w:rsidRPr="00CB1A33">
        <w:t xml:space="preserve">Power – </w:t>
      </w:r>
      <w:r w:rsidR="000C16BA">
        <w:t>A</w:t>
      </w:r>
      <w:r w:rsidRPr="00CB1A33">
        <w:t xml:space="preserve"> </w:t>
      </w:r>
      <w:r w:rsidR="000C16BA">
        <w:t>C</w:t>
      </w:r>
      <w:r w:rsidRPr="00CB1A33">
        <w:t xml:space="preserve">ontested </w:t>
      </w:r>
      <w:r w:rsidR="000C16BA">
        <w:t>C</w:t>
      </w:r>
      <w:r w:rsidRPr="00CB1A33">
        <w:t>oncept</w:t>
      </w:r>
    </w:p>
    <w:p w14:paraId="349A1107" w14:textId="64DA98E4" w:rsidR="0056661A" w:rsidRPr="00CB1A33" w:rsidRDefault="0056661A">
      <w:pPr>
        <w:rPr>
          <w:highlight w:val="magenta"/>
        </w:rPr>
      </w:pPr>
      <w:r w:rsidRPr="00CB1A33">
        <w:t>Despite awareness of potential power imbalances between service users and professionals, there is a lack of agreement about the nature of power, and a lack of clarity to offer a consistent shape to any discussion (Tew, 2006). Lukes (200</w:t>
      </w:r>
      <w:r w:rsidR="004A5C40">
        <w:t>9</w:t>
      </w:r>
      <w:r w:rsidRPr="00CB1A33">
        <w:t>) also noted an absence of cohesion in discussions and referred to power as a contested concept that can lead to a lack of a clearly articulated definition. In itself this disparity allows for the coexistence of different understandings which could be beneficial to generate multiple strands of thinking, however</w:t>
      </w:r>
      <w:r w:rsidR="00EA6F8D">
        <w:t>,</w:t>
      </w:r>
      <w:r w:rsidRPr="00CB1A33">
        <w:t xml:space="preserve"> Tew (2006) suggests the absence of consensus complicates the analysis of power dynamics in practice</w:t>
      </w:r>
      <w:r w:rsidR="00631FD9">
        <w:t>. Therefore,</w:t>
      </w:r>
      <w:r w:rsidR="001413ED">
        <w:t xml:space="preserve"> </w:t>
      </w:r>
      <w:r w:rsidRPr="00CB1A33">
        <w:rPr>
          <w:rFonts w:eastAsia="Times New Roman"/>
        </w:rPr>
        <w:t xml:space="preserve">it is necessary </w:t>
      </w:r>
      <w:r w:rsidRPr="00CB1A33">
        <w:t>to establish which explanation of power forms the theoretical basis of this research, in order to uncomplicate the discussion. The following section sets out the key, albeit contrasting</w:t>
      </w:r>
      <w:r w:rsidR="00CE5569">
        <w:t xml:space="preserve">, </w:t>
      </w:r>
      <w:r w:rsidRPr="00CB1A33">
        <w:t xml:space="preserve">perspectives considered as possible approaches and concludes with my rationale for the use of Foucault’s work to </w:t>
      </w:r>
      <w:r w:rsidR="004F15F8">
        <w:t>explore the young people’s experiences</w:t>
      </w:r>
      <w:r w:rsidRPr="00CB1A33">
        <w:t>.</w:t>
      </w:r>
    </w:p>
    <w:p w14:paraId="62729DBA" w14:textId="2350D7A8" w:rsidR="0056661A" w:rsidRPr="00CB1A33" w:rsidRDefault="0056661A" w:rsidP="005C65E8">
      <w:pPr>
        <w:pStyle w:val="Heading3"/>
      </w:pPr>
      <w:r w:rsidRPr="00CB1A33">
        <w:t xml:space="preserve">Typologies of </w:t>
      </w:r>
      <w:r w:rsidRPr="005C65E8">
        <w:t>Power</w:t>
      </w:r>
    </w:p>
    <w:p w14:paraId="6219DF7B" w14:textId="2509865F" w:rsidR="0056661A" w:rsidRPr="00CB1A33" w:rsidRDefault="0056661A">
      <w:r w:rsidRPr="00CB1A33">
        <w:t>There are numerous conceptualisations of power, underlining how ‘central’ it is to an understanding of the operation of society (Haugaard and Clegg, 20</w:t>
      </w:r>
      <w:r w:rsidR="005628F2">
        <w:t>14</w:t>
      </w:r>
      <w:r w:rsidRPr="00CB1A33">
        <w:t xml:space="preserve">, p. 1). Helpfully, Smith (2008), identifies four ways to categorise how power is described: </w:t>
      </w:r>
      <w:r w:rsidRPr="00CB1A33">
        <w:rPr>
          <w:i/>
          <w:iCs/>
        </w:rPr>
        <w:t xml:space="preserve">potential, possession, product </w:t>
      </w:r>
      <w:r w:rsidRPr="00CB1A33">
        <w:t>and</w:t>
      </w:r>
      <w:r w:rsidRPr="00CB1A33">
        <w:rPr>
          <w:i/>
          <w:iCs/>
        </w:rPr>
        <w:t xml:space="preserve"> process</w:t>
      </w:r>
      <w:r w:rsidRPr="00CB1A33">
        <w:t>. His categorisation is used to set out the frameworks considered for this research.</w:t>
      </w:r>
    </w:p>
    <w:p w14:paraId="1CA533E5" w14:textId="2A8F30FD" w:rsidR="0056661A" w:rsidRPr="00CB1A33" w:rsidRDefault="0056661A">
      <w:pPr>
        <w:rPr>
          <w:rFonts w:eastAsia="Times New Roman"/>
          <w:shd w:val="clear" w:color="auto" w:fill="FFFFFF"/>
        </w:rPr>
      </w:pPr>
      <w:r w:rsidRPr="00CB1A33">
        <w:t xml:space="preserve">Power as </w:t>
      </w:r>
      <w:r w:rsidRPr="00553DA9">
        <w:rPr>
          <w:i/>
          <w:iCs/>
        </w:rPr>
        <w:t>potential</w:t>
      </w:r>
      <w:r w:rsidRPr="00CB1A33">
        <w:t xml:space="preserve"> relates to the personal capabilities of an individual. The sociologist Parsons (196</w:t>
      </w:r>
      <w:r w:rsidR="008126B8">
        <w:t>9</w:t>
      </w:r>
      <w:r w:rsidRPr="00CB1A33">
        <w:t>) focused on the concept of agency in a political context, and rejected the idea that power was merely a coercive force (Haugaard and Clegg, 20</w:t>
      </w:r>
      <w:r w:rsidR="005628F2">
        <w:t>14</w:t>
      </w:r>
      <w:r w:rsidRPr="00CB1A33">
        <w:t xml:space="preserve">). His ideas centred on </w:t>
      </w:r>
      <w:r w:rsidRPr="00CB1A33">
        <w:lastRenderedPageBreak/>
        <w:t>the collective capacity of people to act in accordance with a shared set of values or community objective (Scott, 200</w:t>
      </w:r>
      <w:r w:rsidR="004A5C40">
        <w:t>6</w:t>
      </w:r>
      <w:r w:rsidRPr="00CB1A33">
        <w:t>). Power, according to Parsons, becomes an integral tool to maintain social order and is a ‘specific mechanism’ that collectively binds legitimate concerns (196</w:t>
      </w:r>
      <w:r w:rsidR="004A5C40">
        <w:t>9</w:t>
      </w:r>
      <w:r w:rsidRPr="00CB1A33">
        <w:t xml:space="preserve">, p. 308). This model presupposes that there is shared acceptance of the authority figure and subsequent legitimation of exchanges of power (Smith, 2008). In summary Parsons (1969) argued that people </w:t>
      </w:r>
      <w:r w:rsidRPr="00CB1A33">
        <w:rPr>
          <w:rFonts w:eastAsia="Times New Roman"/>
          <w:shd w:val="clear" w:color="auto" w:fill="FFFFFF"/>
        </w:rPr>
        <w:t xml:space="preserve">give and withdraw power to political leaders in elections, demonstrating that power resides ultimately with members of society as a whole. </w:t>
      </w:r>
    </w:p>
    <w:p w14:paraId="79FAB096" w14:textId="50CB556D" w:rsidR="0056661A" w:rsidRPr="00CB1A33" w:rsidRDefault="0056661A">
      <w:r w:rsidRPr="00CB1A33">
        <w:t>Parsons</w:t>
      </w:r>
      <w:r w:rsidR="00CE5569">
        <w:t>’</w:t>
      </w:r>
      <w:r w:rsidRPr="00CB1A33">
        <w:t xml:space="preserve"> functional understanding of power is not suitable for this research because</w:t>
      </w:r>
      <w:r w:rsidR="00CE5569">
        <w:t>,</w:t>
      </w:r>
      <w:r w:rsidRPr="00CB1A33">
        <w:t xml:space="preserve"> as Smith (2008) highlights, it is difficult to examine different power relations that could be at play. Specifically, the premise that interactions are founded on collective mutual aims, does not allow for analysis of different understandings or perspectives and recognition that the exercise of power could come from divergent positions. In contrast with approaches that view power as enabling social function, power can also be viewed as an entity possessed by a person or body of people, referred to by Smith (2008) as </w:t>
      </w:r>
      <w:r w:rsidRPr="00553DA9">
        <w:rPr>
          <w:i/>
          <w:iCs/>
        </w:rPr>
        <w:t xml:space="preserve">possession </w:t>
      </w:r>
      <w:r w:rsidRPr="00CB1A33">
        <w:t>power.</w:t>
      </w:r>
    </w:p>
    <w:p w14:paraId="664C9094" w14:textId="7025FA4A" w:rsidR="0056661A" w:rsidRPr="00CB1A33" w:rsidRDefault="0056661A">
      <w:r w:rsidRPr="00553DA9">
        <w:rPr>
          <w:i/>
          <w:iCs/>
        </w:rPr>
        <w:t>Possession</w:t>
      </w:r>
      <w:r w:rsidRPr="00CB1A33">
        <w:t xml:space="preserve"> </w:t>
      </w:r>
      <w:r w:rsidR="00EB1FB6">
        <w:t>p</w:t>
      </w:r>
      <w:r w:rsidRPr="00CB1A33">
        <w:t>ower</w:t>
      </w:r>
      <w:r w:rsidR="00E623C6">
        <w:t>,</w:t>
      </w:r>
      <w:r w:rsidRPr="00CB1A33">
        <w:t xml:space="preserve"> also described by Scott (200</w:t>
      </w:r>
      <w:r w:rsidR="004A5C40">
        <w:t>6</w:t>
      </w:r>
      <w:r w:rsidRPr="00CB1A33">
        <w:t>, p. 31) as ‘command’ power</w:t>
      </w:r>
      <w:r w:rsidR="00E623C6">
        <w:t>,</w:t>
      </w:r>
      <w:r w:rsidRPr="00CB1A33">
        <w:t xml:space="preserve"> views the use of power through formal legitimated structures with particular interests. Power is understood to be located in people or organisations and used to maintain order and discipline through their </w:t>
      </w:r>
      <w:r w:rsidR="00DC59B2">
        <w:t>decision-making</w:t>
      </w:r>
      <w:r w:rsidRPr="00CB1A33">
        <w:t xml:space="preserve"> and position (Smith, 2008). Through hierarchical structures, power is symbolic of the organisation or person, and their position authorises their right to exercise power. Two understandings of possession power were proposed by Hobbes an English philosopher in the 17</w:t>
      </w:r>
      <w:r w:rsidRPr="00CB1A33">
        <w:rPr>
          <w:vertAlign w:val="superscript"/>
        </w:rPr>
        <w:t>th</w:t>
      </w:r>
      <w:r w:rsidRPr="00CB1A33">
        <w:t xml:space="preserve"> century and Weber, a German sociologist in the 19</w:t>
      </w:r>
      <w:r w:rsidRPr="00CB1A33">
        <w:rPr>
          <w:vertAlign w:val="superscript"/>
        </w:rPr>
        <w:t>th</w:t>
      </w:r>
      <w:r w:rsidRPr="00CB1A33">
        <w:t xml:space="preserve"> century. Hobbes discussed a head of state using coercion to maintain order, whereas Weber </w:t>
      </w:r>
      <w:r w:rsidRPr="00CB1A33">
        <w:rPr>
          <w:rFonts w:eastAsia="Times New Roman"/>
        </w:rPr>
        <w:t xml:space="preserve">focused on social structures, with power as a commodity to be taken or bestowed, presupposing that one individual has to relinquish power to empower another (Hindess, 1996). Other structural explanations of power associated with </w:t>
      </w:r>
      <w:r w:rsidR="00AC5D98" w:rsidRPr="00CB1A33">
        <w:rPr>
          <w:rFonts w:eastAsia="Times New Roman"/>
        </w:rPr>
        <w:t>possession-based</w:t>
      </w:r>
      <w:r w:rsidRPr="00CB1A33">
        <w:rPr>
          <w:rFonts w:eastAsia="Times New Roman"/>
        </w:rPr>
        <w:t xml:space="preserve"> models lie in the tradition of some Marxist, anti-racist and Feminist interpretations, with means of production, white privilege or patriarchy as the site of legitimacy. For example, the</w:t>
      </w:r>
      <w:r w:rsidR="007D4F17">
        <w:rPr>
          <w:rFonts w:eastAsia="Times New Roman"/>
        </w:rPr>
        <w:t xml:space="preserve"> Marxist</w:t>
      </w:r>
      <w:r w:rsidRPr="00CB1A33">
        <w:rPr>
          <w:rFonts w:eastAsia="Times New Roman"/>
        </w:rPr>
        <w:t xml:space="preserve"> philosopher Althusser argued that organisations exercise power through repressive or ideological bodies to maintain class order (</w:t>
      </w:r>
      <w:r w:rsidRPr="00CB1A33">
        <w:rPr>
          <w:rFonts w:eastAsia="Times New Roman"/>
          <w:shd w:val="clear" w:color="auto" w:fill="FFFFFF"/>
        </w:rPr>
        <w:t>Althusser, Jameson, and Brewster</w:t>
      </w:r>
      <w:r w:rsidRPr="00CB1A33">
        <w:rPr>
          <w:rFonts w:eastAsia="Times New Roman"/>
        </w:rPr>
        <w:t xml:space="preserve"> 2006). </w:t>
      </w:r>
    </w:p>
    <w:p w14:paraId="7320BDCC" w14:textId="1317F8EE" w:rsidR="0056661A" w:rsidRPr="009B54F2" w:rsidRDefault="0056661A" w:rsidP="006E3485">
      <w:r w:rsidRPr="00CB1A33">
        <w:t xml:space="preserve">Although structural understandings of power are often referred to in social work education (Smith, 2008), there are some issues in presuming that power is an entity located in the authority of one party, for example social workers. Dominelli (2002) argues that oppression as a result of state or organisational power is too simplistic and ignores the possibility that </w:t>
      </w:r>
      <w:r w:rsidRPr="00CB1A33">
        <w:lastRenderedPageBreak/>
        <w:t xml:space="preserve">people can be both oppressed and oppressive. Dominelli’s point underlines why possession power has not been used in this research. Whilst </w:t>
      </w:r>
      <w:r w:rsidR="00AC5D98">
        <w:t xml:space="preserve">structural </w:t>
      </w:r>
      <w:r w:rsidRPr="00CB1A33">
        <w:t xml:space="preserve">issues of class, gender and/or race </w:t>
      </w:r>
      <w:r w:rsidR="00AC5D98">
        <w:t xml:space="preserve">have implications for power and power relations, </w:t>
      </w:r>
      <w:r w:rsidRPr="00CB1A33">
        <w:t xml:space="preserve">a dichotomy of power/powerlessness between social care professionals and young people would need to be assumed, which misses the complexity of the social worker/ service user relationship. In the analysis of the </w:t>
      </w:r>
      <w:r w:rsidR="001413ED">
        <w:t>young person’s decision</w:t>
      </w:r>
      <w:r w:rsidRPr="00CB1A33">
        <w:t xml:space="preserve">, intersectional themes could be relevant, however </w:t>
      </w:r>
      <w:r w:rsidR="001413ED">
        <w:t>I am focussing on the</w:t>
      </w:r>
      <w:r w:rsidRPr="00CB1A33">
        <w:t xml:space="preserve"> lived experience of each young person, rather than starting </w:t>
      </w:r>
      <w:r w:rsidR="001413ED">
        <w:t>from</w:t>
      </w:r>
      <w:r w:rsidRPr="00CB1A33">
        <w:t xml:space="preserve"> a </w:t>
      </w:r>
      <w:r w:rsidRPr="009B54F2">
        <w:t xml:space="preserve">presumption of oppression. </w:t>
      </w:r>
    </w:p>
    <w:p w14:paraId="012A4807" w14:textId="5CCF8CD5" w:rsidR="0056661A" w:rsidRPr="00CB1A33" w:rsidRDefault="0056661A" w:rsidP="008E4AF2">
      <w:r w:rsidRPr="009B54F2">
        <w:t xml:space="preserve">The next category in Smith’s (2008) typology is understanding power as a </w:t>
      </w:r>
      <w:r w:rsidRPr="00553DA9">
        <w:rPr>
          <w:i/>
          <w:iCs/>
        </w:rPr>
        <w:t>product</w:t>
      </w:r>
      <w:r w:rsidRPr="009B54F2">
        <w:t xml:space="preserve">. </w:t>
      </w:r>
      <w:r w:rsidR="00CE5569" w:rsidRPr="009B54F2">
        <w:t>In</w:t>
      </w:r>
      <w:r w:rsidR="00AC5D98" w:rsidRPr="009B54F2">
        <w:t xml:space="preserve"> </w:t>
      </w:r>
      <w:r w:rsidR="00CE5569" w:rsidRPr="009B54F2">
        <w:t>Giddens</w:t>
      </w:r>
      <w:r w:rsidRPr="009B54F2">
        <w:t>’ (1984) work about social reality, the sociologist suggested that power was not just a product of organisational structure or individual agency, instead it was the intersection between these elements that constituted power. Giddens’ structuration theory proposed that individuals have the freedom to act, however they are also influenced by the structures in which they operate (Stones, 20</w:t>
      </w:r>
      <w:r w:rsidR="00CC6E09">
        <w:t>14</w:t>
      </w:r>
      <w:r w:rsidRPr="009B54F2">
        <w:t xml:space="preserve">). </w:t>
      </w:r>
      <w:r w:rsidR="00550C6D">
        <w:t>P</w:t>
      </w:r>
      <w:r w:rsidR="00550C6D" w:rsidRPr="009B54F2">
        <w:t>ower is exercised and created by individuals, therefore individual agency has ‘structural qualities, and the social structure is part of the human activity’ (Sadan, 2004, p. 67).</w:t>
      </w:r>
      <w:r w:rsidR="00550C6D" w:rsidRPr="00CB1A33">
        <w:t xml:space="preserve"> </w:t>
      </w:r>
      <w:r w:rsidR="009B54F2">
        <w:t xml:space="preserve">Power as </w:t>
      </w:r>
      <w:r w:rsidR="009B54F2" w:rsidRPr="001219A1">
        <w:rPr>
          <w:i/>
          <w:iCs/>
        </w:rPr>
        <w:t xml:space="preserve">product </w:t>
      </w:r>
      <w:r w:rsidR="009B54F2">
        <w:t>is therefore a dynamic interaction between organisation and the individual</w:t>
      </w:r>
      <w:r w:rsidR="00550C6D">
        <w:t xml:space="preserve">, underlined by </w:t>
      </w:r>
      <w:r w:rsidRPr="009B54F2">
        <w:t xml:space="preserve">Arendt (1970) who </w:t>
      </w:r>
      <w:r w:rsidR="00550C6D">
        <w:t xml:space="preserve">argued that a person or group’s power is expressed and reinforced by a </w:t>
      </w:r>
      <w:r w:rsidRPr="009B54F2">
        <w:t>binding collective</w:t>
      </w:r>
      <w:r w:rsidR="00550C6D">
        <w:t xml:space="preserve">. She goes on to say that once </w:t>
      </w:r>
      <w:r w:rsidRPr="009B54F2">
        <w:t>the collective disperses</w:t>
      </w:r>
      <w:r w:rsidR="00550C6D">
        <w:t xml:space="preserve"> the power is dissipated (Arendt, 1970)</w:t>
      </w:r>
      <w:r w:rsidRPr="009B54F2">
        <w:t xml:space="preserve">. </w:t>
      </w:r>
    </w:p>
    <w:p w14:paraId="539071DC" w14:textId="47C367B2" w:rsidR="0056661A" w:rsidRPr="00CB1A33" w:rsidRDefault="0056661A" w:rsidP="008E4AF2">
      <w:r w:rsidRPr="00CB1A33">
        <w:t xml:space="preserve">Using Giddens’ theory of </w:t>
      </w:r>
      <w:r w:rsidR="00CE5569">
        <w:t>s</w:t>
      </w:r>
      <w:r w:rsidRPr="00CB1A33">
        <w:t xml:space="preserve">tructuration would enable an analysis of power relations between individuals and organisations. However, his theory is grounded in an understanding of individuals and less on how power can be exercised through structures and relationships, which might be significant when examining the </w:t>
      </w:r>
      <w:r w:rsidR="0073470F">
        <w:t xml:space="preserve">context of the </w:t>
      </w:r>
      <w:r w:rsidRPr="00CB1A33">
        <w:t>young person’s decision</w:t>
      </w:r>
      <w:r w:rsidR="001219A1">
        <w:t>-making</w:t>
      </w:r>
      <w:r w:rsidRPr="00CB1A33">
        <w:t>. Smith (2008) also suggests that Giddens’ explanation of power does not account for the level of awareness of individuals and how they have understood or interpreted a way of being, for example more positive uses of power.</w:t>
      </w:r>
    </w:p>
    <w:p w14:paraId="565FF3E0" w14:textId="76C75E75" w:rsidR="0056661A" w:rsidRPr="00CB1A33" w:rsidRDefault="0056661A">
      <w:r w:rsidRPr="00CB1A33">
        <w:t xml:space="preserve">The final category in Smith’s typology is power as a result of </w:t>
      </w:r>
      <w:r w:rsidR="00CE5569" w:rsidRPr="001219A1">
        <w:rPr>
          <w:i/>
          <w:iCs/>
        </w:rPr>
        <w:t>process</w:t>
      </w:r>
      <w:r w:rsidR="00CE5569" w:rsidRPr="00CB1A33">
        <w:t>,</w:t>
      </w:r>
      <w:r w:rsidRPr="00CB1A33">
        <w:t xml:space="preserve"> where power is understood as being more fluid and dynamic. One example is Lukes’ (200</w:t>
      </w:r>
      <w:r w:rsidR="004A5C40">
        <w:t>9</w:t>
      </w:r>
      <w:r w:rsidRPr="00CB1A33">
        <w:t>) three dimensions of power, building on earlier work by Dahl (1957) and Bachrach and Baratz (1970) amongst others. Dahl (1957) regarded as a proponent of the first face of power, understood power to mean an expression of force between A and B. Characteristic of possession forms of power, A exerts power over B to achieve their ends. Criticism of Dahl’s emphasis on overt and coercive interactions</w:t>
      </w:r>
      <w:r w:rsidR="007D1F22">
        <w:t>,</w:t>
      </w:r>
      <w:r w:rsidRPr="00CB1A33">
        <w:t xml:space="preserve"> was made by Bachrach and Baratz (1970) in </w:t>
      </w:r>
      <w:r w:rsidRPr="00CB1A33">
        <w:lastRenderedPageBreak/>
        <w:t>their development of the second face of power. Bachrach and Baratz (1970) considered how hidden expressions of power prevented particular issues coming to the fore, resulting in individuals either acting against their will or taking a decision they might not have reached independently (Scott, 200</w:t>
      </w:r>
      <w:r w:rsidR="004A5C40">
        <w:t>6</w:t>
      </w:r>
      <w:r w:rsidRPr="00CB1A33">
        <w:t>). Lukes (200</w:t>
      </w:r>
      <w:r w:rsidR="004A5C40">
        <w:t>9</w:t>
      </w:r>
      <w:r w:rsidRPr="00CB1A33">
        <w:t>) considered the two phases and developed his theory which challenged structural ideas and models focused purely on authority, political or behavioural positions (Dow</w:t>
      </w:r>
      <w:r w:rsidR="004A5C40">
        <w:t>n</w:t>
      </w:r>
      <w:r w:rsidRPr="00CB1A33">
        <w:t>ing, 20</w:t>
      </w:r>
      <w:r w:rsidR="004A5C40">
        <w:t>10</w:t>
      </w:r>
      <w:r w:rsidRPr="00CB1A33">
        <w:t xml:space="preserve">). He set out three dimensions of power including open aspects such as </w:t>
      </w:r>
      <w:r w:rsidR="00DC59B2">
        <w:t>decision-making</w:t>
      </w:r>
      <w:r w:rsidRPr="00CB1A33">
        <w:t>, closed elements that occur behind doors through agenda setting mechanisms and the final insidious use of power</w:t>
      </w:r>
      <w:r w:rsidR="00E516C8">
        <w:t xml:space="preserve"> </w:t>
      </w:r>
      <w:r w:rsidRPr="00CB1A33">
        <w:t>that when exercised makes people act in ways that go against their best interests (Lukes, 200</w:t>
      </w:r>
      <w:r w:rsidR="004A5C40">
        <w:t>9</w:t>
      </w:r>
      <w:r w:rsidRPr="00CB1A33">
        <w:t xml:space="preserve">). </w:t>
      </w:r>
    </w:p>
    <w:p w14:paraId="524EC823" w14:textId="13F4B91B" w:rsidR="0056661A" w:rsidRPr="00CB1A33" w:rsidRDefault="0056661A">
      <w:r w:rsidRPr="00CB1A33">
        <w:t xml:space="preserve">Lukes’ third dimension model offers a basis for the analysis of power in </w:t>
      </w:r>
      <w:r w:rsidR="00DC59B2">
        <w:t>decision-making</w:t>
      </w:r>
      <w:r w:rsidRPr="00CB1A33">
        <w:t xml:space="preserve">, however, he perceived power as conflictual and considered that individuals can act without an awareness of their motivations (Haugaard, 2009). Although a young person may make a decision without knowing why, adopting this theoretical model might not support an understanding of the experiences of young people as their understanding may not have resulted from conflict and it might be that the young person did not make a decision at all. Lukes’ work might support an understanding about why a decision is reached, nevertheless the aim of this research is to explore how the decision is experienced, specifically the influences and nuances of the young person’s relationships and understandings. </w:t>
      </w:r>
    </w:p>
    <w:p w14:paraId="21E497F7" w14:textId="5990388F" w:rsidR="0056661A" w:rsidRPr="00CB1A33" w:rsidRDefault="0056661A">
      <w:r w:rsidRPr="00CB1A33">
        <w:t xml:space="preserve">The ways of understanding power described so far, are well embedded in the traditions of social work education and practice. Whilst these frameworks can help social workers make sense of aspects of their work, there are limitations </w:t>
      </w:r>
      <w:r w:rsidR="001413ED">
        <w:t xml:space="preserve">in </w:t>
      </w:r>
      <w:r w:rsidRPr="00CB1A33">
        <w:t xml:space="preserve">viewing power as concrete or symbolic. The modes of understanding power discussed in this chapter, focus on </w:t>
      </w:r>
      <w:r w:rsidR="001219A1">
        <w:t xml:space="preserve">specific </w:t>
      </w:r>
      <w:r w:rsidRPr="00CB1A33">
        <w:t>aspects of power relations, with emphasis on ideas of power over individuals or groups contributing to an understanding that power is automatically concentrated in the hands of social work professionals and perceived bodies of power. Cocker and Hafford-Letchfield (2014) suggest that there needs to be a more critical consideration of established forms of knowledge in contemporary practice, including an exploration of practice that moves beyond established ways of thinking. Several other social work academics also argue that analytical tools used to explore social work need to reflect the changes in the practice, political and social landscape (Gilbert and Powell 2010; Featherstone and Green, 2012). Exploring alternative frameworks is not about ‘erasing the past’ but looking at new questions that arise from current practice (Cocker and Hafford-Letchfield, 2014, p.</w:t>
      </w:r>
      <w:r w:rsidR="00CC0661">
        <w:t xml:space="preserve"> </w:t>
      </w:r>
      <w:r w:rsidRPr="00CB1A33">
        <w:t xml:space="preserve">2). Re-examining power in this context requires a framework that considers our existing understandings, but also </w:t>
      </w:r>
      <w:r w:rsidRPr="00CB1A33">
        <w:lastRenderedPageBreak/>
        <w:t>encourages ‘critical inquiry into knowledge and practice’ (Chambon, 1999, p. 52). Foucault’s ideas about power as a process, offer</w:t>
      </w:r>
      <w:r w:rsidR="00CD3E72">
        <w:t>s</w:t>
      </w:r>
      <w:r w:rsidRPr="00CB1A33">
        <w:t xml:space="preserve"> this framework.</w:t>
      </w:r>
    </w:p>
    <w:p w14:paraId="6AD30E51" w14:textId="3FDFA780" w:rsidR="0056661A" w:rsidRPr="00CB1A33" w:rsidRDefault="0056661A">
      <w:pPr>
        <w:pStyle w:val="Heading2"/>
      </w:pPr>
      <w:bookmarkStart w:id="35" w:name="_Toc101108489"/>
      <w:r w:rsidRPr="00CB1A33">
        <w:t>Foucault – An Introduction</w:t>
      </w:r>
      <w:bookmarkEnd w:id="35"/>
    </w:p>
    <w:p w14:paraId="4D51979A" w14:textId="19B57B1C" w:rsidR="0056661A" w:rsidRPr="00CB1A33" w:rsidRDefault="0056661A">
      <w:r w:rsidRPr="00CB1A33">
        <w:t>It is important to note that Foucault’s work is not a coherent set of ideas that are easily applied. Not only did his thinking evolve over time but his concepts are dense, and his use of language is elliptical leaving it open to multiple meanings (O’Farrell, 2005). O’Farrell’s (2005) suggestion that using Foucault can be a subjective process is helpful to think about, not to act as a caveat for potential flaws in the discussion, but in the context of social work practice, which is bound by perception and subjectivity (Thompson, 20</w:t>
      </w:r>
      <w:r w:rsidR="00B63005">
        <w:t>20</w:t>
      </w:r>
      <w:r w:rsidRPr="00CB1A33">
        <w:t xml:space="preserve">). </w:t>
      </w:r>
      <w:r w:rsidR="006B7D71">
        <w:t xml:space="preserve">This means that </w:t>
      </w:r>
      <w:r w:rsidRPr="00CB1A33">
        <w:t xml:space="preserve">using any framework is about giving shape to the thinking rather than using it as a tool to prove or disprove </w:t>
      </w:r>
      <w:r w:rsidR="00EF4BF8">
        <w:t xml:space="preserve">a </w:t>
      </w:r>
      <w:r w:rsidRPr="00CB1A33">
        <w:t>chosen model. Therefore, it is useful to adopt the approach recommended by Foucault (1974, p. 523), who suggested that his work should be used as</w:t>
      </w:r>
      <w:r w:rsidR="006B7D71">
        <w:t xml:space="preserve"> a</w:t>
      </w:r>
      <w:r w:rsidRPr="00CB1A33">
        <w:t xml:space="preserve"> ‘tool</w:t>
      </w:r>
      <w:r w:rsidR="004A5C40">
        <w:t>-</w:t>
      </w:r>
      <w:r w:rsidRPr="00CB1A33">
        <w:t xml:space="preserve">box’, </w:t>
      </w:r>
      <w:r w:rsidR="00C879CC">
        <w:t>and flexible to the needs of the user</w:t>
      </w:r>
      <w:r w:rsidRPr="00CB1A33">
        <w:t>. Nevertheless, there is some critique in using Foucault’s ideas as an analytical device</w:t>
      </w:r>
      <w:r w:rsidR="00CC0661">
        <w:t xml:space="preserve">. </w:t>
      </w:r>
      <w:r w:rsidRPr="00CB1A33">
        <w:t>For example, Hardy and Jobling (2015) suggest</w:t>
      </w:r>
      <w:r w:rsidR="00CE5569">
        <w:t>ed</w:t>
      </w:r>
      <w:r w:rsidRPr="00CB1A33">
        <w:t xml:space="preserve"> that an exploration of ‘how’ rather than ‘why’, can overlook matters of causality. However, </w:t>
      </w:r>
      <w:r w:rsidR="00991685">
        <w:t>my</w:t>
      </w:r>
      <w:r w:rsidRPr="00CB1A33">
        <w:t xml:space="preserve"> study </w:t>
      </w:r>
      <w:r w:rsidR="00991685">
        <w:t>did not aim</w:t>
      </w:r>
      <w:r w:rsidRPr="00CB1A33">
        <w:t xml:space="preserve"> to identify causes of a young person’s decision to stay </w:t>
      </w:r>
      <w:r w:rsidR="00550C6D">
        <w:t>or leave</w:t>
      </w:r>
      <w:r w:rsidR="00CE5569">
        <w:t xml:space="preserve">; </w:t>
      </w:r>
      <w:r w:rsidR="00550C6D" w:rsidRPr="00CB1A33">
        <w:t>instead,</w:t>
      </w:r>
      <w:r w:rsidRPr="00CB1A33">
        <w:t xml:space="preserve"> the aim </w:t>
      </w:r>
      <w:r w:rsidR="00991685">
        <w:t>was</w:t>
      </w:r>
      <w:r w:rsidRPr="00CB1A33">
        <w:t xml:space="preserve"> to explore the experience of the decision and examine mechanisms of power in this process. Using a Foucauldian lens is helpful to think about how this expression of power contributes to an understanding of the young person’s decision</w:t>
      </w:r>
      <w:r w:rsidR="001219A1">
        <w:t>-making</w:t>
      </w:r>
      <w:r w:rsidR="00C879CC">
        <w:t xml:space="preserve"> experience</w:t>
      </w:r>
      <w:r w:rsidRPr="00CB1A33">
        <w:t xml:space="preserve">. </w:t>
      </w:r>
    </w:p>
    <w:p w14:paraId="68ED61CC" w14:textId="12749738" w:rsidR="0056661A" w:rsidRPr="00E26F02" w:rsidRDefault="0056661A" w:rsidP="005C65E8">
      <w:pPr>
        <w:pStyle w:val="Heading3"/>
      </w:pPr>
      <w:r w:rsidRPr="00CB1A33">
        <w:t>Fouc</w:t>
      </w:r>
      <w:r w:rsidRPr="00E26F02">
        <w:t>ault on Power</w:t>
      </w:r>
    </w:p>
    <w:p w14:paraId="75CDCE56" w14:textId="49F51EDD" w:rsidR="0056661A" w:rsidRDefault="0056661A" w:rsidP="0018621E">
      <w:r w:rsidRPr="00CB1A33">
        <w:rPr>
          <w:lang w:val="en-US"/>
        </w:rPr>
        <w:t>Even though Foucault</w:t>
      </w:r>
      <w:r w:rsidR="004A5C40">
        <w:rPr>
          <w:lang w:val="en-US"/>
        </w:rPr>
        <w:t xml:space="preserve"> </w:t>
      </w:r>
      <w:r w:rsidR="004A5C40" w:rsidRPr="00CB1A33">
        <w:rPr>
          <w:lang w:val="en-US"/>
        </w:rPr>
        <w:t>(1982)</w:t>
      </w:r>
      <w:r w:rsidRPr="00CB1A33">
        <w:rPr>
          <w:lang w:val="en-US"/>
        </w:rPr>
        <w:t xml:space="preserve"> asserted that power was not his primary concern, he explored the impact of power relations and how knowledge developed in societal contexts. Specifically, Foucault was interested in the ‘petty dominations and larger battles’ (Rabinow, 1984, p.6) between the individual and the state, </w:t>
      </w:r>
      <w:r w:rsidRPr="001413ED">
        <w:t>organisations</w:t>
      </w:r>
      <w:r w:rsidR="00CE5569">
        <w:rPr>
          <w:lang w:val="en-US"/>
        </w:rPr>
        <w:t>,</w:t>
      </w:r>
      <w:r w:rsidRPr="00CB1A33">
        <w:rPr>
          <w:lang w:val="en-US"/>
        </w:rPr>
        <w:t xml:space="preserve"> and the construct of sexuality and mental ill health. Whilst tracking the pattern of Foucault’s ideas</w:t>
      </w:r>
      <w:r w:rsidR="001413ED">
        <w:rPr>
          <w:lang w:val="en-US"/>
        </w:rPr>
        <w:t xml:space="preserve"> </w:t>
      </w:r>
      <w:r w:rsidR="001413ED" w:rsidRPr="00CB1A33">
        <w:rPr>
          <w:lang w:val="en-US"/>
        </w:rPr>
        <w:t>is problematic</w:t>
      </w:r>
      <w:r w:rsidRPr="00CB1A33">
        <w:rPr>
          <w:lang w:val="en-US"/>
        </w:rPr>
        <w:t xml:space="preserve">, thematic strands relating to </w:t>
      </w:r>
      <w:r w:rsidRPr="00CB1A33">
        <w:t>sovereignty, discipline, biopower and governmentality do evolve (Prado, 2009).</w:t>
      </w:r>
    </w:p>
    <w:p w14:paraId="7371A36A" w14:textId="0D8F1C2B" w:rsidR="0056661A" w:rsidRPr="00CB1A33" w:rsidRDefault="0056661A">
      <w:r w:rsidRPr="00CB1A33">
        <w:t>In his early work, Foucault explored the way in which</w:t>
      </w:r>
      <w:r w:rsidRPr="00CB1A33">
        <w:rPr>
          <w:rFonts w:eastAsia="Times New Roman"/>
        </w:rPr>
        <w:t xml:space="preserve"> sovereignty</w:t>
      </w:r>
      <w:r w:rsidRPr="00CB1A33">
        <w:t xml:space="preserve"> was perceived as a source of power, referring back to the work of Hobbes, mentioned earlier in this chapter. </w:t>
      </w:r>
      <w:r w:rsidR="001219A1" w:rsidRPr="00CB1A33">
        <w:t>He</w:t>
      </w:r>
      <w:r w:rsidRPr="00CB1A33">
        <w:t xml:space="preserve"> focused on the ideas of progressive sovereignty characterised by a </w:t>
      </w:r>
      <w:r w:rsidRPr="00CB1A33">
        <w:rPr>
          <w:rFonts w:eastAsia="Times New Roman"/>
        </w:rPr>
        <w:t>controlling force exerted by people or institutions with birth rights or inherited authority (O’Farrell, 2005).</w:t>
      </w:r>
      <w:r w:rsidRPr="00CB1A33">
        <w:t xml:space="preserve"> </w:t>
      </w:r>
      <w:r w:rsidR="001219A1">
        <w:t xml:space="preserve">Foucault </w:t>
      </w:r>
      <w:r w:rsidRPr="00CB1A33">
        <w:t xml:space="preserve">proposed that society functioned through people’s acceptance to concede </w:t>
      </w:r>
      <w:r w:rsidR="005057F3">
        <w:t>some</w:t>
      </w:r>
      <w:r w:rsidRPr="00CB1A33">
        <w:t xml:space="preserve"> of their own rights and give up their possessions, for the benefit of the state (</w:t>
      </w:r>
      <w:r w:rsidRPr="00CB1A33">
        <w:rPr>
          <w:lang w:val="en-US"/>
        </w:rPr>
        <w:t xml:space="preserve">Schirato, Danaher and </w:t>
      </w:r>
      <w:r w:rsidRPr="00CB1A33">
        <w:rPr>
          <w:lang w:val="en-US"/>
        </w:rPr>
        <w:lastRenderedPageBreak/>
        <w:t>Webb, 2012).</w:t>
      </w:r>
      <w:r w:rsidRPr="00CB1A33">
        <w:t xml:space="preserve"> </w:t>
      </w:r>
      <w:r w:rsidRPr="00CB1A33">
        <w:rPr>
          <w:rFonts w:eastAsia="Times New Roman"/>
        </w:rPr>
        <w:t xml:space="preserve">Sovereign power becomes visible through rituals and processes that assert the sovereign’s authority. For example, public punishment becomes politically symbolic, whereby injuries are physically and visibly inflicted (Foucault, 1975). Here the authority figure is using public acts to reinforce that they are responsible for the life or death of the people (Rouse, 2007). In his lecture </w:t>
      </w:r>
      <w:r w:rsidRPr="00CB1A33">
        <w:rPr>
          <w:rFonts w:eastAsia="Times New Roman"/>
          <w:i/>
          <w:iCs/>
        </w:rPr>
        <w:t>Society Must be Defended</w:t>
      </w:r>
      <w:r w:rsidRPr="00CB1A33">
        <w:rPr>
          <w:rFonts w:eastAsia="Times New Roman"/>
        </w:rPr>
        <w:t>, Foucault argued that the theory of sovereignty was evident in feudal societies in the Middle Ages, and whilst these societies remained, this understanding of power became inadequate (</w:t>
      </w:r>
      <w:r w:rsidR="004A5C40">
        <w:rPr>
          <w:rFonts w:eastAsia="Times New Roman"/>
        </w:rPr>
        <w:t>Foucault, 1976</w:t>
      </w:r>
      <w:r w:rsidRPr="00CB1A33">
        <w:rPr>
          <w:rFonts w:eastAsia="Times New Roman"/>
        </w:rPr>
        <w:t xml:space="preserve">). </w:t>
      </w:r>
      <w:r w:rsidRPr="00CB1A33">
        <w:t xml:space="preserve">Foucault argued that to understand power there was a ‘need to cut off the King’s head’ (1980, p. 121) in order to explore new mechanisms that regulated life, conduct and people’s bodies (Foucault, </w:t>
      </w:r>
      <w:r w:rsidR="00C57A77">
        <w:t>1979</w:t>
      </w:r>
      <w:r w:rsidRPr="00CB1A33">
        <w:t xml:space="preserve">). Seeing the analysis of sovereign power as limited, he began to explore the role of disciplinary and regulatory power relations (Rouse, 2007). </w:t>
      </w:r>
    </w:p>
    <w:p w14:paraId="613B9578" w14:textId="2C7D6D06" w:rsidR="0056661A" w:rsidRPr="00CB1A33" w:rsidRDefault="0056661A" w:rsidP="005C65E8">
      <w:pPr>
        <w:pStyle w:val="Heading3"/>
      </w:pPr>
      <w:r w:rsidRPr="00CB1A33">
        <w:t>From Sovereignty to Biopower</w:t>
      </w:r>
    </w:p>
    <w:p w14:paraId="0DE4F661" w14:textId="7462E4D2" w:rsidR="0056661A" w:rsidRPr="00CB1A33" w:rsidRDefault="0056661A">
      <w:r w:rsidRPr="00CB1A33">
        <w:t xml:space="preserve">Foucault suggested that whilst structures and patterns of sovereign power endured, the use of public injury in the name of a monarch had diminished (Downing, 2010). He argued that a new disciplinary power operated by making people permanently visible. Rather than marking people during specific visible rituals, such as open forms of chastisement, a permanent visibility allowed power to be exercised more fluidly (Rouse, 2007). Foucault suggested that this visibility is underpinned by ongoing recording of what individuals do and say, describing it as ‘a direct and continuous relation of writing to the body’ (1975, p. 50). For example, mechanisms such as census data, records of employment, registration of crimes and health records all form an account of who we are and what we do. In turn this enables the intervention of disciplinary power as it is based on a perpetual state of </w:t>
      </w:r>
      <w:r w:rsidR="00EF4BF8">
        <w:t>coercive</w:t>
      </w:r>
      <w:r w:rsidRPr="00CB1A33">
        <w:t xml:space="preserve"> pressure before a crime or transgression has even occurred (Downing, 2010). As a consequence of disciplinary power, people are not governed by the threat of death, instead they fall into patterns of behaviour that are regulated and ordered.</w:t>
      </w:r>
    </w:p>
    <w:p w14:paraId="7E07313D" w14:textId="23FC10B7" w:rsidR="0056661A" w:rsidRDefault="0056661A">
      <w:pPr>
        <w:rPr>
          <w:lang w:val="en-US"/>
        </w:rPr>
      </w:pPr>
      <w:r w:rsidRPr="00CB1A33">
        <w:t xml:space="preserve">By expanding the </w:t>
      </w:r>
      <w:r w:rsidRPr="00CB1A33">
        <w:rPr>
          <w:lang w:val="en-US"/>
        </w:rPr>
        <w:t xml:space="preserve">‘dimensions’ of power (1982, p. 209), </w:t>
      </w:r>
      <w:r w:rsidRPr="009C59E3">
        <w:t>Foucault</w:t>
      </w:r>
      <w:r w:rsidRPr="00CB1A33">
        <w:rPr>
          <w:lang w:val="en-US"/>
        </w:rPr>
        <w:t xml:space="preserve"> emphasised how power becomes established and sustained within social and economic frameworks of discipline and regulation (Epstein, 1999). In this phase of his work Foucault argued that </w:t>
      </w:r>
      <w:r w:rsidRPr="00CB1A33">
        <w:t>‘power is everywhere: not because it embraces everything, but because it comes from everywhere’ (197</w:t>
      </w:r>
      <w:r w:rsidR="004A5C40">
        <w:t>6b</w:t>
      </w:r>
      <w:r w:rsidRPr="00CB1A33">
        <w:t xml:space="preserve">, p. 93). He built on the idea of distributed mechanisms of power in his identification of biopower and biopolitics, meaning that power is dispersed through social bodies to discipline and order society </w:t>
      </w:r>
      <w:r w:rsidRPr="00CB1A33">
        <w:rPr>
          <w:lang w:val="en-US"/>
        </w:rPr>
        <w:t>(Schirato, Danaher and Webb, 2012)</w:t>
      </w:r>
      <w:r w:rsidRPr="00CB1A33">
        <w:t>. Biopower is a normalising power and operates to manage the administration of life and biological function (O’</w:t>
      </w:r>
      <w:r w:rsidR="004A5C40">
        <w:t>Farrell</w:t>
      </w:r>
      <w:r w:rsidRPr="00CB1A33">
        <w:t xml:space="preserve">, </w:t>
      </w:r>
      <w:r w:rsidR="004A5C40">
        <w:t>2005</w:t>
      </w:r>
      <w:r w:rsidRPr="00CB1A33">
        <w:t xml:space="preserve">). In contrast to the individual concerns of disciplinary power, biopower regulates the whole </w:t>
      </w:r>
      <w:r w:rsidRPr="00CB1A33">
        <w:lastRenderedPageBreak/>
        <w:t>population as a ‘political problem’ (1976, p.</w:t>
      </w:r>
      <w:r w:rsidR="00752EC7">
        <w:t xml:space="preserve"> </w:t>
      </w:r>
      <w:r w:rsidRPr="00CB1A33">
        <w:t>245). In order to do this</w:t>
      </w:r>
      <w:r w:rsidR="00A87597">
        <w:t>,</w:t>
      </w:r>
      <w:r w:rsidRPr="00CB1A33">
        <w:t xml:space="preserve"> governments and organisations use specific technologies, processes, relationships and behaviours to carry out the function of social ordering (Rose, 1999). Through application of these biopolitical mechanisms, technologies</w:t>
      </w:r>
      <w:r w:rsidR="00A9534D">
        <w:t xml:space="preserve"> </w:t>
      </w:r>
      <w:r w:rsidRPr="00CB1A33">
        <w:t xml:space="preserve">serve to promote conduct and cohesion </w:t>
      </w:r>
      <w:r w:rsidR="00A84E9F">
        <w:t xml:space="preserve">where the individual is engaged in continual processes that self-manage and self-regulate (Dean, </w:t>
      </w:r>
      <w:r w:rsidR="001638CE">
        <w:t>2010)</w:t>
      </w:r>
      <w:r w:rsidRPr="00CB1A33">
        <w:t xml:space="preserve">. Viewing power as a measure to promote the welfare of a population marked a change in </w:t>
      </w:r>
      <w:r w:rsidR="00E7737F">
        <w:t xml:space="preserve">his </w:t>
      </w:r>
      <w:r w:rsidRPr="00CB1A33">
        <w:t xml:space="preserve">perspective about the nature of power relations, underlined by </w:t>
      </w:r>
      <w:r w:rsidRPr="00CB1A33">
        <w:rPr>
          <w:lang w:val="en-US"/>
        </w:rPr>
        <w:t>Foucault’s assertion that ‘…if power were never anything but repressive, if it never did anything but to say no, do you really think that one would be brought to obey it?’ (1984, p. 61).</w:t>
      </w:r>
    </w:p>
    <w:p w14:paraId="74F8FD6C" w14:textId="783E3CCF" w:rsidR="0056661A" w:rsidRPr="00CB1A33" w:rsidRDefault="0056661A" w:rsidP="008E4AF2">
      <w:r w:rsidRPr="00CB1A33">
        <w:t xml:space="preserve">The successful exertion of biopower to regulate people’s lives through individual interactions and exchanges is subtle, and underlines Foucault’s thinking that power is not wielded (Gaventa, 2003), instead power is </w:t>
      </w:r>
      <w:r w:rsidRPr="00CB1A33">
        <w:rPr>
          <w:lang w:val="en-US"/>
        </w:rPr>
        <w:t>relational, existing in actions (Cocker and Hafford-Letchfield, 2014). Foucault sees the operation of power as part of a strategy of negotiation</w:t>
      </w:r>
      <w:r w:rsidR="00C57A77">
        <w:rPr>
          <w:lang w:val="en-US"/>
        </w:rPr>
        <w:t xml:space="preserve"> and </w:t>
      </w:r>
      <w:r w:rsidRPr="00CB1A33">
        <w:rPr>
          <w:lang w:val="en-US"/>
        </w:rPr>
        <w:t xml:space="preserve">struggle </w:t>
      </w:r>
      <w:r w:rsidR="00397AAE">
        <w:rPr>
          <w:lang w:val="en-US"/>
        </w:rPr>
        <w:t>(Rouse, 2007).</w:t>
      </w:r>
      <w:r w:rsidRPr="00CB1A33">
        <w:rPr>
          <w:lang w:val="en-US"/>
        </w:rPr>
        <w:t xml:space="preserve"> Therefore, power can only operate where there is capacity for the recipient to react and resist (Schiato, Danaher and Webb, 2012), not recognised in earlier understandings of power situated within a sovereign state. To summarise, biopower and biopolitics can be used to protect society from people who are outside of social norms, under the guise of protecting everyone’s physical and moral well</w:t>
      </w:r>
      <w:r w:rsidR="000C1156">
        <w:rPr>
          <w:lang w:val="en-US"/>
        </w:rPr>
        <w:t>-</w:t>
      </w:r>
      <w:r w:rsidRPr="00CB1A33">
        <w:rPr>
          <w:lang w:val="en-US"/>
        </w:rPr>
        <w:t xml:space="preserve">being. </w:t>
      </w:r>
    </w:p>
    <w:p w14:paraId="7A42EAEE" w14:textId="4BA37FC5" w:rsidR="0056661A" w:rsidRPr="00E26F02" w:rsidRDefault="0056661A" w:rsidP="005C65E8">
      <w:pPr>
        <w:pStyle w:val="Heading3"/>
        <w:rPr>
          <w:lang w:val="en-US"/>
        </w:rPr>
      </w:pPr>
      <w:r w:rsidRPr="00CB1A33">
        <w:rPr>
          <w:lang w:val="en-US"/>
        </w:rPr>
        <w:t xml:space="preserve">Governmentality and </w:t>
      </w:r>
      <w:r w:rsidRPr="005C65E8">
        <w:t>the</w:t>
      </w:r>
      <w:r w:rsidRPr="00CB1A33">
        <w:rPr>
          <w:lang w:val="en-US"/>
        </w:rPr>
        <w:t xml:space="preserve"> ‘Subject’</w:t>
      </w:r>
    </w:p>
    <w:p w14:paraId="60449B24" w14:textId="3F029E88" w:rsidR="00D9547B" w:rsidRDefault="0056661A">
      <w:pPr>
        <w:rPr>
          <w:lang w:val="en-US"/>
        </w:rPr>
      </w:pPr>
      <w:r w:rsidRPr="00CB1A33">
        <w:rPr>
          <w:lang w:val="en-US"/>
        </w:rPr>
        <w:t>Each stage of Foucault’s thinking takes on a distinct position and rarely refers to previous work (Gutting, 2007). However, his assertion that power was not a product of war remained, and Foucault continued to think about co-production of power as his ideas developed (Rouse, 2007). In the latter stage of his work, including his lecture series in 1978</w:t>
      </w:r>
      <w:r w:rsidR="007A0FDF">
        <w:rPr>
          <w:lang w:val="en-US"/>
        </w:rPr>
        <w:t>–</w:t>
      </w:r>
      <w:r w:rsidRPr="00CB1A33">
        <w:rPr>
          <w:lang w:val="en-US"/>
        </w:rPr>
        <w:t xml:space="preserve">79, Foucault moved on from the language of biopolitics to talk about government rationality, which he referred to as governmentality. In Foucault’s work, </w:t>
      </w:r>
      <w:r w:rsidRPr="00CB1A33">
        <w:rPr>
          <w:i/>
          <w:iCs/>
          <w:lang w:val="en-US"/>
        </w:rPr>
        <w:t>Security, Territory, Population and The Birth of Biopolitics</w:t>
      </w:r>
      <w:r w:rsidRPr="00CB1A33">
        <w:rPr>
          <w:lang w:val="en-US"/>
        </w:rPr>
        <w:t>, he focused on</w:t>
      </w:r>
      <w:r w:rsidR="00D9547B">
        <w:rPr>
          <w:lang w:val="en-US"/>
        </w:rPr>
        <w:t xml:space="preserve"> </w:t>
      </w:r>
      <w:r w:rsidRPr="00CB1A33">
        <w:rPr>
          <w:lang w:val="en-US"/>
        </w:rPr>
        <w:t>‘</w:t>
      </w:r>
      <w:r w:rsidR="00D9547B">
        <w:rPr>
          <w:lang w:val="en-US"/>
        </w:rPr>
        <w:t>… p</w:t>
      </w:r>
      <w:r w:rsidRPr="00CB1A33">
        <w:rPr>
          <w:lang w:val="en-US"/>
        </w:rPr>
        <w:t>ower which has the population as its target, political economy as its major form of knowledge, and apparatuses of security as its essential technical instrument’ (</w:t>
      </w:r>
      <w:r w:rsidR="00397AAE">
        <w:rPr>
          <w:lang w:val="en-US"/>
        </w:rPr>
        <w:t>1978</w:t>
      </w:r>
      <w:r w:rsidRPr="00CB1A33">
        <w:rPr>
          <w:lang w:val="en-US"/>
        </w:rPr>
        <w:t>, pp. 107</w:t>
      </w:r>
      <w:r w:rsidR="007A0FDF">
        <w:rPr>
          <w:lang w:val="en-US"/>
        </w:rPr>
        <w:t>–</w:t>
      </w:r>
      <w:r w:rsidRPr="00CB1A33">
        <w:rPr>
          <w:lang w:val="en-US"/>
        </w:rPr>
        <w:t>8).</w:t>
      </w:r>
    </w:p>
    <w:p w14:paraId="2EE61851" w14:textId="7CE3A23A" w:rsidR="0056661A" w:rsidRPr="00CB1A33" w:rsidRDefault="0056661A" w:rsidP="008E4AF2">
      <w:pPr>
        <w:rPr>
          <w:shd w:val="clear" w:color="auto" w:fill="FFFFFF"/>
        </w:rPr>
      </w:pPr>
      <w:r w:rsidRPr="00CB1A33">
        <w:rPr>
          <w:shd w:val="clear" w:color="auto" w:fill="FFFFFF"/>
        </w:rPr>
        <w:t xml:space="preserve">Foucault built on his argument that power is exercised in a productive rather than punitive way, and through specific activity will shape, guide, or affect the conduct of people (Oksala, 2013). </w:t>
      </w:r>
      <w:r w:rsidR="007B5CC6">
        <w:rPr>
          <w:shd w:val="clear" w:color="auto" w:fill="FFFFFF"/>
        </w:rPr>
        <w:t>The term g</w:t>
      </w:r>
      <w:r w:rsidRPr="00CB1A33">
        <w:rPr>
          <w:shd w:val="clear" w:color="auto" w:fill="FFFFFF"/>
        </w:rPr>
        <w:t xml:space="preserve">overnmentality refers to this construction, articulation and management of a population (Muller, 2017). </w:t>
      </w:r>
      <w:r w:rsidR="001638CE">
        <w:rPr>
          <w:shd w:val="clear" w:color="auto" w:fill="FFFFFF"/>
        </w:rPr>
        <w:t>As noted previously in this chapter, p</w:t>
      </w:r>
      <w:r w:rsidRPr="00CB1A33">
        <w:t xml:space="preserve">eople are instructed and encouraged to govern themselves and power is not discharged from a central point of </w:t>
      </w:r>
      <w:r w:rsidRPr="00CB1A33">
        <w:lastRenderedPageBreak/>
        <w:t>authority, it is distributed among the population. Behaviour and cohesion are achieved in a non-directed way, as the focus is on conducting the conduct of people (Oksala, 2013)</w:t>
      </w:r>
      <w:r w:rsidR="00CE5569">
        <w:t>, c</w:t>
      </w:r>
      <w:r w:rsidRPr="00CB1A33">
        <w:t xml:space="preserve">onduct meaning both the act of leading and directing, but also in the moral sense of how people behave (Dean, 2010). </w:t>
      </w:r>
      <w:r w:rsidRPr="00CB1A33">
        <w:rPr>
          <w:shd w:val="clear" w:color="auto" w:fill="FFFFFF"/>
        </w:rPr>
        <w:t xml:space="preserve">Foucault suggested that self-governance will rationally guide people to be ordered and therefore clear about how things are or ought to be. </w:t>
      </w:r>
      <w:r w:rsidR="00D72953">
        <w:rPr>
          <w:shd w:val="clear" w:color="auto" w:fill="FFFFFF"/>
        </w:rPr>
        <w:t>Thereby</w:t>
      </w:r>
      <w:r w:rsidRPr="00CB1A33">
        <w:rPr>
          <w:shd w:val="clear" w:color="auto" w:fill="FFFFFF"/>
        </w:rPr>
        <w:t>, in order to be managed in this way, people need to be defined by a state’s mechanisms which are designed to make people known and visible, in order to become a subject</w:t>
      </w:r>
      <w:r w:rsidR="00081683">
        <w:rPr>
          <w:shd w:val="clear" w:color="auto" w:fill="FFFFFF"/>
        </w:rPr>
        <w:t xml:space="preserve"> (Oksala, 2013)</w:t>
      </w:r>
      <w:r w:rsidRPr="00CB1A33">
        <w:rPr>
          <w:shd w:val="clear" w:color="auto" w:fill="FFFFFF"/>
        </w:rPr>
        <w:t xml:space="preserve">. </w:t>
      </w:r>
      <w:r w:rsidR="004A6E1F">
        <w:rPr>
          <w:shd w:val="clear" w:color="auto" w:fill="FFFFFF"/>
        </w:rPr>
        <w:t>For example, o</w:t>
      </w:r>
      <w:r w:rsidRPr="00CB1A33">
        <w:rPr>
          <w:shd w:val="clear" w:color="auto" w:fill="FFFFFF"/>
        </w:rPr>
        <w:t>rganisational administrative processes and categorisations, such as employment contracts or job titles shape how people work or behave in society and how individuals are defined by their characteristics</w:t>
      </w:r>
      <w:r w:rsidR="00081683">
        <w:rPr>
          <w:shd w:val="clear" w:color="auto" w:fill="FFFFFF"/>
        </w:rPr>
        <w:t>,</w:t>
      </w:r>
      <w:r w:rsidR="001638CE">
        <w:rPr>
          <w:shd w:val="clear" w:color="auto" w:fill="FFFFFF"/>
        </w:rPr>
        <w:t xml:space="preserve"> reflecting the neoliberal techniques discussed in Chapter </w:t>
      </w:r>
      <w:r w:rsidR="00F44DA4">
        <w:rPr>
          <w:shd w:val="clear" w:color="auto" w:fill="FFFFFF"/>
        </w:rPr>
        <w:t>3</w:t>
      </w:r>
      <w:r w:rsidRPr="00CB1A33">
        <w:rPr>
          <w:shd w:val="clear" w:color="auto" w:fill="FFFFFF"/>
        </w:rPr>
        <w:t>.</w:t>
      </w:r>
    </w:p>
    <w:p w14:paraId="43E2FA52" w14:textId="09B04789" w:rsidR="0056661A" w:rsidRPr="00CB1A33" w:rsidRDefault="0056661A">
      <w:pPr>
        <w:rPr>
          <w:lang w:val="en-US"/>
        </w:rPr>
      </w:pPr>
      <w:r w:rsidRPr="00CB1A33">
        <w:rPr>
          <w:lang w:val="en-US"/>
        </w:rPr>
        <w:t xml:space="preserve">Foucault identified a system for his evolving interest in subjectivity and subject, as ‘modes of objectification’ (1982, p. 777), where </w:t>
      </w:r>
      <w:r w:rsidR="00081683" w:rsidRPr="00CB1A33">
        <w:rPr>
          <w:lang w:val="en-US"/>
        </w:rPr>
        <w:t>aspects</w:t>
      </w:r>
      <w:r w:rsidRPr="00CB1A33">
        <w:rPr>
          <w:lang w:val="en-US"/>
        </w:rPr>
        <w:t xml:space="preserve"> of state procedures and techniques contribute to the transformation from ‘human beings into subjects’ (1982, p. 777). The first aspect is use of the ‘status of sciences’ (Foucault, 1982, p. 777), meaning language and inquiry associated with human sciences and economic theory when describing the self. For example, a child becomes known or ‘subject’ through multiple procedures and measures including personal child health records, school tests and exams and their parents’ socio-economic situation. </w:t>
      </w:r>
    </w:p>
    <w:p w14:paraId="7CC08B31" w14:textId="0BEE8D48" w:rsidR="0056661A" w:rsidRPr="009A5772" w:rsidRDefault="0056661A">
      <w:pPr>
        <w:rPr>
          <w:rFonts w:eastAsia="Times New Roman"/>
        </w:rPr>
      </w:pPr>
      <w:r w:rsidRPr="00CB1A33">
        <w:rPr>
          <w:lang w:val="en-US"/>
        </w:rPr>
        <w:t>The second ‘mode of objectification’ relates to the way individuals take on ‘particular subject positions’ including divisions within themselves or from others that come through interactions and discourses (Woodward, 2002, p. 89). A person will draw on or be defined by established categorising language and terminology to locate themselves in relation to other people, resulting in power operating to create distinct groups (Gilbert and Powell, 2010)</w:t>
      </w:r>
      <w:r w:rsidR="00081683">
        <w:rPr>
          <w:lang w:val="en-US"/>
        </w:rPr>
        <w:t xml:space="preserve">, for example a </w:t>
      </w:r>
      <w:r w:rsidR="00081683" w:rsidRPr="00081683">
        <w:rPr>
          <w:i/>
          <w:iCs/>
          <w:lang w:val="en-US"/>
        </w:rPr>
        <w:t>looked after</w:t>
      </w:r>
      <w:r w:rsidR="00081683">
        <w:rPr>
          <w:lang w:val="en-US"/>
        </w:rPr>
        <w:t xml:space="preserve"> child or young person</w:t>
      </w:r>
      <w:r w:rsidRPr="00CB1A33">
        <w:rPr>
          <w:lang w:val="en-US"/>
        </w:rPr>
        <w:t>. To illustrate</w:t>
      </w:r>
      <w:r w:rsidR="00081683">
        <w:rPr>
          <w:lang w:val="en-US"/>
        </w:rPr>
        <w:t xml:space="preserve"> further</w:t>
      </w:r>
      <w:r w:rsidRPr="00CB1A33">
        <w:rPr>
          <w:lang w:val="en-US"/>
        </w:rPr>
        <w:t xml:space="preserve">, Foucault used the example of the </w:t>
      </w:r>
      <w:r w:rsidR="00081683">
        <w:rPr>
          <w:lang w:val="en-US"/>
        </w:rPr>
        <w:t>distinction</w:t>
      </w:r>
      <w:r w:rsidRPr="00CB1A33">
        <w:rPr>
          <w:lang w:val="en-US"/>
        </w:rPr>
        <w:t xml:space="preserve"> between ill and well, or mad and sane (1982, p. 778). In summary </w:t>
      </w:r>
      <w:r w:rsidRPr="00CB1A33">
        <w:t xml:space="preserve">the </w:t>
      </w:r>
      <w:r w:rsidRPr="00CB1A33">
        <w:rPr>
          <w:i/>
          <w:iCs/>
        </w:rPr>
        <w:t>subject</w:t>
      </w:r>
      <w:r w:rsidRPr="00CB1A33">
        <w:t xml:space="preserve"> is not a pre-existing entity whose decisions are made by self-interested concerns. Instead</w:t>
      </w:r>
      <w:r w:rsidR="00377366">
        <w:t>,</w:t>
      </w:r>
      <w:r w:rsidRPr="00CB1A33">
        <w:t xml:space="preserve"> Foucault argued that</w:t>
      </w:r>
      <w:r w:rsidRPr="00CB1A33">
        <w:rPr>
          <w:rFonts w:eastAsia="Times New Roman"/>
        </w:rPr>
        <w:t xml:space="preserve"> power relations transform the self into a subject (Gordon, 1991) and particular types of self are politically driven (Foucault, </w:t>
      </w:r>
      <w:r w:rsidR="00397AAE">
        <w:rPr>
          <w:rFonts w:eastAsia="Times New Roman"/>
        </w:rPr>
        <w:t>1979</w:t>
      </w:r>
      <w:r w:rsidRPr="00CB1A33">
        <w:rPr>
          <w:rFonts w:eastAsia="Times New Roman"/>
        </w:rPr>
        <w:t>).</w:t>
      </w:r>
      <w:r w:rsidR="00F44DA4">
        <w:rPr>
          <w:rFonts w:eastAsia="Times New Roman"/>
        </w:rPr>
        <w:t xml:space="preserve"> One example </w:t>
      </w:r>
      <w:r w:rsidR="00081683">
        <w:rPr>
          <w:rFonts w:eastAsia="Times New Roman"/>
        </w:rPr>
        <w:t xml:space="preserve">is </w:t>
      </w:r>
      <w:r w:rsidR="006224E4">
        <w:rPr>
          <w:rFonts w:eastAsia="Times New Roman"/>
        </w:rPr>
        <w:t xml:space="preserve">the </w:t>
      </w:r>
      <w:r w:rsidR="0018772B">
        <w:rPr>
          <w:rFonts w:eastAsia="Times New Roman"/>
        </w:rPr>
        <w:t>C</w:t>
      </w:r>
      <w:r w:rsidR="00081683">
        <w:rPr>
          <w:rFonts w:eastAsia="Times New Roman"/>
        </w:rPr>
        <w:t xml:space="preserve">entral Government funded </w:t>
      </w:r>
      <w:r w:rsidR="00F44DA4" w:rsidRPr="00F44DA4">
        <w:rPr>
          <w:rFonts w:eastAsia="Times New Roman"/>
          <w:i/>
          <w:iCs/>
        </w:rPr>
        <w:t>Troubled Families</w:t>
      </w:r>
      <w:r w:rsidR="006224E4">
        <w:rPr>
          <w:rFonts w:eastAsia="Times New Roman"/>
          <w:i/>
          <w:iCs/>
        </w:rPr>
        <w:t xml:space="preserve"> </w:t>
      </w:r>
      <w:r w:rsidR="006224E4" w:rsidRPr="006224E4">
        <w:rPr>
          <w:rFonts w:eastAsia="Times New Roman"/>
        </w:rPr>
        <w:t>programme</w:t>
      </w:r>
      <w:r w:rsidR="00F44DA4">
        <w:rPr>
          <w:rFonts w:eastAsia="Times New Roman"/>
        </w:rPr>
        <w:t xml:space="preserve">, </w:t>
      </w:r>
      <w:r w:rsidR="006224E4">
        <w:rPr>
          <w:rFonts w:eastAsia="Times New Roman"/>
        </w:rPr>
        <w:t>where</w:t>
      </w:r>
      <w:r w:rsidR="00081683">
        <w:rPr>
          <w:rFonts w:eastAsia="Times New Roman"/>
        </w:rPr>
        <w:t xml:space="preserve"> help is</w:t>
      </w:r>
      <w:r w:rsidR="006224E4">
        <w:rPr>
          <w:rFonts w:eastAsia="Times New Roman"/>
        </w:rPr>
        <w:t xml:space="preserve"> targeted</w:t>
      </w:r>
      <w:r w:rsidR="00F44DA4">
        <w:rPr>
          <w:rFonts w:eastAsia="Times New Roman"/>
        </w:rPr>
        <w:t xml:space="preserve"> </w:t>
      </w:r>
      <w:r w:rsidR="00081683">
        <w:rPr>
          <w:rFonts w:eastAsia="Times New Roman"/>
        </w:rPr>
        <w:t>at</w:t>
      </w:r>
      <w:r w:rsidR="00335DEB">
        <w:rPr>
          <w:rFonts w:eastAsia="Times New Roman"/>
        </w:rPr>
        <w:t xml:space="preserve"> families </w:t>
      </w:r>
      <w:r w:rsidR="006224E4">
        <w:rPr>
          <w:rFonts w:eastAsia="Times New Roman"/>
        </w:rPr>
        <w:t>facing multiple problems including unemployment, criminal</w:t>
      </w:r>
      <w:r w:rsidR="009A5772">
        <w:rPr>
          <w:rFonts w:eastAsia="Times New Roman"/>
        </w:rPr>
        <w:t xml:space="preserve"> and anti-social</w:t>
      </w:r>
      <w:r w:rsidR="006224E4">
        <w:rPr>
          <w:rFonts w:eastAsia="Times New Roman"/>
        </w:rPr>
        <w:t xml:space="preserve"> </w:t>
      </w:r>
      <w:r w:rsidR="00081683">
        <w:rPr>
          <w:rFonts w:eastAsia="Times New Roman"/>
        </w:rPr>
        <w:t>behaviour,</w:t>
      </w:r>
      <w:r w:rsidR="006224E4">
        <w:rPr>
          <w:rFonts w:eastAsia="Times New Roman"/>
        </w:rPr>
        <w:t xml:space="preserve"> and low school attendance (Hargreaves at al., 2019). </w:t>
      </w:r>
      <w:r w:rsidR="009A5772">
        <w:rPr>
          <w:rFonts w:eastAsia="Times New Roman"/>
        </w:rPr>
        <w:t xml:space="preserve">Through their categorisation of what constituted </w:t>
      </w:r>
      <w:r w:rsidR="009A5772" w:rsidRPr="009A5772">
        <w:rPr>
          <w:rFonts w:eastAsia="Times New Roman"/>
          <w:i/>
          <w:iCs/>
        </w:rPr>
        <w:t>troubled</w:t>
      </w:r>
      <w:r w:rsidR="009A5772">
        <w:rPr>
          <w:rFonts w:eastAsia="Times New Roman"/>
          <w:i/>
          <w:iCs/>
        </w:rPr>
        <w:t xml:space="preserve">, </w:t>
      </w:r>
      <w:r w:rsidR="009A5772">
        <w:rPr>
          <w:rFonts w:eastAsia="Times New Roman"/>
        </w:rPr>
        <w:t xml:space="preserve">the </w:t>
      </w:r>
      <w:r w:rsidR="0018772B">
        <w:rPr>
          <w:rFonts w:eastAsia="Times New Roman"/>
        </w:rPr>
        <w:t>g</w:t>
      </w:r>
      <w:r w:rsidR="009A5772">
        <w:rPr>
          <w:rFonts w:eastAsia="Times New Roman"/>
        </w:rPr>
        <w:t xml:space="preserve">overnment defined how identified families become known and what was needed to transform them out of their </w:t>
      </w:r>
      <w:r w:rsidR="009A5772" w:rsidRPr="009A5772">
        <w:rPr>
          <w:rFonts w:eastAsia="Times New Roman"/>
          <w:i/>
          <w:iCs/>
        </w:rPr>
        <w:t>troubled</w:t>
      </w:r>
      <w:r w:rsidR="009A5772">
        <w:rPr>
          <w:rFonts w:eastAsia="Times New Roman"/>
        </w:rPr>
        <w:t xml:space="preserve"> status. </w:t>
      </w:r>
    </w:p>
    <w:p w14:paraId="41E05AA1" w14:textId="5FD28666" w:rsidR="0056661A" w:rsidRDefault="0056661A">
      <w:r w:rsidRPr="00CB1A33">
        <w:lastRenderedPageBreak/>
        <w:t xml:space="preserve">The final </w:t>
      </w:r>
      <w:r w:rsidRPr="00CB1A33">
        <w:rPr>
          <w:lang w:val="en-US"/>
        </w:rPr>
        <w:t>‘mode of objectification’</w:t>
      </w:r>
      <w:r w:rsidRPr="00CB1A33">
        <w:t xml:space="preserve"> is how human beings turn themselves into a subject (Foucault, 1982, p. 778). When talking about subject Foucault means being both attached to an identity through self-awareness and being controlled or ‘subjected’ (Cremonesi et al</w:t>
      </w:r>
      <w:r w:rsidR="00015D04">
        <w:t>.</w:t>
      </w:r>
      <w:r w:rsidRPr="00CB1A33">
        <w:t>, 2016). This complex position of control and action is a result of the interplay between different technologies that can modify and alter the subject (Foucault, 1982). Foucault identified four types of technology: production, sign systems, power and self (1988, p.</w:t>
      </w:r>
      <w:r w:rsidR="00042C44">
        <w:t xml:space="preserve"> </w:t>
      </w:r>
      <w:r w:rsidRPr="00CB1A33">
        <w:t xml:space="preserve">17), and identified power and self as being fundamental to the constitution of subject (1982). </w:t>
      </w:r>
      <w:r w:rsidR="00081683" w:rsidRPr="00CB1A33">
        <w:t>Therefore,</w:t>
      </w:r>
      <w:r w:rsidR="003F7373">
        <w:t xml:space="preserve"> </w:t>
      </w:r>
      <w:r w:rsidRPr="00CB1A33">
        <w:t>people become constituted as subjects in particular times and places</w:t>
      </w:r>
      <w:r w:rsidR="003F7373">
        <w:t>,</w:t>
      </w:r>
      <w:r w:rsidRPr="00CB1A33">
        <w:t xml:space="preserve"> through the discursive practices in which they participate, including the relationships and networks that they use and inhabit (Foucault, 198</w:t>
      </w:r>
      <w:r w:rsidR="00397AAE">
        <w:t>2</w:t>
      </w:r>
      <w:r w:rsidRPr="00CB1A33">
        <w:t>).</w:t>
      </w:r>
    </w:p>
    <w:p w14:paraId="76E68805" w14:textId="61BA11F5" w:rsidR="0056661A" w:rsidRDefault="0056661A" w:rsidP="005C65E8">
      <w:pPr>
        <w:pStyle w:val="Heading3"/>
        <w:rPr>
          <w:lang w:val="en-US"/>
        </w:rPr>
      </w:pPr>
      <w:r w:rsidRPr="00CB1A33">
        <w:rPr>
          <w:lang w:val="en-US"/>
        </w:rPr>
        <w:t>Returning to Power</w:t>
      </w:r>
    </w:p>
    <w:p w14:paraId="7BBEFE8C" w14:textId="6428131F" w:rsidR="0056661A" w:rsidRPr="00CB1A33" w:rsidRDefault="0056661A" w:rsidP="006E3485">
      <w:r w:rsidRPr="00CB1A33">
        <w:rPr>
          <w:lang w:val="en-US"/>
        </w:rPr>
        <w:t xml:space="preserve">In addition to the expansion of his ideas about subject and subjectivity, Foucault returned to the concept of power/knowledge in the later period of his work and underlined the relationship between governmentality and the construction of knowledge. In earlier work, </w:t>
      </w:r>
      <w:r w:rsidRPr="00CB1A33">
        <w:rPr>
          <w:rFonts w:eastAsia="Times New Roman"/>
        </w:rPr>
        <w:t xml:space="preserve">Foucault argued that </w:t>
      </w:r>
      <w:r w:rsidRPr="00CB1A33">
        <w:rPr>
          <w:lang w:val="en-US"/>
        </w:rPr>
        <w:t>discourse is a vehicle through which subjects are constituted and knowledge established</w:t>
      </w:r>
      <w:r w:rsidRPr="00CB1A33">
        <w:rPr>
          <w:rFonts w:eastAsia="Times New Roman"/>
        </w:rPr>
        <w:t xml:space="preserve"> (Gaventa, 2003). The inseparable relationship between power </w:t>
      </w:r>
      <w:r w:rsidRPr="00CB1A33">
        <w:t xml:space="preserve">and knowledge gave rise to the concept of </w:t>
      </w:r>
      <w:r w:rsidRPr="00CB1A33">
        <w:rPr>
          <w:rFonts w:eastAsia="Times New Roman"/>
        </w:rPr>
        <w:t xml:space="preserve">power/knowledge reflecting the enmeshed nature of these elements. Foucault was interested in how knowledge became established, recognising that no body of knowledge could be formed without </w:t>
      </w:r>
      <w:r w:rsidR="005057F3">
        <w:rPr>
          <w:rFonts w:eastAsia="Times New Roman"/>
        </w:rPr>
        <w:t xml:space="preserve">social </w:t>
      </w:r>
      <w:r w:rsidRPr="00CB1A33">
        <w:rPr>
          <w:rFonts w:eastAsia="Times New Roman"/>
        </w:rPr>
        <w:t>practice</w:t>
      </w:r>
      <w:r w:rsidR="005057F3">
        <w:rPr>
          <w:rFonts w:eastAsia="Times New Roman"/>
        </w:rPr>
        <w:t>s</w:t>
      </w:r>
      <w:r w:rsidRPr="00CB1A33">
        <w:rPr>
          <w:rFonts w:eastAsia="Times New Roman"/>
        </w:rPr>
        <w:t xml:space="preserve"> and systems to support it (O’Farrell, 2005). The significance of knowledge in examining issues of power, is the relationship with conceptions of truth</w:t>
      </w:r>
      <w:r w:rsidR="000D4216">
        <w:rPr>
          <w:rFonts w:eastAsia="Times New Roman"/>
        </w:rPr>
        <w:t>,</w:t>
      </w:r>
      <w:r w:rsidRPr="00CB1A33">
        <w:t xml:space="preserve"> and Foucault argued that truth can be presented in ways that appear apolitical but are not</w:t>
      </w:r>
      <w:r w:rsidR="007307A1">
        <w:t>;</w:t>
      </w:r>
      <w:r w:rsidRPr="00CB1A33">
        <w:t xml:space="preserve"> </w:t>
      </w:r>
      <w:r w:rsidR="007307A1" w:rsidRPr="00CB1A33">
        <w:t>instead,</w:t>
      </w:r>
      <w:r w:rsidRPr="00CB1A33">
        <w:t xml:space="preserve"> they are part of the ‘art of government’ (</w:t>
      </w:r>
      <w:r w:rsidR="00081683">
        <w:t>Hindess</w:t>
      </w:r>
      <w:r w:rsidRPr="00CB1A33">
        <w:t>, 20</w:t>
      </w:r>
      <w:r w:rsidR="00081683">
        <w:t>05, p. 393</w:t>
      </w:r>
      <w:r w:rsidRPr="00CB1A33">
        <w:t>). For example, Lemke (2001) explain</w:t>
      </w:r>
      <w:r w:rsidR="00C4394B">
        <w:t>ed</w:t>
      </w:r>
      <w:r w:rsidRPr="00CB1A33">
        <w:t xml:space="preserve"> that a government identifies and enables a problem to be addressed, whilst also suggesting how and why the concern could be managed. In doing so power is expressed by both identifying what is problematic, but also how the issue is processed, addressed and understood. Whilst the solution might seem neutral, knowledge presents the governed reality (Osaka, 2013).</w:t>
      </w:r>
    </w:p>
    <w:p w14:paraId="2D86BB99" w14:textId="5D8AA400" w:rsidR="0056661A" w:rsidRPr="007A2413" w:rsidRDefault="0056661A" w:rsidP="008E4AF2">
      <w:r w:rsidRPr="00CB1A33">
        <w:t xml:space="preserve">In </w:t>
      </w:r>
      <w:r w:rsidR="000E4018">
        <w:t>summary</w:t>
      </w:r>
      <w:r w:rsidRPr="00CB1A33">
        <w:t xml:space="preserve">, Foucault’s work identifies distinct manifestations of power relevant to a particular historical period. Observing the role of the judiciary and symbols of state in feudal societies, Foucault challenged this understanding of power as society progressed into the late eighteenth century. He then moved on to identify discipline as a way to exercise power through the bureaucracy and administration of the state. </w:t>
      </w:r>
      <w:r w:rsidR="007307A1">
        <w:t xml:space="preserve">In the </w:t>
      </w:r>
      <w:r w:rsidRPr="00CB1A33">
        <w:t>final phase of his work</w:t>
      </w:r>
      <w:r w:rsidR="007307A1">
        <w:t>, Foucault</w:t>
      </w:r>
      <w:r w:rsidRPr="00CB1A33">
        <w:t xml:space="preserve"> recognised that </w:t>
      </w:r>
      <w:r w:rsidR="007307A1">
        <w:t xml:space="preserve">although </w:t>
      </w:r>
      <w:r w:rsidRPr="00CB1A33">
        <w:t xml:space="preserve">sovereign and biopolitical mechanisms continued, </w:t>
      </w:r>
      <w:r w:rsidR="007307A1" w:rsidRPr="00CB1A33">
        <w:t xml:space="preserve">governmentality </w:t>
      </w:r>
      <w:r w:rsidR="007307A1">
        <w:t xml:space="preserve">operates </w:t>
      </w:r>
      <w:r w:rsidR="007307A1" w:rsidRPr="00CB1A33">
        <w:t xml:space="preserve">to maximise the potential of subjects and utilise individual </w:t>
      </w:r>
      <w:r w:rsidR="007307A1" w:rsidRPr="00CB1A33">
        <w:lastRenderedPageBreak/>
        <w:t>capacities to self-govern</w:t>
      </w:r>
      <w:r w:rsidR="007307A1">
        <w:t xml:space="preserve"> instead of exerting </w:t>
      </w:r>
      <w:r w:rsidRPr="00CB1A33">
        <w:t>control</w:t>
      </w:r>
      <w:r w:rsidR="007307A1">
        <w:t xml:space="preserve"> </w:t>
      </w:r>
      <w:r w:rsidRPr="00CB1A33">
        <w:t>and disciplin</w:t>
      </w:r>
      <w:r w:rsidR="007307A1">
        <w:t>e</w:t>
      </w:r>
      <w:r w:rsidRPr="00CB1A33">
        <w:t xml:space="preserve"> </w:t>
      </w:r>
      <w:r w:rsidR="007307A1">
        <w:t>for its own sake</w:t>
      </w:r>
      <w:r w:rsidRPr="00CB1A33">
        <w:t xml:space="preserve"> (Dean, 2010). As it was noted at the beginning of this section, Foucault’s ideas are complex and at times open to contradictory interpretations (O’Farrell, 2005), so the next section addresses some of the criticisms of his work, before returning to the relevance of his work to social work and </w:t>
      </w:r>
      <w:r w:rsidRPr="007A2413">
        <w:t>this study.</w:t>
      </w:r>
    </w:p>
    <w:p w14:paraId="1DD95F08" w14:textId="77777777" w:rsidR="003B3464" w:rsidRPr="007A2413" w:rsidRDefault="003B3464" w:rsidP="003B3464">
      <w:pPr>
        <w:rPr>
          <w:lang w:val="en-US"/>
        </w:rPr>
      </w:pPr>
      <w:r w:rsidRPr="007A2413">
        <w:rPr>
          <w:lang w:val="en-US"/>
        </w:rPr>
        <w:t xml:space="preserve">Whilst Foucault’s conceptualisation of power offers a useful framework to explore the decision to stay put, there are some contentions that need to be acknowledged. Although his work is critiqued in multiple disciplines, the following section focuses on some of the main issues identified. </w:t>
      </w:r>
    </w:p>
    <w:p w14:paraId="371F8ACD" w14:textId="0DAFC325" w:rsidR="003B3464" w:rsidRPr="007A2413" w:rsidRDefault="003B3464" w:rsidP="003B3464">
      <w:pPr>
        <w:rPr>
          <w:lang w:val="en-US"/>
        </w:rPr>
      </w:pPr>
      <w:r w:rsidRPr="007A2413">
        <w:rPr>
          <w:lang w:val="en-US"/>
        </w:rPr>
        <w:t>The first tension is that of applying a Foucauldian lens to a social work study underpinned by ideas of participation. As noted in Chapter 5</w:t>
      </w:r>
      <w:r w:rsidR="00E316B9" w:rsidRPr="007A2413">
        <w:rPr>
          <w:lang w:val="en-US"/>
        </w:rPr>
        <w:t>,</w:t>
      </w:r>
      <w:r w:rsidRPr="007A2413">
        <w:rPr>
          <w:lang w:val="en-US"/>
        </w:rPr>
        <w:t xml:space="preserve"> social work practice is founded on established concepts of power and agency </w:t>
      </w:r>
      <w:r w:rsidR="00F04CAB" w:rsidRPr="007A2413">
        <w:rPr>
          <w:lang w:val="en-US"/>
        </w:rPr>
        <w:t>based</w:t>
      </w:r>
      <w:r w:rsidRPr="007A2413">
        <w:rPr>
          <w:lang w:val="en-US"/>
        </w:rPr>
        <w:t xml:space="preserve"> on ideas of possessional power (Smith, 2008) and humanist traditions of autonomy and self-determination (Chambon, 1999). A number of writers suggest that Foucault’s work does not support an understanding of agency, relevant to an exploration of the young people’s experiences about decision-making, as it sits ‘uneasily’ with an established social work narrative of liberation (Garrett, 2018, p. 182).</w:t>
      </w:r>
      <w:r w:rsidR="00A51871" w:rsidRPr="007A2413">
        <w:rPr>
          <w:lang w:val="en-US"/>
        </w:rPr>
        <w:t xml:space="preserve"> </w:t>
      </w:r>
      <w:r w:rsidRPr="007A2413">
        <w:rPr>
          <w:lang w:val="en-US"/>
        </w:rPr>
        <w:t xml:space="preserve">Bevir’s (1999, p. 67) reading of Foucault concluded that the ‘individual subject is not an autonomous agent’, underlined by Webb (2014, p. 130) who refers to Foucault’s perception of individual freedom as ‘a fallacy’. These readings are based on Foucault’s assertion that the subject is a social construct and as summarised by Bevir, </w:t>
      </w:r>
      <w:r w:rsidR="006363D4" w:rsidRPr="007A2413">
        <w:rPr>
          <w:lang w:val="en-US"/>
        </w:rPr>
        <w:t xml:space="preserve">an </w:t>
      </w:r>
      <w:r w:rsidRPr="007A2413">
        <w:rPr>
          <w:lang w:val="en-US"/>
        </w:rPr>
        <w:t xml:space="preserve">individual cannot be autonomous as they are unable to have ‘experiences or exercise his reason outside all social contexts’ (1999, p. 67). This interpretation would suggest that young people are unable to express any individual or independent thought outside of the discursive practices that define and shape their experiences. </w:t>
      </w:r>
    </w:p>
    <w:p w14:paraId="501CAC98" w14:textId="0C062B68" w:rsidR="003B3464" w:rsidRPr="007A2413" w:rsidRDefault="003B3464" w:rsidP="003B3464">
      <w:pPr>
        <w:rPr>
          <w:lang w:val="en-US"/>
        </w:rPr>
      </w:pPr>
      <w:r w:rsidRPr="007A2413">
        <w:rPr>
          <w:lang w:val="en-US"/>
        </w:rPr>
        <w:t xml:space="preserve">In his later work however, Foucault underlines that his interest is in the possibility of options in human actions (Power, 2011). In </w:t>
      </w:r>
      <w:r w:rsidRPr="007A2413">
        <w:rPr>
          <w:i/>
          <w:iCs/>
          <w:lang w:val="en-US"/>
        </w:rPr>
        <w:t>The Subject and Power</w:t>
      </w:r>
      <w:r w:rsidRPr="007A2413">
        <w:rPr>
          <w:lang w:val="en-US"/>
        </w:rPr>
        <w:t xml:space="preserve">, Foucault emphasised the role of power as being both positive and oppressive. He refers to power within relationships as ‘reciprocal… less of a face-to-face confrontation which paralyses both sides than a permanent provocation’ (1982, p. 791). Therefore, there is scope for people to challenge and evolve within the existence of power relations, underlining that the question of agency is more complex than traditional understandings of being liberated or being oppressed, and that resistance is possible. </w:t>
      </w:r>
    </w:p>
    <w:p w14:paraId="7716200D" w14:textId="54D3E6ED" w:rsidR="003B3464" w:rsidRDefault="003B3464" w:rsidP="003B3464">
      <w:pPr>
        <w:rPr>
          <w:lang w:val="en-US"/>
        </w:rPr>
      </w:pPr>
      <w:r w:rsidRPr="007A2413">
        <w:rPr>
          <w:lang w:val="en-US"/>
        </w:rPr>
        <w:lastRenderedPageBreak/>
        <w:t>The application of a Foucauldian lens in this research recognises that established ideas of autonomy and self-determination are constructed and formed by discursive practices, meaning that any examination of young pe</w:t>
      </w:r>
      <w:r w:rsidR="006363D4" w:rsidRPr="007A2413">
        <w:rPr>
          <w:lang w:val="en-US"/>
        </w:rPr>
        <w:t>ople</w:t>
      </w:r>
      <w:r w:rsidRPr="007A2413">
        <w:rPr>
          <w:lang w:val="en-US"/>
        </w:rPr>
        <w:t>’s decision-making has to be seen in the context of their experiences. In her work about children and young people’s participation Hartung (2017) argues that ideas of agency and participation are themselves limiting to our understanding of their operation due to their discourses being ‘embedded within complex cultural, social, political and economic processes’ (p. 53). She goes on to say that children and young people’s decisions will correspond with these established discourses and ‘close down’ ways of understanding the dynamics between the subject and wider social structures (Hartung, 2017, p. 54). This interpretation forms that basis of my application whereby the idea of autonomous decision-making is possible but needs to be seen within the boundaries of how agency, participation or decision-making are understood.</w:t>
      </w:r>
    </w:p>
    <w:p w14:paraId="1FE4CEED" w14:textId="1A33FB3D" w:rsidR="003B3464" w:rsidRDefault="0056661A" w:rsidP="003B3464">
      <w:r w:rsidRPr="00CB1A33">
        <w:rPr>
          <w:lang w:val="en-US"/>
        </w:rPr>
        <w:t xml:space="preserve">As </w:t>
      </w:r>
      <w:r w:rsidRPr="00094DC1">
        <w:rPr>
          <w:lang w:val="en-US"/>
        </w:rPr>
        <w:t xml:space="preserve">reflected upon earlier, a fundamental issue with using Foucault’s ideas is the nature of the work itself. Described </w:t>
      </w:r>
      <w:r w:rsidR="00094DC1" w:rsidRPr="00094DC1">
        <w:rPr>
          <w:lang w:val="en-US"/>
        </w:rPr>
        <w:t xml:space="preserve">as ‘contradictory’ (Downing, 2010, p. ix) and </w:t>
      </w:r>
      <w:r w:rsidRPr="00094DC1">
        <w:rPr>
          <w:lang w:val="en-US"/>
        </w:rPr>
        <w:t>‘problematic’ (Garrett, 2018</w:t>
      </w:r>
      <w:r w:rsidR="00534F7E">
        <w:rPr>
          <w:lang w:val="en-US"/>
        </w:rPr>
        <w:t>b</w:t>
      </w:r>
      <w:r w:rsidR="00094DC1" w:rsidRPr="00094DC1">
        <w:rPr>
          <w:lang w:val="en-US"/>
        </w:rPr>
        <w:t>, p.469</w:t>
      </w:r>
      <w:r w:rsidRPr="00094DC1">
        <w:rPr>
          <w:lang w:val="en-US"/>
        </w:rPr>
        <w:t>), Foucault’s</w:t>
      </w:r>
      <w:r w:rsidRPr="00CB1A33">
        <w:rPr>
          <w:lang w:val="en-US"/>
        </w:rPr>
        <w:t xml:space="preserve"> work is not a coherent corpus, resulting in sometimes </w:t>
      </w:r>
      <w:r w:rsidR="00C06708">
        <w:rPr>
          <w:lang w:val="en-US"/>
        </w:rPr>
        <w:t>conflicting</w:t>
      </w:r>
      <w:r w:rsidRPr="00CB1A33">
        <w:rPr>
          <w:lang w:val="en-US"/>
        </w:rPr>
        <w:t xml:space="preserve"> interpretations (O’Farrell, 2005). Drawing on his original text in translation and the vast Foucault inspired oeuvre, presents researchers with a seemingly unworkable task. However, </w:t>
      </w:r>
      <w:r w:rsidRPr="00CB1A33">
        <w:t xml:space="preserve">Allen (2012) suggests that a more ‘piecemeal’ approach is justified, recommending that a Foucauldian lens should not be used as a </w:t>
      </w:r>
      <w:r w:rsidR="005057F3">
        <w:t xml:space="preserve">coherent </w:t>
      </w:r>
      <w:r w:rsidRPr="00CB1A33">
        <w:t xml:space="preserve">blueprint </w:t>
      </w:r>
      <w:r w:rsidRPr="007A2413">
        <w:t>against which an</w:t>
      </w:r>
      <w:r w:rsidR="005057F3" w:rsidRPr="007A2413">
        <w:t xml:space="preserve"> overarching</w:t>
      </w:r>
      <w:r w:rsidRPr="007A2413">
        <w:t xml:space="preserve"> interpretation can be judged.</w:t>
      </w:r>
      <w:r w:rsidR="009A5772" w:rsidRPr="007A2413">
        <w:t xml:space="preserve"> Therefore, in this study, the most relevant of Foucault’s ideas have been selected as useful tools to aid the analysis of power </w:t>
      </w:r>
      <w:r w:rsidR="00F619A8" w:rsidRPr="007A2413">
        <w:t>relations</w:t>
      </w:r>
      <w:r w:rsidR="003B3464" w:rsidRPr="007A2413">
        <w:t>, rather than a practice model through which solutions can be found.</w:t>
      </w:r>
      <w:r w:rsidR="003B3464" w:rsidRPr="00CB1A33">
        <w:t xml:space="preserve"> </w:t>
      </w:r>
    </w:p>
    <w:p w14:paraId="43093151" w14:textId="058AE9F3" w:rsidR="0056661A" w:rsidRPr="00CB1A33" w:rsidRDefault="0056661A" w:rsidP="006E3485">
      <w:pPr>
        <w:rPr>
          <w:lang w:val="en-US"/>
        </w:rPr>
      </w:pPr>
      <w:r w:rsidRPr="00CB1A33">
        <w:rPr>
          <w:lang w:val="en-US"/>
        </w:rPr>
        <w:t>Foucault</w:t>
      </w:r>
      <w:r w:rsidR="00F619A8">
        <w:rPr>
          <w:lang w:val="en-US"/>
        </w:rPr>
        <w:t xml:space="preserve"> ideas have also been perceived as</w:t>
      </w:r>
      <w:r w:rsidR="00F619A8">
        <w:rPr>
          <w:rStyle w:val="CommentReference"/>
        </w:rPr>
        <w:t xml:space="preserve"> </w:t>
      </w:r>
      <w:r w:rsidRPr="00CB1A33">
        <w:rPr>
          <w:lang w:val="en-US"/>
        </w:rPr>
        <w:t>relativist and passive</w:t>
      </w:r>
      <w:r w:rsidR="00F619A8">
        <w:rPr>
          <w:lang w:val="en-US"/>
        </w:rPr>
        <w:t xml:space="preserve">, particularly </w:t>
      </w:r>
      <w:r w:rsidRPr="00CB1A33">
        <w:rPr>
          <w:lang w:val="en-US"/>
        </w:rPr>
        <w:t>when examining power relations in sensitive or politically charged settings. In Fitzpatrick’s (2002) consideration of the democratisation of the welfare state, he suggested that Foucauldian theorists tend to observe power relations from a distance, taking the stance of a ‘foreign correspondent’; objectively reporting an incident (</w:t>
      </w:r>
      <w:r w:rsidR="00397AAE">
        <w:rPr>
          <w:lang w:val="en-US"/>
        </w:rPr>
        <w:t xml:space="preserve">2002, </w:t>
      </w:r>
      <w:r w:rsidRPr="00CB1A33">
        <w:rPr>
          <w:lang w:val="en-US"/>
        </w:rPr>
        <w:t>p. 14). This is also noted by McNay (1994) in her work exploring the relationship between Foucault and feminism</w:t>
      </w:r>
      <w:r w:rsidRPr="00B70A72">
        <w:rPr>
          <w:lang w:val="en-US"/>
        </w:rPr>
        <w:t xml:space="preserve">. She noted a relativist logic in his work </w:t>
      </w:r>
      <w:r w:rsidR="00C06708">
        <w:rPr>
          <w:lang w:val="en-US"/>
        </w:rPr>
        <w:t xml:space="preserve">which </w:t>
      </w:r>
      <w:r w:rsidRPr="00B70A72">
        <w:rPr>
          <w:lang w:val="en-US"/>
        </w:rPr>
        <w:t>appear</w:t>
      </w:r>
      <w:r w:rsidR="00C06708">
        <w:rPr>
          <w:lang w:val="en-US"/>
        </w:rPr>
        <w:t>s</w:t>
      </w:r>
      <w:r w:rsidRPr="00B70A72">
        <w:rPr>
          <w:lang w:val="en-US"/>
        </w:rPr>
        <w:t xml:space="preserve"> to create distance from a political context. Garrett (2019) also argues that if social workers take this remote or distant position</w:t>
      </w:r>
      <w:r w:rsidR="00C06708">
        <w:rPr>
          <w:lang w:val="en-US"/>
        </w:rPr>
        <w:t xml:space="preserve"> in their analysis of power</w:t>
      </w:r>
      <w:r w:rsidRPr="00B70A72">
        <w:rPr>
          <w:lang w:val="en-US"/>
        </w:rPr>
        <w:t>, specifically in relation to the oppression of individuals or groups, it marks an abdication of their professional responsibilities, citing the I</w:t>
      </w:r>
      <w:r w:rsidR="00517ACB" w:rsidRPr="00B70A72">
        <w:rPr>
          <w:lang w:val="en-US"/>
        </w:rPr>
        <w:t xml:space="preserve">nternational </w:t>
      </w:r>
      <w:r w:rsidRPr="00B70A72">
        <w:rPr>
          <w:lang w:val="en-US"/>
        </w:rPr>
        <w:t>F</w:t>
      </w:r>
      <w:r w:rsidR="00517ACB" w:rsidRPr="00B70A72">
        <w:rPr>
          <w:lang w:val="en-US"/>
        </w:rPr>
        <w:t xml:space="preserve">ederation of </w:t>
      </w:r>
      <w:r w:rsidRPr="00B70A72">
        <w:rPr>
          <w:lang w:val="en-US"/>
        </w:rPr>
        <w:t>S</w:t>
      </w:r>
      <w:r w:rsidR="00517ACB" w:rsidRPr="00B70A72">
        <w:rPr>
          <w:lang w:val="en-US"/>
        </w:rPr>
        <w:t xml:space="preserve">ocial </w:t>
      </w:r>
      <w:r w:rsidRPr="00B70A72">
        <w:rPr>
          <w:lang w:val="en-US"/>
        </w:rPr>
        <w:t>W</w:t>
      </w:r>
      <w:r w:rsidR="00517ACB" w:rsidRPr="00B70A72">
        <w:rPr>
          <w:lang w:val="en-US"/>
        </w:rPr>
        <w:t>ork’s</w:t>
      </w:r>
      <w:r w:rsidRPr="00B70A72">
        <w:rPr>
          <w:lang w:val="en-US"/>
        </w:rPr>
        <w:t xml:space="preserve"> aims of protest and solidarity. He goes on to say that the ‘coolly detached’ discussions about governmentality, imply that exploration of an issue occurs outside of the </w:t>
      </w:r>
      <w:r w:rsidRPr="00B70A72">
        <w:rPr>
          <w:lang w:val="en-US"/>
        </w:rPr>
        <w:lastRenderedPageBreak/>
        <w:t>issue itself (</w:t>
      </w:r>
      <w:r w:rsidR="00C32592" w:rsidRPr="00B70A72">
        <w:rPr>
          <w:lang w:val="en-US"/>
        </w:rPr>
        <w:t xml:space="preserve">Garrett, 2019, </w:t>
      </w:r>
      <w:r w:rsidRPr="00B70A72">
        <w:rPr>
          <w:lang w:val="en-US"/>
        </w:rPr>
        <w:t xml:space="preserve">p. </w:t>
      </w:r>
      <w:r w:rsidR="00C32592" w:rsidRPr="00B70A72">
        <w:rPr>
          <w:lang w:val="en-US"/>
        </w:rPr>
        <w:t>495</w:t>
      </w:r>
      <w:r w:rsidRPr="00B70A72">
        <w:rPr>
          <w:lang w:val="en-US"/>
        </w:rPr>
        <w:t xml:space="preserve">). Consequently, </w:t>
      </w:r>
      <w:r w:rsidR="00F619A8" w:rsidRPr="00B70A72">
        <w:rPr>
          <w:lang w:val="en-US"/>
        </w:rPr>
        <w:t>he ar</w:t>
      </w:r>
      <w:r w:rsidR="00340F38" w:rsidRPr="00B70A72">
        <w:rPr>
          <w:lang w:val="en-US"/>
        </w:rPr>
        <w:t>g</w:t>
      </w:r>
      <w:r w:rsidR="00F619A8" w:rsidRPr="00B70A72">
        <w:rPr>
          <w:lang w:val="en-US"/>
        </w:rPr>
        <w:t xml:space="preserve">ues that </w:t>
      </w:r>
      <w:r w:rsidRPr="00B70A72">
        <w:rPr>
          <w:lang w:val="en-US"/>
        </w:rPr>
        <w:t xml:space="preserve">a reluctance to state a position by being a passive onlooker, nullifies the ability of social workers to assess whether an element of practice is progressive or not, for example whether funding cuts or service decommissioning is justified (Garrett, 2019). In my study the question of objectivity is </w:t>
      </w:r>
      <w:r w:rsidR="00F619A8" w:rsidRPr="00B70A72">
        <w:rPr>
          <w:lang w:val="en-US"/>
        </w:rPr>
        <w:t>of concern as my aim is</w:t>
      </w:r>
      <w:r w:rsidRPr="00B70A72">
        <w:rPr>
          <w:lang w:val="en-US"/>
        </w:rPr>
        <w:t xml:space="preserve"> not to compare or comment on whether </w:t>
      </w:r>
      <w:r w:rsidR="00C06708">
        <w:rPr>
          <w:lang w:val="en-US"/>
        </w:rPr>
        <w:t>a young person’s</w:t>
      </w:r>
      <w:r w:rsidR="00F619A8" w:rsidRPr="00B70A72">
        <w:rPr>
          <w:lang w:val="en-US"/>
        </w:rPr>
        <w:t xml:space="preserve"> decision to stay put </w:t>
      </w:r>
      <w:r w:rsidRPr="00B70A72">
        <w:rPr>
          <w:lang w:val="en-US"/>
        </w:rPr>
        <w:t>is right or wrong. There is no truth to be uncovered, instead patterns of experience are explored to develop understanding.</w:t>
      </w:r>
    </w:p>
    <w:p w14:paraId="225CCD0B" w14:textId="2BCC1422" w:rsidR="0056661A" w:rsidRDefault="0056661A">
      <w:pPr>
        <w:rPr>
          <w:lang w:val="en-US"/>
        </w:rPr>
      </w:pPr>
      <w:r w:rsidRPr="00CB1A33">
        <w:rPr>
          <w:lang w:val="en-US"/>
        </w:rPr>
        <w:t>Further critique levelled at Foucault’s work relates to his inattention to matters of equity and equal opportunity, specifically to how ‘</w:t>
      </w:r>
      <w:r w:rsidRPr="00CB1A33">
        <w:rPr>
          <w:rFonts w:eastAsia="Times New Roman"/>
        </w:rPr>
        <w:t>social structures provide different groups with different opportunities for agency’ (Bevir, 1999, p. 77). McNay (1994) suggests that Foucault’s undifferentiate</w:t>
      </w:r>
      <w:r w:rsidR="00C06708">
        <w:rPr>
          <w:rFonts w:eastAsia="Times New Roman"/>
        </w:rPr>
        <w:t>d</w:t>
      </w:r>
      <w:r w:rsidRPr="00CB1A33">
        <w:rPr>
          <w:rFonts w:eastAsia="Times New Roman"/>
        </w:rPr>
        <w:t xml:space="preserve"> conceptualisation of power, leaves questions about experiences of oppression. Applying a Foucauldian position can create a conflict when trying to understand how power is expressed, as there is no specific explanation for women’s experiences (McNay, 1994). McNay’s argument could apply to other marginalised groups, in this case young people leaving the care system</w:t>
      </w:r>
      <w:r w:rsidR="00DA095F">
        <w:rPr>
          <w:rFonts w:eastAsia="Times New Roman"/>
        </w:rPr>
        <w:t>, where structural or material disadvantage may be an issue (Garrett, 2018)</w:t>
      </w:r>
      <w:r w:rsidRPr="00CB1A33">
        <w:rPr>
          <w:rFonts w:eastAsia="Times New Roman"/>
        </w:rPr>
        <w:t xml:space="preserve">. Furthermore </w:t>
      </w:r>
      <w:r w:rsidRPr="00CB1A33">
        <w:rPr>
          <w:lang w:val="en-US"/>
        </w:rPr>
        <w:t>Smith (2011) also questions Foucault’s focus on softer exchanges of power rather than more brutal methods of maintaining order. Smith gives the example of the role of the shepherd who on the surface is seen as benign and cajoling of their flock, when their aim might be more malevolent (</w:t>
      </w:r>
      <w:r w:rsidR="00C32592">
        <w:rPr>
          <w:lang w:val="en-US"/>
        </w:rPr>
        <w:t xml:space="preserve">2011, </w:t>
      </w:r>
      <w:r w:rsidRPr="00CB1A33">
        <w:rPr>
          <w:lang w:val="en-US"/>
        </w:rPr>
        <w:t>p.11). This example underlines that caring and nurturing of the herd is not necessarily about their well</w:t>
      </w:r>
      <w:r w:rsidR="000C1156">
        <w:rPr>
          <w:lang w:val="en-US"/>
        </w:rPr>
        <w:t>-</w:t>
      </w:r>
      <w:r w:rsidRPr="00CB1A33">
        <w:rPr>
          <w:lang w:val="en-US"/>
        </w:rPr>
        <w:t>being, instead it is to fatten them up for a better financial return</w:t>
      </w:r>
      <w:r w:rsidR="00F619A8">
        <w:rPr>
          <w:lang w:val="en-US"/>
        </w:rPr>
        <w:t xml:space="preserve"> when sold at market</w:t>
      </w:r>
      <w:r w:rsidRPr="00CB1A33">
        <w:rPr>
          <w:lang w:val="en-US"/>
        </w:rPr>
        <w:t xml:space="preserve">. Paying attention to wider explanations of oppression is not the primary </w:t>
      </w:r>
      <w:r w:rsidR="007307A1">
        <w:rPr>
          <w:lang w:val="en-US"/>
        </w:rPr>
        <w:t>aim of this research</w:t>
      </w:r>
      <w:r w:rsidR="00F619A8">
        <w:rPr>
          <w:lang w:val="en-US"/>
        </w:rPr>
        <w:t xml:space="preserve">, instead I aim to </w:t>
      </w:r>
      <w:r w:rsidRPr="00CB1A33">
        <w:rPr>
          <w:rFonts w:eastAsia="Times New Roman"/>
        </w:rPr>
        <w:t>examine the power relations whilst making the decision</w:t>
      </w:r>
      <w:r w:rsidR="007307A1">
        <w:rPr>
          <w:rFonts w:eastAsia="Times New Roman"/>
        </w:rPr>
        <w:t xml:space="preserve"> about </w:t>
      </w:r>
      <w:r w:rsidR="007307A1" w:rsidRPr="007307A1">
        <w:rPr>
          <w:rFonts w:eastAsia="Times New Roman"/>
          <w:i/>
          <w:iCs/>
        </w:rPr>
        <w:t>Staying Put</w:t>
      </w:r>
      <w:r w:rsidRPr="00CB1A33">
        <w:rPr>
          <w:rFonts w:eastAsia="Times New Roman"/>
        </w:rPr>
        <w:t>, rather than trying to explain the power differentiations in a broader soci</w:t>
      </w:r>
      <w:r w:rsidR="007307A1">
        <w:rPr>
          <w:rFonts w:eastAsia="Times New Roman"/>
        </w:rPr>
        <w:t>al</w:t>
      </w:r>
      <w:r w:rsidRPr="00CB1A33">
        <w:rPr>
          <w:rFonts w:eastAsia="Times New Roman"/>
        </w:rPr>
        <w:t xml:space="preserve"> context. </w:t>
      </w:r>
    </w:p>
    <w:p w14:paraId="5A0F2FE5" w14:textId="07EA49A2" w:rsidR="00F619A8" w:rsidRDefault="0056661A" w:rsidP="006E3485">
      <w:pPr>
        <w:rPr>
          <w:lang w:val="en-US"/>
        </w:rPr>
      </w:pPr>
      <w:r w:rsidRPr="00CB1A33">
        <w:rPr>
          <w:lang w:val="en-US"/>
        </w:rPr>
        <w:t xml:space="preserve">In summary, Foucault’s work is not beyond reproach, </w:t>
      </w:r>
      <w:r w:rsidR="00F619A8" w:rsidRPr="00F619A8">
        <w:rPr>
          <w:lang w:val="en-US"/>
        </w:rPr>
        <w:t xml:space="preserve">but some of his ideas provide a useful way of illuminating the power relations that </w:t>
      </w:r>
      <w:r w:rsidR="00F619A8">
        <w:rPr>
          <w:lang w:val="en-US"/>
        </w:rPr>
        <w:t>operate b</w:t>
      </w:r>
      <w:r w:rsidR="00F619A8" w:rsidRPr="00F619A8">
        <w:rPr>
          <w:lang w:val="en-US"/>
        </w:rPr>
        <w:t xml:space="preserve">etween </w:t>
      </w:r>
      <w:r w:rsidR="00F619A8">
        <w:rPr>
          <w:lang w:val="en-US"/>
        </w:rPr>
        <w:t>young people and their support network. Foucault’s thinking about power can offer</w:t>
      </w:r>
      <w:r w:rsidR="00F619A8" w:rsidRPr="00F619A8">
        <w:rPr>
          <w:lang w:val="en-US"/>
        </w:rPr>
        <w:t xml:space="preserve"> </w:t>
      </w:r>
      <w:r w:rsidR="00F619A8">
        <w:rPr>
          <w:lang w:val="en-US"/>
        </w:rPr>
        <w:t xml:space="preserve">different </w:t>
      </w:r>
      <w:r w:rsidR="00F619A8" w:rsidRPr="00F619A8">
        <w:rPr>
          <w:lang w:val="en-US"/>
        </w:rPr>
        <w:t xml:space="preserve">nuance and insight </w:t>
      </w:r>
      <w:r w:rsidR="00F619A8">
        <w:rPr>
          <w:lang w:val="en-US"/>
        </w:rPr>
        <w:t xml:space="preserve">into social work </w:t>
      </w:r>
      <w:r w:rsidR="00F619A8" w:rsidRPr="00F619A8">
        <w:rPr>
          <w:lang w:val="en-US"/>
        </w:rPr>
        <w:t>as the following studies demonstrate</w:t>
      </w:r>
      <w:r w:rsidR="00F619A8">
        <w:rPr>
          <w:lang w:val="en-US"/>
        </w:rPr>
        <w:t>.</w:t>
      </w:r>
    </w:p>
    <w:p w14:paraId="3BA6A33B" w14:textId="0E98B288" w:rsidR="0056661A" w:rsidRPr="00CB1A33" w:rsidRDefault="0056661A" w:rsidP="005C65E8">
      <w:pPr>
        <w:pStyle w:val="Heading3"/>
        <w:rPr>
          <w:lang w:val="en-US"/>
        </w:rPr>
      </w:pPr>
      <w:r w:rsidRPr="00CB1A33">
        <w:t>Foucault and Social Work</w:t>
      </w:r>
    </w:p>
    <w:p w14:paraId="02D0D58B" w14:textId="049793AC" w:rsidR="0056661A" w:rsidRPr="00CB1A33" w:rsidRDefault="0056661A">
      <w:r w:rsidRPr="00CB1A33">
        <w:rPr>
          <w:lang w:val="en-US"/>
        </w:rPr>
        <w:t xml:space="preserve">The </w:t>
      </w:r>
      <w:r w:rsidR="00F619A8">
        <w:rPr>
          <w:lang w:val="en-US"/>
        </w:rPr>
        <w:t xml:space="preserve">tendency to focus the </w:t>
      </w:r>
      <w:r w:rsidRPr="00CB1A33">
        <w:rPr>
          <w:lang w:val="en-US"/>
        </w:rPr>
        <w:t>negative expression</w:t>
      </w:r>
      <w:r w:rsidR="00F619A8">
        <w:rPr>
          <w:lang w:val="en-US"/>
        </w:rPr>
        <w:t xml:space="preserve"> of power</w:t>
      </w:r>
      <w:r w:rsidRPr="00CB1A33">
        <w:rPr>
          <w:lang w:val="en-US"/>
        </w:rPr>
        <w:t xml:space="preserve"> is</w:t>
      </w:r>
      <w:r w:rsidR="007307A1">
        <w:rPr>
          <w:lang w:val="en-US"/>
        </w:rPr>
        <w:t xml:space="preserve"> commonly discussed in </w:t>
      </w:r>
      <w:r w:rsidRPr="00CB1A33">
        <w:rPr>
          <w:lang w:val="en-US"/>
        </w:rPr>
        <w:t xml:space="preserve">social work literature, which Tew (2006) described as ‘binaries of </w:t>
      </w:r>
      <w:r w:rsidRPr="008F39D3">
        <w:t>oppression</w:t>
      </w:r>
      <w:r w:rsidR="000E4018" w:rsidRPr="008F39D3">
        <w:t>’</w:t>
      </w:r>
      <w:r w:rsidR="000E4018" w:rsidRPr="00CB1A33">
        <w:rPr>
          <w:lang w:val="en-US"/>
        </w:rPr>
        <w:t xml:space="preserve"> </w:t>
      </w:r>
      <w:r w:rsidR="000E4018">
        <w:rPr>
          <w:lang w:val="en-US"/>
        </w:rPr>
        <w:t>where</w:t>
      </w:r>
      <w:r w:rsidR="00F619A8">
        <w:rPr>
          <w:lang w:val="en-US"/>
        </w:rPr>
        <w:t xml:space="preserve"> one party has power over another </w:t>
      </w:r>
      <w:r w:rsidRPr="00CB1A33">
        <w:rPr>
          <w:lang w:val="en-US"/>
        </w:rPr>
        <w:t xml:space="preserve">(p. 37). However, application of a Foucauldian understanding of power </w:t>
      </w:r>
      <w:r w:rsidRPr="00CB1A33">
        <w:t xml:space="preserve">to social work challenges the view that power is symbolically represented by the social </w:t>
      </w:r>
      <w:r w:rsidRPr="00CB1A33">
        <w:lastRenderedPageBreak/>
        <w:t>worker or the local authority and instead power can be identified in the way organisations and individuals operate. Chambon (1999) argued that Foucault’s ideas can support an understanding of how social work practice develops and how power evolves through discursive practice</w:t>
      </w:r>
      <w:r w:rsidR="00C06708">
        <w:t>, which moves beyond the individualisation of power</w:t>
      </w:r>
      <w:r w:rsidRPr="00CB1A33">
        <w:t xml:space="preserve">. By looking at social work using Foucault’s theoretical framework, Chambon (1999) suggests we ‘unsettle’ long held </w:t>
      </w:r>
      <w:r w:rsidRPr="00CB1A33">
        <w:rPr>
          <w:rFonts w:eastAsia="Times New Roman"/>
          <w:shd w:val="clear" w:color="auto" w:fill="FFFFFF"/>
        </w:rPr>
        <w:t>assumptions and those factors that reinforce our thinking (p. 52)</w:t>
      </w:r>
      <w:r w:rsidR="00D24989">
        <w:t xml:space="preserve"> about power and how power operates.</w:t>
      </w:r>
      <w:r w:rsidRPr="00CB1A33">
        <w:t xml:space="preserve"> </w:t>
      </w:r>
    </w:p>
    <w:p w14:paraId="40CD312C" w14:textId="25A95122" w:rsidR="0056661A" w:rsidRPr="00CB1A33" w:rsidRDefault="0056661A">
      <w:r w:rsidRPr="00CB1A33">
        <w:t>A number of writers have examined different aspects of social work practice using Foucault’s work (Parton, 1991, 2012; Healy, and Mulholland, 1998; Fook, 2002; Curran, 2010; Garrity, 2010; Angel, 2016). Gilbert and Powell (20</w:t>
      </w:r>
      <w:r w:rsidR="00FD65B4">
        <w:t>10</w:t>
      </w:r>
      <w:r w:rsidRPr="00CB1A33">
        <w:t>) applied Foucault’s concept of governmentality to explore the construct of expertise and tensions between professionals and service users. They highlighted the use of social policy as a way to reinforce the construction of people through surveillance techniques and use of professional discretion, concluding that Foucault offers a vehicle to critically analyse neo-liberal means of practice. Foucault’s thinking about surveillance also features in work by Chase (2010)</w:t>
      </w:r>
      <w:r w:rsidR="00311F9E">
        <w:t xml:space="preserve"> and </w:t>
      </w:r>
      <w:r w:rsidR="00311F9E" w:rsidRPr="00CB1A33">
        <w:t>Keddell (2014)</w:t>
      </w:r>
      <w:r w:rsidRPr="00CB1A33">
        <w:t>. In both studies the writers discuss the role surveillance plays in knowledge production about families (Keddell, 2014) and how oversight of young people seeking asylum becomes normalised and consequently act</w:t>
      </w:r>
      <w:r w:rsidR="00D24989">
        <w:t>s</w:t>
      </w:r>
      <w:r w:rsidRPr="00CB1A33">
        <w:t xml:space="preserve"> as</w:t>
      </w:r>
      <w:r w:rsidR="00D24989">
        <w:t xml:space="preserve"> an ins</w:t>
      </w:r>
      <w:r w:rsidR="00D24989" w:rsidRPr="00CB1A33">
        <w:t>trument</w:t>
      </w:r>
      <w:r w:rsidRPr="00CB1A33">
        <w:t xml:space="preserve"> </w:t>
      </w:r>
      <w:r w:rsidR="00D24989">
        <w:t>‘</w:t>
      </w:r>
      <w:r w:rsidRPr="00CB1A33">
        <w:t xml:space="preserve">of power and control’ (Chase, 2010, p. 2064). </w:t>
      </w:r>
    </w:p>
    <w:p w14:paraId="40763FE5" w14:textId="2FA3B895" w:rsidR="0056661A" w:rsidRPr="00CB1A33" w:rsidRDefault="0056661A">
      <w:r w:rsidRPr="00CB1A33">
        <w:t xml:space="preserve">In other </w:t>
      </w:r>
      <w:r w:rsidR="00311F9E">
        <w:t>research</w:t>
      </w:r>
      <w:r w:rsidRPr="00CB1A33">
        <w:t xml:space="preserve"> Foucault’s concepts have been applied to understand how power relations operate in social work practice, helping to frame the expression of power in a nuanced context. </w:t>
      </w:r>
      <w:r w:rsidRPr="00CB1A33">
        <w:rPr>
          <w:lang w:val="en-US"/>
        </w:rPr>
        <w:t>In their research</w:t>
      </w:r>
      <w:r w:rsidR="00151377">
        <w:rPr>
          <w:lang w:val="en-US"/>
        </w:rPr>
        <w:t>,</w:t>
      </w:r>
      <w:r w:rsidRPr="00CB1A33">
        <w:t xml:space="preserve"> Winter and Cree (2016) looked at home visiting as discursive practice. They identified social work visits as a strategy of knowledge/power and described how power is ‘embedded’ within human relationships and practices (</w:t>
      </w:r>
      <w:r w:rsidR="009727BF">
        <w:t xml:space="preserve">Winter and Cree, 2016, </w:t>
      </w:r>
      <w:r w:rsidRPr="00CB1A33">
        <w:t>p. 1176). Power relations were also central to McGregor, Devaney and Moran’s (2019) study about placement stability in Ireland. They identified sites of power at a meso, macro and miso levels, based on the perceptions of power by young people in foster care, concluding that greater recognition of young people’s views and ‘power talk’ is needed (</w:t>
      </w:r>
      <w:r w:rsidR="00C74E44" w:rsidRPr="00CB1A33">
        <w:t>McGregor, Devaney and Moran</w:t>
      </w:r>
      <w:r w:rsidR="00C74E44">
        <w:t xml:space="preserve">, </w:t>
      </w:r>
      <w:r w:rsidR="00C74E44" w:rsidRPr="00CB1A33">
        <w:t>2019</w:t>
      </w:r>
      <w:r w:rsidR="00C74E44">
        <w:t xml:space="preserve">, </w:t>
      </w:r>
      <w:r w:rsidRPr="00CB1A33">
        <w:t xml:space="preserve">p. 11). </w:t>
      </w:r>
    </w:p>
    <w:p w14:paraId="65911EB7" w14:textId="725A7EB1" w:rsidR="0056661A" w:rsidRPr="00CB1A33" w:rsidRDefault="0056661A">
      <w:r w:rsidRPr="00CB1A33">
        <w:t>In these examples writers have selected aspects of Foucault’s thinking to guide their analysis of particular practice issues. Although none of the studies are unique in their respective subject matter, each author explained that applying a Foucauldian lens enabled an exploratory framework to question the nature of practice itself</w:t>
      </w:r>
      <w:r w:rsidR="00311F9E">
        <w:t>, u</w:t>
      </w:r>
      <w:r w:rsidRPr="00CB1A33">
        <w:t xml:space="preserve">nderlining Chambon’s (1999) assertion that using Foucault’s work can dismantle existing ideas and ways of </w:t>
      </w:r>
      <w:r w:rsidRPr="00CB1A33">
        <w:lastRenderedPageBreak/>
        <w:t>thinking about established practice.</w:t>
      </w:r>
      <w:r w:rsidR="00C06708">
        <w:t xml:space="preserve"> From the literature reviewed there is very little research using Foucault’s work to explore leaving care, highlighting the value of exploring this subject using a Foucauldian lens. </w:t>
      </w:r>
    </w:p>
    <w:p w14:paraId="72C80F6B" w14:textId="5CB56A13" w:rsidR="0056661A" w:rsidRPr="00CB1A33" w:rsidRDefault="0056661A" w:rsidP="005C65E8">
      <w:pPr>
        <w:pStyle w:val="Heading3"/>
      </w:pPr>
      <w:r>
        <w:t xml:space="preserve">Applying Foucault to the </w:t>
      </w:r>
      <w:r w:rsidRPr="005C65E8">
        <w:t>Staying</w:t>
      </w:r>
      <w:r>
        <w:t xml:space="preserve"> Put Decision</w:t>
      </w:r>
    </w:p>
    <w:p w14:paraId="00047569" w14:textId="7AFE8CEC" w:rsidR="0056661A" w:rsidRPr="008F39D3" w:rsidRDefault="0056661A" w:rsidP="006E3485">
      <w:pPr>
        <w:rPr>
          <w:lang w:val="en-US"/>
        </w:rPr>
      </w:pPr>
      <w:r w:rsidRPr="00F93965">
        <w:rPr>
          <w:lang w:val="en-US"/>
        </w:rPr>
        <w:t>With</w:t>
      </w:r>
      <w:r w:rsidRPr="00CB1A33">
        <w:rPr>
          <w:lang w:val="en-US"/>
        </w:rPr>
        <w:t>in this final section the rationale for the use of Foucault’s conceptualisation of power is summarised, whilst making links between Foucault’s approach to interrogating ideas with</w:t>
      </w:r>
      <w:r w:rsidR="00337119">
        <w:rPr>
          <w:lang w:val="en-US"/>
        </w:rPr>
        <w:t>in</w:t>
      </w:r>
      <w:r w:rsidRPr="00CB1A33">
        <w:rPr>
          <w:lang w:val="en-US"/>
        </w:rPr>
        <w:t xml:space="preserve"> a social constructivist paradigm. The issue at the heart of this research is a young person’s decision</w:t>
      </w:r>
      <w:r w:rsidR="00A75246">
        <w:rPr>
          <w:lang w:val="en-US"/>
        </w:rPr>
        <w:t>-making</w:t>
      </w:r>
      <w:r w:rsidRPr="00CB1A33">
        <w:rPr>
          <w:lang w:val="en-US"/>
        </w:rPr>
        <w:t xml:space="preserve"> at the end of their formal care placement. Whilst research about leaving care has increased over time, </w:t>
      </w:r>
      <w:r w:rsidR="008F39D3">
        <w:rPr>
          <w:lang w:val="en-US"/>
        </w:rPr>
        <w:t>t</w:t>
      </w:r>
      <w:r w:rsidR="008F39D3" w:rsidRPr="008F39D3">
        <w:rPr>
          <w:lang w:val="en-US"/>
        </w:rPr>
        <w:t xml:space="preserve">he use of Foucault’s ideas enables further examination of how leaving care, and the </w:t>
      </w:r>
      <w:r w:rsidR="00F93965">
        <w:rPr>
          <w:lang w:val="en-US"/>
        </w:rPr>
        <w:t xml:space="preserve">corresponding </w:t>
      </w:r>
      <w:r w:rsidR="00DC59B2">
        <w:rPr>
          <w:lang w:val="en-US"/>
        </w:rPr>
        <w:t>decision-making</w:t>
      </w:r>
      <w:r w:rsidR="008F39D3" w:rsidRPr="008F39D3">
        <w:rPr>
          <w:lang w:val="en-US"/>
        </w:rPr>
        <w:t>, is experienced</w:t>
      </w:r>
      <w:r w:rsidRPr="00CB1A33">
        <w:rPr>
          <w:rFonts w:eastAsia="Times New Roman"/>
        </w:rPr>
        <w:t>. As Winter and Cree (2016) state, it is through problematising ways of knowing that alternative understandings can be highlighted (p. 1176).</w:t>
      </w:r>
    </w:p>
    <w:p w14:paraId="43ABEE44" w14:textId="77E6907F" w:rsidR="0056661A" w:rsidRPr="00CB1A33" w:rsidRDefault="0056661A" w:rsidP="006E3485">
      <w:pPr>
        <w:rPr>
          <w:rFonts w:eastAsia="Times New Roman"/>
        </w:rPr>
      </w:pPr>
      <w:r w:rsidRPr="00CB1A33">
        <w:rPr>
          <w:lang w:val="en-US"/>
        </w:rPr>
        <w:t>Taking Healy’s (2000) argument that practice cannot exist outside of relationships of power, examining the decision</w:t>
      </w:r>
      <w:r w:rsidR="00A75246">
        <w:rPr>
          <w:lang w:val="en-US"/>
        </w:rPr>
        <w:t>-making about</w:t>
      </w:r>
      <w:r w:rsidRPr="00CB1A33">
        <w:rPr>
          <w:lang w:val="en-US"/>
        </w:rPr>
        <w:t xml:space="preserve"> </w:t>
      </w:r>
      <w:r w:rsidR="00A75246" w:rsidRPr="00A75246">
        <w:rPr>
          <w:i/>
          <w:iCs/>
          <w:lang w:val="en-US"/>
        </w:rPr>
        <w:t>Staying Put</w:t>
      </w:r>
      <w:r w:rsidRPr="00CB1A33">
        <w:rPr>
          <w:lang w:val="en-US"/>
        </w:rPr>
        <w:t xml:space="preserve"> requires thinking outside of binary understandings of power and </w:t>
      </w:r>
      <w:r w:rsidRPr="007A2413">
        <w:rPr>
          <w:lang w:val="en-US"/>
        </w:rPr>
        <w:t>powerlessness</w:t>
      </w:r>
      <w:r w:rsidR="000B2CB5" w:rsidRPr="007A2413">
        <w:rPr>
          <w:lang w:val="en-US"/>
        </w:rPr>
        <w:t xml:space="preserve"> as noted earlier in this chapter</w:t>
      </w:r>
      <w:r w:rsidRPr="007A2413">
        <w:rPr>
          <w:lang w:val="en-US"/>
        </w:rPr>
        <w:t>. Accepting that</w:t>
      </w:r>
      <w:r w:rsidRPr="00CB1A33">
        <w:rPr>
          <w:lang w:val="en-US"/>
        </w:rPr>
        <w:t xml:space="preserve"> social work is established through discourses (Healy, 2000), underlines the importance of examining how power is experienced by young people. To comprehend power, Foucault argued that it is necessary to understand what is said and not said (Schirato, Danaher and Webb, 2012). However, this is not to focus on language itself, but the mechanisms, procedures and processes combining to form ‘rules of formation’ (Foucault, 1972, p. 59). In a social work context, </w:t>
      </w:r>
      <w:r w:rsidRPr="00CB1A33">
        <w:rPr>
          <w:rFonts w:eastAsia="Times New Roman"/>
        </w:rPr>
        <w:t>rules of formation relate to what is known/discourse or what is not known/non</w:t>
      </w:r>
      <w:r w:rsidRPr="00CB1A33">
        <w:rPr>
          <w:rFonts w:ascii="Cambria Math" w:eastAsia="Times New Roman" w:hAnsi="Cambria Math" w:cs="Cambria Math"/>
        </w:rPr>
        <w:t>‐</w:t>
      </w:r>
      <w:r w:rsidRPr="00CB1A33">
        <w:rPr>
          <w:rFonts w:eastAsia="Times New Roman"/>
        </w:rPr>
        <w:t xml:space="preserve">discursive </w:t>
      </w:r>
      <w:r w:rsidR="009C2C25" w:rsidRPr="00CB1A33">
        <w:rPr>
          <w:rFonts w:eastAsia="Times New Roman"/>
        </w:rPr>
        <w:t>practices</w:t>
      </w:r>
      <w:r w:rsidR="009C2C25">
        <w:rPr>
          <w:rFonts w:eastAsia="Times New Roman"/>
        </w:rPr>
        <w:t xml:space="preserve"> and</w:t>
      </w:r>
      <w:r w:rsidRPr="00CB1A33">
        <w:rPr>
          <w:rFonts w:eastAsia="Times New Roman"/>
        </w:rPr>
        <w:t xml:space="preserve"> exploring knowledge flow could provide insight into how the young person’s interactions are both interpreted and used.</w:t>
      </w:r>
    </w:p>
    <w:p w14:paraId="008AC7DA" w14:textId="27AD5EA9" w:rsidR="0056661A" w:rsidRDefault="0056661A">
      <w:pPr>
        <w:rPr>
          <w:rFonts w:eastAsia="Times New Roman"/>
        </w:rPr>
      </w:pPr>
      <w:r w:rsidRPr="00CB1A33">
        <w:rPr>
          <w:rFonts w:eastAsia="Times New Roman"/>
        </w:rPr>
        <w:t xml:space="preserve">In </w:t>
      </w:r>
      <w:r w:rsidR="00991685">
        <w:rPr>
          <w:rFonts w:eastAsia="Times New Roman"/>
        </w:rPr>
        <w:t>my</w:t>
      </w:r>
      <w:r w:rsidRPr="00CB1A33">
        <w:rPr>
          <w:rFonts w:eastAsia="Times New Roman"/>
        </w:rPr>
        <w:t xml:space="preserve"> study, </w:t>
      </w:r>
      <w:r w:rsidRPr="00CB1A33">
        <w:rPr>
          <w:lang w:val="en-US"/>
        </w:rPr>
        <w:t>examination of what is said, who said it and how terminology is constructed, supports the analysis of how power relations operate in the decision</w:t>
      </w:r>
      <w:r w:rsidR="00A75246">
        <w:rPr>
          <w:lang w:val="en-US"/>
        </w:rPr>
        <w:t>-making</w:t>
      </w:r>
      <w:r w:rsidRPr="00CB1A33">
        <w:rPr>
          <w:lang w:val="en-US"/>
        </w:rPr>
        <w:t xml:space="preserve"> to stay put.</w:t>
      </w:r>
      <w:r w:rsidRPr="00CB1A33">
        <w:rPr>
          <w:rFonts w:eastAsia="Times New Roman"/>
        </w:rPr>
        <w:t xml:space="preserve"> Focus on the relational exchanges between the young person and their network through their communication could help to </w:t>
      </w:r>
      <w:r w:rsidRPr="00CB1A33">
        <w:rPr>
          <w:rFonts w:eastAsia="Times New Roman"/>
          <w:shd w:val="clear" w:color="auto" w:fill="FFFFFF"/>
        </w:rPr>
        <w:t xml:space="preserve">locate power exchanges within a broader practice context. How young people are made </w:t>
      </w:r>
      <w:r w:rsidRPr="00CB1A33">
        <w:rPr>
          <w:rFonts w:eastAsia="Times New Roman"/>
          <w:i/>
          <w:iCs/>
          <w:shd w:val="clear" w:color="auto" w:fill="FFFFFF"/>
        </w:rPr>
        <w:t>subject</w:t>
      </w:r>
      <w:r w:rsidRPr="00CB1A33">
        <w:rPr>
          <w:rFonts w:eastAsia="Times New Roman"/>
          <w:shd w:val="clear" w:color="auto" w:fill="FFFFFF"/>
        </w:rPr>
        <w:t xml:space="preserve"> through these constructions, supports greater thinking about their experience of </w:t>
      </w:r>
      <w:r w:rsidR="00DC59B2">
        <w:rPr>
          <w:rFonts w:eastAsia="Times New Roman"/>
          <w:shd w:val="clear" w:color="auto" w:fill="FFFFFF"/>
        </w:rPr>
        <w:t>decision-making</w:t>
      </w:r>
      <w:r w:rsidRPr="00CB1A33">
        <w:rPr>
          <w:rFonts w:eastAsia="Times New Roman"/>
          <w:shd w:val="clear" w:color="auto" w:fill="FFFFFF"/>
        </w:rPr>
        <w:t xml:space="preserve"> in context. Summarised by </w:t>
      </w:r>
      <w:r w:rsidRPr="00CB1A33">
        <w:rPr>
          <w:rFonts w:eastAsia="Times New Roman"/>
        </w:rPr>
        <w:t>Foucault, studying the ‘body of anonymous, historical rules’ located in a specific ‘social, economic, geographical, or linguistic area’ facilitates a better understanding of the conditions in which people are able to speak out (1972, p.51).</w:t>
      </w:r>
    </w:p>
    <w:p w14:paraId="6721B86E" w14:textId="7E7E40EE" w:rsidR="0056661A" w:rsidRPr="00CB1A33" w:rsidRDefault="0056661A" w:rsidP="008E4AF2">
      <w:pPr>
        <w:rPr>
          <w:shd w:val="clear" w:color="auto" w:fill="FFFFFF"/>
        </w:rPr>
      </w:pPr>
      <w:r w:rsidRPr="00CB1A33">
        <w:rPr>
          <w:shd w:val="clear" w:color="auto" w:fill="FFFFFF"/>
        </w:rPr>
        <w:lastRenderedPageBreak/>
        <w:t>Earlier in this chapter</w:t>
      </w:r>
      <w:r w:rsidR="003A14A1">
        <w:rPr>
          <w:shd w:val="clear" w:color="auto" w:fill="FFFFFF"/>
        </w:rPr>
        <w:t>,</w:t>
      </w:r>
      <w:r w:rsidRPr="00CB1A33">
        <w:rPr>
          <w:shd w:val="clear" w:color="auto" w:fill="FFFFFF"/>
        </w:rPr>
        <w:t xml:space="preserve"> criticisms of Foucault’s tendency to take a relativist stance w</w:t>
      </w:r>
      <w:r w:rsidR="00311F9E">
        <w:rPr>
          <w:shd w:val="clear" w:color="auto" w:fill="FFFFFF"/>
        </w:rPr>
        <w:t>ere</w:t>
      </w:r>
      <w:r w:rsidRPr="00CB1A33">
        <w:rPr>
          <w:shd w:val="clear" w:color="auto" w:fill="FFFFFF"/>
        </w:rPr>
        <w:t xml:space="preserve"> viewed as being avoidant and passive</w:t>
      </w:r>
      <w:r w:rsidR="00D24989">
        <w:rPr>
          <w:shd w:val="clear" w:color="auto" w:fill="FFFFFF"/>
        </w:rPr>
        <w:t xml:space="preserve"> (Garr</w:t>
      </w:r>
      <w:r w:rsidR="00753B47">
        <w:rPr>
          <w:shd w:val="clear" w:color="auto" w:fill="FFFFFF"/>
        </w:rPr>
        <w:t>e</w:t>
      </w:r>
      <w:r w:rsidR="00D24989">
        <w:rPr>
          <w:shd w:val="clear" w:color="auto" w:fill="FFFFFF"/>
        </w:rPr>
        <w:t>tt, 2019)</w:t>
      </w:r>
      <w:r w:rsidRPr="00CB1A33">
        <w:rPr>
          <w:shd w:val="clear" w:color="auto" w:fill="FFFFFF"/>
        </w:rPr>
        <w:t>. However, using Foucault to explore the young person’s decision</w:t>
      </w:r>
      <w:r w:rsidR="000E4018">
        <w:rPr>
          <w:shd w:val="clear" w:color="auto" w:fill="FFFFFF"/>
        </w:rPr>
        <w:t>-making</w:t>
      </w:r>
      <w:r w:rsidRPr="00CB1A33">
        <w:rPr>
          <w:shd w:val="clear" w:color="auto" w:fill="FFFFFF"/>
        </w:rPr>
        <w:t xml:space="preserve"> responds to wider philosophical questions about what is known about the world. Rather than looking for causal explanations</w:t>
      </w:r>
      <w:r w:rsidR="0088659B">
        <w:rPr>
          <w:shd w:val="clear" w:color="auto" w:fill="FFFFFF"/>
        </w:rPr>
        <w:t>,</w:t>
      </w:r>
      <w:r w:rsidRPr="00CB1A33">
        <w:rPr>
          <w:shd w:val="clear" w:color="auto" w:fill="FFFFFF"/>
        </w:rPr>
        <w:t xml:space="preserve"> his interest was in discursive practices within a specific period and therefore how they are understood at the time.</w:t>
      </w:r>
      <w:r w:rsidR="00C70855">
        <w:rPr>
          <w:shd w:val="clear" w:color="auto" w:fill="FFFFFF"/>
        </w:rPr>
        <w:t xml:space="preserve"> In previous chapters I have set out the background for this study in recognition that the young people’s experiences need to be seen in context. </w:t>
      </w:r>
      <w:r w:rsidRPr="00CB1A33">
        <w:rPr>
          <w:shd w:val="clear" w:color="auto" w:fill="FFFFFF"/>
        </w:rPr>
        <w:t xml:space="preserve">As </w:t>
      </w:r>
      <w:r w:rsidR="00D24989">
        <w:rPr>
          <w:shd w:val="clear" w:color="auto" w:fill="FFFFFF"/>
        </w:rPr>
        <w:t xml:space="preserve">discussed later </w:t>
      </w:r>
      <w:r w:rsidR="00D24989" w:rsidRPr="00DC59B2">
        <w:rPr>
          <w:shd w:val="clear" w:color="auto" w:fill="FFFFFF"/>
        </w:rPr>
        <w:t xml:space="preserve">in </w:t>
      </w:r>
      <w:r w:rsidR="00333360" w:rsidRPr="00DC59B2">
        <w:rPr>
          <w:shd w:val="clear" w:color="auto" w:fill="FFFFFF"/>
        </w:rPr>
        <w:t>C</w:t>
      </w:r>
      <w:r w:rsidRPr="00DC59B2">
        <w:rPr>
          <w:shd w:val="clear" w:color="auto" w:fill="FFFFFF"/>
        </w:rPr>
        <w:t>hapter</w:t>
      </w:r>
      <w:r w:rsidR="00333360" w:rsidRPr="00DC59B2">
        <w:rPr>
          <w:shd w:val="clear" w:color="auto" w:fill="FFFFFF"/>
        </w:rPr>
        <w:t xml:space="preserve"> </w:t>
      </w:r>
      <w:r w:rsidR="00DC59B2" w:rsidRPr="00DC59B2">
        <w:rPr>
          <w:shd w:val="clear" w:color="auto" w:fill="FFFFFF"/>
        </w:rPr>
        <w:t>6</w:t>
      </w:r>
      <w:r w:rsidRPr="00DC59B2">
        <w:rPr>
          <w:shd w:val="clear" w:color="auto" w:fill="FFFFFF"/>
        </w:rPr>
        <w:t>, my</w:t>
      </w:r>
      <w:r w:rsidRPr="00CB1A33">
        <w:rPr>
          <w:shd w:val="clear" w:color="auto" w:fill="FFFFFF"/>
        </w:rPr>
        <w:t xml:space="preserve"> study is underpinned by a social constructivist position and Foucault’s thinking about how situations are understood and </w:t>
      </w:r>
      <w:r w:rsidRPr="00CB1A33">
        <w:t>what types of knowledge gain hold (Winter and Cree, 2016, p. 1176) compl</w:t>
      </w:r>
      <w:r w:rsidR="00025378">
        <w:t>e</w:t>
      </w:r>
      <w:r w:rsidRPr="00CB1A33">
        <w:t>ment</w:t>
      </w:r>
      <w:r w:rsidR="00C70855">
        <w:t>s</w:t>
      </w:r>
      <w:r w:rsidRPr="00CB1A33">
        <w:t xml:space="preserve"> </w:t>
      </w:r>
      <w:r w:rsidRPr="00CB1A33">
        <w:rPr>
          <w:shd w:val="clear" w:color="auto" w:fill="FFFFFF"/>
        </w:rPr>
        <w:t>research about people’s lived experiences.</w:t>
      </w:r>
    </w:p>
    <w:p w14:paraId="790A48D8" w14:textId="5648FD25" w:rsidR="0056661A" w:rsidRPr="00CB1A33" w:rsidRDefault="0056661A">
      <w:r w:rsidRPr="002B45D0">
        <w:t xml:space="preserve">Rather than use Foucault rigidly to analyse the data, the concepts of power/knowledge, discourse and subject will be drawn on when discussing the themes identified. </w:t>
      </w:r>
      <w:r w:rsidR="00D24989" w:rsidRPr="002B45D0">
        <w:t xml:space="preserve">My research aims to focus on the experience and subjectivity of the </w:t>
      </w:r>
      <w:r w:rsidRPr="002B45D0">
        <w:t xml:space="preserve">young people making </w:t>
      </w:r>
      <w:r w:rsidR="00D24989" w:rsidRPr="002B45D0">
        <w:t xml:space="preserve">and explore the </w:t>
      </w:r>
      <w:r w:rsidRPr="002B45D0">
        <w:t xml:space="preserve">decision about </w:t>
      </w:r>
      <w:r w:rsidRPr="002B45D0">
        <w:rPr>
          <w:i/>
          <w:iCs/>
        </w:rPr>
        <w:t>Staying Put</w:t>
      </w:r>
      <w:r w:rsidR="00D24989" w:rsidRPr="002B45D0">
        <w:rPr>
          <w:i/>
          <w:iCs/>
        </w:rPr>
        <w:t xml:space="preserve"> </w:t>
      </w:r>
      <w:r w:rsidR="00D24989" w:rsidRPr="002B45D0">
        <w:t>as a process not an outcome or event. By problematising this element of the leaving care experience</w:t>
      </w:r>
      <w:r w:rsidRPr="002B45D0">
        <w:t xml:space="preserve">, the intention is to </w:t>
      </w:r>
      <w:r w:rsidR="0093475E" w:rsidRPr="002B45D0">
        <w:t>examine</w:t>
      </w:r>
      <w:r w:rsidRPr="002B45D0">
        <w:t xml:space="preserve"> what young people say but also question the process of </w:t>
      </w:r>
      <w:r w:rsidR="00DC59B2" w:rsidRPr="002B45D0">
        <w:t>decision-making</w:t>
      </w:r>
      <w:r w:rsidRPr="002B45D0">
        <w:t xml:space="preserve">, for example whether or not the decision is a decision at all. A Foucauldian lens is critically applied </w:t>
      </w:r>
      <w:r w:rsidR="00F83010" w:rsidRPr="002B45D0">
        <w:t>as</w:t>
      </w:r>
      <w:r w:rsidRPr="002B45D0">
        <w:t xml:space="preserve"> part of the discussion</w:t>
      </w:r>
      <w:r w:rsidR="00F83010" w:rsidRPr="002B45D0">
        <w:t xml:space="preserve"> in </w:t>
      </w:r>
      <w:r w:rsidR="00333360" w:rsidRPr="002B45D0">
        <w:t>C</w:t>
      </w:r>
      <w:r w:rsidR="00F83010" w:rsidRPr="002B45D0">
        <w:t>hapter</w:t>
      </w:r>
      <w:r w:rsidRPr="002B45D0">
        <w:t xml:space="preserve"> </w:t>
      </w:r>
      <w:r w:rsidR="00333360" w:rsidRPr="002B45D0">
        <w:t>1</w:t>
      </w:r>
      <w:r w:rsidR="00DC59B2" w:rsidRPr="002B45D0">
        <w:t>0</w:t>
      </w:r>
      <w:r w:rsidR="00333360" w:rsidRPr="002B45D0">
        <w:t xml:space="preserve"> </w:t>
      </w:r>
      <w:r w:rsidR="00F83010" w:rsidRPr="002B45D0">
        <w:t xml:space="preserve">about the </w:t>
      </w:r>
      <w:r w:rsidRPr="002B45D0">
        <w:t>experience of making the decision to stay put.</w:t>
      </w:r>
      <w:r w:rsidRPr="00CB1A33">
        <w:t xml:space="preserve"> </w:t>
      </w:r>
    </w:p>
    <w:p w14:paraId="3E5B8493" w14:textId="27C949AF" w:rsidR="0056661A" w:rsidRPr="00CB1A33" w:rsidRDefault="0056661A" w:rsidP="006E3485">
      <w:pPr>
        <w:pStyle w:val="Heading2"/>
      </w:pPr>
      <w:bookmarkStart w:id="36" w:name="_Toc101108490"/>
      <w:r w:rsidRPr="00CB1A33">
        <w:rPr>
          <w:rFonts w:eastAsia="Times New Roman"/>
          <w:shd w:val="clear" w:color="auto" w:fill="FFFFFF"/>
        </w:rPr>
        <w:t xml:space="preserve">What </w:t>
      </w:r>
      <w:r w:rsidR="00202ED0">
        <w:rPr>
          <w:rFonts w:eastAsia="Times New Roman"/>
          <w:shd w:val="clear" w:color="auto" w:fill="FFFFFF"/>
        </w:rPr>
        <w:t>D</w:t>
      </w:r>
      <w:r w:rsidRPr="00CB1A33">
        <w:rPr>
          <w:rFonts w:eastAsia="Times New Roman"/>
          <w:shd w:val="clear" w:color="auto" w:fill="FFFFFF"/>
        </w:rPr>
        <w:t xml:space="preserve">oes it </w:t>
      </w:r>
      <w:r w:rsidR="00202ED0">
        <w:rPr>
          <w:rFonts w:eastAsia="Times New Roman"/>
          <w:shd w:val="clear" w:color="auto" w:fill="FFFFFF"/>
        </w:rPr>
        <w:t>M</w:t>
      </w:r>
      <w:r w:rsidRPr="00CB1A33">
        <w:rPr>
          <w:rFonts w:eastAsia="Times New Roman"/>
          <w:shd w:val="clear" w:color="auto" w:fill="FFFFFF"/>
        </w:rPr>
        <w:t xml:space="preserve">ean to be a </w:t>
      </w:r>
      <w:r w:rsidR="00202ED0">
        <w:rPr>
          <w:rFonts w:eastAsia="Times New Roman"/>
          <w:shd w:val="clear" w:color="auto" w:fill="FFFFFF"/>
        </w:rPr>
        <w:t>C</w:t>
      </w:r>
      <w:r w:rsidRPr="00CB1A33">
        <w:rPr>
          <w:rFonts w:eastAsia="Times New Roman"/>
          <w:shd w:val="clear" w:color="auto" w:fill="FFFFFF"/>
        </w:rPr>
        <w:t>hild?</w:t>
      </w:r>
      <w:bookmarkEnd w:id="36"/>
    </w:p>
    <w:p w14:paraId="57F9C3B5" w14:textId="1DEA5334" w:rsidR="0056661A" w:rsidRPr="00CB1A33" w:rsidRDefault="0056661A">
      <w:r w:rsidRPr="00CB1A33">
        <w:t xml:space="preserve">The </w:t>
      </w:r>
      <w:r>
        <w:t>next</w:t>
      </w:r>
      <w:r w:rsidRPr="00CB1A33">
        <w:t xml:space="preserve"> section of this chapter turns to the question of how children and young people are defined and understood</w:t>
      </w:r>
      <w:r>
        <w:t xml:space="preserve">, which </w:t>
      </w:r>
      <w:r w:rsidRPr="00CB1A33">
        <w:rPr>
          <w:shd w:val="clear" w:color="auto" w:fill="FFFFFF"/>
        </w:rPr>
        <w:t xml:space="preserve">is significant for </w:t>
      </w:r>
      <w:r>
        <w:rPr>
          <w:shd w:val="clear" w:color="auto" w:fill="FFFFFF"/>
        </w:rPr>
        <w:t>my</w:t>
      </w:r>
      <w:r w:rsidRPr="00CB1A33">
        <w:rPr>
          <w:shd w:val="clear" w:color="auto" w:fill="FFFFFF"/>
        </w:rPr>
        <w:t xml:space="preserve"> research in two ways. First the relationship between the </w:t>
      </w:r>
      <w:r>
        <w:rPr>
          <w:shd w:val="clear" w:color="auto" w:fill="FFFFFF"/>
        </w:rPr>
        <w:t>construct</w:t>
      </w:r>
      <w:r w:rsidRPr="00CB1A33">
        <w:rPr>
          <w:shd w:val="clear" w:color="auto" w:fill="FFFFFF"/>
        </w:rPr>
        <w:t xml:space="preserve"> of </w:t>
      </w:r>
      <w:r>
        <w:rPr>
          <w:shd w:val="clear" w:color="auto" w:fill="FFFFFF"/>
        </w:rPr>
        <w:t>childhood</w:t>
      </w:r>
      <w:r w:rsidRPr="00CB1A33">
        <w:rPr>
          <w:shd w:val="clear" w:color="auto" w:fill="FFFFFF"/>
        </w:rPr>
        <w:t xml:space="preserve"> and adult</w:t>
      </w:r>
      <w:r>
        <w:rPr>
          <w:shd w:val="clear" w:color="auto" w:fill="FFFFFF"/>
        </w:rPr>
        <w:t>hood</w:t>
      </w:r>
      <w:r w:rsidRPr="00CB1A33">
        <w:rPr>
          <w:shd w:val="clear" w:color="auto" w:fill="FFFFFF"/>
        </w:rPr>
        <w:t xml:space="preserve"> impacts on epistemological and methodological choices about </w:t>
      </w:r>
      <w:r>
        <w:rPr>
          <w:shd w:val="clear" w:color="auto" w:fill="FFFFFF"/>
        </w:rPr>
        <w:t>the young people’s</w:t>
      </w:r>
      <w:r w:rsidRPr="00CB1A33">
        <w:rPr>
          <w:shd w:val="clear" w:color="auto" w:fill="FFFFFF"/>
        </w:rPr>
        <w:t xml:space="preserve"> involvement as participants (Groundwater-Smith, Dockett and Bottrell, 2015). Second, </w:t>
      </w:r>
      <w:r w:rsidRPr="007A2413">
        <w:rPr>
          <w:shd w:val="clear" w:color="auto" w:fill="FFFFFF"/>
        </w:rPr>
        <w:t xml:space="preserve">how </w:t>
      </w:r>
      <w:r w:rsidR="00094B90" w:rsidRPr="007A2413">
        <w:rPr>
          <w:shd w:val="clear" w:color="auto" w:fill="FFFFFF"/>
        </w:rPr>
        <w:t>discourses about</w:t>
      </w:r>
      <w:r w:rsidR="00094B90">
        <w:rPr>
          <w:shd w:val="clear" w:color="auto" w:fill="FFFFFF"/>
        </w:rPr>
        <w:t xml:space="preserve"> </w:t>
      </w:r>
      <w:r w:rsidRPr="00CB1A33">
        <w:rPr>
          <w:shd w:val="clear" w:color="auto" w:fill="FFFFFF"/>
        </w:rPr>
        <w:t>children and young people determines the extent to which their right</w:t>
      </w:r>
      <w:r>
        <w:rPr>
          <w:shd w:val="clear" w:color="auto" w:fill="FFFFFF"/>
        </w:rPr>
        <w:t>s</w:t>
      </w:r>
      <w:r w:rsidRPr="00CB1A33">
        <w:rPr>
          <w:shd w:val="clear" w:color="auto" w:fill="FFFFFF"/>
        </w:rPr>
        <w:t xml:space="preserve"> are understood and carried out</w:t>
      </w:r>
      <w:r w:rsidR="00A75246">
        <w:rPr>
          <w:shd w:val="clear" w:color="auto" w:fill="FFFFFF"/>
        </w:rPr>
        <w:t xml:space="preserve"> through policy and </w:t>
      </w:r>
      <w:r w:rsidR="0018772B">
        <w:rPr>
          <w:shd w:val="clear" w:color="auto" w:fill="FFFFFF"/>
        </w:rPr>
        <w:t>practice</w:t>
      </w:r>
      <w:r w:rsidRPr="00CB1A33">
        <w:rPr>
          <w:shd w:val="clear" w:color="auto" w:fill="FFFFFF"/>
        </w:rPr>
        <w:t xml:space="preserve">. </w:t>
      </w:r>
      <w:r w:rsidR="00C70855">
        <w:rPr>
          <w:shd w:val="clear" w:color="auto" w:fill="FFFFFF"/>
        </w:rPr>
        <w:t xml:space="preserve">How childhood is understood relates to both the shape of social policy identified in Chapter 2 and the practice of social workers when involving children set out in Chapter 4. </w:t>
      </w:r>
      <w:r>
        <w:rPr>
          <w:shd w:val="clear" w:color="auto" w:fill="FFFFFF"/>
        </w:rPr>
        <w:t xml:space="preserve">Although the young people in my study were </w:t>
      </w:r>
      <w:r w:rsidR="00A75246">
        <w:rPr>
          <w:shd w:val="clear" w:color="auto" w:fill="FFFFFF"/>
        </w:rPr>
        <w:t>talking about a period at the</w:t>
      </w:r>
      <w:r>
        <w:rPr>
          <w:shd w:val="clear" w:color="auto" w:fill="FFFFFF"/>
        </w:rPr>
        <w:t xml:space="preserve"> end of their childhood</w:t>
      </w:r>
      <w:r w:rsidR="00DC70F2">
        <w:rPr>
          <w:shd w:val="clear" w:color="auto" w:fill="FFFFFF"/>
        </w:rPr>
        <w:t xml:space="preserve"> discussed in </w:t>
      </w:r>
      <w:r w:rsidR="008C293C">
        <w:rPr>
          <w:shd w:val="clear" w:color="auto" w:fill="FFFFFF"/>
        </w:rPr>
        <w:t>the introduction</w:t>
      </w:r>
      <w:r>
        <w:rPr>
          <w:shd w:val="clear" w:color="auto" w:fill="FFFFFF"/>
        </w:rPr>
        <w:t xml:space="preserve">, the legal definition set out in the </w:t>
      </w:r>
      <w:r w:rsidRPr="00025378">
        <w:rPr>
          <w:i/>
          <w:iCs/>
          <w:shd w:val="clear" w:color="auto" w:fill="FFFFFF"/>
        </w:rPr>
        <w:t>Children Act</w:t>
      </w:r>
      <w:r>
        <w:rPr>
          <w:shd w:val="clear" w:color="auto" w:fill="FFFFFF"/>
        </w:rPr>
        <w:t xml:space="preserve"> </w:t>
      </w:r>
      <w:r w:rsidRPr="00C00D51">
        <w:rPr>
          <w:i/>
          <w:iCs/>
          <w:shd w:val="clear" w:color="auto" w:fill="FFFFFF"/>
        </w:rPr>
        <w:t xml:space="preserve">1989 </w:t>
      </w:r>
      <w:r>
        <w:rPr>
          <w:shd w:val="clear" w:color="auto" w:fill="FFFFFF"/>
        </w:rPr>
        <w:t xml:space="preserve">regards them as children until they have turned 18. </w:t>
      </w:r>
      <w:r w:rsidRPr="00CB1A33">
        <w:t xml:space="preserve">Foucault’s thinking about the role of discourse is useful to explore the ways that children as </w:t>
      </w:r>
      <w:r w:rsidRPr="00CB1A33">
        <w:rPr>
          <w:i/>
          <w:iCs/>
        </w:rPr>
        <w:t>subjects are</w:t>
      </w:r>
      <w:r w:rsidRPr="00CB1A33">
        <w:t xml:space="preserve"> transformed through ongoing relationships and practices</w:t>
      </w:r>
      <w:r>
        <w:t xml:space="preserve"> in a moment in time </w:t>
      </w:r>
      <w:r w:rsidR="00F83010">
        <w:t xml:space="preserve">— </w:t>
      </w:r>
      <w:r>
        <w:t>apparent in the historical depictions detailed in the next section.</w:t>
      </w:r>
    </w:p>
    <w:p w14:paraId="5E50F623" w14:textId="56CC679B" w:rsidR="0056661A" w:rsidRPr="00CB1A33" w:rsidRDefault="0056661A" w:rsidP="005C65E8">
      <w:pPr>
        <w:pStyle w:val="Heading3"/>
        <w:rPr>
          <w:rFonts w:eastAsia="Times New Roman"/>
          <w:shd w:val="clear" w:color="auto" w:fill="FFFFFF"/>
        </w:rPr>
      </w:pPr>
      <w:r>
        <w:rPr>
          <w:rFonts w:eastAsia="Times New Roman"/>
          <w:shd w:val="clear" w:color="auto" w:fill="FFFFFF"/>
        </w:rPr>
        <w:lastRenderedPageBreak/>
        <w:t>A (very) Brief History</w:t>
      </w:r>
    </w:p>
    <w:p w14:paraId="7FD27BF7" w14:textId="25872B52" w:rsidR="0056661A" w:rsidRPr="00CB1A33" w:rsidRDefault="0056661A">
      <w:pPr>
        <w:rPr>
          <w:shd w:val="clear" w:color="auto" w:fill="FFFFFF"/>
        </w:rPr>
      </w:pPr>
      <w:r w:rsidRPr="00CB1A33">
        <w:rPr>
          <w:shd w:val="clear" w:color="auto" w:fill="FFFFFF"/>
        </w:rPr>
        <w:t xml:space="preserve">Kellett (2014) advises caution when tracing the biological or sociological perspectives of childhood, stating that ascribing positions to a particular timeframe is an oversimplification of </w:t>
      </w:r>
      <w:r>
        <w:rPr>
          <w:shd w:val="clear" w:color="auto" w:fill="FFFFFF"/>
        </w:rPr>
        <w:t xml:space="preserve">the issues </w:t>
      </w:r>
      <w:r w:rsidRPr="00CB1A33">
        <w:rPr>
          <w:shd w:val="clear" w:color="auto" w:fill="FFFFFF"/>
        </w:rPr>
        <w:t>(</w:t>
      </w:r>
      <w:r w:rsidR="00CB27A5">
        <w:rPr>
          <w:shd w:val="clear" w:color="auto" w:fill="FFFFFF"/>
        </w:rPr>
        <w:t>2014,</w:t>
      </w:r>
      <w:r w:rsidR="00CB27A5" w:rsidRPr="00CB1A33">
        <w:rPr>
          <w:shd w:val="clear" w:color="auto" w:fill="FFFFFF"/>
        </w:rPr>
        <w:t xml:space="preserve"> p.</w:t>
      </w:r>
      <w:r w:rsidRPr="00CB1A33">
        <w:rPr>
          <w:shd w:val="clear" w:color="auto" w:fill="FFFFFF"/>
        </w:rPr>
        <w:t xml:space="preserve"> 15). </w:t>
      </w:r>
      <w:r w:rsidR="00A75246" w:rsidRPr="00CB1A33">
        <w:rPr>
          <w:shd w:val="clear" w:color="auto" w:fill="FFFFFF"/>
        </w:rPr>
        <w:t>Nevertheless</w:t>
      </w:r>
      <w:r w:rsidRPr="00CB1A33">
        <w:rPr>
          <w:shd w:val="clear" w:color="auto" w:fill="FFFFFF"/>
        </w:rPr>
        <w:t>, recognising historical constructions of childhood</w:t>
      </w:r>
      <w:r>
        <w:rPr>
          <w:shd w:val="clear" w:color="auto" w:fill="FFFFFF"/>
        </w:rPr>
        <w:t xml:space="preserve"> can </w:t>
      </w:r>
      <w:r w:rsidRPr="00CB1A33">
        <w:rPr>
          <w:shd w:val="clear" w:color="auto" w:fill="FFFFFF"/>
        </w:rPr>
        <w:t>illuminate patterns of regulation and response</w:t>
      </w:r>
      <w:r w:rsidR="000E4018">
        <w:rPr>
          <w:shd w:val="clear" w:color="auto" w:fill="FFFFFF"/>
        </w:rPr>
        <w:t>,</w:t>
      </w:r>
      <w:r w:rsidRPr="00CB1A33">
        <w:rPr>
          <w:shd w:val="clear" w:color="auto" w:fill="FFFFFF"/>
        </w:rPr>
        <w:t xml:space="preserve"> particular to </w:t>
      </w:r>
      <w:r>
        <w:rPr>
          <w:shd w:val="clear" w:color="auto" w:fill="FFFFFF"/>
        </w:rPr>
        <w:t>a child’s</w:t>
      </w:r>
      <w:r w:rsidRPr="00CB1A33">
        <w:rPr>
          <w:shd w:val="clear" w:color="auto" w:fill="FFFFFF"/>
        </w:rPr>
        <w:t xml:space="preserve"> role in society at the time</w:t>
      </w:r>
      <w:r>
        <w:rPr>
          <w:shd w:val="clear" w:color="auto" w:fill="FFFFFF"/>
        </w:rPr>
        <w:t xml:space="preserve"> (</w:t>
      </w:r>
      <w:r w:rsidRPr="00CB1A33">
        <w:rPr>
          <w:shd w:val="clear" w:color="auto" w:fill="FFFFFF"/>
        </w:rPr>
        <w:t>James, Jenks and Prout</w:t>
      </w:r>
      <w:r>
        <w:rPr>
          <w:shd w:val="clear" w:color="auto" w:fill="FFFFFF"/>
        </w:rPr>
        <w:t xml:space="preserve">, </w:t>
      </w:r>
      <w:r w:rsidRPr="00CB1A33">
        <w:rPr>
          <w:shd w:val="clear" w:color="auto" w:fill="FFFFFF"/>
        </w:rPr>
        <w:t xml:space="preserve">1998). </w:t>
      </w:r>
      <w:r>
        <w:rPr>
          <w:shd w:val="clear" w:color="auto" w:fill="FFFFFF"/>
        </w:rPr>
        <w:t>Often founded on Eurocentric and h</w:t>
      </w:r>
      <w:r w:rsidRPr="004210B2">
        <w:rPr>
          <w:shd w:val="clear" w:color="auto" w:fill="FFFFFF"/>
        </w:rPr>
        <w:t>eteropatriarchal</w:t>
      </w:r>
      <w:r>
        <w:rPr>
          <w:shd w:val="clear" w:color="auto" w:fill="FFFFFF"/>
        </w:rPr>
        <w:t xml:space="preserve"> ideals, c</w:t>
      </w:r>
      <w:r w:rsidRPr="00CB1A33">
        <w:rPr>
          <w:shd w:val="clear" w:color="auto" w:fill="FFFFFF"/>
        </w:rPr>
        <w:t xml:space="preserve">onceptualisations </w:t>
      </w:r>
      <w:r>
        <w:rPr>
          <w:shd w:val="clear" w:color="auto" w:fill="FFFFFF"/>
        </w:rPr>
        <w:t xml:space="preserve">of being a child </w:t>
      </w:r>
      <w:r w:rsidRPr="00CB1A33">
        <w:rPr>
          <w:shd w:val="clear" w:color="auto" w:fill="FFFFFF"/>
        </w:rPr>
        <w:t xml:space="preserve">have evolved, with some arguing </w:t>
      </w:r>
      <w:r>
        <w:rPr>
          <w:shd w:val="clear" w:color="auto" w:fill="FFFFFF"/>
        </w:rPr>
        <w:t xml:space="preserve">that </w:t>
      </w:r>
      <w:r w:rsidRPr="00CB1A33">
        <w:rPr>
          <w:i/>
          <w:iCs/>
          <w:shd w:val="clear" w:color="auto" w:fill="FFFFFF"/>
        </w:rPr>
        <w:t>childhood</w:t>
      </w:r>
      <w:r w:rsidRPr="00CB1A33">
        <w:rPr>
          <w:shd w:val="clear" w:color="auto" w:fill="FFFFFF"/>
        </w:rPr>
        <w:t xml:space="preserve"> did not exist in the Middle Ages and </w:t>
      </w:r>
      <w:r>
        <w:rPr>
          <w:shd w:val="clear" w:color="auto" w:fill="FFFFFF"/>
        </w:rPr>
        <w:t xml:space="preserve">only </w:t>
      </w:r>
      <w:r w:rsidRPr="00CB1A33">
        <w:rPr>
          <w:shd w:val="clear" w:color="auto" w:fill="FFFFFF"/>
        </w:rPr>
        <w:t>became recognisable in the sixteenth and seventeenth centur</w:t>
      </w:r>
      <w:r w:rsidR="00025378">
        <w:rPr>
          <w:shd w:val="clear" w:color="auto" w:fill="FFFFFF"/>
        </w:rPr>
        <w:t>ies</w:t>
      </w:r>
      <w:r w:rsidRPr="00CB1A33">
        <w:rPr>
          <w:shd w:val="clear" w:color="auto" w:fill="FFFFFF"/>
        </w:rPr>
        <w:t xml:space="preserve"> (Ariès, 1962). Although criticised for confining his study to middle and upper class</w:t>
      </w:r>
      <w:r w:rsidR="00C00D51">
        <w:rPr>
          <w:shd w:val="clear" w:color="auto" w:fill="FFFFFF"/>
        </w:rPr>
        <w:t>es</w:t>
      </w:r>
      <w:r w:rsidRPr="00CB1A33">
        <w:rPr>
          <w:shd w:val="clear" w:color="auto" w:fill="FFFFFF"/>
        </w:rPr>
        <w:t xml:space="preserve"> </w:t>
      </w:r>
      <w:r>
        <w:rPr>
          <w:shd w:val="clear" w:color="auto" w:fill="FFFFFF"/>
        </w:rPr>
        <w:t xml:space="preserve">and </w:t>
      </w:r>
      <w:r w:rsidRPr="00CB1A33">
        <w:rPr>
          <w:shd w:val="clear" w:color="auto" w:fill="FFFFFF"/>
        </w:rPr>
        <w:t>depictions in art, Ariès’ work contested the universal understanding</w:t>
      </w:r>
      <w:r>
        <w:rPr>
          <w:shd w:val="clear" w:color="auto" w:fill="FFFFFF"/>
        </w:rPr>
        <w:t>s</w:t>
      </w:r>
      <w:r w:rsidRPr="00CB1A33">
        <w:rPr>
          <w:shd w:val="clear" w:color="auto" w:fill="FFFFFF"/>
        </w:rPr>
        <w:t xml:space="preserve"> of childhood and prompted further critical analysis about </w:t>
      </w:r>
      <w:r>
        <w:rPr>
          <w:shd w:val="clear" w:color="auto" w:fill="FFFFFF"/>
        </w:rPr>
        <w:t>children’s</w:t>
      </w:r>
      <w:r w:rsidRPr="00CB1A33">
        <w:rPr>
          <w:shd w:val="clear" w:color="auto" w:fill="FFFFFF"/>
        </w:rPr>
        <w:t xml:space="preserve"> experience</w:t>
      </w:r>
      <w:r>
        <w:rPr>
          <w:shd w:val="clear" w:color="auto" w:fill="FFFFFF"/>
        </w:rPr>
        <w:t>s</w:t>
      </w:r>
      <w:r w:rsidRPr="00CB1A33">
        <w:rPr>
          <w:shd w:val="clear" w:color="auto" w:fill="FFFFFF"/>
        </w:rPr>
        <w:t xml:space="preserve"> (Heywood, 2001).</w:t>
      </w:r>
    </w:p>
    <w:p w14:paraId="70B99728" w14:textId="16F72A2C" w:rsidR="0056661A" w:rsidRPr="00CB1A33" w:rsidRDefault="0056661A">
      <w:pPr>
        <w:rPr>
          <w:shd w:val="clear" w:color="auto" w:fill="FFFFFF"/>
        </w:rPr>
      </w:pPr>
      <w:r>
        <w:rPr>
          <w:shd w:val="clear" w:color="auto" w:fill="FFFFFF"/>
        </w:rPr>
        <w:t>I</w:t>
      </w:r>
      <w:r w:rsidRPr="00CB1A33">
        <w:rPr>
          <w:shd w:val="clear" w:color="auto" w:fill="FFFFFF"/>
        </w:rPr>
        <w:t xml:space="preserve">n the </w:t>
      </w:r>
      <w:r>
        <w:rPr>
          <w:shd w:val="clear" w:color="auto" w:fill="FFFFFF"/>
        </w:rPr>
        <w:t>17</w:t>
      </w:r>
      <w:r w:rsidRPr="00E4665D">
        <w:rPr>
          <w:shd w:val="clear" w:color="auto" w:fill="FFFFFF"/>
          <w:vertAlign w:val="superscript"/>
        </w:rPr>
        <w:t>th</w:t>
      </w:r>
      <w:r>
        <w:rPr>
          <w:shd w:val="clear" w:color="auto" w:fill="FFFFFF"/>
        </w:rPr>
        <w:t xml:space="preserve"> </w:t>
      </w:r>
      <w:r w:rsidRPr="00CB1A33">
        <w:rPr>
          <w:shd w:val="clear" w:color="auto" w:fill="FFFFFF"/>
        </w:rPr>
        <w:t xml:space="preserve">century, children were thought to be born with original sin </w:t>
      </w:r>
      <w:r>
        <w:rPr>
          <w:shd w:val="clear" w:color="auto" w:fill="FFFFFF"/>
        </w:rPr>
        <w:t xml:space="preserve">that </w:t>
      </w:r>
      <w:r w:rsidRPr="00CB1A33">
        <w:rPr>
          <w:shd w:val="clear" w:color="auto" w:fill="FFFFFF"/>
        </w:rPr>
        <w:t xml:space="preserve">discipline and education </w:t>
      </w:r>
      <w:r>
        <w:rPr>
          <w:shd w:val="clear" w:color="auto" w:fill="FFFFFF"/>
        </w:rPr>
        <w:t>could</w:t>
      </w:r>
      <w:r w:rsidRPr="00CB1A33">
        <w:rPr>
          <w:shd w:val="clear" w:color="auto" w:fill="FFFFFF"/>
        </w:rPr>
        <w:t xml:space="preserve"> </w:t>
      </w:r>
      <w:r>
        <w:rPr>
          <w:shd w:val="clear" w:color="auto" w:fill="FFFFFF"/>
        </w:rPr>
        <w:t>correct</w:t>
      </w:r>
      <w:r w:rsidRPr="00CB1A33">
        <w:rPr>
          <w:shd w:val="clear" w:color="auto" w:fill="FFFFFF"/>
        </w:rPr>
        <w:t xml:space="preserve"> (Hendrick, 2015)</w:t>
      </w:r>
      <w:r>
        <w:rPr>
          <w:shd w:val="clear" w:color="auto" w:fill="FFFFFF"/>
        </w:rPr>
        <w:t>. Images of</w:t>
      </w:r>
      <w:r w:rsidRPr="00CB1A33">
        <w:rPr>
          <w:shd w:val="clear" w:color="auto" w:fill="FFFFFF"/>
        </w:rPr>
        <w:t xml:space="preserve"> ‘anarchistic’</w:t>
      </w:r>
      <w:r>
        <w:rPr>
          <w:shd w:val="clear" w:color="auto" w:fill="FFFFFF"/>
        </w:rPr>
        <w:t xml:space="preserve"> children who lacked </w:t>
      </w:r>
      <w:r w:rsidRPr="00CB1A33">
        <w:rPr>
          <w:shd w:val="clear" w:color="auto" w:fill="FFFFFF"/>
        </w:rPr>
        <w:t>sufficient parental control</w:t>
      </w:r>
      <w:r>
        <w:rPr>
          <w:shd w:val="clear" w:color="auto" w:fill="FFFFFF"/>
        </w:rPr>
        <w:t xml:space="preserve"> </w:t>
      </w:r>
      <w:r w:rsidRPr="00CB1A33">
        <w:rPr>
          <w:shd w:val="clear" w:color="auto" w:fill="FFFFFF"/>
        </w:rPr>
        <w:t>(James, Jenks and Prout, 1998, p.11)</w:t>
      </w:r>
      <w:r>
        <w:rPr>
          <w:shd w:val="clear" w:color="auto" w:fill="FFFFFF"/>
        </w:rPr>
        <w:t xml:space="preserve"> were </w:t>
      </w:r>
      <w:r w:rsidRPr="00CB1A33">
        <w:rPr>
          <w:shd w:val="clear" w:color="auto" w:fill="FFFFFF"/>
        </w:rPr>
        <w:t xml:space="preserve">understood as a dangerous force, which unchecked would threaten social order and well-being (Hendrick, 2015). </w:t>
      </w:r>
      <w:r>
        <w:rPr>
          <w:shd w:val="clear" w:color="auto" w:fill="FFFFFF"/>
        </w:rPr>
        <w:t>However, b</w:t>
      </w:r>
      <w:r w:rsidRPr="00CB1A33">
        <w:rPr>
          <w:shd w:val="clear" w:color="auto" w:fill="FFFFFF"/>
        </w:rPr>
        <w:t xml:space="preserve">y the late </w:t>
      </w:r>
      <w:r>
        <w:rPr>
          <w:shd w:val="clear" w:color="auto" w:fill="FFFFFF"/>
        </w:rPr>
        <w:t>17</w:t>
      </w:r>
      <w:r w:rsidRPr="00471F6E">
        <w:rPr>
          <w:shd w:val="clear" w:color="auto" w:fill="FFFFFF"/>
          <w:vertAlign w:val="superscript"/>
        </w:rPr>
        <w:t>th</w:t>
      </w:r>
      <w:r>
        <w:rPr>
          <w:shd w:val="clear" w:color="auto" w:fill="FFFFFF"/>
        </w:rPr>
        <w:t xml:space="preserve"> and 18</w:t>
      </w:r>
      <w:r w:rsidRPr="000E4018">
        <w:rPr>
          <w:shd w:val="clear" w:color="auto" w:fill="FFFFFF"/>
          <w:vertAlign w:val="superscript"/>
        </w:rPr>
        <w:t>th</w:t>
      </w:r>
      <w:r>
        <w:rPr>
          <w:shd w:val="clear" w:color="auto" w:fill="FFFFFF"/>
        </w:rPr>
        <w:t xml:space="preserve"> </w:t>
      </w:r>
      <w:r w:rsidRPr="00CB1A33">
        <w:rPr>
          <w:shd w:val="clear" w:color="auto" w:fill="FFFFFF"/>
        </w:rPr>
        <w:t>century</w:t>
      </w:r>
      <w:r>
        <w:rPr>
          <w:shd w:val="clear" w:color="auto" w:fill="FFFFFF"/>
        </w:rPr>
        <w:t>,</w:t>
      </w:r>
      <w:r w:rsidRPr="00CB1A33">
        <w:rPr>
          <w:shd w:val="clear" w:color="auto" w:fill="FFFFFF"/>
        </w:rPr>
        <w:t xml:space="preserve"> the menace of an unchecked child was countered by more romanticised depiction</w:t>
      </w:r>
      <w:r>
        <w:rPr>
          <w:shd w:val="clear" w:color="auto" w:fill="FFFFFF"/>
        </w:rPr>
        <w:t>s</w:t>
      </w:r>
      <w:r w:rsidRPr="00CB1A33">
        <w:rPr>
          <w:shd w:val="clear" w:color="auto" w:fill="FFFFFF"/>
        </w:rPr>
        <w:t xml:space="preserve">, </w:t>
      </w:r>
      <w:r>
        <w:rPr>
          <w:shd w:val="clear" w:color="auto" w:fill="FFFFFF"/>
        </w:rPr>
        <w:t>although</w:t>
      </w:r>
      <w:r w:rsidRPr="00CB1A33">
        <w:rPr>
          <w:shd w:val="clear" w:color="auto" w:fill="FFFFFF"/>
        </w:rPr>
        <w:t xml:space="preserve"> education was still considered key to their transformation</w:t>
      </w:r>
      <w:r>
        <w:rPr>
          <w:shd w:val="clear" w:color="auto" w:fill="FFFFFF"/>
        </w:rPr>
        <w:t xml:space="preserve">. Two influential ideas came from </w:t>
      </w:r>
      <w:r w:rsidRPr="00CB1A33">
        <w:rPr>
          <w:shd w:val="clear" w:color="auto" w:fill="FFFFFF"/>
        </w:rPr>
        <w:t>Locke</w:t>
      </w:r>
      <w:r>
        <w:rPr>
          <w:shd w:val="clear" w:color="auto" w:fill="FFFFFF"/>
        </w:rPr>
        <w:t xml:space="preserve"> and Rousseau, with Locke </w:t>
      </w:r>
      <w:r w:rsidRPr="00CB1A33">
        <w:rPr>
          <w:shd w:val="clear" w:color="auto" w:fill="FFFFFF"/>
        </w:rPr>
        <w:t>(</w:t>
      </w:r>
      <w:r w:rsidR="00CB5B5E">
        <w:rPr>
          <w:shd w:val="clear" w:color="auto" w:fill="FFFFFF"/>
        </w:rPr>
        <w:t>1689</w:t>
      </w:r>
      <w:r w:rsidRPr="00CB1A33">
        <w:rPr>
          <w:shd w:val="clear" w:color="auto" w:fill="FFFFFF"/>
        </w:rPr>
        <w:t>) suggest</w:t>
      </w:r>
      <w:r>
        <w:rPr>
          <w:shd w:val="clear" w:color="auto" w:fill="FFFFFF"/>
        </w:rPr>
        <w:t>ing</w:t>
      </w:r>
      <w:r w:rsidRPr="00CB1A33">
        <w:rPr>
          <w:shd w:val="clear" w:color="auto" w:fill="FFFFFF"/>
        </w:rPr>
        <w:t xml:space="preserve"> that children </w:t>
      </w:r>
      <w:r>
        <w:rPr>
          <w:shd w:val="clear" w:color="auto" w:fill="FFFFFF"/>
        </w:rPr>
        <w:t>were</w:t>
      </w:r>
      <w:r w:rsidRPr="00CB1A33">
        <w:rPr>
          <w:shd w:val="clear" w:color="auto" w:fill="FFFFFF"/>
        </w:rPr>
        <w:t xml:space="preserve"> born as blank slates </w:t>
      </w:r>
      <w:r>
        <w:rPr>
          <w:shd w:val="clear" w:color="auto" w:fill="FFFFFF"/>
        </w:rPr>
        <w:t xml:space="preserve">and Rousseau </w:t>
      </w:r>
      <w:r w:rsidRPr="00CB1A33">
        <w:rPr>
          <w:shd w:val="clear" w:color="auto" w:fill="FFFFFF"/>
        </w:rPr>
        <w:t xml:space="preserve">(1762) </w:t>
      </w:r>
      <w:r>
        <w:rPr>
          <w:shd w:val="clear" w:color="auto" w:fill="FFFFFF"/>
        </w:rPr>
        <w:t xml:space="preserve">placing </w:t>
      </w:r>
      <w:r w:rsidRPr="00CB1A33">
        <w:rPr>
          <w:shd w:val="clear" w:color="auto" w:fill="FFFFFF"/>
        </w:rPr>
        <w:t xml:space="preserve">emphasis on </w:t>
      </w:r>
      <w:r>
        <w:rPr>
          <w:shd w:val="clear" w:color="auto" w:fill="FFFFFF"/>
        </w:rPr>
        <w:t xml:space="preserve">a child’s </w:t>
      </w:r>
      <w:r w:rsidRPr="00CB1A33">
        <w:rPr>
          <w:shd w:val="clear" w:color="auto" w:fill="FFFFFF"/>
        </w:rPr>
        <w:t>natural goodness</w:t>
      </w:r>
      <w:r>
        <w:rPr>
          <w:shd w:val="clear" w:color="auto" w:fill="FFFFFF"/>
        </w:rPr>
        <w:t>. In both cases</w:t>
      </w:r>
      <w:r w:rsidR="00ED632A">
        <w:rPr>
          <w:shd w:val="clear" w:color="auto" w:fill="FFFFFF"/>
        </w:rPr>
        <w:t>,</w:t>
      </w:r>
      <w:r w:rsidRPr="00E4665D">
        <w:rPr>
          <w:shd w:val="clear" w:color="auto" w:fill="FFFFFF"/>
        </w:rPr>
        <w:t xml:space="preserve"> </w:t>
      </w:r>
      <w:r w:rsidRPr="00CB1A33">
        <w:rPr>
          <w:shd w:val="clear" w:color="auto" w:fill="FFFFFF"/>
        </w:rPr>
        <w:t>education and experience</w:t>
      </w:r>
      <w:r>
        <w:rPr>
          <w:shd w:val="clear" w:color="auto" w:fill="FFFFFF"/>
        </w:rPr>
        <w:t xml:space="preserve"> were necessary in protecting the child’s innocence to help them become </w:t>
      </w:r>
      <w:r w:rsidRPr="00CB1A33">
        <w:rPr>
          <w:shd w:val="clear" w:color="auto" w:fill="FFFFFF"/>
        </w:rPr>
        <w:t>responsible adults</w:t>
      </w:r>
      <w:r>
        <w:rPr>
          <w:shd w:val="clear" w:color="auto" w:fill="FFFFFF"/>
        </w:rPr>
        <w:t>. H</w:t>
      </w:r>
      <w:r w:rsidRPr="00CB1A33">
        <w:rPr>
          <w:shd w:val="clear" w:color="auto" w:fill="FFFFFF"/>
        </w:rPr>
        <w:t>owever</w:t>
      </w:r>
      <w:r>
        <w:rPr>
          <w:shd w:val="clear" w:color="auto" w:fill="FFFFFF"/>
        </w:rPr>
        <w:t>,</w:t>
      </w:r>
      <w:r w:rsidRPr="00CB1A33">
        <w:rPr>
          <w:shd w:val="clear" w:color="auto" w:fill="FFFFFF"/>
        </w:rPr>
        <w:t xml:space="preserve"> </w:t>
      </w:r>
      <w:r>
        <w:rPr>
          <w:shd w:val="clear" w:color="auto" w:fill="FFFFFF"/>
        </w:rPr>
        <w:t xml:space="preserve">images of innocence where children were born with ‘unspoilt purity’ were </w:t>
      </w:r>
      <w:r w:rsidRPr="00CB1A33">
        <w:rPr>
          <w:shd w:val="clear" w:color="auto" w:fill="FFFFFF"/>
        </w:rPr>
        <w:t xml:space="preserve">idealised </w:t>
      </w:r>
      <w:r>
        <w:rPr>
          <w:shd w:val="clear" w:color="auto" w:fill="FFFFFF"/>
        </w:rPr>
        <w:t xml:space="preserve">(Garlen et al., 2020, p. 1). Such depictions did not reflect the experiences of </w:t>
      </w:r>
      <w:r w:rsidRPr="00CB1A33">
        <w:rPr>
          <w:shd w:val="clear" w:color="auto" w:fill="FFFFFF"/>
        </w:rPr>
        <w:t>children in working class families</w:t>
      </w:r>
      <w:r>
        <w:rPr>
          <w:shd w:val="clear" w:color="auto" w:fill="FFFFFF"/>
        </w:rPr>
        <w:t>, who were employed and</w:t>
      </w:r>
      <w:r w:rsidRPr="00CB1A33">
        <w:rPr>
          <w:shd w:val="clear" w:color="auto" w:fill="FFFFFF"/>
        </w:rPr>
        <w:t xml:space="preserve"> contribut</w:t>
      </w:r>
      <w:r>
        <w:rPr>
          <w:shd w:val="clear" w:color="auto" w:fill="FFFFFF"/>
        </w:rPr>
        <w:t>ing</w:t>
      </w:r>
      <w:r w:rsidRPr="00CB1A33">
        <w:rPr>
          <w:shd w:val="clear" w:color="auto" w:fill="FFFFFF"/>
        </w:rPr>
        <w:t xml:space="preserve"> to the household income (Kellett, 2014).</w:t>
      </w:r>
    </w:p>
    <w:p w14:paraId="0DF313C3" w14:textId="360C4E37" w:rsidR="0056661A" w:rsidRDefault="0056661A" w:rsidP="006E3485">
      <w:pPr>
        <w:rPr>
          <w:shd w:val="clear" w:color="auto" w:fill="FFFFFF"/>
        </w:rPr>
      </w:pPr>
      <w:r>
        <w:rPr>
          <w:shd w:val="clear" w:color="auto" w:fill="FFFFFF"/>
        </w:rPr>
        <w:t>Moving into the 19</w:t>
      </w:r>
      <w:r w:rsidRPr="00E4665D">
        <w:rPr>
          <w:shd w:val="clear" w:color="auto" w:fill="FFFFFF"/>
          <w:vertAlign w:val="superscript"/>
        </w:rPr>
        <w:t>th</w:t>
      </w:r>
      <w:r>
        <w:rPr>
          <w:shd w:val="clear" w:color="auto" w:fill="FFFFFF"/>
        </w:rPr>
        <w:t xml:space="preserve"> century</w:t>
      </w:r>
      <w:r w:rsidRPr="00CB1A33">
        <w:rPr>
          <w:shd w:val="clear" w:color="auto" w:fill="FFFFFF"/>
        </w:rPr>
        <w:t xml:space="preserve">, </w:t>
      </w:r>
      <w:r>
        <w:rPr>
          <w:shd w:val="clear" w:color="auto" w:fill="FFFFFF"/>
        </w:rPr>
        <w:t xml:space="preserve">idealised views of childhood became a </w:t>
      </w:r>
      <w:r w:rsidRPr="00CB1A33">
        <w:rPr>
          <w:shd w:val="clear" w:color="auto" w:fill="FFFFFF"/>
        </w:rPr>
        <w:t>‘solidly rooted’ paradigm within middle class society (</w:t>
      </w:r>
      <w:r>
        <w:rPr>
          <w:shd w:val="clear" w:color="auto" w:fill="FFFFFF"/>
        </w:rPr>
        <w:t xml:space="preserve">Kellett, </w:t>
      </w:r>
      <w:r w:rsidRPr="00CB1A33">
        <w:rPr>
          <w:shd w:val="clear" w:color="auto" w:fill="FFFFFF"/>
        </w:rPr>
        <w:t xml:space="preserve">2014, p. 17). </w:t>
      </w:r>
      <w:r>
        <w:rPr>
          <w:shd w:val="clear" w:color="auto" w:fill="FFFFFF"/>
        </w:rPr>
        <w:t>Education had become key in marking progress, offering a framework for childhood to start and end through educational attainment (Postman, 1994). Opportunities for children in working class families starkly contrasted these idyllic perceptions and use of child labour during periods of industrial growth highlighted misguided perceptions of</w:t>
      </w:r>
      <w:r w:rsidRPr="00CB1A33">
        <w:rPr>
          <w:shd w:val="clear" w:color="auto" w:fill="FFFFFF"/>
        </w:rPr>
        <w:t xml:space="preserve"> </w:t>
      </w:r>
      <w:r>
        <w:rPr>
          <w:shd w:val="clear" w:color="auto" w:fill="FFFFFF"/>
        </w:rPr>
        <w:t xml:space="preserve">a universal childhood (Goldson, </w:t>
      </w:r>
      <w:r w:rsidR="00713FCE">
        <w:rPr>
          <w:shd w:val="clear" w:color="auto" w:fill="FFFFFF"/>
        </w:rPr>
        <w:t>1997</w:t>
      </w:r>
      <w:r>
        <w:rPr>
          <w:shd w:val="clear" w:color="auto" w:fill="FFFFFF"/>
        </w:rPr>
        <w:t>). Nevertheless, the desire to protect children and maintain the innocence of childhood</w:t>
      </w:r>
      <w:r w:rsidRPr="00CB1A33">
        <w:rPr>
          <w:shd w:val="clear" w:color="auto" w:fill="FFFFFF"/>
        </w:rPr>
        <w:t xml:space="preserve"> became an enduring discourse, evident in gradual changes to employment and education policy (James and James, 2004).</w:t>
      </w:r>
      <w:r>
        <w:rPr>
          <w:shd w:val="clear" w:color="auto" w:fill="FFFFFF"/>
        </w:rPr>
        <w:t xml:space="preserve"> </w:t>
      </w:r>
      <w:r>
        <w:rPr>
          <w:shd w:val="clear" w:color="auto" w:fill="FFFFFF"/>
        </w:rPr>
        <w:lastRenderedPageBreak/>
        <w:t>School became instrumental in reshaping children’s lives from worker to pupil, creating a foundation for a national model of childhood (Hendrick, 2015). In addition to the prominence of education, by the late 19</w:t>
      </w:r>
      <w:r w:rsidRPr="001B0008">
        <w:rPr>
          <w:shd w:val="clear" w:color="auto" w:fill="FFFFFF"/>
          <w:vertAlign w:val="superscript"/>
        </w:rPr>
        <w:t>th</w:t>
      </w:r>
      <w:r>
        <w:rPr>
          <w:shd w:val="clear" w:color="auto" w:fill="FFFFFF"/>
        </w:rPr>
        <w:t xml:space="preserve"> and early 20</w:t>
      </w:r>
      <w:r w:rsidRPr="001B0008">
        <w:rPr>
          <w:shd w:val="clear" w:color="auto" w:fill="FFFFFF"/>
          <w:vertAlign w:val="superscript"/>
        </w:rPr>
        <w:t>th</w:t>
      </w:r>
      <w:r>
        <w:rPr>
          <w:shd w:val="clear" w:color="auto" w:fill="FFFFFF"/>
          <w:vertAlign w:val="superscript"/>
        </w:rPr>
        <w:t xml:space="preserve"> </w:t>
      </w:r>
      <w:r>
        <w:rPr>
          <w:shd w:val="clear" w:color="auto" w:fill="FFFFFF"/>
        </w:rPr>
        <w:t xml:space="preserve">century the fields of psychology, sociology and psychiatry were also expanding to examine human experiences (Goldson, 2004). Through education and these developing </w:t>
      </w:r>
      <w:r w:rsidR="00C00D51">
        <w:rPr>
          <w:shd w:val="clear" w:color="auto" w:fill="FFFFFF"/>
        </w:rPr>
        <w:t>social sciences</w:t>
      </w:r>
      <w:r>
        <w:rPr>
          <w:shd w:val="clear" w:color="auto" w:fill="FFFFFF"/>
        </w:rPr>
        <w:t xml:space="preserve">, knowledge and expertise about children began to develop, which formed a combined picture of childhood (Garlen et al., 2020). Professionalising childhood through application of knowledge created a network of organisations concerned with the transformation of children into adults (Goldson, 2004). Foucault (1981) argued these mechanisms were used to </w:t>
      </w:r>
      <w:r w:rsidRPr="004D35C7">
        <w:rPr>
          <w:i/>
          <w:iCs/>
          <w:shd w:val="clear" w:color="auto" w:fill="FFFFFF"/>
        </w:rPr>
        <w:t>know</w:t>
      </w:r>
      <w:r>
        <w:rPr>
          <w:shd w:val="clear" w:color="auto" w:fill="FFFFFF"/>
        </w:rPr>
        <w:t xml:space="preserve"> a subject and ensure that childhood became ‘reinforced and renewed by whole strata of practices’ (</w:t>
      </w:r>
      <w:r w:rsidR="00D05983">
        <w:rPr>
          <w:shd w:val="clear" w:color="auto" w:fill="FFFFFF"/>
        </w:rPr>
        <w:t xml:space="preserve">1981, </w:t>
      </w:r>
      <w:r>
        <w:rPr>
          <w:shd w:val="clear" w:color="auto" w:fill="FFFFFF"/>
        </w:rPr>
        <w:t>p</w:t>
      </w:r>
      <w:r w:rsidRPr="006E0AFD">
        <w:rPr>
          <w:shd w:val="clear" w:color="auto" w:fill="FFFFFF"/>
        </w:rPr>
        <w:t>. 55).</w:t>
      </w:r>
    </w:p>
    <w:p w14:paraId="41FB3798" w14:textId="41917892" w:rsidR="0056661A" w:rsidRDefault="0056661A" w:rsidP="006E3485">
      <w:pPr>
        <w:rPr>
          <w:shd w:val="clear" w:color="auto" w:fill="FFFFFF"/>
        </w:rPr>
      </w:pPr>
      <w:r>
        <w:rPr>
          <w:shd w:val="clear" w:color="auto" w:fill="FFFFFF"/>
        </w:rPr>
        <w:t xml:space="preserve">By the </w:t>
      </w:r>
      <w:r w:rsidR="00025378">
        <w:rPr>
          <w:shd w:val="clear" w:color="auto" w:fill="FFFFFF"/>
        </w:rPr>
        <w:t>S</w:t>
      </w:r>
      <w:r>
        <w:rPr>
          <w:shd w:val="clear" w:color="auto" w:fill="FFFFFF"/>
        </w:rPr>
        <w:t>econd</w:t>
      </w:r>
      <w:r w:rsidRPr="00CB1A33">
        <w:rPr>
          <w:shd w:val="clear" w:color="auto" w:fill="FFFFFF"/>
        </w:rPr>
        <w:t xml:space="preserve"> World War child</w:t>
      </w:r>
      <w:r>
        <w:rPr>
          <w:shd w:val="clear" w:color="auto" w:fill="FFFFFF"/>
        </w:rPr>
        <w:t>hood came to symbolise</w:t>
      </w:r>
      <w:r w:rsidRPr="00CB1A33">
        <w:rPr>
          <w:shd w:val="clear" w:color="auto" w:fill="FFFFFF"/>
        </w:rPr>
        <w:t xml:space="preserve"> the future</w:t>
      </w:r>
      <w:r>
        <w:rPr>
          <w:shd w:val="clear" w:color="auto" w:fill="FFFFFF"/>
        </w:rPr>
        <w:t xml:space="preserve"> regeneration of society</w:t>
      </w:r>
      <w:r w:rsidRPr="00CB1A33">
        <w:rPr>
          <w:shd w:val="clear" w:color="auto" w:fill="FFFFFF"/>
        </w:rPr>
        <w:t xml:space="preserve"> (Kellett, 2014)</w:t>
      </w:r>
      <w:r>
        <w:rPr>
          <w:shd w:val="clear" w:color="auto" w:fill="FFFFFF"/>
        </w:rPr>
        <w:t xml:space="preserve"> and ensuring the protection of children </w:t>
      </w:r>
      <w:r w:rsidRPr="00CB1A33">
        <w:rPr>
          <w:shd w:val="clear" w:color="auto" w:fill="FFFFFF"/>
        </w:rPr>
        <w:t>imperative to economic growth and prosperity of a post war country (Fox Harding, 1997)</w:t>
      </w:r>
      <w:r>
        <w:rPr>
          <w:shd w:val="clear" w:color="auto" w:fill="FFFFFF"/>
        </w:rPr>
        <w:t>. Protective narratives of childhood continued, and co</w:t>
      </w:r>
      <w:r w:rsidR="00037191">
        <w:rPr>
          <w:shd w:val="clear" w:color="auto" w:fill="FFFFFF"/>
        </w:rPr>
        <w:t>-</w:t>
      </w:r>
      <w:r>
        <w:rPr>
          <w:shd w:val="clear" w:color="auto" w:fill="FFFFFF"/>
        </w:rPr>
        <w:t xml:space="preserve">occurred with other interpretations, creating a ‘multiplicity’ of contemporary discourses (Prout, 2005, p. 144). Singular ideas about children as ‘biological entities’ were replaced by socially constructed understandings that moved in and out of favour depending on the issue in question (Wyness, 2000, p. 22.). These multiple discourses are apparent during the 1980s and </w:t>
      </w:r>
      <w:r w:rsidR="00025378">
        <w:rPr>
          <w:shd w:val="clear" w:color="auto" w:fill="FFFFFF"/>
        </w:rPr>
        <w:t>19</w:t>
      </w:r>
      <w:r>
        <w:rPr>
          <w:shd w:val="clear" w:color="auto" w:fill="FFFFFF"/>
        </w:rPr>
        <w:t>90s, where children were seen as either the ‘cause and product of wider social disorder’ (Goldson, 2004, p. 38) or vulnerable to the outside world (James and James, 2004). The interchange of vulnerability, responsibility and agency can be seen in descriptions of children in care and young people leaving care. A child in care can simultaneously be described as ‘deprived and disadvantaged’ (Sen, 2018, p. 1) and as a ‘risky young offender’ (Evans, 2017, p. 25).</w:t>
      </w:r>
    </w:p>
    <w:p w14:paraId="0EABC98A" w14:textId="6516DEAD" w:rsidR="0056661A" w:rsidRDefault="0056661A" w:rsidP="005C65E8">
      <w:pPr>
        <w:pStyle w:val="Heading3"/>
        <w:rPr>
          <w:shd w:val="clear" w:color="auto" w:fill="FFFFFF"/>
        </w:rPr>
      </w:pPr>
      <w:r>
        <w:rPr>
          <w:rFonts w:eastAsia="Times New Roman"/>
          <w:shd w:val="clear" w:color="auto" w:fill="FFFFFF"/>
        </w:rPr>
        <w:t>Disappearance and Adolescence</w:t>
      </w:r>
    </w:p>
    <w:p w14:paraId="6F5F7225" w14:textId="1A235125" w:rsidR="0056661A" w:rsidRDefault="0056661A" w:rsidP="008E4AF2">
      <w:pPr>
        <w:rPr>
          <w:shd w:val="clear" w:color="auto" w:fill="FFFFFF"/>
        </w:rPr>
      </w:pPr>
      <w:r>
        <w:rPr>
          <w:shd w:val="clear" w:color="auto" w:fill="FFFFFF"/>
        </w:rPr>
        <w:t>For some writers the question of childhood bec</w:t>
      </w:r>
      <w:r w:rsidR="001C0BC3">
        <w:rPr>
          <w:shd w:val="clear" w:color="auto" w:fill="FFFFFF"/>
        </w:rPr>
        <w:t>a</w:t>
      </w:r>
      <w:r>
        <w:rPr>
          <w:shd w:val="clear" w:color="auto" w:fill="FFFFFF"/>
        </w:rPr>
        <w:t xml:space="preserve">me obsolete as society evolved, fearing that social progress eroded this phase. In his foundational work </w:t>
      </w:r>
      <w:r w:rsidRPr="008B563F">
        <w:rPr>
          <w:i/>
          <w:iCs/>
          <w:shd w:val="clear" w:color="auto" w:fill="FFFFFF"/>
        </w:rPr>
        <w:t>The Disappearance of Childhood</w:t>
      </w:r>
      <w:r>
        <w:rPr>
          <w:shd w:val="clear" w:color="auto" w:fill="FFFFFF"/>
        </w:rPr>
        <w:t>, educationist Postman argued that technologies like print and television blurred the lines between childhood and adulthood, stating that ‘everything is for everybody’ (1994, p.</w:t>
      </w:r>
      <w:r w:rsidR="00D7693D">
        <w:rPr>
          <w:shd w:val="clear" w:color="auto" w:fill="FFFFFF"/>
        </w:rPr>
        <w:t xml:space="preserve"> </w:t>
      </w:r>
      <w:r>
        <w:rPr>
          <w:shd w:val="clear" w:color="auto" w:fill="FFFFFF"/>
        </w:rPr>
        <w:t xml:space="preserve">76). He argued that opening up areas of society that were previously unknown to children was instrumental to their loss of innocence. </w:t>
      </w:r>
      <w:r w:rsidRPr="00CC2CD8">
        <w:rPr>
          <w:shd w:val="clear" w:color="auto" w:fill="FFFFFF"/>
        </w:rPr>
        <w:t xml:space="preserve">Binary </w:t>
      </w:r>
      <w:r>
        <w:rPr>
          <w:shd w:val="clear" w:color="auto" w:fill="FFFFFF"/>
        </w:rPr>
        <w:t xml:space="preserve">and linear </w:t>
      </w:r>
      <w:r w:rsidRPr="00CC2CD8">
        <w:rPr>
          <w:shd w:val="clear" w:color="auto" w:fill="FFFFFF"/>
        </w:rPr>
        <w:t xml:space="preserve">understandings of child </w:t>
      </w:r>
      <w:r>
        <w:rPr>
          <w:shd w:val="clear" w:color="auto" w:fill="FFFFFF"/>
        </w:rPr>
        <w:t xml:space="preserve">to </w:t>
      </w:r>
      <w:r w:rsidRPr="00CC2CD8">
        <w:rPr>
          <w:shd w:val="clear" w:color="auto" w:fill="FFFFFF"/>
        </w:rPr>
        <w:t xml:space="preserve">adulthood have </w:t>
      </w:r>
      <w:r>
        <w:rPr>
          <w:shd w:val="clear" w:color="auto" w:fill="FFFFFF"/>
        </w:rPr>
        <w:t xml:space="preserve">also </w:t>
      </w:r>
      <w:r w:rsidRPr="00CC2CD8">
        <w:rPr>
          <w:shd w:val="clear" w:color="auto" w:fill="FFFFFF"/>
        </w:rPr>
        <w:t xml:space="preserve">been recently recognised as </w:t>
      </w:r>
      <w:r>
        <w:rPr>
          <w:shd w:val="clear" w:color="auto" w:fill="FFFFFF"/>
        </w:rPr>
        <w:t xml:space="preserve">insufficient. The terms youth, adolescent or teenager used across different disciplines, intersect traditional child and adulthood phases but continue to reflect the dichotomous portrayals of innocence or menace (Roberts, 2012). Seen as a period of transition, this interim zone is neither childhood nor adulthood and </w:t>
      </w:r>
      <w:r>
        <w:rPr>
          <w:shd w:val="clear" w:color="auto" w:fill="FFFFFF"/>
        </w:rPr>
        <w:lastRenderedPageBreak/>
        <w:t xml:space="preserve">spans an awkward period where protection and risk-taking overlap (Kelly, 2006). </w:t>
      </w:r>
      <w:r w:rsidRPr="00CC2CD8">
        <w:rPr>
          <w:shd w:val="clear" w:color="auto" w:fill="FFFFFF"/>
        </w:rPr>
        <w:t xml:space="preserve">Arnett (2015) </w:t>
      </w:r>
      <w:r>
        <w:rPr>
          <w:shd w:val="clear" w:color="auto" w:fill="FFFFFF"/>
        </w:rPr>
        <w:t xml:space="preserve">argues for the </w:t>
      </w:r>
      <w:r w:rsidRPr="00CC2CD8">
        <w:rPr>
          <w:shd w:val="clear" w:color="auto" w:fill="FFFFFF"/>
        </w:rPr>
        <w:t xml:space="preserve">blurring </w:t>
      </w:r>
      <w:r>
        <w:rPr>
          <w:shd w:val="clear" w:color="auto" w:fill="FFFFFF"/>
        </w:rPr>
        <w:t>of</w:t>
      </w:r>
      <w:r w:rsidRPr="00CC2CD8">
        <w:rPr>
          <w:shd w:val="clear" w:color="auto" w:fill="FFFFFF"/>
        </w:rPr>
        <w:t xml:space="preserve"> edges between </w:t>
      </w:r>
      <w:r>
        <w:rPr>
          <w:shd w:val="clear" w:color="auto" w:fill="FFFFFF"/>
        </w:rPr>
        <w:t xml:space="preserve">child and adulthood </w:t>
      </w:r>
      <w:r w:rsidRPr="00CC2CD8">
        <w:rPr>
          <w:shd w:val="clear" w:color="auto" w:fill="FFFFFF"/>
        </w:rPr>
        <w:t xml:space="preserve">by framing the years between 18 and 25 as </w:t>
      </w:r>
      <w:r w:rsidRPr="00CC2CD8">
        <w:rPr>
          <w:i/>
          <w:iCs/>
          <w:shd w:val="clear" w:color="auto" w:fill="FFFFFF"/>
        </w:rPr>
        <w:t>emerging adulthood</w:t>
      </w:r>
      <w:r w:rsidRPr="00CC2CD8">
        <w:rPr>
          <w:shd w:val="clear" w:color="auto" w:fill="FFFFFF"/>
        </w:rPr>
        <w:t xml:space="preserve">. </w:t>
      </w:r>
      <w:r>
        <w:rPr>
          <w:shd w:val="clear" w:color="auto" w:fill="FFFFFF"/>
        </w:rPr>
        <w:t xml:space="preserve">Redefining a space between child and adulthood </w:t>
      </w:r>
      <w:r w:rsidRPr="00CC2CD8">
        <w:rPr>
          <w:shd w:val="clear" w:color="auto" w:fill="FFFFFF"/>
        </w:rPr>
        <w:t xml:space="preserve">emphasises the need to move away from </w:t>
      </w:r>
      <w:r>
        <w:rPr>
          <w:shd w:val="clear" w:color="auto" w:fill="FFFFFF"/>
        </w:rPr>
        <w:t>suppositions that</w:t>
      </w:r>
      <w:r w:rsidRPr="00CC2CD8">
        <w:rPr>
          <w:shd w:val="clear" w:color="auto" w:fill="FFFFFF"/>
        </w:rPr>
        <w:t xml:space="preserve"> chronological change</w:t>
      </w:r>
      <w:r>
        <w:rPr>
          <w:shd w:val="clear" w:color="auto" w:fill="FFFFFF"/>
        </w:rPr>
        <w:t>s</w:t>
      </w:r>
      <w:r w:rsidRPr="00CC2CD8">
        <w:rPr>
          <w:shd w:val="clear" w:color="auto" w:fill="FFFFFF"/>
        </w:rPr>
        <w:t xml:space="preserve"> automatically equip someone to navigate adulthood</w:t>
      </w:r>
      <w:r>
        <w:rPr>
          <w:shd w:val="clear" w:color="auto" w:fill="FFFFFF"/>
        </w:rPr>
        <w:t xml:space="preserve"> </w:t>
      </w:r>
      <w:r w:rsidR="005368CD">
        <w:rPr>
          <w:shd w:val="clear" w:color="auto" w:fill="FFFFFF"/>
        </w:rPr>
        <w:t>—</w:t>
      </w:r>
      <w:r>
        <w:rPr>
          <w:shd w:val="clear" w:color="auto" w:fill="FFFFFF"/>
        </w:rPr>
        <w:t xml:space="preserve"> assuming competence comes with age. Although Arnett’s theory promotes greater awareness about transitions between child and adulthood for young people leaving care (Mann-Feeder, 2019) it has yet to proliferate into wider practice application with established developmental schemas continuing to shape a child’s progress.</w:t>
      </w:r>
    </w:p>
    <w:p w14:paraId="6F94C304" w14:textId="12D4D2E6" w:rsidR="0056661A" w:rsidRDefault="0056661A" w:rsidP="006E3485">
      <w:r>
        <w:t xml:space="preserve">Despite alternative perspectives from writers including Postman and Arnett, childhood has continued to be </w:t>
      </w:r>
      <w:r w:rsidRPr="00CB1A33">
        <w:t xml:space="preserve">thought of as </w:t>
      </w:r>
      <w:r>
        <w:t xml:space="preserve">a </w:t>
      </w:r>
      <w:r w:rsidRPr="00CB1A33">
        <w:t>distinct</w:t>
      </w:r>
      <w:r>
        <w:t xml:space="preserve"> phase</w:t>
      </w:r>
      <w:r w:rsidRPr="00CB1A33">
        <w:t xml:space="preserve">, with emphasis </w:t>
      </w:r>
      <w:r>
        <w:t xml:space="preserve">on a child’s </w:t>
      </w:r>
      <w:r w:rsidRPr="00CB1A33">
        <w:t>vulnerab</w:t>
      </w:r>
      <w:r>
        <w:t xml:space="preserve">ility and </w:t>
      </w:r>
      <w:r w:rsidRPr="00CB1A33">
        <w:t>unfinished state</w:t>
      </w:r>
      <w:r w:rsidR="00716F63">
        <w:t xml:space="preserve"> that moves between becoming and being an adult (Uprichard, 2008)</w:t>
      </w:r>
      <w:r>
        <w:t>.</w:t>
      </w:r>
      <w:r w:rsidRPr="005D7E05">
        <w:rPr>
          <w:color w:val="000000" w:themeColor="text1"/>
          <w:shd w:val="clear" w:color="auto" w:fill="FFFFFF"/>
        </w:rPr>
        <w:t xml:space="preserve"> </w:t>
      </w:r>
      <w:r>
        <w:rPr>
          <w:color w:val="000000" w:themeColor="text1"/>
          <w:shd w:val="clear" w:color="auto" w:fill="FFFFFF"/>
        </w:rPr>
        <w:t>T</w:t>
      </w:r>
      <w:r w:rsidRPr="00CB1A33">
        <w:rPr>
          <w:color w:val="000000" w:themeColor="text1"/>
          <w:shd w:val="clear" w:color="auto" w:fill="FFFFFF"/>
        </w:rPr>
        <w:t xml:space="preserve">he popularity of this construct is founded on adult conceptions of how childhood should be, rather than </w:t>
      </w:r>
      <w:r>
        <w:rPr>
          <w:color w:val="000000" w:themeColor="text1"/>
          <w:shd w:val="clear" w:color="auto" w:fill="FFFFFF"/>
        </w:rPr>
        <w:t>a child’s lived experience (</w:t>
      </w:r>
      <w:r w:rsidRPr="00CB1A33">
        <w:rPr>
          <w:color w:val="000000" w:themeColor="text1"/>
          <w:shd w:val="clear" w:color="auto" w:fill="FFFFFF"/>
        </w:rPr>
        <w:t>Kehily</w:t>
      </w:r>
      <w:r>
        <w:rPr>
          <w:color w:val="000000" w:themeColor="text1"/>
          <w:shd w:val="clear" w:color="auto" w:fill="FFFFFF"/>
        </w:rPr>
        <w:t xml:space="preserve">, </w:t>
      </w:r>
      <w:r w:rsidRPr="00CB1A33">
        <w:rPr>
          <w:color w:val="000000" w:themeColor="text1"/>
          <w:shd w:val="clear" w:color="auto" w:fill="FFFFFF"/>
        </w:rPr>
        <w:t>2004)</w:t>
      </w:r>
      <w:r>
        <w:rPr>
          <w:color w:val="000000" w:themeColor="text1"/>
          <w:shd w:val="clear" w:color="auto" w:fill="FFFFFF"/>
        </w:rPr>
        <w:t xml:space="preserve"> which is then transformed by knowledgeable adults (Cook, 2020). Although contemporary ideas of childhood are contentious, Smith suggests that children are predominantly defined ‘in terms of their relationships with adults and adulthood’ (2010, p.181), evident in the use of chronological social markers to permit or prevent children’s access to supposed adult roles. Therefore, </w:t>
      </w:r>
      <w:r>
        <w:t>c</w:t>
      </w:r>
      <w:r w:rsidRPr="00CB1A33">
        <w:t xml:space="preserve">hildhood </w:t>
      </w:r>
      <w:r>
        <w:t>operates as an</w:t>
      </w:r>
      <w:r w:rsidRPr="00CB1A33">
        <w:t xml:space="preserve"> apprenticeship for adulthood dependent on biological, cognitive and emotional developmental </w:t>
      </w:r>
      <w:r>
        <w:t>stages</w:t>
      </w:r>
      <w:r w:rsidRPr="00CB1A33">
        <w:t xml:space="preserve"> (Mayall, 200</w:t>
      </w:r>
      <w:r>
        <w:t>0</w:t>
      </w:r>
      <w:r w:rsidRPr="00CB1A33">
        <w:t xml:space="preserve">). </w:t>
      </w:r>
      <w:r>
        <w:t>These</w:t>
      </w:r>
      <w:r w:rsidRPr="00CB1A33">
        <w:t xml:space="preserve"> incremental step</w:t>
      </w:r>
      <w:r>
        <w:t>s</w:t>
      </w:r>
      <w:r w:rsidRPr="00CB1A33">
        <w:t xml:space="preserve"> </w:t>
      </w:r>
      <w:r>
        <w:t xml:space="preserve">are </w:t>
      </w:r>
      <w:r w:rsidRPr="00CB1A33">
        <w:t>based on accepted</w:t>
      </w:r>
      <w:r>
        <w:t xml:space="preserve"> and established</w:t>
      </w:r>
      <w:r w:rsidRPr="00CB1A33">
        <w:t xml:space="preserve"> child developmental knowledge,</w:t>
      </w:r>
      <w:r>
        <w:t xml:space="preserve"> which </w:t>
      </w:r>
      <w:r w:rsidRPr="003229A6">
        <w:t>Mayall (2000) argues</w:t>
      </w:r>
      <w:r>
        <w:t xml:space="preserve"> </w:t>
      </w:r>
      <w:r w:rsidRPr="00CB1A33">
        <w:t>is a ‘political enterprise’ (</w:t>
      </w:r>
      <w:r w:rsidR="001229E0">
        <w:t xml:space="preserve">220, </w:t>
      </w:r>
      <w:r w:rsidRPr="00CB1A33">
        <w:t>p. 247).</w:t>
      </w:r>
      <w:r>
        <w:rPr>
          <w:color w:val="000000" w:themeColor="text1"/>
          <w:shd w:val="clear" w:color="auto" w:fill="FFFFFF"/>
        </w:rPr>
        <w:t xml:space="preserve"> Consequently, t</w:t>
      </w:r>
      <w:r w:rsidRPr="00CB1A33">
        <w:rPr>
          <w:color w:val="000000" w:themeColor="text1"/>
          <w:shd w:val="clear" w:color="auto" w:fill="FFFFFF"/>
        </w:rPr>
        <w:t xml:space="preserve">he </w:t>
      </w:r>
      <w:r w:rsidR="00FF10AC">
        <w:rPr>
          <w:color w:val="000000" w:themeColor="text1"/>
          <w:shd w:val="clear" w:color="auto" w:fill="FFFFFF"/>
        </w:rPr>
        <w:t>subjectivity</w:t>
      </w:r>
      <w:r w:rsidRPr="00CB1A33">
        <w:rPr>
          <w:color w:val="000000" w:themeColor="text1"/>
          <w:shd w:val="clear" w:color="auto" w:fill="FFFFFF"/>
        </w:rPr>
        <w:t xml:space="preserve"> of childhood is </w:t>
      </w:r>
      <w:r w:rsidR="00FF10AC">
        <w:rPr>
          <w:color w:val="000000" w:themeColor="text1"/>
          <w:shd w:val="clear" w:color="auto" w:fill="FFFFFF"/>
        </w:rPr>
        <w:t>produced</w:t>
      </w:r>
      <w:r w:rsidRPr="00CB1A33">
        <w:rPr>
          <w:color w:val="000000" w:themeColor="text1"/>
          <w:shd w:val="clear" w:color="auto" w:fill="FFFFFF"/>
        </w:rPr>
        <w:t xml:space="preserve"> in social and political spaces</w:t>
      </w:r>
      <w:r w:rsidR="00FF10AC">
        <w:rPr>
          <w:color w:val="000000" w:themeColor="text1"/>
          <w:shd w:val="clear" w:color="auto" w:fill="FFFFFF"/>
        </w:rPr>
        <w:t xml:space="preserve"> through different forms of knowledge</w:t>
      </w:r>
      <w:r w:rsidRPr="00CB1A33">
        <w:rPr>
          <w:color w:val="000000" w:themeColor="text1"/>
          <w:shd w:val="clear" w:color="auto" w:fill="FFFFFF"/>
        </w:rPr>
        <w:t>, highlighting the circumstantial nature of a child’s experience.</w:t>
      </w:r>
      <w:r w:rsidRPr="001B1D3A">
        <w:rPr>
          <w:color w:val="000000" w:themeColor="text1"/>
          <w:shd w:val="clear" w:color="auto" w:fill="FFFFFF"/>
        </w:rPr>
        <w:t xml:space="preserve"> </w:t>
      </w:r>
      <w:r>
        <w:rPr>
          <w:color w:val="000000" w:themeColor="text1"/>
          <w:shd w:val="clear" w:color="auto" w:fill="FFFFFF"/>
        </w:rPr>
        <w:t>One such context is a child’s rights to participate</w:t>
      </w:r>
      <w:r w:rsidR="00AD49E9">
        <w:rPr>
          <w:color w:val="000000" w:themeColor="text1"/>
          <w:shd w:val="clear" w:color="auto" w:fill="FFFFFF"/>
        </w:rPr>
        <w:t>,</w:t>
      </w:r>
      <w:r>
        <w:rPr>
          <w:color w:val="000000" w:themeColor="text1"/>
          <w:shd w:val="clear" w:color="auto" w:fill="FFFFFF"/>
        </w:rPr>
        <w:t xml:space="preserve"> which is now </w:t>
      </w:r>
      <w:r w:rsidRPr="00CB1A33">
        <w:rPr>
          <w:color w:val="000000" w:themeColor="text1"/>
          <w:shd w:val="clear" w:color="auto" w:fill="FFFFFF"/>
        </w:rPr>
        <w:t xml:space="preserve">discussed. </w:t>
      </w:r>
    </w:p>
    <w:p w14:paraId="390A6544" w14:textId="7E47D089" w:rsidR="0056661A" w:rsidRDefault="0056661A">
      <w:pPr>
        <w:pStyle w:val="Heading2"/>
        <w:rPr>
          <w:rFonts w:eastAsia="Times New Roman"/>
          <w:shd w:val="clear" w:color="auto" w:fill="FFFFFF"/>
        </w:rPr>
      </w:pPr>
      <w:bookmarkStart w:id="37" w:name="_Toc101108491"/>
      <w:r>
        <w:rPr>
          <w:rFonts w:eastAsia="Times New Roman"/>
          <w:shd w:val="clear" w:color="auto" w:fill="FFFFFF"/>
        </w:rPr>
        <w:t>Article 12 and the Language of Participation</w:t>
      </w:r>
      <w:bookmarkEnd w:id="37"/>
    </w:p>
    <w:p w14:paraId="4E886676" w14:textId="2E58BC16" w:rsidR="000E4018" w:rsidRPr="00EA1D2E" w:rsidRDefault="0056661A" w:rsidP="00EA1D2E">
      <w:pPr>
        <w:rPr>
          <w:color w:val="000000" w:themeColor="text1"/>
          <w:shd w:val="clear" w:color="auto" w:fill="FFFFFF"/>
        </w:rPr>
      </w:pPr>
      <w:r>
        <w:t xml:space="preserve">The discourses discussed </w:t>
      </w:r>
      <w:r w:rsidR="00025378">
        <w:t xml:space="preserve">in the previous section </w:t>
      </w:r>
      <w:r>
        <w:t xml:space="preserve">determine </w:t>
      </w:r>
      <w:r w:rsidR="00FF10AC">
        <w:t>whether</w:t>
      </w:r>
      <w:r>
        <w:t xml:space="preserve"> children and young people’s rights are executed, and in my research how social workers and foster carers approach the involvement of young people’s </w:t>
      </w:r>
      <w:r w:rsidR="00DC59B2">
        <w:rPr>
          <w:color w:val="000000" w:themeColor="text1"/>
          <w:shd w:val="clear" w:color="auto" w:fill="FFFFFF"/>
        </w:rPr>
        <w:t>decision-making</w:t>
      </w:r>
      <w:r>
        <w:rPr>
          <w:color w:val="000000" w:themeColor="text1"/>
          <w:shd w:val="clear" w:color="auto" w:fill="FFFFFF"/>
        </w:rPr>
        <w:t xml:space="preserve">. Positioning children as objects of concern (Cashmore, 2002) contrasts with more rights-based perspectives that recognise children as rights holders (Smith, 2010). Attempts to assert the latter understanding are founded on Article 12 of the </w:t>
      </w:r>
      <w:r w:rsidRPr="00B65002">
        <w:rPr>
          <w:i/>
          <w:iCs/>
          <w:color w:val="000000" w:themeColor="text1"/>
          <w:shd w:val="clear" w:color="auto" w:fill="FFFFFF"/>
        </w:rPr>
        <w:t>United Nations Convention for the Rights of the Child</w:t>
      </w:r>
      <w:r>
        <w:rPr>
          <w:color w:val="000000" w:themeColor="text1"/>
          <w:shd w:val="clear" w:color="auto" w:fill="FFFFFF"/>
        </w:rPr>
        <w:t xml:space="preserve"> which specifies that children should have the opportunity to ‘be h</w:t>
      </w:r>
      <w:r w:rsidR="00025378">
        <w:rPr>
          <w:color w:val="000000" w:themeColor="text1"/>
          <w:shd w:val="clear" w:color="auto" w:fill="FFFFFF"/>
        </w:rPr>
        <w:t>e</w:t>
      </w:r>
      <w:r>
        <w:rPr>
          <w:color w:val="000000" w:themeColor="text1"/>
          <w:shd w:val="clear" w:color="auto" w:fill="FFFFFF"/>
        </w:rPr>
        <w:t xml:space="preserve">ard in judicial </w:t>
      </w:r>
      <w:r>
        <w:rPr>
          <w:color w:val="000000" w:themeColor="text1"/>
          <w:shd w:val="clear" w:color="auto" w:fill="FFFFFF"/>
        </w:rPr>
        <w:lastRenderedPageBreak/>
        <w:t>and administrative procedures’ that affect them (United Nations, 1989). Childhood researchers have increasingly ‘celebrated’ the changes in approach to the involvement of children and young people resulting from Article 12 and focused on a newfound agentive child narrative (Morrison et al., 2019, p. 98). Lundy (2007)</w:t>
      </w:r>
      <w:r w:rsidR="00F54259">
        <w:rPr>
          <w:color w:val="000000" w:themeColor="text1"/>
          <w:shd w:val="clear" w:color="auto" w:fill="FFFFFF"/>
        </w:rPr>
        <w:t>,</w:t>
      </w:r>
      <w:r>
        <w:rPr>
          <w:color w:val="000000" w:themeColor="text1"/>
          <w:shd w:val="clear" w:color="auto" w:fill="FFFFFF"/>
        </w:rPr>
        <w:t xml:space="preserve"> however recognised</w:t>
      </w:r>
      <w:r w:rsidR="00F54259">
        <w:rPr>
          <w:color w:val="000000" w:themeColor="text1"/>
          <w:shd w:val="clear" w:color="auto" w:fill="FFFFFF"/>
        </w:rPr>
        <w:t>,</w:t>
      </w:r>
      <w:r>
        <w:rPr>
          <w:color w:val="000000" w:themeColor="text1"/>
          <w:shd w:val="clear" w:color="auto" w:fill="FFFFFF"/>
        </w:rPr>
        <w:t xml:space="preserve"> </w:t>
      </w:r>
      <w:r w:rsidR="00860A5E">
        <w:rPr>
          <w:color w:val="000000" w:themeColor="text1"/>
          <w:shd w:val="clear" w:color="auto" w:fill="FFFFFF"/>
        </w:rPr>
        <w:t xml:space="preserve">that </w:t>
      </w:r>
      <w:r>
        <w:rPr>
          <w:color w:val="000000" w:themeColor="text1"/>
          <w:shd w:val="clear" w:color="auto" w:fill="FFFFFF"/>
        </w:rPr>
        <w:t xml:space="preserve">there are barriers to the implementation of Article 12 and developed a model of participation highlighting the conditions needed to ensure a child’s involvement. </w:t>
      </w:r>
      <w:r w:rsidR="00B404B1" w:rsidRPr="005912C7">
        <w:rPr>
          <w:color w:val="000000" w:themeColor="text1"/>
          <w:shd w:val="clear" w:color="auto" w:fill="FFFFFF"/>
        </w:rPr>
        <w:t xml:space="preserve">Figure </w:t>
      </w:r>
      <w:r w:rsidR="00152F84">
        <w:rPr>
          <w:color w:val="000000" w:themeColor="text1"/>
          <w:shd w:val="clear" w:color="auto" w:fill="FFFFFF"/>
        </w:rPr>
        <w:t>4</w:t>
      </w:r>
      <w:r w:rsidR="00B404B1">
        <w:rPr>
          <w:color w:val="000000" w:themeColor="text1"/>
          <w:shd w:val="clear" w:color="auto" w:fill="FFFFFF"/>
        </w:rPr>
        <w:t xml:space="preserve"> shows her model with the </w:t>
      </w:r>
      <w:r>
        <w:rPr>
          <w:color w:val="000000" w:themeColor="text1"/>
          <w:shd w:val="clear" w:color="auto" w:fill="FFFFFF"/>
        </w:rPr>
        <w:t xml:space="preserve">checklist of ‘space, voice, audience and influence’ </w:t>
      </w:r>
      <w:r w:rsidR="00B404B1">
        <w:rPr>
          <w:color w:val="000000" w:themeColor="text1"/>
          <w:shd w:val="clear" w:color="auto" w:fill="FFFFFF"/>
        </w:rPr>
        <w:t xml:space="preserve">which </w:t>
      </w:r>
      <w:r>
        <w:rPr>
          <w:color w:val="000000" w:themeColor="text1"/>
          <w:shd w:val="clear" w:color="auto" w:fill="FFFFFF"/>
        </w:rPr>
        <w:t>recognises the interrelated elements of participation and the need to uphold other parts of the UN Convention to discharge Article 12 (Lundy, 2007, p. 938).</w:t>
      </w:r>
    </w:p>
    <w:p w14:paraId="2D95BCD2" w14:textId="262CC805" w:rsidR="00B404B1" w:rsidRDefault="00A508EF" w:rsidP="008E4AF2">
      <w:pPr>
        <w:rPr>
          <w:color w:val="000000" w:themeColor="text1"/>
          <w:shd w:val="clear" w:color="auto" w:fill="FFFFFF"/>
        </w:rPr>
      </w:pPr>
      <w:r>
        <w:rPr>
          <w:noProof/>
          <w:color w:val="000000" w:themeColor="text1"/>
          <w:shd w:val="clear" w:color="auto" w:fill="FFFFFF"/>
        </w:rPr>
        <w:drawing>
          <wp:inline distT="0" distB="0" distL="0" distR="0" wp14:anchorId="1F022BEE" wp14:editId="40C04A25">
            <wp:extent cx="5587200" cy="5652000"/>
            <wp:effectExtent l="0" t="0" r="1270" b="0"/>
            <wp:docPr id="8" name="Picture 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Diagram&#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587200" cy="5652000"/>
                    </a:xfrm>
                    <a:prstGeom prst="rect">
                      <a:avLst/>
                    </a:prstGeom>
                  </pic:spPr>
                </pic:pic>
              </a:graphicData>
            </a:graphic>
          </wp:inline>
        </w:drawing>
      </w:r>
    </w:p>
    <w:p w14:paraId="674CC8E5" w14:textId="3897B5BF" w:rsidR="00B404B1" w:rsidRDefault="00B404B1" w:rsidP="00B404B1">
      <w:pPr>
        <w:pStyle w:val="Caption"/>
      </w:pPr>
      <w:bookmarkStart w:id="38" w:name="_Toc101108544"/>
      <w:r>
        <w:t xml:space="preserve">Figure </w:t>
      </w:r>
      <w:fldSimple w:instr=" SEQ Figure \* ARABIC ">
        <w:r w:rsidR="00E26E21">
          <w:rPr>
            <w:noProof/>
          </w:rPr>
          <w:t>4</w:t>
        </w:r>
      </w:fldSimple>
      <w:r>
        <w:t xml:space="preserve">: </w:t>
      </w:r>
      <w:r w:rsidRPr="001063B7">
        <w:t>Everyday Spaces Participation Model (Lundy, 2007, cited in Department of Children and Youth Affairs (2015))</w:t>
      </w:r>
      <w:bookmarkEnd w:id="38"/>
    </w:p>
    <w:p w14:paraId="2FBF0945" w14:textId="33380D85" w:rsidR="0056661A" w:rsidRPr="00CB1A33" w:rsidRDefault="0056661A" w:rsidP="008E4AF2">
      <w:pPr>
        <w:rPr>
          <w:color w:val="000000" w:themeColor="text1"/>
          <w:shd w:val="clear" w:color="auto" w:fill="FFFFFF"/>
        </w:rPr>
      </w:pPr>
      <w:r>
        <w:rPr>
          <w:color w:val="000000" w:themeColor="text1"/>
          <w:shd w:val="clear" w:color="auto" w:fill="FFFFFF"/>
        </w:rPr>
        <w:lastRenderedPageBreak/>
        <w:t>Lundy’s work highlighted the shortfall in monitoring the effectiveness of Article 12, still evident more than a decade on. Recognising that whilst the UN Convention sets out a mandate for participation, gaps between rhetoric and practice are an ongoing issue (</w:t>
      </w:r>
      <w:r>
        <w:rPr>
          <w:bdr w:val="none" w:sz="0" w:space="0" w:color="auto" w:frame="1"/>
          <w:shd w:val="clear" w:color="auto" w:fill="FFFFFF"/>
        </w:rPr>
        <w:t>Collins, Rizzini, and Mayhew, 2020,</w:t>
      </w:r>
      <w:r>
        <w:rPr>
          <w:color w:val="000000" w:themeColor="text1"/>
          <w:shd w:val="clear" w:color="auto" w:fill="FFFFFF"/>
        </w:rPr>
        <w:t xml:space="preserve"> p. 296).</w:t>
      </w:r>
      <w:r w:rsidR="005403E2">
        <w:rPr>
          <w:color w:val="000000" w:themeColor="text1"/>
          <w:shd w:val="clear" w:color="auto" w:fill="FFFFFF"/>
        </w:rPr>
        <w:t xml:space="preserve"> </w:t>
      </w:r>
    </w:p>
    <w:p w14:paraId="664D9CC8" w14:textId="2E3C7978" w:rsidR="0001643A" w:rsidRDefault="0056661A" w:rsidP="008E4AF2">
      <w:pPr>
        <w:rPr>
          <w:shd w:val="clear" w:color="auto" w:fill="FFFFFF"/>
        </w:rPr>
      </w:pPr>
      <w:r>
        <w:rPr>
          <w:shd w:val="clear" w:color="auto" w:fill="FFFFFF"/>
        </w:rPr>
        <w:t xml:space="preserve">Much of the terminology relating to participation is also associated with broader concepts of agency, involvement and </w:t>
      </w:r>
      <w:r w:rsidR="00DC59B2">
        <w:rPr>
          <w:shd w:val="clear" w:color="auto" w:fill="FFFFFF"/>
        </w:rPr>
        <w:t>decision-making</w:t>
      </w:r>
      <w:r>
        <w:rPr>
          <w:shd w:val="clear" w:color="auto" w:fill="FFFFFF"/>
        </w:rPr>
        <w:t xml:space="preserve">, where participation is often a ‘proxy for agency’ (Morrison et al., 2019, p. 98). </w:t>
      </w:r>
      <w:r w:rsidR="0001643A">
        <w:rPr>
          <w:shd w:val="clear" w:color="auto" w:fill="FFFFFF"/>
        </w:rPr>
        <w:t xml:space="preserve">The concept of agency can be </w:t>
      </w:r>
      <w:r w:rsidR="007312B1">
        <w:rPr>
          <w:shd w:val="clear" w:color="auto" w:fill="FFFFFF"/>
        </w:rPr>
        <w:t>problematic,</w:t>
      </w:r>
      <w:r w:rsidR="0001643A">
        <w:rPr>
          <w:shd w:val="clear" w:color="auto" w:fill="FFFFFF"/>
        </w:rPr>
        <w:t xml:space="preserve"> and Gallagher (2019) suggests that </w:t>
      </w:r>
      <w:r w:rsidR="007312B1">
        <w:rPr>
          <w:shd w:val="clear" w:color="auto" w:fill="FFFFFF"/>
        </w:rPr>
        <w:t xml:space="preserve">it is necessary to move beyond </w:t>
      </w:r>
      <w:r w:rsidR="00385F05">
        <w:rPr>
          <w:shd w:val="clear" w:color="auto" w:fill="FFFFFF"/>
        </w:rPr>
        <w:t xml:space="preserve">the idea that </w:t>
      </w:r>
      <w:r w:rsidR="00103977">
        <w:rPr>
          <w:shd w:val="clear" w:color="auto" w:fill="FFFFFF"/>
        </w:rPr>
        <w:t xml:space="preserve">it is something that </w:t>
      </w:r>
      <w:r w:rsidR="00385F05">
        <w:rPr>
          <w:shd w:val="clear" w:color="auto" w:fill="FFFFFF"/>
        </w:rPr>
        <w:t xml:space="preserve">a </w:t>
      </w:r>
      <w:r w:rsidR="0001643A">
        <w:rPr>
          <w:shd w:val="clear" w:color="auto" w:fill="FFFFFF"/>
        </w:rPr>
        <w:t>child</w:t>
      </w:r>
      <w:r w:rsidR="007312B1">
        <w:rPr>
          <w:shd w:val="clear" w:color="auto" w:fill="FFFFFF"/>
        </w:rPr>
        <w:t xml:space="preserve"> either has or doesn’t </w:t>
      </w:r>
      <w:r w:rsidR="00585300">
        <w:rPr>
          <w:shd w:val="clear" w:color="auto" w:fill="FFFFFF"/>
        </w:rPr>
        <w:t>have and</w:t>
      </w:r>
      <w:r w:rsidR="007312B1">
        <w:rPr>
          <w:shd w:val="clear" w:color="auto" w:fill="FFFFFF"/>
        </w:rPr>
        <w:t xml:space="preserve"> think about how </w:t>
      </w:r>
      <w:r w:rsidR="00103977">
        <w:rPr>
          <w:shd w:val="clear" w:color="auto" w:fill="FFFFFF"/>
        </w:rPr>
        <w:t xml:space="preserve">agency </w:t>
      </w:r>
      <w:r w:rsidR="007312B1">
        <w:rPr>
          <w:shd w:val="clear" w:color="auto" w:fill="FFFFFF"/>
        </w:rPr>
        <w:t xml:space="preserve">is expressed and to what effect. He argues that notions of agency </w:t>
      </w:r>
      <w:r w:rsidR="00103977">
        <w:rPr>
          <w:shd w:val="clear" w:color="auto" w:fill="FFFFFF"/>
        </w:rPr>
        <w:t>that</w:t>
      </w:r>
      <w:r w:rsidR="007312B1">
        <w:rPr>
          <w:shd w:val="clear" w:color="auto" w:fill="FFFFFF"/>
        </w:rPr>
        <w:t xml:space="preserve"> ‘liberate </w:t>
      </w:r>
      <w:r w:rsidR="007312B1" w:rsidRPr="002F7B16">
        <w:rPr>
          <w:shd w:val="clear" w:color="auto" w:fill="FFFFFF"/>
        </w:rPr>
        <w:t>children from structural constraints’ den</w:t>
      </w:r>
      <w:r w:rsidR="00C966CD">
        <w:rPr>
          <w:shd w:val="clear" w:color="auto" w:fill="FFFFFF"/>
        </w:rPr>
        <w:t>y</w:t>
      </w:r>
      <w:r w:rsidR="007312B1" w:rsidRPr="002F7B16">
        <w:rPr>
          <w:shd w:val="clear" w:color="auto" w:fill="FFFFFF"/>
        </w:rPr>
        <w:t xml:space="preserve"> the </w:t>
      </w:r>
      <w:r w:rsidR="002F7B16" w:rsidRPr="002F7B16">
        <w:rPr>
          <w:shd w:val="clear" w:color="auto" w:fill="FFFFFF"/>
        </w:rPr>
        <w:t>relationship</w:t>
      </w:r>
      <w:r w:rsidR="007312B1" w:rsidRPr="002F7B16">
        <w:rPr>
          <w:shd w:val="clear" w:color="auto" w:fill="FFFFFF"/>
        </w:rPr>
        <w:t xml:space="preserve"> </w:t>
      </w:r>
      <w:r w:rsidR="002F7B16" w:rsidRPr="002F7B16">
        <w:rPr>
          <w:shd w:val="clear" w:color="auto" w:fill="FFFFFF"/>
        </w:rPr>
        <w:t xml:space="preserve">between </w:t>
      </w:r>
      <w:r w:rsidR="00103977">
        <w:rPr>
          <w:shd w:val="clear" w:color="auto" w:fill="FFFFFF"/>
        </w:rPr>
        <w:t>established</w:t>
      </w:r>
      <w:r w:rsidR="002F7B16">
        <w:rPr>
          <w:shd w:val="clear" w:color="auto" w:fill="FFFFFF"/>
        </w:rPr>
        <w:t xml:space="preserve"> </w:t>
      </w:r>
      <w:r w:rsidR="00103977">
        <w:rPr>
          <w:shd w:val="clear" w:color="auto" w:fill="FFFFFF"/>
        </w:rPr>
        <w:t xml:space="preserve">patterns, responses and conventions </w:t>
      </w:r>
      <w:r w:rsidR="002F7B16">
        <w:rPr>
          <w:shd w:val="clear" w:color="auto" w:fill="FFFFFF"/>
        </w:rPr>
        <w:t>(Gallagher, 2019, p. 197)</w:t>
      </w:r>
      <w:r w:rsidR="00103977">
        <w:rPr>
          <w:shd w:val="clear" w:color="auto" w:fill="FFFFFF"/>
        </w:rPr>
        <w:t>. Gallaghe</w:t>
      </w:r>
      <w:r w:rsidR="00D97400">
        <w:rPr>
          <w:shd w:val="clear" w:color="auto" w:fill="FFFFFF"/>
        </w:rPr>
        <w:t xml:space="preserve">r’s </w:t>
      </w:r>
      <w:r w:rsidR="00385F05">
        <w:rPr>
          <w:shd w:val="clear" w:color="auto" w:fill="FFFFFF"/>
        </w:rPr>
        <w:t>paper</w:t>
      </w:r>
      <w:r w:rsidR="00D97400">
        <w:rPr>
          <w:shd w:val="clear" w:color="auto" w:fill="FFFFFF"/>
        </w:rPr>
        <w:t xml:space="preserve"> highlights the need to think about the context of terminology and how language can obscure how power operates in children and young people’s lives. </w:t>
      </w:r>
    </w:p>
    <w:p w14:paraId="21FA4FF9" w14:textId="7846E2AA" w:rsidR="0056661A" w:rsidRDefault="00D97400" w:rsidP="008E4AF2">
      <w:pPr>
        <w:rPr>
          <w:shd w:val="clear" w:color="auto" w:fill="FFFFFF"/>
        </w:rPr>
      </w:pPr>
      <w:r>
        <w:rPr>
          <w:shd w:val="clear" w:color="auto" w:fill="FFFFFF"/>
        </w:rPr>
        <w:t>In a similar way to agency, p</w:t>
      </w:r>
      <w:r w:rsidR="0056661A" w:rsidRPr="00CB1A33">
        <w:rPr>
          <w:shd w:val="clear" w:color="auto" w:fill="FFFFFF"/>
        </w:rPr>
        <w:t xml:space="preserve">articipation </w:t>
      </w:r>
      <w:r>
        <w:rPr>
          <w:shd w:val="clear" w:color="auto" w:fill="FFFFFF"/>
        </w:rPr>
        <w:t xml:space="preserve">also has multiple meanings and </w:t>
      </w:r>
      <w:r w:rsidR="0056661A">
        <w:rPr>
          <w:shd w:val="clear" w:color="auto" w:fill="FFFFFF"/>
        </w:rPr>
        <w:t>can refer to</w:t>
      </w:r>
      <w:r w:rsidR="0056661A" w:rsidRPr="00CB1A33">
        <w:rPr>
          <w:shd w:val="clear" w:color="auto" w:fill="FFFFFF"/>
        </w:rPr>
        <w:t xml:space="preserve"> </w:t>
      </w:r>
      <w:r w:rsidR="0056661A">
        <w:rPr>
          <w:shd w:val="clear" w:color="auto" w:fill="FFFFFF"/>
        </w:rPr>
        <w:t>involvement in</w:t>
      </w:r>
      <w:r w:rsidR="0056661A" w:rsidRPr="00CB1A33">
        <w:rPr>
          <w:shd w:val="clear" w:color="auto" w:fill="FFFFFF"/>
        </w:rPr>
        <w:t xml:space="preserve"> political and public matters</w:t>
      </w:r>
      <w:r w:rsidR="00FF10AC">
        <w:rPr>
          <w:shd w:val="clear" w:color="auto" w:fill="FFFFFF"/>
        </w:rPr>
        <w:t xml:space="preserve"> as an expression of citizenship </w:t>
      </w:r>
      <w:r w:rsidR="00385F05">
        <w:rPr>
          <w:shd w:val="clear" w:color="auto" w:fill="FFFFFF"/>
        </w:rPr>
        <w:t>or</w:t>
      </w:r>
      <w:r w:rsidR="00FF10AC">
        <w:rPr>
          <w:shd w:val="clear" w:color="auto" w:fill="FFFFFF"/>
        </w:rPr>
        <w:t xml:space="preserve"> democratic responsibility</w:t>
      </w:r>
      <w:r w:rsidR="0056661A" w:rsidRPr="00CB1A33">
        <w:rPr>
          <w:shd w:val="clear" w:color="auto" w:fill="FFFFFF"/>
        </w:rPr>
        <w:t xml:space="preserve"> (Davis and Hill, 2006), </w:t>
      </w:r>
      <w:r w:rsidR="00E14725">
        <w:rPr>
          <w:shd w:val="clear" w:color="auto" w:fill="FFFFFF"/>
        </w:rPr>
        <w:t xml:space="preserve">and is also a core neoliberal ideal where choice, autonomy and involvement are strategies for conducting the self (Smith, 2012). </w:t>
      </w:r>
      <w:r w:rsidR="00385F05">
        <w:rPr>
          <w:shd w:val="clear" w:color="auto" w:fill="FFFFFF"/>
        </w:rPr>
        <w:t>P</w:t>
      </w:r>
      <w:r w:rsidR="00E14725">
        <w:rPr>
          <w:shd w:val="clear" w:color="auto" w:fill="FFFFFF"/>
        </w:rPr>
        <w:t xml:space="preserve">articipation </w:t>
      </w:r>
      <w:r w:rsidR="0056661A">
        <w:rPr>
          <w:shd w:val="clear" w:color="auto" w:fill="FFFFFF"/>
        </w:rPr>
        <w:t xml:space="preserve">has also </w:t>
      </w:r>
      <w:r w:rsidR="0056661A" w:rsidRPr="00CB1A33">
        <w:rPr>
          <w:shd w:val="clear" w:color="auto" w:fill="FFFFFF"/>
        </w:rPr>
        <w:t xml:space="preserve">been used as a catch all term for any process where a child or young person shares their opinion (Flekkøy and Kaufman, 1997). </w:t>
      </w:r>
      <w:r w:rsidR="00385F05">
        <w:rPr>
          <w:shd w:val="clear" w:color="auto" w:fill="FFFFFF"/>
        </w:rPr>
        <w:t>Consequently, p</w:t>
      </w:r>
      <w:r w:rsidR="0056661A" w:rsidRPr="00CB1A33">
        <w:rPr>
          <w:shd w:val="clear" w:color="auto" w:fill="FFFFFF"/>
        </w:rPr>
        <w:t xml:space="preserve">articipation’s </w:t>
      </w:r>
      <w:r w:rsidR="00EB645B" w:rsidRPr="00CB1A33">
        <w:rPr>
          <w:shd w:val="clear" w:color="auto" w:fill="FFFFFF"/>
        </w:rPr>
        <w:t>wide</w:t>
      </w:r>
      <w:r w:rsidR="00EB645B">
        <w:rPr>
          <w:shd w:val="clear" w:color="auto" w:fill="FFFFFF"/>
        </w:rPr>
        <w:t>-ranging</w:t>
      </w:r>
      <w:r w:rsidR="0056661A" w:rsidRPr="00CB1A33">
        <w:rPr>
          <w:shd w:val="clear" w:color="auto" w:fill="FFFFFF"/>
        </w:rPr>
        <w:t xml:space="preserve"> scope means that pinning down what it does and does not include </w:t>
      </w:r>
      <w:r w:rsidR="0056661A">
        <w:rPr>
          <w:shd w:val="clear" w:color="auto" w:fill="FFFFFF"/>
        </w:rPr>
        <w:t>is</w:t>
      </w:r>
      <w:r w:rsidR="0056661A" w:rsidRPr="00CB1A33">
        <w:rPr>
          <w:shd w:val="clear" w:color="auto" w:fill="FFFFFF"/>
        </w:rPr>
        <w:t xml:space="preserve"> complex and imprecise (Sinclair, 2004). Notably</w:t>
      </w:r>
      <w:r w:rsidR="008F6206">
        <w:rPr>
          <w:shd w:val="clear" w:color="auto" w:fill="FFFFFF"/>
        </w:rPr>
        <w:t xml:space="preserve">, </w:t>
      </w:r>
      <w:r w:rsidR="0056661A" w:rsidRPr="00CB1A33">
        <w:rPr>
          <w:shd w:val="clear" w:color="auto" w:fill="FFFFFF"/>
        </w:rPr>
        <w:t xml:space="preserve">the literature </w:t>
      </w:r>
      <w:r w:rsidR="0056661A">
        <w:rPr>
          <w:shd w:val="clear" w:color="auto" w:fill="FFFFFF"/>
        </w:rPr>
        <w:t>contrasts participation with the</w:t>
      </w:r>
      <w:r w:rsidR="0056661A" w:rsidRPr="00CB1A33">
        <w:rPr>
          <w:shd w:val="clear" w:color="auto" w:fill="FFFFFF"/>
        </w:rPr>
        <w:t xml:space="preserve"> act of decision</w:t>
      </w:r>
      <w:r w:rsidR="00E14725">
        <w:rPr>
          <w:shd w:val="clear" w:color="auto" w:fill="FFFFFF"/>
        </w:rPr>
        <w:t>-</w:t>
      </w:r>
      <w:r w:rsidR="0056661A" w:rsidRPr="00CB1A33">
        <w:rPr>
          <w:shd w:val="clear" w:color="auto" w:fill="FFFFFF"/>
        </w:rPr>
        <w:t>making</w:t>
      </w:r>
      <w:r w:rsidR="0056661A">
        <w:rPr>
          <w:shd w:val="clear" w:color="auto" w:fill="FFFFFF"/>
        </w:rPr>
        <w:t xml:space="preserve">, which </w:t>
      </w:r>
      <w:r w:rsidR="0056661A" w:rsidRPr="00CB1A33">
        <w:rPr>
          <w:shd w:val="clear" w:color="auto" w:fill="FFFFFF"/>
        </w:rPr>
        <w:t xml:space="preserve">is discussed in </w:t>
      </w:r>
      <w:r w:rsidR="00860A5E">
        <w:rPr>
          <w:shd w:val="clear" w:color="auto" w:fill="FFFFFF"/>
        </w:rPr>
        <w:t xml:space="preserve">the </w:t>
      </w:r>
      <w:r w:rsidR="0056661A" w:rsidRPr="00CB1A33">
        <w:rPr>
          <w:shd w:val="clear" w:color="auto" w:fill="FFFFFF"/>
        </w:rPr>
        <w:t>context of making choices (</w:t>
      </w:r>
      <w:r w:rsidR="00385F05">
        <w:rPr>
          <w:shd w:val="clear" w:color="auto" w:fill="FFFFFF"/>
        </w:rPr>
        <w:t>O’Sull</w:t>
      </w:r>
      <w:r w:rsidR="0056661A" w:rsidRPr="00CB1A33">
        <w:rPr>
          <w:shd w:val="clear" w:color="auto" w:fill="FFFFFF"/>
        </w:rPr>
        <w:t>ivan, 201</w:t>
      </w:r>
      <w:r w:rsidR="00574209">
        <w:rPr>
          <w:shd w:val="clear" w:color="auto" w:fill="FFFFFF"/>
        </w:rPr>
        <w:t>1</w:t>
      </w:r>
      <w:r w:rsidR="0056661A" w:rsidRPr="00CB1A33">
        <w:rPr>
          <w:shd w:val="clear" w:color="auto" w:fill="FFFFFF"/>
        </w:rPr>
        <w:t xml:space="preserve">), using skills and judgement (Taylor, 2017) and ‘multi-layered </w:t>
      </w:r>
      <w:r w:rsidR="0056661A">
        <w:rPr>
          <w:shd w:val="clear" w:color="auto" w:fill="FFFFFF"/>
        </w:rPr>
        <w:t xml:space="preserve">negotiation and </w:t>
      </w:r>
      <w:r w:rsidR="0056661A" w:rsidRPr="00CB1A33">
        <w:rPr>
          <w:shd w:val="clear" w:color="auto" w:fill="FFFFFF"/>
        </w:rPr>
        <w:t xml:space="preserve">interpretation of knowledge and evidence’ (O’Conner and Leonard, 2014, p. 1806). </w:t>
      </w:r>
      <w:r w:rsidR="0056661A">
        <w:rPr>
          <w:shd w:val="clear" w:color="auto" w:fill="FFFFFF"/>
        </w:rPr>
        <w:t>These understandings of involvement present challenges to children and young people who have a right to be heard but may not be viewed as capable enough to determine an outcome. Vis, Holtan and Thomas (201</w:t>
      </w:r>
      <w:r w:rsidR="00574209">
        <w:rPr>
          <w:shd w:val="clear" w:color="auto" w:fill="FFFFFF"/>
        </w:rPr>
        <w:t>2</w:t>
      </w:r>
      <w:r w:rsidR="0056661A">
        <w:rPr>
          <w:shd w:val="clear" w:color="auto" w:fill="FFFFFF"/>
        </w:rPr>
        <w:t>) also note that the relationship between decision</w:t>
      </w:r>
      <w:r w:rsidR="00E14725">
        <w:rPr>
          <w:shd w:val="clear" w:color="auto" w:fill="FFFFFF"/>
        </w:rPr>
        <w:t>-</w:t>
      </w:r>
      <w:r w:rsidR="0056661A">
        <w:rPr>
          <w:shd w:val="clear" w:color="auto" w:fill="FFFFFF"/>
        </w:rPr>
        <w:t>making and participation can be problematic</w:t>
      </w:r>
      <w:r w:rsidR="00967B7A">
        <w:rPr>
          <w:shd w:val="clear" w:color="auto" w:fill="FFFFFF"/>
        </w:rPr>
        <w:t>,</w:t>
      </w:r>
      <w:r w:rsidR="0056661A">
        <w:rPr>
          <w:shd w:val="clear" w:color="auto" w:fill="FFFFFF"/>
        </w:rPr>
        <w:t xml:space="preserve"> as </w:t>
      </w:r>
      <w:r w:rsidR="00DC59B2">
        <w:rPr>
          <w:shd w:val="clear" w:color="auto" w:fill="FFFFFF"/>
        </w:rPr>
        <w:t>decision-making</w:t>
      </w:r>
      <w:r w:rsidR="0056661A">
        <w:rPr>
          <w:shd w:val="clear" w:color="auto" w:fill="FFFFFF"/>
        </w:rPr>
        <w:t xml:space="preserve"> starts by defining a problem and ends when a conclusion is reached.</w:t>
      </w:r>
      <w:r w:rsidR="00860A5E">
        <w:rPr>
          <w:shd w:val="clear" w:color="auto" w:fill="FFFFFF"/>
        </w:rPr>
        <w:t xml:space="preserve"> </w:t>
      </w:r>
      <w:r w:rsidR="00860A5E" w:rsidRPr="00860A5E">
        <w:rPr>
          <w:shd w:val="clear" w:color="auto" w:fill="FFFFFF"/>
        </w:rPr>
        <w:t xml:space="preserve">They went on to assert that </w:t>
      </w:r>
      <w:r w:rsidR="00860A5E">
        <w:rPr>
          <w:shd w:val="clear" w:color="auto" w:fill="FFFFFF"/>
        </w:rPr>
        <w:t>i</w:t>
      </w:r>
      <w:r w:rsidR="0056661A">
        <w:rPr>
          <w:shd w:val="clear" w:color="auto" w:fill="FFFFFF"/>
        </w:rPr>
        <w:t>n statutory practice</w:t>
      </w:r>
      <w:r w:rsidR="00860A5E">
        <w:rPr>
          <w:shd w:val="clear" w:color="auto" w:fill="FFFFFF"/>
        </w:rPr>
        <w:t>,</w:t>
      </w:r>
      <w:r w:rsidR="0056661A">
        <w:rPr>
          <w:shd w:val="clear" w:color="auto" w:fill="FFFFFF"/>
        </w:rPr>
        <w:t xml:space="preserve"> the problem may not be mutually agreed due to the involuntary nature of the relationship or the social worker’s perception of what the issue is</w:t>
      </w:r>
      <w:r w:rsidR="0056096D">
        <w:rPr>
          <w:shd w:val="clear" w:color="auto" w:fill="FFFFFF"/>
        </w:rPr>
        <w:t xml:space="preserve"> —</w:t>
      </w:r>
      <w:r w:rsidR="0056661A">
        <w:rPr>
          <w:shd w:val="clear" w:color="auto" w:fill="FFFFFF"/>
        </w:rPr>
        <w:t xml:space="preserve"> leaving the child out of the process (Vis, Holtan and Thomas, 201</w:t>
      </w:r>
      <w:r w:rsidR="00574209">
        <w:rPr>
          <w:shd w:val="clear" w:color="auto" w:fill="FFFFFF"/>
        </w:rPr>
        <w:t>2</w:t>
      </w:r>
      <w:r w:rsidR="0056661A">
        <w:rPr>
          <w:shd w:val="clear" w:color="auto" w:fill="FFFFFF"/>
        </w:rPr>
        <w:t>).</w:t>
      </w:r>
    </w:p>
    <w:p w14:paraId="66555707" w14:textId="40F940D1" w:rsidR="0056661A" w:rsidRDefault="0056661A" w:rsidP="006A75FF">
      <w:pPr>
        <w:pStyle w:val="Heading3"/>
        <w:rPr>
          <w:shd w:val="clear" w:color="auto" w:fill="FFFFFF"/>
        </w:rPr>
      </w:pPr>
      <w:r>
        <w:rPr>
          <w:rFonts w:eastAsia="Times New Roman"/>
          <w:shd w:val="clear" w:color="auto" w:fill="FFFFFF"/>
        </w:rPr>
        <w:lastRenderedPageBreak/>
        <w:t>Typologies of Participation</w:t>
      </w:r>
    </w:p>
    <w:p w14:paraId="72F899BB" w14:textId="7742E013" w:rsidR="0056661A" w:rsidRDefault="0056661A">
      <w:pPr>
        <w:rPr>
          <w:shd w:val="clear" w:color="auto" w:fill="FFFFFF"/>
        </w:rPr>
      </w:pPr>
      <w:r>
        <w:rPr>
          <w:shd w:val="clear" w:color="auto" w:fill="FFFFFF"/>
        </w:rPr>
        <w:t>The benefits of participating in social work processes for service users and particularly children are well documented (Morrow, 1999; Sinclair, 2004; Atwool, 2006; Malone and Hartung, 2010; Percy-Smith and Thomas, 2010; Dicken</w:t>
      </w:r>
      <w:r w:rsidR="00E94C0B">
        <w:rPr>
          <w:shd w:val="clear" w:color="auto" w:fill="FFFFFF"/>
        </w:rPr>
        <w:t>s</w:t>
      </w:r>
      <w:r>
        <w:rPr>
          <w:shd w:val="clear" w:color="auto" w:fill="FFFFFF"/>
        </w:rPr>
        <w:t xml:space="preserve"> et al., 2015; Vis and Fossum, 2015; Beresford, 2017; Toros, 2020). To analyse this </w:t>
      </w:r>
      <w:r w:rsidR="00860A5E">
        <w:rPr>
          <w:shd w:val="clear" w:color="auto" w:fill="FFFFFF"/>
        </w:rPr>
        <w:t>participation</w:t>
      </w:r>
      <w:r w:rsidR="00113250">
        <w:rPr>
          <w:shd w:val="clear" w:color="auto" w:fill="FFFFFF"/>
        </w:rPr>
        <w:t>,</w:t>
      </w:r>
      <w:r>
        <w:rPr>
          <w:shd w:val="clear" w:color="auto" w:fill="FFFFFF"/>
        </w:rPr>
        <w:t xml:space="preserve"> various </w:t>
      </w:r>
      <w:r w:rsidR="00860A5E">
        <w:rPr>
          <w:shd w:val="clear" w:color="auto" w:fill="FFFFFF"/>
        </w:rPr>
        <w:t>researchers</w:t>
      </w:r>
      <w:r>
        <w:rPr>
          <w:shd w:val="clear" w:color="auto" w:fill="FFFFFF"/>
        </w:rPr>
        <w:t xml:space="preserve"> have developed typologies of participation</w:t>
      </w:r>
      <w:r w:rsidR="00113250">
        <w:rPr>
          <w:shd w:val="clear" w:color="auto" w:fill="FFFFFF"/>
        </w:rPr>
        <w:t>,</w:t>
      </w:r>
      <w:r>
        <w:rPr>
          <w:shd w:val="clear" w:color="auto" w:fill="FFFFFF"/>
        </w:rPr>
        <w:t xml:space="preserve"> including ladder-based models (Arnstein, 1969; Hart, 199</w:t>
      </w:r>
      <w:r w:rsidR="00E94C0B">
        <w:rPr>
          <w:shd w:val="clear" w:color="auto" w:fill="FFFFFF"/>
        </w:rPr>
        <w:t>7</w:t>
      </w:r>
      <w:r>
        <w:rPr>
          <w:shd w:val="clear" w:color="auto" w:fill="FFFFFF"/>
        </w:rPr>
        <w:t>, Franklin, 1997), pathways (Shier, 2001) and circular frameworks (Treseder, 1997) to theorise the extent to which a child participates in either individual or community decisions. However, many of these typologies are linear and position children as autonomous social actors which do not consider ‘contexts and relational processes’ (Abebe, 2019, p. 1). Furthermore</w:t>
      </w:r>
      <w:r w:rsidR="00816AB3">
        <w:rPr>
          <w:shd w:val="clear" w:color="auto" w:fill="FFFFFF"/>
        </w:rPr>
        <w:t>,</w:t>
      </w:r>
      <w:r>
        <w:rPr>
          <w:shd w:val="clear" w:color="auto" w:fill="FFFFFF"/>
        </w:rPr>
        <w:t xml:space="preserve"> models of participation are not easily applied in statutory social work services where risk of harm coexist</w:t>
      </w:r>
      <w:r w:rsidR="00860A5E">
        <w:rPr>
          <w:shd w:val="clear" w:color="auto" w:fill="FFFFFF"/>
        </w:rPr>
        <w:t>s</w:t>
      </w:r>
      <w:r>
        <w:rPr>
          <w:shd w:val="clear" w:color="auto" w:fill="FFFFFF"/>
        </w:rPr>
        <w:t xml:space="preserve"> with participative intentions (Healy, 1998; Sanders and Mace, 2006).</w:t>
      </w:r>
      <w:r w:rsidR="00BB1E1C">
        <w:rPr>
          <w:shd w:val="clear" w:color="auto" w:fill="FFFFFF"/>
        </w:rPr>
        <w:t xml:space="preserve"> This duality may be relevant to the young people in my study as their decision-making occurs when they are legally defined as children but relates to their future selves as adults. </w:t>
      </w:r>
    </w:p>
    <w:p w14:paraId="03F9EB5D" w14:textId="40DA3030" w:rsidR="0056661A" w:rsidRDefault="0056661A">
      <w:pPr>
        <w:rPr>
          <w:shd w:val="clear" w:color="auto" w:fill="FFFFFF"/>
        </w:rPr>
      </w:pPr>
      <w:r>
        <w:rPr>
          <w:shd w:val="clear" w:color="auto" w:fill="FFFFFF"/>
        </w:rPr>
        <w:t>Decisions about w</w:t>
      </w:r>
      <w:r w:rsidRPr="00D235F5">
        <w:rPr>
          <w:shd w:val="clear" w:color="auto" w:fill="FFFFFF"/>
        </w:rPr>
        <w:t xml:space="preserve">hether a child is competent to participate </w:t>
      </w:r>
      <w:r w:rsidR="008E4B21">
        <w:rPr>
          <w:shd w:val="clear" w:color="auto" w:fill="FFFFFF"/>
        </w:rPr>
        <w:t>are</w:t>
      </w:r>
      <w:r w:rsidRPr="00D235F5">
        <w:rPr>
          <w:shd w:val="clear" w:color="auto" w:fill="FFFFFF"/>
        </w:rPr>
        <w:t xml:space="preserve"> mo</w:t>
      </w:r>
      <w:r>
        <w:rPr>
          <w:shd w:val="clear" w:color="auto" w:fill="FFFFFF"/>
        </w:rPr>
        <w:t>st</w:t>
      </w:r>
      <w:r w:rsidRPr="00D235F5">
        <w:rPr>
          <w:shd w:val="clear" w:color="auto" w:fill="FFFFFF"/>
        </w:rPr>
        <w:t xml:space="preserve"> likely to be contingent on an adult’s assessment of whether a ‘threshold is met’ (Moran-Ellis and Tisdale, 2019, p.218)</w:t>
      </w:r>
      <w:r>
        <w:rPr>
          <w:shd w:val="clear" w:color="auto" w:fill="FFFFFF"/>
        </w:rPr>
        <w:t>. Such a threshold might be informal, based on perceived vulnerabilities and potential harm (</w:t>
      </w:r>
      <w:r w:rsidRPr="00796050">
        <w:rPr>
          <w:shd w:val="clear" w:color="auto" w:fill="FFFFFF"/>
        </w:rPr>
        <w:t>Garcia-Quiroga</w:t>
      </w:r>
      <w:r>
        <w:rPr>
          <w:shd w:val="clear" w:color="auto" w:fill="FFFFFF"/>
        </w:rPr>
        <w:t xml:space="preserve"> a</w:t>
      </w:r>
      <w:r w:rsidRPr="00796050">
        <w:rPr>
          <w:shd w:val="clear" w:color="auto" w:fill="FFFFFF"/>
        </w:rPr>
        <w:t>nd Agoglia</w:t>
      </w:r>
      <w:r>
        <w:rPr>
          <w:shd w:val="clear" w:color="auto" w:fill="FFFFFF"/>
        </w:rPr>
        <w:t>, 2020) or formal, using a Gillick</w:t>
      </w:r>
      <w:r w:rsidR="005E7E25">
        <w:rPr>
          <w:rFonts w:eastAsia="Times New Roman"/>
          <w:color w:val="000000" w:themeColor="text1"/>
          <w:shd w:val="clear" w:color="auto" w:fill="FFFFFF"/>
        </w:rPr>
        <w:t xml:space="preserve"> </w:t>
      </w:r>
      <w:r>
        <w:rPr>
          <w:shd w:val="clear" w:color="auto" w:fill="FFFFFF"/>
        </w:rPr>
        <w:t xml:space="preserve">competence test to establish whether a child is capable (Shah, 2021). Using these informal or formal assessments supposes an </w:t>
      </w:r>
      <w:r w:rsidRPr="00CB1A33">
        <w:rPr>
          <w:lang w:eastAsia="en-GB"/>
        </w:rPr>
        <w:t xml:space="preserve">implicit understanding of </w:t>
      </w:r>
      <w:r>
        <w:rPr>
          <w:lang w:eastAsia="en-GB"/>
        </w:rPr>
        <w:t xml:space="preserve">what ability looks like, based on standards of maturity and independence. Assessments of maturity link to ideas of </w:t>
      </w:r>
      <w:r w:rsidRPr="00494261">
        <w:rPr>
          <w:i/>
          <w:iCs/>
          <w:lang w:eastAsia="en-GB"/>
        </w:rPr>
        <w:t>being</w:t>
      </w:r>
      <w:r>
        <w:rPr>
          <w:lang w:eastAsia="en-GB"/>
        </w:rPr>
        <w:t xml:space="preserve"> an adult</w:t>
      </w:r>
      <w:r w:rsidR="000713FB">
        <w:rPr>
          <w:lang w:eastAsia="en-GB"/>
        </w:rPr>
        <w:t xml:space="preserve">, </w:t>
      </w:r>
      <w:r>
        <w:rPr>
          <w:lang w:eastAsia="en-GB"/>
        </w:rPr>
        <w:t>which assume the adult as a capable social agent</w:t>
      </w:r>
      <w:r w:rsidR="000713FB">
        <w:rPr>
          <w:lang w:eastAsia="en-GB"/>
        </w:rPr>
        <w:t>;</w:t>
      </w:r>
      <w:r>
        <w:rPr>
          <w:lang w:eastAsia="en-GB"/>
        </w:rPr>
        <w:t xml:space="preserve"> whereas discourses of childhood are anchored in ideas of </w:t>
      </w:r>
      <w:r w:rsidRPr="00494261">
        <w:rPr>
          <w:i/>
          <w:iCs/>
          <w:lang w:eastAsia="en-GB"/>
        </w:rPr>
        <w:t>becoming</w:t>
      </w:r>
      <w:r>
        <w:rPr>
          <w:i/>
          <w:iCs/>
          <w:lang w:eastAsia="en-GB"/>
        </w:rPr>
        <w:t xml:space="preserve"> </w:t>
      </w:r>
      <w:r>
        <w:rPr>
          <w:lang w:eastAsia="en-GB"/>
        </w:rPr>
        <w:t xml:space="preserve">where the goal of </w:t>
      </w:r>
      <w:r w:rsidRPr="00494261">
        <w:rPr>
          <w:i/>
          <w:iCs/>
          <w:lang w:eastAsia="en-GB"/>
        </w:rPr>
        <w:t>being</w:t>
      </w:r>
      <w:r>
        <w:rPr>
          <w:lang w:eastAsia="en-GB"/>
        </w:rPr>
        <w:t xml:space="preserve"> has not yet been reached (Lee, 2002). </w:t>
      </w:r>
      <w:r>
        <w:rPr>
          <w:shd w:val="clear" w:color="auto" w:fill="FFFFFF"/>
        </w:rPr>
        <w:t>D</w:t>
      </w:r>
      <w:r w:rsidRPr="00D30AC8">
        <w:rPr>
          <w:shd w:val="clear" w:color="auto" w:fill="FFFFFF"/>
        </w:rPr>
        <w:t xml:space="preserve">iscourses </w:t>
      </w:r>
      <w:r>
        <w:rPr>
          <w:shd w:val="clear" w:color="auto" w:fill="FFFFFF"/>
        </w:rPr>
        <w:t xml:space="preserve">that </w:t>
      </w:r>
      <w:r w:rsidRPr="00D30AC8">
        <w:rPr>
          <w:shd w:val="clear" w:color="auto" w:fill="FFFFFF"/>
        </w:rPr>
        <w:t>construc</w:t>
      </w:r>
      <w:r>
        <w:rPr>
          <w:shd w:val="clear" w:color="auto" w:fill="FFFFFF"/>
        </w:rPr>
        <w:t>t</w:t>
      </w:r>
      <w:r w:rsidRPr="00D30AC8">
        <w:rPr>
          <w:shd w:val="clear" w:color="auto" w:fill="FFFFFF"/>
        </w:rPr>
        <w:t xml:space="preserve"> children as </w:t>
      </w:r>
      <w:r>
        <w:rPr>
          <w:shd w:val="clear" w:color="auto" w:fill="FFFFFF"/>
        </w:rPr>
        <w:t>unfinished</w:t>
      </w:r>
      <w:r w:rsidR="00BB1E1C">
        <w:rPr>
          <w:shd w:val="clear" w:color="auto" w:fill="FFFFFF"/>
        </w:rPr>
        <w:t>,</w:t>
      </w:r>
      <w:r>
        <w:rPr>
          <w:shd w:val="clear" w:color="auto" w:fill="FFFFFF"/>
        </w:rPr>
        <w:t xml:space="preserve"> position adult citizenship as a future goal, where participation in civic life identifies their adulthood (K</w:t>
      </w:r>
      <w:r w:rsidRPr="00381A07">
        <w:rPr>
          <w:shd w:val="clear" w:color="auto" w:fill="FFFFFF"/>
        </w:rPr>
        <w:t>jørholt</w:t>
      </w:r>
      <w:r>
        <w:rPr>
          <w:shd w:val="clear" w:color="auto" w:fill="FFFFFF"/>
        </w:rPr>
        <w:t>, 2008). Consequently, the association of participating in decisions becomes integral to functioning adulthood (K</w:t>
      </w:r>
      <w:r w:rsidRPr="00381A07">
        <w:rPr>
          <w:shd w:val="clear" w:color="auto" w:fill="FFFFFF"/>
        </w:rPr>
        <w:t>jørholt</w:t>
      </w:r>
      <w:r>
        <w:rPr>
          <w:shd w:val="clear" w:color="auto" w:fill="FFFFFF"/>
        </w:rPr>
        <w:t>, 2008). Children as competent social actors conjure a strong rather than weak image of childhood</w:t>
      </w:r>
      <w:r w:rsidR="001D4C7C">
        <w:rPr>
          <w:shd w:val="clear" w:color="auto" w:fill="FFFFFF"/>
        </w:rPr>
        <w:t>,</w:t>
      </w:r>
      <w:r>
        <w:rPr>
          <w:shd w:val="clear" w:color="auto" w:fill="FFFFFF"/>
        </w:rPr>
        <w:t xml:space="preserve"> further aligning with more adult attributes (Mayall, 2000).</w:t>
      </w:r>
    </w:p>
    <w:p w14:paraId="5EFC3285" w14:textId="77777777" w:rsidR="0056661A" w:rsidRDefault="0056661A">
      <w:pPr>
        <w:rPr>
          <w:shd w:val="clear" w:color="auto" w:fill="FFFFFF"/>
        </w:rPr>
      </w:pPr>
      <w:r>
        <w:rPr>
          <w:shd w:val="clear" w:color="auto" w:fill="FFFFFF"/>
        </w:rPr>
        <w:t>The ‘rise of the participating child’ may appear to democratise childhood but could also be symbolic of the ‘</w:t>
      </w:r>
      <w:r w:rsidRPr="00600365">
        <w:rPr>
          <w:shd w:val="clear" w:color="auto" w:fill="FFFFFF"/>
        </w:rPr>
        <w:t>entrepreneurial subject</w:t>
      </w:r>
      <w:r>
        <w:rPr>
          <w:shd w:val="clear" w:color="auto" w:fill="FFFFFF"/>
        </w:rPr>
        <w:t xml:space="preserve">’ (Smith, 2012, p. 24). Participative social work is heralded as being a way to recognise the value of a service user’s contribution, however application is still linked to professional expertise and knowledge that assesses a child’s agency through established instrumental measures (Smith, 2012). Participative approaches </w:t>
      </w:r>
      <w:r>
        <w:rPr>
          <w:shd w:val="clear" w:color="auto" w:fill="FFFFFF"/>
        </w:rPr>
        <w:lastRenderedPageBreak/>
        <w:t xml:space="preserve">therefore become additional discursive practices that regulate and survey children and also generate new self-maximising individuals (Jenks, 2005). These interpretations do not invalidate participative approaches but reflect that power relations operate in processes that are seemingly designed to promote agency (Gallagher, 2008). </w:t>
      </w:r>
    </w:p>
    <w:p w14:paraId="671A1462" w14:textId="63B7C458" w:rsidR="0056661A" w:rsidRPr="00CB1A33" w:rsidRDefault="0056661A">
      <w:pPr>
        <w:pStyle w:val="Heading2"/>
      </w:pPr>
      <w:bookmarkStart w:id="39" w:name="_Toc101108492"/>
      <w:r w:rsidRPr="00CB1A33">
        <w:t xml:space="preserve">Chapter </w:t>
      </w:r>
      <w:r w:rsidR="008431BA">
        <w:t>Summary</w:t>
      </w:r>
      <w:bookmarkEnd w:id="39"/>
    </w:p>
    <w:p w14:paraId="2B954F82" w14:textId="5096FD30" w:rsidR="0056661A" w:rsidRDefault="0056661A">
      <w:pPr>
        <w:rPr>
          <w:rFonts w:eastAsia="Times New Roman"/>
          <w:lang w:eastAsia="en-GB"/>
        </w:rPr>
      </w:pPr>
      <w:r w:rsidRPr="00CB1A33">
        <w:t xml:space="preserve">This chapter has </w:t>
      </w:r>
      <w:r>
        <w:t xml:space="preserve">presented three key theoretical ideas that have informed my overall thesis. Starting with the issue of power I drew on Foucault’s thinking about how concepts of </w:t>
      </w:r>
      <w:r w:rsidRPr="00CB1A33">
        <w:t>sovereignty, biopower and governmentality,</w:t>
      </w:r>
      <w:r>
        <w:t xml:space="preserve"> help to </w:t>
      </w:r>
      <w:r w:rsidRPr="00CB1A33">
        <w:t>re-examin</w:t>
      </w:r>
      <w:r>
        <w:t>e</w:t>
      </w:r>
      <w:r w:rsidRPr="00CB1A33">
        <w:t xml:space="preserve"> taken for granted ways of knowing (Chambon, 1999)</w:t>
      </w:r>
      <w:r>
        <w:t xml:space="preserve">. The chapter then moved onto the social construction of childhood, underlining how the notion of the </w:t>
      </w:r>
      <w:r>
        <w:rPr>
          <w:rFonts w:eastAsia="Times New Roman"/>
          <w:shd w:val="clear" w:color="auto" w:fill="FFFFFF"/>
        </w:rPr>
        <w:t xml:space="preserve">child fluctuates between the child as an autonomous and responsible being when committing a criminal offence (Parton, 2006) to being dependent and unready for adult thinking when determining their risk within the family (Smith, 2010). </w:t>
      </w:r>
      <w:r w:rsidRPr="00B65002">
        <w:rPr>
          <w:rFonts w:eastAsia="Times New Roman"/>
          <w:i/>
          <w:iCs/>
          <w:lang w:eastAsia="en-GB"/>
        </w:rPr>
        <w:t>Staying Put</w:t>
      </w:r>
      <w:r>
        <w:rPr>
          <w:rFonts w:eastAsia="Times New Roman"/>
          <w:lang w:eastAsia="en-GB"/>
        </w:rPr>
        <w:t xml:space="preserve"> guidance is written with an underlying assumption that the young person is competent and an equal party in the </w:t>
      </w:r>
      <w:r w:rsidR="00E14725">
        <w:rPr>
          <w:rFonts w:eastAsia="Times New Roman"/>
          <w:lang w:eastAsia="en-GB"/>
        </w:rPr>
        <w:t>decision-making</w:t>
      </w:r>
      <w:r>
        <w:rPr>
          <w:rFonts w:eastAsia="Times New Roman"/>
          <w:lang w:eastAsia="en-GB"/>
        </w:rPr>
        <w:t xml:space="preserve"> process. However, this chapter has described how </w:t>
      </w:r>
      <w:r w:rsidRPr="00A278B2">
        <w:rPr>
          <w:rFonts w:eastAsia="Times New Roman"/>
          <w:shd w:val="clear" w:color="auto" w:fill="FFFFFF"/>
        </w:rPr>
        <w:t>childhood</w:t>
      </w:r>
      <w:r>
        <w:rPr>
          <w:rFonts w:eastAsia="Times New Roman"/>
          <w:shd w:val="clear" w:color="auto" w:fill="FFFFFF"/>
        </w:rPr>
        <w:t xml:space="preserve"> is understood in </w:t>
      </w:r>
      <w:r w:rsidRPr="00A278B2">
        <w:rPr>
          <w:rFonts w:eastAsia="Times New Roman"/>
          <w:shd w:val="clear" w:color="auto" w:fill="FFFFFF"/>
        </w:rPr>
        <w:t xml:space="preserve">a variety of often conflicting </w:t>
      </w:r>
      <w:r>
        <w:rPr>
          <w:rFonts w:eastAsia="Times New Roman"/>
          <w:shd w:val="clear" w:color="auto" w:fill="FFFFFF"/>
        </w:rPr>
        <w:t>ideas, rather than</w:t>
      </w:r>
      <w:r w:rsidRPr="00A278B2">
        <w:rPr>
          <w:rFonts w:eastAsia="Times New Roman"/>
          <w:shd w:val="clear" w:color="auto" w:fill="FFFFFF"/>
        </w:rPr>
        <w:t xml:space="preserve"> one</w:t>
      </w:r>
      <w:r>
        <w:rPr>
          <w:rFonts w:eastAsia="Times New Roman"/>
          <w:shd w:val="clear" w:color="auto" w:fill="FFFFFF"/>
        </w:rPr>
        <w:t xml:space="preserve"> overarching</w:t>
      </w:r>
      <w:r w:rsidRPr="00A278B2">
        <w:rPr>
          <w:rFonts w:eastAsia="Times New Roman"/>
          <w:shd w:val="clear" w:color="auto" w:fill="FFFFFF"/>
        </w:rPr>
        <w:t xml:space="preserve"> discourse</w:t>
      </w:r>
      <w:r>
        <w:rPr>
          <w:rFonts w:eastAsia="Times New Roman"/>
          <w:shd w:val="clear" w:color="auto" w:fill="FFFFFF"/>
        </w:rPr>
        <w:t xml:space="preserve">. These changing discourses suggest how concepts of childhood and participation </w:t>
      </w:r>
      <w:r w:rsidRPr="00A278B2">
        <w:rPr>
          <w:rFonts w:eastAsia="Times New Roman"/>
          <w:shd w:val="clear" w:color="auto" w:fill="FFFFFF"/>
        </w:rPr>
        <w:t>become</w:t>
      </w:r>
      <w:r>
        <w:rPr>
          <w:rFonts w:eastAsia="Times New Roman"/>
          <w:shd w:val="clear" w:color="auto" w:fill="FFFFFF"/>
        </w:rPr>
        <w:t xml:space="preserve"> </w:t>
      </w:r>
      <w:r w:rsidRPr="00CB1A33">
        <w:rPr>
          <w:rFonts w:eastAsia="Times New Roman"/>
          <w:lang w:eastAsia="en-GB"/>
        </w:rPr>
        <w:t>constituted</w:t>
      </w:r>
      <w:r>
        <w:rPr>
          <w:rFonts w:eastAsia="Times New Roman"/>
          <w:lang w:eastAsia="en-GB"/>
        </w:rPr>
        <w:t xml:space="preserve"> and come to develop </w:t>
      </w:r>
      <w:r w:rsidRPr="00CB1A33">
        <w:rPr>
          <w:rFonts w:eastAsia="Times New Roman"/>
          <w:lang w:eastAsia="en-GB"/>
        </w:rPr>
        <w:t>new relationships between power</w:t>
      </w:r>
      <w:r>
        <w:rPr>
          <w:rFonts w:eastAsia="Times New Roman"/>
          <w:lang w:eastAsia="en-GB"/>
        </w:rPr>
        <w:t xml:space="preserve">, </w:t>
      </w:r>
      <w:r w:rsidRPr="00CB1A33">
        <w:rPr>
          <w:rFonts w:eastAsia="Times New Roman"/>
          <w:lang w:eastAsia="en-GB"/>
        </w:rPr>
        <w:t>knowledge and</w:t>
      </w:r>
      <w:r>
        <w:rPr>
          <w:rFonts w:eastAsia="Times New Roman"/>
          <w:lang w:eastAsia="en-GB"/>
        </w:rPr>
        <w:t xml:space="preserve"> the development of</w:t>
      </w:r>
      <w:r w:rsidRPr="00CB1A33">
        <w:rPr>
          <w:rFonts w:eastAsia="Times New Roman"/>
          <w:lang w:eastAsia="en-GB"/>
        </w:rPr>
        <w:t xml:space="preserve"> ‘regimes of truth’ </w:t>
      </w:r>
      <w:r>
        <w:rPr>
          <w:rFonts w:eastAsia="Times New Roman"/>
          <w:lang w:eastAsia="en-GB"/>
        </w:rPr>
        <w:t>(Foucault, 1975</w:t>
      </w:r>
      <w:r w:rsidR="00BB1E1C">
        <w:rPr>
          <w:rFonts w:eastAsia="Times New Roman"/>
          <w:lang w:eastAsia="en-GB"/>
        </w:rPr>
        <w:t>, p. 30</w:t>
      </w:r>
      <w:r>
        <w:rPr>
          <w:rFonts w:eastAsia="Times New Roman"/>
          <w:lang w:eastAsia="en-GB"/>
        </w:rPr>
        <w:t>).</w:t>
      </w:r>
    </w:p>
    <w:p w14:paraId="4B3E186E" w14:textId="3201AC52" w:rsidR="0056661A" w:rsidRPr="00CB1A33" w:rsidRDefault="0056661A">
      <w:pPr>
        <w:rPr>
          <w:shd w:val="clear" w:color="auto" w:fill="FFFFFF"/>
        </w:rPr>
      </w:pPr>
      <w:r w:rsidRPr="00BC2670">
        <w:rPr>
          <w:lang w:eastAsia="en-GB"/>
        </w:rPr>
        <w:t>This final chapter of Part One concludes the contextual factors relevant to the exploration of the young person’s experience.</w:t>
      </w:r>
      <w:r w:rsidR="00BC2670" w:rsidRPr="00BC2670">
        <w:t xml:space="preserve"> The next part of the thesis moves on to how the knowledge and thinking from </w:t>
      </w:r>
      <w:r w:rsidR="00152544">
        <w:t>P</w:t>
      </w:r>
      <w:r w:rsidR="00BC2670" w:rsidRPr="00BC2670">
        <w:t xml:space="preserve">art </w:t>
      </w:r>
      <w:r w:rsidR="00152544">
        <w:t>O</w:t>
      </w:r>
      <w:r w:rsidR="00BC2670" w:rsidRPr="00BC2670">
        <w:t>ne informs the research design.</w:t>
      </w:r>
    </w:p>
    <w:p w14:paraId="5C1A9317" w14:textId="0289AE8E" w:rsidR="00357168" w:rsidRDefault="00357168">
      <w:pPr>
        <w:rPr>
          <w:lang w:eastAsia="en-GB"/>
        </w:rPr>
      </w:pPr>
    </w:p>
    <w:p w14:paraId="76FA1EDA" w14:textId="77777777" w:rsidR="00357168" w:rsidRPr="00DF33A5" w:rsidRDefault="00357168">
      <w:pPr>
        <w:rPr>
          <w:lang w:eastAsia="en-GB"/>
        </w:rPr>
      </w:pPr>
    </w:p>
    <w:p w14:paraId="3EB0D961" w14:textId="77777777" w:rsidR="00840F8A" w:rsidRDefault="00840F8A">
      <w:pPr>
        <w:rPr>
          <w:rFonts w:eastAsiaTheme="majorEastAsia"/>
          <w:color w:val="000000" w:themeColor="text1"/>
          <w:sz w:val="32"/>
          <w:szCs w:val="32"/>
        </w:rPr>
      </w:pPr>
      <w:r>
        <w:br w:type="page"/>
      </w:r>
    </w:p>
    <w:p w14:paraId="51DFFC01" w14:textId="4F9DCE29" w:rsidR="00DF33A5" w:rsidRDefault="004A626F" w:rsidP="00301A3B">
      <w:pPr>
        <w:pStyle w:val="Heading1"/>
      </w:pPr>
      <w:bookmarkStart w:id="40" w:name="_Toc101108493"/>
      <w:r w:rsidRPr="004A626F">
        <w:lastRenderedPageBreak/>
        <w:t xml:space="preserve">Part </w:t>
      </w:r>
      <w:r w:rsidR="0056661A">
        <w:t>Two</w:t>
      </w:r>
      <w:r w:rsidRPr="004A626F">
        <w:t>: Research Design</w:t>
      </w:r>
      <w:bookmarkEnd w:id="40"/>
    </w:p>
    <w:p w14:paraId="4BB9AB55" w14:textId="07AF8BD1" w:rsidR="00007CFC" w:rsidRPr="00CC3865" w:rsidRDefault="00CC3865">
      <w:r>
        <w:t xml:space="preserve">The next </w:t>
      </w:r>
      <w:r w:rsidR="00390B90">
        <w:t>part of the thesis</w:t>
      </w:r>
      <w:r>
        <w:t xml:space="preserve"> </w:t>
      </w:r>
      <w:r w:rsidRPr="00333360">
        <w:t>detail</w:t>
      </w:r>
      <w:r w:rsidR="007720CC">
        <w:t>s</w:t>
      </w:r>
      <w:r w:rsidRPr="00333360">
        <w:t xml:space="preserve"> the rationale for using a qualitative methodology to underpin my research. </w:t>
      </w:r>
      <w:r w:rsidR="00333360" w:rsidRPr="00333360">
        <w:t>C</w:t>
      </w:r>
      <w:r w:rsidRPr="00333360">
        <w:t>hapter</w:t>
      </w:r>
      <w:r w:rsidR="00333360" w:rsidRPr="00333360">
        <w:t xml:space="preserve"> 6</w:t>
      </w:r>
      <w:r w:rsidRPr="00333360">
        <w:t xml:space="preserve"> focus</w:t>
      </w:r>
      <w:r w:rsidR="007720CC">
        <w:t>es</w:t>
      </w:r>
      <w:r w:rsidRPr="00333360">
        <w:t xml:space="preserve"> on my ontological and epistemological position and </w:t>
      </w:r>
      <w:r w:rsidR="00E17AE5" w:rsidRPr="00333360">
        <w:t xml:space="preserve">the relevance of my professional </w:t>
      </w:r>
      <w:r w:rsidR="00585300" w:rsidRPr="00333360">
        <w:t>background,</w:t>
      </w:r>
      <w:r w:rsidR="007720CC">
        <w:t xml:space="preserve"> and the</w:t>
      </w:r>
      <w:r w:rsidR="00E17AE5" w:rsidRPr="00333360">
        <w:t xml:space="preserve"> </w:t>
      </w:r>
      <w:r w:rsidR="007720CC">
        <w:t>c</w:t>
      </w:r>
      <w:r w:rsidR="00E17AE5" w:rsidRPr="00333360">
        <w:t>hapter</w:t>
      </w:r>
      <w:r w:rsidR="00333360" w:rsidRPr="00333360">
        <w:t xml:space="preserve"> </w:t>
      </w:r>
      <w:r w:rsidR="007720CC">
        <w:t>continues with</w:t>
      </w:r>
      <w:r w:rsidR="00E17AE5" w:rsidRPr="00333360">
        <w:t xml:space="preserve"> the</w:t>
      </w:r>
      <w:r w:rsidR="00E17AE5">
        <w:t xml:space="preserve"> design decisions</w:t>
      </w:r>
      <w:r w:rsidR="00BB1E1C">
        <w:t xml:space="preserve"> made</w:t>
      </w:r>
      <w:r w:rsidR="00E17AE5">
        <w:t xml:space="preserve">. </w:t>
      </w:r>
      <w:r w:rsidR="003642DD">
        <w:t xml:space="preserve">I have written </w:t>
      </w:r>
      <w:r w:rsidR="007720CC">
        <w:t>this chapter</w:t>
      </w:r>
      <w:r w:rsidR="003642DD">
        <w:t xml:space="preserve"> in the spirit of </w:t>
      </w:r>
      <w:r w:rsidR="00E17AE5">
        <w:t>Silverman</w:t>
      </w:r>
      <w:r w:rsidR="003642DD">
        <w:t xml:space="preserve">’s </w:t>
      </w:r>
      <w:r w:rsidR="00E17AE5">
        <w:t>(20</w:t>
      </w:r>
      <w:r w:rsidR="003642DD">
        <w:t>11) suggestion that this part of a study is a ‘natural history trip’ (</w:t>
      </w:r>
      <w:r w:rsidR="005029A5">
        <w:t xml:space="preserve">2011, </w:t>
      </w:r>
      <w:r w:rsidR="003642DD">
        <w:t>p.335)</w:t>
      </w:r>
      <w:r w:rsidR="0054702C">
        <w:t>.</w:t>
      </w:r>
      <w:r w:rsidR="003642DD">
        <w:t xml:space="preserve"> Rather than provide a list of events</w:t>
      </w:r>
      <w:r w:rsidR="007152A9">
        <w:t>,</w:t>
      </w:r>
      <w:r w:rsidR="003642DD">
        <w:t xml:space="preserve"> I have tried to demonstrate my active role in the factors that have shaped my study. </w:t>
      </w:r>
      <w:r w:rsidR="00007CFC">
        <w:t xml:space="preserve">Reflections of the learning and limitations are discussed </w:t>
      </w:r>
      <w:r w:rsidR="00007CFC" w:rsidRPr="00333360">
        <w:t xml:space="preserve">later </w:t>
      </w:r>
      <w:r w:rsidR="00007CFC" w:rsidRPr="00DC59B2">
        <w:t xml:space="preserve">in </w:t>
      </w:r>
      <w:r w:rsidR="00333360" w:rsidRPr="00DC59B2">
        <w:t>C</w:t>
      </w:r>
      <w:r w:rsidR="00007CFC" w:rsidRPr="00DC59B2">
        <w:t>hapter</w:t>
      </w:r>
      <w:r w:rsidR="007720CC" w:rsidRPr="00DC59B2">
        <w:t xml:space="preserve"> </w:t>
      </w:r>
      <w:r w:rsidR="00DC59B2" w:rsidRPr="00DC59B2">
        <w:t>11</w:t>
      </w:r>
      <w:r w:rsidR="00007CFC" w:rsidRPr="00333360">
        <w:t>.</w:t>
      </w:r>
      <w:r w:rsidR="00007CFC">
        <w:t xml:space="preserve"> </w:t>
      </w:r>
    </w:p>
    <w:p w14:paraId="634F53D2" w14:textId="754F7AD9" w:rsidR="004A626F" w:rsidRPr="004A626F" w:rsidRDefault="004A626F"/>
    <w:p w14:paraId="4A01EB66" w14:textId="77777777" w:rsidR="004A626F" w:rsidRDefault="004A626F"/>
    <w:p w14:paraId="46B08C02" w14:textId="77777777" w:rsidR="004A626F" w:rsidRDefault="004A626F"/>
    <w:p w14:paraId="323ED115" w14:textId="77777777" w:rsidR="0056661A" w:rsidRDefault="0056661A">
      <w:pPr>
        <w:rPr>
          <w:rFonts w:eastAsiaTheme="majorEastAsia"/>
          <w:color w:val="000000" w:themeColor="text1"/>
          <w:sz w:val="32"/>
          <w:szCs w:val="32"/>
        </w:rPr>
      </w:pPr>
      <w:r>
        <w:br w:type="page"/>
      </w:r>
    </w:p>
    <w:p w14:paraId="180FE08A" w14:textId="62D0FFEB" w:rsidR="0006017D" w:rsidRDefault="0006017D" w:rsidP="00127FD5">
      <w:pPr>
        <w:pStyle w:val="ChapterHeading1"/>
      </w:pPr>
      <w:bookmarkStart w:id="41" w:name="_Toc101108494"/>
      <w:r>
        <w:lastRenderedPageBreak/>
        <w:t xml:space="preserve">Chapter </w:t>
      </w:r>
      <w:r w:rsidR="007720CC">
        <w:t>6</w:t>
      </w:r>
      <w:r>
        <w:t xml:space="preserve">: </w:t>
      </w:r>
      <w:r w:rsidR="00463DA7">
        <w:t xml:space="preserve">Research </w:t>
      </w:r>
      <w:r>
        <w:t>Methodology</w:t>
      </w:r>
      <w:bookmarkEnd w:id="41"/>
      <w:r>
        <w:t xml:space="preserve"> </w:t>
      </w:r>
    </w:p>
    <w:p w14:paraId="4C5A266D" w14:textId="5513D82D" w:rsidR="0006017D" w:rsidRPr="00A17921" w:rsidRDefault="0006017D" w:rsidP="006E3485">
      <w:pPr>
        <w:pStyle w:val="Heading2"/>
      </w:pPr>
      <w:bookmarkStart w:id="42" w:name="_Toc101108495"/>
      <w:r>
        <w:t xml:space="preserve">Chapter </w:t>
      </w:r>
      <w:r w:rsidRPr="00A17921">
        <w:t>Introduction</w:t>
      </w:r>
      <w:bookmarkEnd w:id="42"/>
    </w:p>
    <w:p w14:paraId="6D0699CD" w14:textId="3665CFB9" w:rsidR="00713B5C" w:rsidRDefault="0006017D" w:rsidP="00713B5C">
      <w:r w:rsidRPr="007635BC">
        <w:t xml:space="preserve">This chapter details how my study was conducted. Starting by setting out the questions that formed the basis for my research, attention then moves onto </w:t>
      </w:r>
      <w:r w:rsidR="00463DA7" w:rsidRPr="007635BC">
        <w:t xml:space="preserve">the philosophical paradigms underpinning my research, and the interrelationship with my professional identity and experience. The thinking and approaches taken throughout the study are then set out </w:t>
      </w:r>
      <w:r w:rsidR="00713B5C" w:rsidRPr="007635BC">
        <w:t>including</w:t>
      </w:r>
      <w:r w:rsidR="00463DA7" w:rsidRPr="007635BC">
        <w:t xml:space="preserve"> issues of access, involvement of an advisory group, and method of data collection</w:t>
      </w:r>
      <w:r w:rsidR="00713B5C" w:rsidRPr="007635BC">
        <w:t>. The</w:t>
      </w:r>
      <w:r w:rsidR="00463DA7" w:rsidRPr="007635BC">
        <w:t xml:space="preserve"> chapter con</w:t>
      </w:r>
      <w:r w:rsidR="007635BC">
        <w:t>tinues</w:t>
      </w:r>
      <w:r w:rsidR="00463DA7" w:rsidRPr="007635BC">
        <w:t xml:space="preserve"> with the ethical </w:t>
      </w:r>
      <w:r w:rsidR="00713B5C" w:rsidRPr="007635BC">
        <w:t xml:space="preserve">issues I considered during the research process. Although the ethical discussion is located </w:t>
      </w:r>
      <w:r w:rsidR="007635BC">
        <w:t>towards</w:t>
      </w:r>
      <w:r w:rsidR="00713B5C" w:rsidRPr="007635BC">
        <w:t xml:space="preserve"> the end of this chapter, it is important to emphasise that these issues formed the foundation of research echoing the point raised by Shaw and Gould (2001), who note that matters of ethics need to be a lens though which the research is seen, not an additional box to tick.</w:t>
      </w:r>
      <w:r w:rsidR="007635BC">
        <w:t xml:space="preserve"> The chapter concludes by explaining the use of constructive thematic analysis, using Braun and Clarke’s (2013) six stage approach.</w:t>
      </w:r>
    </w:p>
    <w:p w14:paraId="69B20FF7" w14:textId="27D73DC8" w:rsidR="0006017D" w:rsidRPr="00A17921" w:rsidRDefault="0006017D" w:rsidP="006A75FF">
      <w:pPr>
        <w:pStyle w:val="Heading2"/>
      </w:pPr>
      <w:bookmarkStart w:id="43" w:name="_Toc101108496"/>
      <w:r w:rsidRPr="00A17921">
        <w:t xml:space="preserve">Research </w:t>
      </w:r>
      <w:r w:rsidRPr="006A75FF">
        <w:t>Questions</w:t>
      </w:r>
      <w:bookmarkEnd w:id="43"/>
    </w:p>
    <w:p w14:paraId="6F1B670C" w14:textId="5EF3AA99" w:rsidR="0006017D" w:rsidRDefault="0006017D">
      <w:r w:rsidRPr="00A17921">
        <w:t xml:space="preserve">Literature discussed </w:t>
      </w:r>
      <w:r w:rsidRPr="00333360">
        <w:t xml:space="preserve">in </w:t>
      </w:r>
      <w:r w:rsidR="00333360" w:rsidRPr="00333360">
        <w:t>C</w:t>
      </w:r>
      <w:r w:rsidRPr="00333360">
        <w:t>hapter</w:t>
      </w:r>
      <w:r w:rsidR="00333360" w:rsidRPr="00333360">
        <w:t xml:space="preserve"> 4</w:t>
      </w:r>
      <w:r w:rsidRPr="00A17921">
        <w:t xml:space="preserve"> presented two key areas relevant to young people leaving care. </w:t>
      </w:r>
      <w:r>
        <w:t>The first was a</w:t>
      </w:r>
      <w:r w:rsidRPr="00A17921">
        <w:t xml:space="preserve"> complex picture of a young person’s trajectory into adulthood, highlighting some of the issues encountered at the end of their childhood care experience. The </w:t>
      </w:r>
      <w:r>
        <w:t xml:space="preserve">second </w:t>
      </w:r>
      <w:r w:rsidRPr="00A17921">
        <w:t>area of research related to young people’s involvement in decision</w:t>
      </w:r>
      <w:r w:rsidR="007720CC">
        <w:t>-</w:t>
      </w:r>
      <w:r w:rsidRPr="00A17921">
        <w:t xml:space="preserve">making. What is not prominent in the literature is the experience of young people making a decision about </w:t>
      </w:r>
      <w:r w:rsidRPr="00A17921">
        <w:rPr>
          <w:i/>
          <w:iCs/>
        </w:rPr>
        <w:t>Staying Put</w:t>
      </w:r>
      <w:r w:rsidRPr="00A17921">
        <w:t xml:space="preserve">. To develop a better understanding of this decision, </w:t>
      </w:r>
      <w:r>
        <w:t>and the relationships between the young people’s experiences and wider practice</w:t>
      </w:r>
      <w:r w:rsidR="007720CC">
        <w:t>,</w:t>
      </w:r>
      <w:r>
        <w:t xml:space="preserve"> </w:t>
      </w:r>
      <w:r w:rsidR="000D3C96">
        <w:t xml:space="preserve">my </w:t>
      </w:r>
      <w:r w:rsidRPr="00A17921">
        <w:t>research addressed the following questions</w:t>
      </w:r>
      <w:r w:rsidR="0094384B">
        <w:t xml:space="preserve"> as stated in Chapter 1</w:t>
      </w:r>
      <w:r w:rsidRPr="00A17921">
        <w:t>:</w:t>
      </w:r>
    </w:p>
    <w:p w14:paraId="7800C39D" w14:textId="77777777" w:rsidR="00AD5189" w:rsidRDefault="00AD5189" w:rsidP="00B3304A">
      <w:pPr>
        <w:pStyle w:val="ListParagraph"/>
      </w:pPr>
      <w:r>
        <w:t>How much influence does the young person feel they have in making the decision to stay put or not?</w:t>
      </w:r>
    </w:p>
    <w:p w14:paraId="505D667B" w14:textId="04D98C9F" w:rsidR="00AD5189" w:rsidRDefault="00AD5189" w:rsidP="00B3304A">
      <w:pPr>
        <w:pStyle w:val="ListParagraph"/>
      </w:pPr>
      <w:r>
        <w:t>Which factors inform and influence this decision?</w:t>
      </w:r>
    </w:p>
    <w:p w14:paraId="2A314DAF" w14:textId="77777777" w:rsidR="00AD5189" w:rsidRDefault="00AD5189" w:rsidP="00B3304A">
      <w:pPr>
        <w:pStyle w:val="ListParagraph"/>
      </w:pPr>
      <w:r>
        <w:t xml:space="preserve">What are the young people’s thoughts and feelings about making this decision? </w:t>
      </w:r>
    </w:p>
    <w:p w14:paraId="7E8AEF5B" w14:textId="296EF3A7" w:rsidR="00007CFC" w:rsidRDefault="00007CFC">
      <w:r>
        <w:t xml:space="preserve">Before discussing my choices about approach and design, </w:t>
      </w:r>
      <w:r w:rsidR="00713B5C">
        <w:t>I set out my ontological and epistemological position and relationship with my professional social work identity.</w:t>
      </w:r>
    </w:p>
    <w:p w14:paraId="06005484" w14:textId="6A569CD0" w:rsidR="00713B5C" w:rsidRPr="00713B5C" w:rsidRDefault="00713B5C" w:rsidP="00152F84">
      <w:pPr>
        <w:pStyle w:val="Heading2"/>
        <w:rPr>
          <w:rStyle w:val="nlmchapter-title"/>
        </w:rPr>
      </w:pPr>
      <w:bookmarkStart w:id="44" w:name="_Toc101108497"/>
      <w:r w:rsidRPr="00713B5C">
        <w:rPr>
          <w:rStyle w:val="nlmchapter-title"/>
        </w:rPr>
        <w:lastRenderedPageBreak/>
        <w:t>The Researcher’s Position</w:t>
      </w:r>
      <w:bookmarkEnd w:id="44"/>
    </w:p>
    <w:p w14:paraId="65245EE0" w14:textId="77777777" w:rsidR="00713B5C" w:rsidRPr="00A17921" w:rsidRDefault="00713B5C" w:rsidP="00713B5C">
      <w:r w:rsidRPr="00A17921">
        <w:t xml:space="preserve">Ontology and epistemology are terms that are often conflated, and consequently have a ‘confusing representation’ (King, Horrocks and Brooks, 2019, p. 8). Both elements relate to the issue of enquiry (Stainton-Rogers, 2006), with ontology addressing the nature of social reality (King, Horrocks and Brooks, 2019) and epistemology relating to how people ‘know’ and gain knowledge and what is considered valid knowledge (Stainton-Rogers, 2006). </w:t>
      </w:r>
    </w:p>
    <w:p w14:paraId="3F58B135" w14:textId="6384F054" w:rsidR="00713B5C" w:rsidRPr="00A17921" w:rsidRDefault="00713B5C" w:rsidP="00713B5C">
      <w:r w:rsidRPr="00A17921">
        <w:t xml:space="preserve">A starting point for researchers to </w:t>
      </w:r>
      <w:r>
        <w:t>establish</w:t>
      </w:r>
      <w:r w:rsidRPr="00A17921">
        <w:t xml:space="preserve"> their ontological position, is to consider the two dominant notions of reality and how this is understood. Objectivists presume that there are facts and truths that can be gathered, regardless of individual interpretation, whilst interpretivists or constructivists question ideas of a single reality (Bryman, 2016). Depending on their stance, a researcher seeks to explore meaning and investigates the world from their expressed position (Hammersley, 2014). Considering the question of </w:t>
      </w:r>
      <w:r w:rsidRPr="00A17921">
        <w:rPr>
          <w:i/>
          <w:iCs/>
        </w:rPr>
        <w:t>Staying Put</w:t>
      </w:r>
      <w:r w:rsidRPr="00A17921">
        <w:t>, the decision</w:t>
      </w:r>
      <w:r w:rsidR="008574BD">
        <w:t>-making</w:t>
      </w:r>
      <w:r w:rsidRPr="00A17921">
        <w:t xml:space="preserve"> by </w:t>
      </w:r>
      <w:r>
        <w:t xml:space="preserve">a </w:t>
      </w:r>
      <w:r w:rsidRPr="00A17921">
        <w:t xml:space="preserve">young person could be examined in several ways. One option is to consider specific timescales of the decision, the numbers of factors involved or number of </w:t>
      </w:r>
      <w:r>
        <w:t>young people</w:t>
      </w:r>
      <w:r w:rsidRPr="00A17921">
        <w:t xml:space="preserve"> reaching a specific decision. An alternative line of inquiry is to try and understand the decision, and the experience of the decision maker. My interest lies in how this decision is uniquely constructed</w:t>
      </w:r>
      <w:r>
        <w:t>,</w:t>
      </w:r>
      <w:r w:rsidRPr="00A17921">
        <w:t xml:space="preserve"> and the intersections and interrelationships between multiple factors relating to each young person. Taking an idiographic approach places me within the social constructivist paradigm. This means I view the decision as subjective and constructed through language, meaning and experiences (Engel and Schutt, 20</w:t>
      </w:r>
      <w:r w:rsidR="005E17B9">
        <w:t>13</w:t>
      </w:r>
      <w:r w:rsidRPr="00A17921">
        <w:t xml:space="preserve">). Studying such a complex issue requires examination of the decision in its fullest context, and with recognition and regard for the various influencing factors. Taking a socially constructivist approach can facilitate the ‘foregrounding of service-user perceptions and lived experience’ which broadens the sources of social work knowledge (Goodyer, 2013, p. 396). Using a positivist approach may not achieve the same ends due to randomisation measures and aspects of ‘context stripping’ to minimise experimental bias (Guba and Lincoln, </w:t>
      </w:r>
      <w:r w:rsidR="005029A5">
        <w:t>2004</w:t>
      </w:r>
      <w:r w:rsidRPr="00A17921">
        <w:t>).</w:t>
      </w:r>
    </w:p>
    <w:p w14:paraId="4893256E" w14:textId="2E6A2C93" w:rsidR="00713B5C" w:rsidRPr="00A17921" w:rsidRDefault="00713B5C" w:rsidP="00713B5C">
      <w:r w:rsidRPr="00A17921">
        <w:t>Rather than set up a false binary between the two positions, some have called for more open and progressive discussions about using different approaches which span the paradigms (Guba, 1990</w:t>
      </w:r>
      <w:r w:rsidR="002C3F4C">
        <w:t xml:space="preserve">; </w:t>
      </w:r>
      <w:r w:rsidRPr="00A17921">
        <w:t>Denzin, 2010). As Rubin and Babbie (20</w:t>
      </w:r>
      <w:r>
        <w:t>14</w:t>
      </w:r>
      <w:r w:rsidRPr="00A17921">
        <w:t xml:space="preserve">) point out, it is important to acknowledge the value in other thinking even if we choose to disregard it, as it enables us to shine a light on any potential bias in our own research. The enduring debate between proponents of each position is a well-worn path and feels removed from day-to-day use of research to improve practice for the benefit of service users. </w:t>
      </w:r>
    </w:p>
    <w:p w14:paraId="500FCB5F" w14:textId="77777777" w:rsidR="00713B5C" w:rsidRPr="00A17921" w:rsidRDefault="00713B5C" w:rsidP="00713B5C">
      <w:pPr>
        <w:pStyle w:val="Heading3"/>
      </w:pPr>
      <w:r w:rsidRPr="00A17921">
        <w:lastRenderedPageBreak/>
        <w:t>The Social Worker as Researcher</w:t>
      </w:r>
    </w:p>
    <w:p w14:paraId="08F9D042" w14:textId="337F2E3B" w:rsidR="00713B5C" w:rsidRPr="00A17921" w:rsidRDefault="00713B5C" w:rsidP="00713B5C">
      <w:r w:rsidRPr="00A17921">
        <w:t>In addition to ontological and epistemological perspectives, Urquhart (2013) explains that research decisions can reflect an individual’s professional values. From the early stages of the research process when I started the doctoral programme, my social work identity has been present in my thinking. As well as acknowledging factors such as professional context, Berger (2015) emphasises the importance of self-examination in locating ourselves within a study. Use of internal reflexive dialogue is integral to questioning my personal impact on accessing the subject area, my relationship with participants and interpretation of the research findings (Berger, 2015). This multifaceted process includes understanding the impact of my personal characteristics (gender, ethnicity, race for example), my political self and finally my practice experience. Recognising how each element acts as a lens through which I carried out this research is critical when undertaking research within a profession, due to the inherent conflicts in role and organisational familiarity (Costley, Elliot and Gibbs, 2010). For example, having a previous role in children’s participation work is likely to influence my thinking about the experiences of young people’s involvement in their decision. Researching an area of practice that is well known</w:t>
      </w:r>
      <w:r w:rsidR="0094384B">
        <w:t xml:space="preserve"> </w:t>
      </w:r>
      <w:r w:rsidRPr="00A17921">
        <w:t>due to previous or existing experience requires a reflexive approach (Dodd and Epstein, 2012). However, this is not straightforward, particularly when grappling with the additional challenge of being an ‘insider’, outside of the research field</w:t>
      </w:r>
      <w:r>
        <w:t xml:space="preserve"> — </w:t>
      </w:r>
      <w:r w:rsidRPr="00A17921">
        <w:t>in this case a social worker who had previously worked in a local authority.</w:t>
      </w:r>
    </w:p>
    <w:p w14:paraId="72B73829" w14:textId="7FAED9ED" w:rsidR="00713B5C" w:rsidRPr="00A17921" w:rsidRDefault="00713B5C" w:rsidP="00713B5C">
      <w:r w:rsidRPr="00A17921">
        <w:t xml:space="preserve">Although I am not a young person, I have a shared understanding of </w:t>
      </w:r>
      <w:r w:rsidR="00390B90">
        <w:t xml:space="preserve">social work </w:t>
      </w:r>
      <w:r w:rsidRPr="00A17921">
        <w:t xml:space="preserve">language and process that an ‘outsider’ might not. Insider research examines an issue or setting from the perspective of a member of the researched community (Coghlan, and Brannick, 2014). Reason and Tobert (2001) assert that this is a valuable standpoint and is founded on the premise that research is not just to find out what is going on in the world, it is there to change it. Insider research is unique as it is underpinned by knowledge of the research area and the context in which it takes place (Costley, Elliot and Gibbs, 2010). Research of this nature recognises the voice of the social worker and gives permission for the researcher to think like a practitioner as well as a researcher; affirming that whilst research is important, practice is too (Dodd and Epstein, 2012). </w:t>
      </w:r>
    </w:p>
    <w:p w14:paraId="79F261F8" w14:textId="77777777" w:rsidR="00713B5C" w:rsidRPr="00A17921" w:rsidRDefault="00713B5C" w:rsidP="00713B5C">
      <w:r w:rsidRPr="00A17921">
        <w:t xml:space="preserve">Issues of duality between practitioner and researcher are more evident where researchers are situated within organisations (Coghlan and Brannick, 2014). </w:t>
      </w:r>
      <w:r>
        <w:t>A</w:t>
      </w:r>
      <w:r w:rsidRPr="00A17921">
        <w:t>lthough I no longer work within a local authority, practice relationships and residual references to my previous role still exist through shared language and meaning</w:t>
      </w:r>
      <w:r>
        <w:t xml:space="preserve"> derived from experience in practice</w:t>
      </w:r>
      <w:r w:rsidRPr="00A17921">
        <w:t xml:space="preserve">. It is more </w:t>
      </w:r>
      <w:r w:rsidRPr="00A17921">
        <w:lastRenderedPageBreak/>
        <w:t xml:space="preserve">accurate to consider myself as an ‘outsider/insider’ rather than the conventional insider researcher, reflecting my external role with internal knowledge and relationships with local authority staff which continue as a social work educator. Although </w:t>
      </w:r>
      <w:r>
        <w:t xml:space="preserve">I conducted this research </w:t>
      </w:r>
      <w:r w:rsidRPr="00A17921">
        <w:t xml:space="preserve">outside of the research field, my ‘inside’ perspective </w:t>
      </w:r>
      <w:r>
        <w:t>wa</w:t>
      </w:r>
      <w:r w:rsidRPr="00A17921">
        <w:t xml:space="preserve">s still relevant. For example, my understanding of the work and team culture enabled me to build trust with key gatekeeping managers and workers. Sharing an affiliation or identity can denote authenticity and credibility to participants, or in this case gatekeepers which can be reassuring when sharing information (Mitchell, 2006; Berger, 2015). </w:t>
      </w:r>
    </w:p>
    <w:p w14:paraId="2E148AFA" w14:textId="67118363" w:rsidR="00713B5C" w:rsidRDefault="00713B5C" w:rsidP="00713B5C">
      <w:r w:rsidRPr="00A17921">
        <w:t xml:space="preserve">Whilst carrying out the research, I was aware of the impact of my previous role and insider knowledge. On the one hand </w:t>
      </w:r>
      <w:r>
        <w:t xml:space="preserve">I recognised that </w:t>
      </w:r>
      <w:r w:rsidRPr="00A17921">
        <w:t>young people might</w:t>
      </w:r>
      <w:r>
        <w:t xml:space="preserve"> have felt </w:t>
      </w:r>
      <w:r w:rsidRPr="00A17921">
        <w:t xml:space="preserve">less inclined to talk with me if they had difficult experiences, </w:t>
      </w:r>
      <w:r w:rsidR="0018772B">
        <w:t>conversely</w:t>
      </w:r>
      <w:r w:rsidRPr="00A17921">
        <w:t xml:space="preserve"> </w:t>
      </w:r>
      <w:r>
        <w:t>my understanding of the organisation, language and systems might have been reassuring in our interactions</w:t>
      </w:r>
      <w:r w:rsidRPr="00A17921">
        <w:t xml:space="preserve">. Understanding language and process also facilitates trusting relationships and problem solving with gatekeepers who share a professional standing (Mitchell, 2006). Perceived authenticity in the researcher has been regarded as a strength in many research studies (Oakley, 1981; Finch, 1984; Mitchell, 2006), and shared characteristics between researcher and researched enable participants </w:t>
      </w:r>
      <w:r>
        <w:t xml:space="preserve">to </w:t>
      </w:r>
      <w:r w:rsidRPr="00A17921">
        <w:t xml:space="preserve">more readily allow access into their world, making the boundary between them more fluid (Mercer, 2007). </w:t>
      </w:r>
      <w:r w:rsidR="00132DEC">
        <w:t xml:space="preserve">I also had to be mindful that </w:t>
      </w:r>
      <w:r w:rsidRPr="00A17921">
        <w:t>previous experience can become the focus of practice-based research and act as a safety blanket for the researcher (Coghlan and Brannick, 2014). Being, a reflexive researcher can mitigate the impact of the safety blanket ‘through use of journals and candid self-examination’ (Coghlan and Brannick, 2014, p.139).</w:t>
      </w:r>
      <w:r>
        <w:t xml:space="preserve"> </w:t>
      </w:r>
      <w:r w:rsidRPr="00A17921">
        <w:t>I was aware that the purpose of reflexive thinking must not be minimised as just another tenet of the research process, nor a functional process to achieve an end product (Ruch and Julkunen, 2016), instead it was an active endeavour that enabled me to</w:t>
      </w:r>
      <w:r>
        <w:t xml:space="preserve"> </w:t>
      </w:r>
      <w:r w:rsidRPr="00A17921">
        <w:t>explore my decision</w:t>
      </w:r>
      <w:r>
        <w:t>-</w:t>
      </w:r>
      <w:r w:rsidRPr="00A17921">
        <w:t xml:space="preserve">making </w:t>
      </w:r>
      <w:r>
        <w:t>throughout the research process</w:t>
      </w:r>
      <w:r w:rsidRPr="00A17921">
        <w:t>.</w:t>
      </w:r>
      <w:r w:rsidR="007720CC">
        <w:t xml:space="preserve"> </w:t>
      </w:r>
      <w:r w:rsidR="00AD7314">
        <w:t xml:space="preserve">The next section sets out how my thinking translated into my chosen methodology. </w:t>
      </w:r>
    </w:p>
    <w:p w14:paraId="6905F0F8" w14:textId="02B51B78" w:rsidR="0006017D" w:rsidRPr="00A17921" w:rsidRDefault="0006017D" w:rsidP="006A75FF">
      <w:pPr>
        <w:pStyle w:val="Heading2"/>
      </w:pPr>
      <w:bookmarkStart w:id="45" w:name="_Toc101108498"/>
      <w:r w:rsidRPr="00A17921">
        <w:t>Methodology</w:t>
      </w:r>
      <w:bookmarkEnd w:id="45"/>
    </w:p>
    <w:p w14:paraId="23FA5042" w14:textId="06A4527B" w:rsidR="0006017D" w:rsidRDefault="0006017D">
      <w:r w:rsidRPr="00D92324">
        <w:t>The qualitative methodological adopted in my study is derived from an understanding that reality is constructed through ‘culturally defined and historically situated interpretations and personal experiences (Sarantakos, 2005, p. 35). In Part One of this thesis, I discussed the theoretical ideas that have influenced my research which are recognised as ‘post’ theories. These theories are characterised by challenges to established assumptions, questioning ‘dominant hierarchical arrangements’ (Fook, 2002, p.82)</w:t>
      </w:r>
      <w:r w:rsidR="00552EDB">
        <w:t>,</w:t>
      </w:r>
      <w:r w:rsidRPr="00D92324">
        <w:t xml:space="preserve"> and that what is regarded as </w:t>
      </w:r>
      <w:r w:rsidRPr="00D92324">
        <w:lastRenderedPageBreak/>
        <w:t xml:space="preserve">knowledge is intrinsically linked with power (Fawcett and Featherstone, 1998). Another common feature </w:t>
      </w:r>
      <w:r w:rsidR="00AD7314">
        <w:t xml:space="preserve">of post theories </w:t>
      </w:r>
      <w:r w:rsidRPr="00D92324">
        <w:t xml:space="preserve">is the examination of what purports to be truth and meaning. By problematising what constitutes objective and subjective perspectives, post theorising encourages a more nuanced understanding of social phenomena (McGregor, 2019). How meanings are constructed is relevant to my research as each young person’s view is situated in a specific context, due to their varied experiences and circumstances. Using a qualitative methodology means that data </w:t>
      </w:r>
      <w:r w:rsidR="00132DEC">
        <w:t>can</w:t>
      </w:r>
      <w:r w:rsidRPr="00D92324">
        <w:t xml:space="preserve"> generate multiple meanings and multiple truths (Healy, 2001). Where modernist forms of enquiry are attuned to unearthing answers, a qualitative methodology aims to be more open to the divergent perspectives of others and ‘upends’ the tradition of a knowledge </w:t>
      </w:r>
      <w:r w:rsidR="008F1DD2" w:rsidRPr="00D92324">
        <w:t>hierarchy that</w:t>
      </w:r>
      <w:r w:rsidRPr="00D92324">
        <w:t xml:space="preserve"> positions researchers or other professionals as singular experts</w:t>
      </w:r>
      <w:r w:rsidR="008F1DD2">
        <w:t xml:space="preserve"> </w:t>
      </w:r>
      <w:r w:rsidR="008F1DD2" w:rsidRPr="00D92324">
        <w:t>(Fook, 2002 p. 83)</w:t>
      </w:r>
      <w:r w:rsidRPr="00D92324">
        <w:t>. My study is influenced by these ideas and has guided my research questions and design.</w:t>
      </w:r>
    </w:p>
    <w:p w14:paraId="0BE82133" w14:textId="08480002" w:rsidR="0006017D" w:rsidRPr="00A17921" w:rsidRDefault="0006017D">
      <w:r w:rsidRPr="00A17921">
        <w:t>The strategy to translate a researcher’s values, positions, ontological and epistemological thinking into research practice is through the overarching methodological framework (Sarantakos, 2014). The framework is built on ‘theories and practices’ that subsequently determine the researcher’s decisions (Braun and Clarke, 2013, p. 31, 2013). Ordinarily interpretivist/constructivist researchers opt for qualitative research design (Rubin and Babbie, 20</w:t>
      </w:r>
      <w:r w:rsidR="00BC2670">
        <w:t>14</w:t>
      </w:r>
      <w:r w:rsidRPr="00A17921">
        <w:t xml:space="preserve">). However, Denscombe (2008) highlights the need to recognise that qualitative and quantitative approaches are not mutually exclusive, and research </w:t>
      </w:r>
      <w:r w:rsidR="00DC59B2">
        <w:t>decision-making</w:t>
      </w:r>
      <w:r w:rsidRPr="00A17921">
        <w:t xml:space="preserve"> still needs to be critically considered for each research project. </w:t>
      </w:r>
    </w:p>
    <w:p w14:paraId="515BDF4C" w14:textId="71EB595F" w:rsidR="0006017D" w:rsidRPr="00A17921" w:rsidRDefault="0006017D">
      <w:r w:rsidRPr="00A17921">
        <w:t>Quantitative approaches work from a hypothesis and aim to measure, generalise and replicate (Bryman, 2016), with observation and measurement used to identify consistency, patterns and predictors of action (Sarantakos, 2014). Therefore, a quantitative approach is not suitable for my research, as decision</w:t>
      </w:r>
      <w:r w:rsidR="00AD7314">
        <w:t>-</w:t>
      </w:r>
      <w:r w:rsidRPr="00A17921">
        <w:t>making is both subjective and intangible and understanding would not be achieved through quantifiable means. As the opening chapters have discussed, decisions and transitions from care are multifaceted and required an approach that enabled me to gain insight into the lived experiences of those involved. Furthermore McLaughlin (20</w:t>
      </w:r>
      <w:r w:rsidR="00B87F8B">
        <w:t>12</w:t>
      </w:r>
      <w:r w:rsidRPr="00A17921">
        <w:t>) guards against using experimental design in social work research due to the complex contexts, where controlling the environment would be problematic as each young person’s circumstances vary. Using a qualitative framework enables a view of participants ‘living in dynamic, complex social arrangements’ (R</w:t>
      </w:r>
      <w:r w:rsidR="00B87F8B">
        <w:t>ossman</w:t>
      </w:r>
      <w:r w:rsidRPr="00A17921">
        <w:t xml:space="preserve"> and </w:t>
      </w:r>
      <w:r w:rsidR="00B87F8B" w:rsidRPr="00A17921">
        <w:t>(Rallis</w:t>
      </w:r>
      <w:r w:rsidRPr="00A17921">
        <w:t xml:space="preserve">, 2011, p.6). Moreover, the focus of the research is the young person’s experience of the decision to stay put, not whether or not a decision was made, further validating a qualitative approach. </w:t>
      </w:r>
    </w:p>
    <w:p w14:paraId="254304F9" w14:textId="2525AC0C" w:rsidR="0006017D" w:rsidRPr="00A17921" w:rsidRDefault="0006017D">
      <w:r w:rsidRPr="00A17921">
        <w:lastRenderedPageBreak/>
        <w:t xml:space="preserve">As previously noted </w:t>
      </w:r>
      <w:r w:rsidRPr="00333360">
        <w:t xml:space="preserve">in </w:t>
      </w:r>
      <w:r w:rsidR="00333360" w:rsidRPr="00333360">
        <w:t>C</w:t>
      </w:r>
      <w:r w:rsidRPr="00333360">
        <w:t>hapter</w:t>
      </w:r>
      <w:r w:rsidR="00333360">
        <w:t xml:space="preserve"> 4</w:t>
      </w:r>
      <w:r w:rsidRPr="00A17921">
        <w:t xml:space="preserve">, young people’s perspectives can be marginalised and dominated by a professional narrative. Groundwater-Smith, Dockett and Bottrell (2015) argue that when researching with children and young people, the methodological paradigm chosen needs to be orientated to engage children and young people as active agents. Beresford (2012) also recognises that user involvement in research is a methodological choice and whilst this research is not user led, the foregrounding of participant perspectives is part of the same </w:t>
      </w:r>
      <w:r>
        <w:t>paradigm</w:t>
      </w:r>
      <w:r w:rsidRPr="00A17921">
        <w:t>. As part of the process of orientating the research towards the participants, I worked with a young people’s advisory group to test out my thinking.</w:t>
      </w:r>
    </w:p>
    <w:p w14:paraId="22796550" w14:textId="786A7318" w:rsidR="0006017D" w:rsidRPr="00A17921" w:rsidRDefault="0006017D" w:rsidP="000F434E">
      <w:pPr>
        <w:pStyle w:val="Heading2"/>
      </w:pPr>
      <w:bookmarkStart w:id="46" w:name="_Toc101108499"/>
      <w:r w:rsidRPr="00A17921">
        <w:t>Young People as Advisors</w:t>
      </w:r>
      <w:bookmarkEnd w:id="46"/>
    </w:p>
    <w:p w14:paraId="2E47E130" w14:textId="236000E4" w:rsidR="0006017D" w:rsidRPr="00A17921" w:rsidRDefault="0006017D">
      <w:r w:rsidRPr="00A17921">
        <w:t xml:space="preserve">Before talking about the contribution of the advisory group, like many other aspects of the research process the use of language to describe actions and activity are significant. Framing the work of the group through their name was an important first step in the process. </w:t>
      </w:r>
      <w:r w:rsidR="006F6005">
        <w:t>Regardless of w</w:t>
      </w:r>
      <w:r w:rsidRPr="00A17921">
        <w:t xml:space="preserve">hether a group steers or advises a researcher, </w:t>
      </w:r>
      <w:r w:rsidR="006F6005">
        <w:t>their involvement c</w:t>
      </w:r>
      <w:r w:rsidRPr="00A17921">
        <w:t>ommunicates the researcher’s open-mindedness and lack of preconceptions (Rhodes et al</w:t>
      </w:r>
      <w:r w:rsidR="00015D04">
        <w:t>.</w:t>
      </w:r>
      <w:r w:rsidRPr="00A17921">
        <w:t>, 2002). Willmott (2019) clarified the distinction between steering and advising, stating that a steering group has more say in a project and contributes to leading the direction of the work, whereas advising is about contributing ideas and suggestions. Willmott’s understanding reflects the approach I took where the role of the group was to advise on specific areas including language used, participant information, questions and dissemination. Marking this distinction is an important step in setting the parameters for the group which will be discussed later.</w:t>
      </w:r>
      <w:r w:rsidR="008F1DD2">
        <w:t xml:space="preserve"> </w:t>
      </w:r>
    </w:p>
    <w:p w14:paraId="5B17F553" w14:textId="2DD5256F" w:rsidR="00007CFC" w:rsidRPr="00A17921" w:rsidRDefault="0006017D" w:rsidP="006E3485">
      <w:pPr>
        <w:pStyle w:val="Heading3"/>
      </w:pPr>
      <w:r w:rsidRPr="00A17921">
        <w:t>Why an Advisory Group?</w:t>
      </w:r>
    </w:p>
    <w:p w14:paraId="75BA15A1" w14:textId="15481A80" w:rsidR="0006017D" w:rsidRPr="00A17921" w:rsidRDefault="00333360">
      <w:r w:rsidRPr="00333360">
        <w:t>I</w:t>
      </w:r>
      <w:r w:rsidR="0006017D" w:rsidRPr="00333360">
        <w:t xml:space="preserve">n </w:t>
      </w:r>
      <w:r w:rsidRPr="00333360">
        <w:t>C</w:t>
      </w:r>
      <w:r w:rsidR="0006017D" w:rsidRPr="00333360">
        <w:t>hapter</w:t>
      </w:r>
      <w:r w:rsidRPr="00333360">
        <w:t xml:space="preserve"> 4</w:t>
      </w:r>
      <w:r w:rsidR="0006017D" w:rsidRPr="00333360">
        <w:t>, much</w:t>
      </w:r>
      <w:r>
        <w:t xml:space="preserve"> of the</w:t>
      </w:r>
      <w:r w:rsidR="0006017D" w:rsidRPr="00A17921">
        <w:t xml:space="preserve"> research about children and young people in the care system focusse</w:t>
      </w:r>
      <w:r>
        <w:t>d</w:t>
      </w:r>
      <w:r w:rsidR="0006017D" w:rsidRPr="00A17921">
        <w:t xml:space="preserve"> primarily on the perspectives of professionals or researchers, and not those of people with care experiences (Mannay et al., 201</w:t>
      </w:r>
      <w:r w:rsidR="00486029">
        <w:t>9</w:t>
      </w:r>
      <w:r w:rsidR="0006017D" w:rsidRPr="00A17921">
        <w:t>). Involving an advisory group recognises the gap between researcher and researched and can provide a forum for children and young people to inform the process using their understanding of social care experiences (Dixon, Wade and Blower, 201</w:t>
      </w:r>
      <w:r w:rsidR="00F23EEB">
        <w:t>9</w:t>
      </w:r>
      <w:r w:rsidR="0006017D" w:rsidRPr="00A17921">
        <w:t xml:space="preserve">). Despite having considerable experience working in this field, it was essential to recognise that I view </w:t>
      </w:r>
      <w:r w:rsidR="0006017D" w:rsidRPr="00A17921">
        <w:rPr>
          <w:i/>
          <w:iCs/>
        </w:rPr>
        <w:t>Staying Put</w:t>
      </w:r>
      <w:r w:rsidR="0006017D" w:rsidRPr="00A17921">
        <w:t xml:space="preserve"> and decision</w:t>
      </w:r>
      <w:r w:rsidR="00AD7314">
        <w:t>-</w:t>
      </w:r>
      <w:r w:rsidR="0006017D" w:rsidRPr="00A17921">
        <w:t>making through the eyes of a practitioner. Therefore, the role of an advisory group provided space to connect with the children and young people currently receiving services to ground the research process in practice, include their perspectives and offer opportunities to reflect critically on any research decisions.</w:t>
      </w:r>
    </w:p>
    <w:p w14:paraId="430E1CD4" w14:textId="6509CD51" w:rsidR="0006017D" w:rsidRPr="00A17921" w:rsidRDefault="0006017D" w:rsidP="006E3485">
      <w:pPr>
        <w:pStyle w:val="Heading3"/>
      </w:pPr>
      <w:r w:rsidRPr="00A17921">
        <w:lastRenderedPageBreak/>
        <w:t>Selection of the group</w:t>
      </w:r>
    </w:p>
    <w:p w14:paraId="0F74CFF4" w14:textId="75D5A373" w:rsidR="0006017D" w:rsidRPr="00A17921" w:rsidRDefault="0006017D">
      <w:r w:rsidRPr="00A17921">
        <w:t xml:space="preserve">Rather than identify a group specifically for </w:t>
      </w:r>
      <w:r w:rsidR="00991685">
        <w:t>my</w:t>
      </w:r>
      <w:r w:rsidRPr="00A17921">
        <w:t xml:space="preserve"> study, an existing participation group of children and young people w</w:t>
      </w:r>
      <w:r w:rsidR="0094384B">
        <w:t>as</w:t>
      </w:r>
      <w:r w:rsidRPr="00A17921">
        <w:t xml:space="preserve"> involved. As well as being a practical decision due to time and resource limitations, the group was already trained and experienced in supporting projects and initiatives aimed at informing and improving services. Drawing on the support of an existing group also meant that relationships were formed and established (Dixon, Wa</w:t>
      </w:r>
      <w:r w:rsidR="00C87864">
        <w:t>rd</w:t>
      </w:r>
      <w:r w:rsidRPr="00A17921">
        <w:t xml:space="preserve"> and Blower, 201</w:t>
      </w:r>
      <w:r w:rsidR="00F23EEB">
        <w:t>9</w:t>
      </w:r>
      <w:r w:rsidRPr="00A17921">
        <w:t>). Therefore, questions and discussions about the research were easier to facilitate, as time was not needed to support the group to bond and develop group confidence. The benefits of an established infrastructure for a participation group are helpful in the research process if members need additional support (Jones, 2005; Lan</w:t>
      </w:r>
      <w:r w:rsidR="00F23EEB">
        <w:t>s</w:t>
      </w:r>
      <w:r w:rsidRPr="00A17921">
        <w:t xml:space="preserve">down, 2011), particularly if the topic revisits distressing experiences (Morrow, 2012). </w:t>
      </w:r>
    </w:p>
    <w:p w14:paraId="4FE53D95" w14:textId="67A782AD" w:rsidR="0006017D" w:rsidRPr="00A17921" w:rsidRDefault="0006017D">
      <w:r w:rsidRPr="00A17921">
        <w:t>The young people in the group were aged between 14-18 years</w:t>
      </w:r>
      <w:r w:rsidR="002537DC">
        <w:t>-old</w:t>
      </w:r>
      <w:r w:rsidRPr="00A17921">
        <w:t xml:space="preserve"> and had a range of experiences including being in and leaving care. Specific permission was not required for the group to be involved as they were already established</w:t>
      </w:r>
      <w:r w:rsidR="00AD7314">
        <w:t xml:space="preserve"> </w:t>
      </w:r>
      <w:r w:rsidR="000F434E">
        <w:t>using</w:t>
      </w:r>
      <w:r w:rsidR="00AD7314">
        <w:t xml:space="preserve"> an arrangement that g</w:t>
      </w:r>
      <w:r w:rsidRPr="00A17921">
        <w:t xml:space="preserve">roup members make individual decisions about whether they take part in any specific activity the group participates in. Working within their ‘opting in’ system, young people and workers were provided with an information sheet in advance of me attending (Appendix </w:t>
      </w:r>
      <w:r w:rsidR="002A1286">
        <w:t>1</w:t>
      </w:r>
      <w:r w:rsidRPr="00A17921">
        <w:t>), and at the beginning of the meeting</w:t>
      </w:r>
      <w:r w:rsidR="00AD7314">
        <w:t>,</w:t>
      </w:r>
      <w:r w:rsidRPr="00A17921">
        <w:t xml:space="preserve"> each group member signed a consent form (Appendix </w:t>
      </w:r>
      <w:r w:rsidR="002A1286">
        <w:t>2</w:t>
      </w:r>
      <w:r w:rsidRPr="00A17921">
        <w:t>) once I had explained the purpose of my attendance. All ten of the young people present at both meetings consented to participate. Consent and information were revisited each time I attended the group.</w:t>
      </w:r>
    </w:p>
    <w:p w14:paraId="2C56D223" w14:textId="338ECFD5" w:rsidR="0006017D" w:rsidRPr="00A17921" w:rsidRDefault="0006017D">
      <w:r w:rsidRPr="00A17921">
        <w:t>A meeting plan was agreed with the coordinator</w:t>
      </w:r>
      <w:r w:rsidR="000F434E">
        <w:t xml:space="preserve"> in </w:t>
      </w:r>
      <w:r w:rsidR="00A45D07">
        <w:t>advance</w:t>
      </w:r>
      <w:r w:rsidRPr="00A17921">
        <w:t xml:space="preserve">, confirming attendance to the group on four occasions; two prior and one at the end of the data collection phase and a final meeting to share the work before dissemination. The first meeting was used to explain the research, agree what could be changed as a result of their involvement and discussion about participant information and consent forms. Activities were devised to do this, drawing on my previous experience and acknowledging that poor interactions can deter future participation (Shepard, 2002). Art and </w:t>
      </w:r>
      <w:r w:rsidR="009256F4" w:rsidRPr="00A17921">
        <w:t>game-based</w:t>
      </w:r>
      <w:r w:rsidRPr="00A17921">
        <w:t xml:space="preserve"> activities enabled questions and ideas to develop and based on their feedback, changes were made to my information and consent documents including changes to colours, shapes and font. The other issue discussed was the language used to describe the participants. The group suggested I avoid using young adult, care leaver or child and adopt the term </w:t>
      </w:r>
      <w:r w:rsidRPr="00A17921">
        <w:rPr>
          <w:i/>
          <w:iCs/>
        </w:rPr>
        <w:t>young person</w:t>
      </w:r>
      <w:r w:rsidRPr="00A17921">
        <w:t xml:space="preserve">. Their rationale was that </w:t>
      </w:r>
      <w:r w:rsidRPr="00A17921">
        <w:rPr>
          <w:i/>
          <w:iCs/>
        </w:rPr>
        <w:t>young person</w:t>
      </w:r>
      <w:r w:rsidRPr="00A17921">
        <w:t xml:space="preserve"> was commonly used in the local authority and would be familiar to participants. They objected to other terms due to their associations with being ‘grown-up’ and dissociated from </w:t>
      </w:r>
      <w:r w:rsidRPr="00A17921">
        <w:lastRenderedPageBreak/>
        <w:t xml:space="preserve">social work services. One </w:t>
      </w:r>
      <w:r w:rsidR="00AD7314">
        <w:t>group member</w:t>
      </w:r>
      <w:r w:rsidRPr="00A17921">
        <w:t xml:space="preserve"> explained t</w:t>
      </w:r>
      <w:r w:rsidR="002537DC">
        <w:t xml:space="preserve">hat young adult was inappropriate and </w:t>
      </w:r>
      <w:r w:rsidR="000C10E7">
        <w:t>said,</w:t>
      </w:r>
      <w:r w:rsidR="002537DC">
        <w:t xml:space="preserve"> </w:t>
      </w:r>
      <w:r w:rsidRPr="00A17921">
        <w:t>‘well they haven’t all left home yet</w:t>
      </w:r>
      <w:r w:rsidR="007E4C9A">
        <w:t>,</w:t>
      </w:r>
      <w:r w:rsidRPr="00A17921">
        <w:t xml:space="preserve"> have they?’, underlining their understanding of adulthood as moving away from their foster carers. </w:t>
      </w:r>
    </w:p>
    <w:p w14:paraId="35772A68" w14:textId="3BBDD969" w:rsidR="0006017D" w:rsidRPr="00A17921" w:rsidRDefault="0006017D">
      <w:r w:rsidRPr="00A17921">
        <w:t>The second meeting a month later focused on confirmation that their suggestions had been adopted which was important to demonstrate the impact of their involvement, noted by Ackerman et al</w:t>
      </w:r>
      <w:r w:rsidR="00015D04">
        <w:t>.</w:t>
      </w:r>
      <w:r w:rsidRPr="00A17921">
        <w:t xml:space="preserve"> (2003) as consistently missing in participation work with children and young people. During the second meeting the issue of anonymity was discussed and one of the young people suggested that they propose some names for the participant pseudonyms, highlighting that they might have too much to think about</w:t>
      </w:r>
      <w:r w:rsidR="009947EB">
        <w:t xml:space="preserve"> ‘… </w:t>
      </w:r>
      <w:r w:rsidRPr="00A17921">
        <w:t xml:space="preserve">meeting a new person and everything’. I felt this was a tangible connection between the advisory group and the participants and highlighted the value of involving non researchers, who can see things </w:t>
      </w:r>
      <w:r w:rsidRPr="00A45D07">
        <w:t>differently and offer challenge and suggestions (Rhodes et al</w:t>
      </w:r>
      <w:r w:rsidR="00015D04" w:rsidRPr="00A45D07">
        <w:t>.</w:t>
      </w:r>
      <w:r w:rsidRPr="00A45D07">
        <w:t>, 2002).</w:t>
      </w:r>
      <w:r w:rsidR="00AD7314" w:rsidRPr="00A45D07">
        <w:t xml:space="preserve"> I also shared my </w:t>
      </w:r>
      <w:r w:rsidR="00FF53F9" w:rsidRPr="00A45D07">
        <w:t>topic guide (Appendix</w:t>
      </w:r>
      <w:r w:rsidR="002A1286" w:rsidRPr="00A45D07">
        <w:t xml:space="preserve"> 3</w:t>
      </w:r>
      <w:r w:rsidR="00FF53F9" w:rsidRPr="00A45D07">
        <w:t>) to share</w:t>
      </w:r>
      <w:r w:rsidR="00FF53F9">
        <w:t xml:space="preserve"> my thoughts about the areas I wanted to cover and talk to the group about anything I had missed or misjudged. The group made some helpful suggestions including their thoughts that some young people might not know about </w:t>
      </w:r>
      <w:r w:rsidR="00FF53F9" w:rsidRPr="00FF53F9">
        <w:rPr>
          <w:i/>
          <w:iCs/>
        </w:rPr>
        <w:t>Staying Put</w:t>
      </w:r>
      <w:r w:rsidR="00FF53F9">
        <w:t xml:space="preserve">, prompting me to address this during the interviews by asking them at the beginning of the discussion. The group also suggested that I should ask the participants for their ideas about what should change, which I also included, and </w:t>
      </w:r>
      <w:r w:rsidR="000F434E">
        <w:t>the participant’s</w:t>
      </w:r>
      <w:r w:rsidR="00FF53F9">
        <w:t xml:space="preserve"> recommendations are included in </w:t>
      </w:r>
      <w:r w:rsidR="00FF53F9" w:rsidRPr="002C5A99">
        <w:t xml:space="preserve">Chapter </w:t>
      </w:r>
      <w:r w:rsidR="002C5A99" w:rsidRPr="002C5A99">
        <w:t>12</w:t>
      </w:r>
      <w:r w:rsidR="00FF53F9">
        <w:t xml:space="preserve">. Attending the group on both occasions was useful in </w:t>
      </w:r>
      <w:r w:rsidR="00F43CF3">
        <w:t>raising</w:t>
      </w:r>
      <w:r w:rsidR="00FF53F9">
        <w:t xml:space="preserve"> questions or issues that I had not considered but also triggered different ideas, for example having a</w:t>
      </w:r>
      <w:r w:rsidR="000F434E">
        <w:t xml:space="preserve">n abbreviated </w:t>
      </w:r>
      <w:r w:rsidR="00FF53F9">
        <w:t xml:space="preserve">topic guide to give the young </w:t>
      </w:r>
      <w:r w:rsidR="00FF53F9" w:rsidRPr="00A45D07">
        <w:t xml:space="preserve">people (Appendix </w:t>
      </w:r>
      <w:r w:rsidR="002A1286" w:rsidRPr="00A45D07">
        <w:t>4</w:t>
      </w:r>
      <w:r w:rsidR="00FF53F9" w:rsidRPr="00A45D07">
        <w:t>).</w:t>
      </w:r>
    </w:p>
    <w:p w14:paraId="78C40413" w14:textId="332C0DB0" w:rsidR="0006017D" w:rsidRPr="00A17921" w:rsidRDefault="0006017D">
      <w:r w:rsidRPr="00A17921">
        <w:t>Due to the restrictions as a result of Covid-19 the third and fourth meeting</w:t>
      </w:r>
      <w:r w:rsidR="00194E04">
        <w:t>s</w:t>
      </w:r>
      <w:r w:rsidRPr="00A17921">
        <w:t xml:space="preserve"> w</w:t>
      </w:r>
      <w:r w:rsidR="00194E04">
        <w:t>ere</w:t>
      </w:r>
      <w:r w:rsidRPr="00A17921">
        <w:t xml:space="preserve"> cancelled. I was not able to complete my plan to check in during later phases</w:t>
      </w:r>
      <w:r w:rsidR="007C3368">
        <w:t xml:space="preserve"> of the research</w:t>
      </w:r>
      <w:r w:rsidRPr="00A17921">
        <w:t>, however I provided the coordinator with an update about my progress to share with the group. As restrictions ease, I intend to reconnect with the coordinator to progress my original intention to involve group members in sharing my research with the two local authorities, an idea advocated by Mannay et al. (201</w:t>
      </w:r>
      <w:r w:rsidR="00486029">
        <w:t>9</w:t>
      </w:r>
      <w:r w:rsidRPr="00A17921">
        <w:t>).</w:t>
      </w:r>
      <w:r w:rsidR="000C10E7">
        <w:t xml:space="preserve"> </w:t>
      </w:r>
    </w:p>
    <w:p w14:paraId="5F1B70CB" w14:textId="77777777" w:rsidR="000C10E7" w:rsidRPr="00A17921" w:rsidRDefault="000C10E7" w:rsidP="000C10E7">
      <w:pPr>
        <w:pStyle w:val="Heading3"/>
      </w:pPr>
      <w:r w:rsidRPr="008300F4">
        <w:t>Negotiations with Local Authorities as Gatekeepers</w:t>
      </w:r>
    </w:p>
    <w:p w14:paraId="3E68203C" w14:textId="472A7202" w:rsidR="0006017D" w:rsidRPr="00A17921" w:rsidRDefault="0006017D">
      <w:r w:rsidRPr="00A17921">
        <w:t xml:space="preserve">The </w:t>
      </w:r>
      <w:r w:rsidR="0094384B">
        <w:t xml:space="preserve">research </w:t>
      </w:r>
      <w:r w:rsidRPr="00A17921">
        <w:t xml:space="preserve">participants </w:t>
      </w:r>
      <w:r w:rsidR="000C10E7">
        <w:t xml:space="preserve">for this study </w:t>
      </w:r>
      <w:r w:rsidRPr="00A17921">
        <w:t xml:space="preserve">were selected from two local authorities with whom I had existing connections. Having established relationships with both organisations was the central reason for their selection. As well as existing links, constraints of time and resources were also a consideration, common to many research decisions (Kvale, 2007). Selecting two local authorities was intended to both widen the possibility of recruiting participants and to </w:t>
      </w:r>
      <w:r w:rsidRPr="00A17921">
        <w:lastRenderedPageBreak/>
        <w:t>ensure that I had as diverse a group of participants as possible</w:t>
      </w:r>
      <w:r w:rsidR="002537DC" w:rsidRPr="002537DC">
        <w:t xml:space="preserve"> </w:t>
      </w:r>
      <w:r w:rsidR="002537DC">
        <w:t xml:space="preserve">to reflect the experiences of those young people who remained with their </w:t>
      </w:r>
      <w:r w:rsidR="003A7812">
        <w:t>foster carers</w:t>
      </w:r>
      <w:r w:rsidR="002537DC">
        <w:t xml:space="preserve"> and those who</w:t>
      </w:r>
      <w:r w:rsidR="003A7812">
        <w:t xml:space="preserve"> moved on. </w:t>
      </w:r>
    </w:p>
    <w:p w14:paraId="52D7A585" w14:textId="6C44797F" w:rsidR="0006017D" w:rsidRDefault="0006017D">
      <w:r w:rsidRPr="00A17921">
        <w:t xml:space="preserve">The contact and maintenance of the relationships with gatekeepers was initially straightforward due to the appointed link manager required for the doctoral programme. However, once they had left the organisation, </w:t>
      </w:r>
      <w:r>
        <w:t>identifying contacts</w:t>
      </w:r>
      <w:r w:rsidRPr="00A17921">
        <w:t xml:space="preserve"> became more complicated, which I reflect on </w:t>
      </w:r>
      <w:r w:rsidRPr="002C5A99">
        <w:t xml:space="preserve">in </w:t>
      </w:r>
      <w:r w:rsidR="00333360" w:rsidRPr="002C5A99">
        <w:t>C</w:t>
      </w:r>
      <w:r w:rsidRPr="002C5A99">
        <w:t>hapter</w:t>
      </w:r>
      <w:r w:rsidR="00333360" w:rsidRPr="002C5A99">
        <w:t xml:space="preserve"> 1</w:t>
      </w:r>
      <w:r w:rsidR="002C5A99" w:rsidRPr="002C5A99">
        <w:t>1</w:t>
      </w:r>
      <w:r w:rsidRPr="00333360">
        <w:t xml:space="preserve">. </w:t>
      </w:r>
      <w:r w:rsidR="00B5261C">
        <w:t xml:space="preserve">Figure </w:t>
      </w:r>
      <w:r w:rsidR="002C5A99">
        <w:t xml:space="preserve">5 </w:t>
      </w:r>
      <w:r w:rsidR="002C5A99" w:rsidRPr="00A17921">
        <w:t>is</w:t>
      </w:r>
      <w:r w:rsidRPr="00A17921">
        <w:t xml:space="preserve"> a simplified representation of contact with the relevant people in each local authority, </w:t>
      </w:r>
      <w:r w:rsidR="00F71B73" w:rsidRPr="00F71B73">
        <w:t>illustrat</w:t>
      </w:r>
      <w:r w:rsidR="00F71B73">
        <w:t>ing</w:t>
      </w:r>
      <w:r w:rsidR="00F71B73" w:rsidRPr="00F71B73">
        <w:t xml:space="preserve"> the layers of agreement required before talking </w:t>
      </w:r>
      <w:r w:rsidR="00A45D07">
        <w:t>with</w:t>
      </w:r>
      <w:r w:rsidR="00F71B73" w:rsidRPr="00F71B73">
        <w:t xml:space="preserve"> young people directly. Heptinstall (2000) commented on the challenges of research with local authorities 20 years ago, highlighting that negotiation occurs at many levels within an organisation, not just the organisational decision makers.</w:t>
      </w:r>
    </w:p>
    <w:p w14:paraId="4D660597" w14:textId="4C4EB20E" w:rsidR="0006017D" w:rsidRDefault="0006017D" w:rsidP="008E4AF2">
      <w:r w:rsidRPr="00A17921">
        <w:rPr>
          <w:noProof/>
        </w:rPr>
        <w:drawing>
          <wp:inline distT="0" distB="0" distL="0" distR="0" wp14:anchorId="2195CD44" wp14:editId="46C8B84E">
            <wp:extent cx="5214025" cy="2678430"/>
            <wp:effectExtent l="0" t="19050" r="0" b="26670"/>
            <wp:docPr id="2" name="Diagram 2" descr="Diagram showing the people contacted to indentify participants in the study"/>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717C8F59" w14:textId="1C2892E1" w:rsidR="00176748" w:rsidRDefault="00A57BF7" w:rsidP="00A57BF7">
      <w:pPr>
        <w:pStyle w:val="Caption"/>
      </w:pPr>
      <w:bookmarkStart w:id="47" w:name="_Toc101108545"/>
      <w:r w:rsidRPr="00000D14">
        <w:t xml:space="preserve">Figure </w:t>
      </w:r>
      <w:fldSimple w:instr=" SEQ Figure \* ARABIC ">
        <w:r w:rsidR="00E26E21">
          <w:rPr>
            <w:noProof/>
          </w:rPr>
          <w:t>5</w:t>
        </w:r>
      </w:fldSimple>
      <w:r w:rsidRPr="00000D14">
        <w:t>:</w:t>
      </w:r>
      <w:r>
        <w:t xml:space="preserve"> </w:t>
      </w:r>
      <w:r w:rsidRPr="007F6558">
        <w:t>Gatekeeping decision makers</w:t>
      </w:r>
      <w:bookmarkEnd w:id="47"/>
    </w:p>
    <w:p w14:paraId="696D0FE9" w14:textId="7FC54E90" w:rsidR="00B4194B" w:rsidRDefault="00F71B73">
      <w:r>
        <w:t>C</w:t>
      </w:r>
      <w:r w:rsidRPr="00A17921">
        <w:t xml:space="preserve">onsent was sought and gained from each </w:t>
      </w:r>
      <w:r>
        <w:t xml:space="preserve">layer </w:t>
      </w:r>
      <w:r w:rsidR="000F434E">
        <w:t xml:space="preserve">indicated in Figure 5, </w:t>
      </w:r>
      <w:r>
        <w:t xml:space="preserve">including the </w:t>
      </w:r>
      <w:r w:rsidRPr="00A17921">
        <w:t>local authority’s Director of Children’s Services</w:t>
      </w:r>
      <w:r>
        <w:t xml:space="preserve"> and</w:t>
      </w:r>
      <w:r w:rsidRPr="00A17921">
        <w:t xml:space="preserve"> ethics panel</w:t>
      </w:r>
      <w:r>
        <w:t>,</w:t>
      </w:r>
      <w:r w:rsidRPr="00A17921">
        <w:t xml:space="preserve"> a</w:t>
      </w:r>
      <w:r>
        <w:t xml:space="preserve">s well as the </w:t>
      </w:r>
      <w:r w:rsidRPr="00A17921">
        <w:t>Principal Social Worker</w:t>
      </w:r>
      <w:r>
        <w:t xml:space="preserve"> —</w:t>
      </w:r>
      <w:r w:rsidRPr="00A17921">
        <w:t xml:space="preserve"> due to their oversight of children’s services. Formal permission from the respective ethics panel</w:t>
      </w:r>
      <w:r w:rsidR="00171972">
        <w:t>s</w:t>
      </w:r>
      <w:r w:rsidRPr="00A17921">
        <w:t xml:space="preserve"> </w:t>
      </w:r>
      <w:r w:rsidR="000F434E">
        <w:t>is</w:t>
      </w:r>
      <w:r w:rsidRPr="00A17921">
        <w:t xml:space="preserve"> detailed in Appendix </w:t>
      </w:r>
      <w:r w:rsidR="002A1286">
        <w:t>5</w:t>
      </w:r>
      <w:r w:rsidRPr="00A17921">
        <w:t xml:space="preserve">. </w:t>
      </w:r>
      <w:r>
        <w:t xml:space="preserve">In Figure </w:t>
      </w:r>
      <w:r w:rsidRPr="00F43CF3">
        <w:t>6</w:t>
      </w:r>
      <w:r>
        <w:t xml:space="preserve"> the detail of this process is shown</w:t>
      </w:r>
      <w:r w:rsidR="000F434E">
        <w:t>,</w:t>
      </w:r>
      <w:r>
        <w:t xml:space="preserve"> highlighting the actual number of meetings and discussions needed to make the initial phone call to the young people.</w:t>
      </w:r>
    </w:p>
    <w:p w14:paraId="61979D58" w14:textId="02E6C054" w:rsidR="00F71B73" w:rsidRDefault="00F71B73">
      <w:r>
        <w:rPr>
          <w:noProof/>
        </w:rPr>
        <w:lastRenderedPageBreak/>
        <w:drawing>
          <wp:inline distT="0" distB="0" distL="0" distR="0" wp14:anchorId="065543BC" wp14:editId="412BC8B1">
            <wp:extent cx="5727700" cy="3093441"/>
            <wp:effectExtent l="0" t="0" r="25400" b="0"/>
            <wp:docPr id="3" name="Diagram 3" descr="Diagram showing stages of permission when identifying participants in the study."/>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44FCF706" w14:textId="51B5AE33" w:rsidR="00F71B73" w:rsidRDefault="00F71B73" w:rsidP="00F71B73">
      <w:pPr>
        <w:pStyle w:val="Caption"/>
      </w:pPr>
      <w:bookmarkStart w:id="48" w:name="_Toc101108546"/>
      <w:r w:rsidRPr="00000D14">
        <w:t xml:space="preserve">Figure </w:t>
      </w:r>
      <w:fldSimple w:instr=" SEQ Figure \* ARABIC ">
        <w:r w:rsidR="00E26E21">
          <w:rPr>
            <w:noProof/>
          </w:rPr>
          <w:t>6</w:t>
        </w:r>
      </w:fldSimple>
      <w:r w:rsidRPr="00000D14">
        <w:t>:</w:t>
      </w:r>
      <w:r>
        <w:t xml:space="preserve"> </w:t>
      </w:r>
      <w:r w:rsidRPr="00EC022A">
        <w:t xml:space="preserve">Detail of </w:t>
      </w:r>
      <w:r w:rsidR="00432F9F">
        <w:t>g</w:t>
      </w:r>
      <w:r w:rsidRPr="00EC022A">
        <w:t xml:space="preserve">atekeeping </w:t>
      </w:r>
      <w:r w:rsidR="00432F9F">
        <w:t>p</w:t>
      </w:r>
      <w:r w:rsidRPr="00EC022A">
        <w:t>rocess</w:t>
      </w:r>
      <w:bookmarkEnd w:id="48"/>
    </w:p>
    <w:p w14:paraId="57234D40" w14:textId="4B759AA1" w:rsidR="00F71B73" w:rsidRDefault="00F71B73" w:rsidP="00F71B73">
      <w:r>
        <w:t xml:space="preserve">The pale green circles in </w:t>
      </w:r>
      <w:r w:rsidRPr="00F43CF3">
        <w:t>Figure 6</w:t>
      </w:r>
      <w:r>
        <w:t xml:space="preserve"> indicate the contact I had with the local authority and the pink highlight denotes the formal ethics approval by the university and the local authorities </w:t>
      </w:r>
      <w:r w:rsidRPr="00A45D07">
        <w:t>(Appendix</w:t>
      </w:r>
      <w:r w:rsidR="002A1286" w:rsidRPr="00A45D07">
        <w:t xml:space="preserve"> 5</w:t>
      </w:r>
      <w:r w:rsidRPr="00A45D07">
        <w:t xml:space="preserve">). </w:t>
      </w:r>
      <w:r w:rsidR="00666110" w:rsidRPr="00A45D07">
        <w:t>The</w:t>
      </w:r>
      <w:r w:rsidR="00666110">
        <w:t xml:space="preserve"> </w:t>
      </w:r>
      <w:r w:rsidR="000F434E">
        <w:t xml:space="preserve">nature of </w:t>
      </w:r>
      <w:r w:rsidR="00666110">
        <w:t>identifying participants is reflected on in Cha</w:t>
      </w:r>
      <w:r w:rsidR="00666110" w:rsidRPr="002C5A99">
        <w:t>pter</w:t>
      </w:r>
      <w:r w:rsidR="002C5A99">
        <w:t xml:space="preserve"> 11</w:t>
      </w:r>
      <w:r w:rsidR="00666110">
        <w:t xml:space="preserve">. </w:t>
      </w:r>
    </w:p>
    <w:p w14:paraId="0CAFA050" w14:textId="79B9E6A1" w:rsidR="0006017D" w:rsidRDefault="00666110">
      <w:r>
        <w:t>In order to ensure that delays were avoided, w</w:t>
      </w:r>
      <w:r w:rsidR="0006017D">
        <w:t xml:space="preserve">ritten </w:t>
      </w:r>
      <w:r w:rsidR="0006017D" w:rsidRPr="00A45D07">
        <w:t xml:space="preserve">information (Appendix </w:t>
      </w:r>
      <w:r w:rsidR="002A1286" w:rsidRPr="00A45D07">
        <w:t>6</w:t>
      </w:r>
      <w:r w:rsidR="0006017D" w:rsidRPr="00A45D07">
        <w:t>) was</w:t>
      </w:r>
      <w:r w:rsidR="0006017D" w:rsidRPr="00A17921">
        <w:t xml:space="preserve"> </w:t>
      </w:r>
      <w:r w:rsidR="00790AB1" w:rsidRPr="00A17921">
        <w:t>provided</w:t>
      </w:r>
      <w:r>
        <w:t xml:space="preserve"> at each stage</w:t>
      </w:r>
      <w:r w:rsidR="00790AB1" w:rsidRPr="00A17921">
        <w:t>,</w:t>
      </w:r>
      <w:r w:rsidR="0006017D" w:rsidRPr="00A17921">
        <w:t xml:space="preserve"> </w:t>
      </w:r>
      <w:r w:rsidR="0006017D">
        <w:t xml:space="preserve">and </w:t>
      </w:r>
      <w:r w:rsidR="0006017D" w:rsidRPr="00A17921">
        <w:t>meetings were held with managers and practice leads to explain the research and respond to questions</w:t>
      </w:r>
      <w:r w:rsidR="0006017D">
        <w:t xml:space="preserve"> as briefings were </w:t>
      </w:r>
      <w:r w:rsidR="0006017D" w:rsidRPr="00A17921">
        <w:t>useful tools to start conversations (Punch, 2014)</w:t>
      </w:r>
      <w:r w:rsidR="0006017D">
        <w:t xml:space="preserve">. Meeting managers also </w:t>
      </w:r>
      <w:r w:rsidR="0006017D" w:rsidRPr="00A17921">
        <w:t>provided a useful opportunity to build connections</w:t>
      </w:r>
      <w:r w:rsidR="0006017D">
        <w:t xml:space="preserve"> and respond to any questions in the moment, </w:t>
      </w:r>
      <w:r w:rsidR="0006017D" w:rsidRPr="00A17921">
        <w:t>recogni</w:t>
      </w:r>
      <w:r w:rsidR="0006017D">
        <w:t xml:space="preserve">sing their </w:t>
      </w:r>
      <w:r w:rsidR="0006017D" w:rsidRPr="00A17921">
        <w:t xml:space="preserve">limited time </w:t>
      </w:r>
      <w:r w:rsidR="0006017D">
        <w:t>to read information could a</w:t>
      </w:r>
      <w:r w:rsidR="0006017D" w:rsidRPr="00A17921">
        <w:t>ct as a barrier to involvement (Shaw and Gould, 20</w:t>
      </w:r>
      <w:r w:rsidR="00985F12">
        <w:t>0</w:t>
      </w:r>
      <w:r w:rsidR="0006017D" w:rsidRPr="00A17921">
        <w:t xml:space="preserve">1). </w:t>
      </w:r>
      <w:r w:rsidR="0006017D">
        <w:t>Whilst t</w:t>
      </w:r>
      <w:r w:rsidR="0006017D" w:rsidRPr="00A17921">
        <w:t>hese meetings were positive and open, the gap between this level of manager and young people was too wide to identify potential participants</w:t>
      </w:r>
      <w:r w:rsidR="00203E14">
        <w:t xml:space="preserve"> —</w:t>
      </w:r>
      <w:r w:rsidR="0006017D" w:rsidRPr="00A17921">
        <w:t xml:space="preserve"> further meetings and discussions were needed with team managers and </w:t>
      </w:r>
      <w:r w:rsidR="0006017D">
        <w:t xml:space="preserve">individual social workers and personal advisors. </w:t>
      </w:r>
      <w:r w:rsidR="0006017D" w:rsidRPr="00A17921">
        <w:t>Attending team meetings was the most successful part of the process as it was in this forum that workers identified who they would approach in specific timescales</w:t>
      </w:r>
      <w:r>
        <w:t xml:space="preserve"> using my participant selection criteria</w:t>
      </w:r>
      <w:r w:rsidR="0006017D" w:rsidRPr="00A17921">
        <w:t xml:space="preserve">. </w:t>
      </w:r>
    </w:p>
    <w:p w14:paraId="6292EACF" w14:textId="501E7286" w:rsidR="0006017D" w:rsidRDefault="0006017D" w:rsidP="006A75FF">
      <w:pPr>
        <w:pStyle w:val="Heading2"/>
      </w:pPr>
      <w:bookmarkStart w:id="49" w:name="_Toc101108500"/>
      <w:r>
        <w:t xml:space="preserve">Participant </w:t>
      </w:r>
      <w:r w:rsidRPr="006A75FF">
        <w:t>Selection</w:t>
      </w:r>
      <w:bookmarkEnd w:id="49"/>
    </w:p>
    <w:p w14:paraId="73729D6B" w14:textId="5AEB0C7F" w:rsidR="0006017D" w:rsidRDefault="0006017D">
      <w:r w:rsidRPr="004A72E6">
        <w:t xml:space="preserve">As is common with a qualitative study </w:t>
      </w:r>
      <w:r>
        <w:t>focus</w:t>
      </w:r>
      <w:r w:rsidR="00666110">
        <w:t>ing</w:t>
      </w:r>
      <w:r>
        <w:t xml:space="preserve"> on a specific field</w:t>
      </w:r>
      <w:r w:rsidRPr="004A72E6">
        <w:t xml:space="preserve">, the selection of participants for </w:t>
      </w:r>
      <w:r>
        <w:t xml:space="preserve">my research was </w:t>
      </w:r>
      <w:r w:rsidRPr="004A72E6">
        <w:t>purposeful</w:t>
      </w:r>
      <w:r>
        <w:t>.</w:t>
      </w:r>
      <w:r w:rsidRPr="004A72E6">
        <w:t xml:space="preserve"> </w:t>
      </w:r>
      <w:r w:rsidRPr="00A17921">
        <w:t xml:space="preserve">Iphofen (2009) notes that purposive selection is </w:t>
      </w:r>
      <w:r w:rsidRPr="00A17921">
        <w:lastRenderedPageBreak/>
        <w:t xml:space="preserve">often seen as implicitly inferior to random selection but suggests that all selection </w:t>
      </w:r>
      <w:r w:rsidR="00B5261C">
        <w:t xml:space="preserve">processes </w:t>
      </w:r>
      <w:r>
        <w:t>have an element of convenience</w:t>
      </w:r>
      <w:r w:rsidRPr="00A17921">
        <w:t xml:space="preserve">. </w:t>
      </w:r>
      <w:r w:rsidR="009C2C25">
        <w:t xml:space="preserve">Other types of participation selection, such as random or probability sampling, would not have been appropriate as I was researching a specific experience. </w:t>
      </w:r>
      <w:r w:rsidR="00B5261C">
        <w:t>T</w:t>
      </w:r>
      <w:r w:rsidRPr="00EE6C26">
        <w:t>able</w:t>
      </w:r>
      <w:r w:rsidR="00B5261C">
        <w:t xml:space="preserve"> </w:t>
      </w:r>
      <w:r w:rsidR="00F43CF3">
        <w:t xml:space="preserve">5 </w:t>
      </w:r>
      <w:r>
        <w:t xml:space="preserve">details the criteria used to identify the </w:t>
      </w:r>
      <w:r w:rsidR="00666110">
        <w:t xml:space="preserve">ten </w:t>
      </w:r>
      <w:r>
        <w:t xml:space="preserve">participants </w:t>
      </w:r>
      <w:r w:rsidR="00666110">
        <w:t xml:space="preserve">interviewed </w:t>
      </w:r>
      <w:r>
        <w:t>for my study.</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4A0" w:firstRow="1" w:lastRow="0" w:firstColumn="1" w:lastColumn="0" w:noHBand="0" w:noVBand="1"/>
      </w:tblPr>
      <w:tblGrid>
        <w:gridCol w:w="8926"/>
      </w:tblGrid>
      <w:tr w:rsidR="0006017D" w:rsidRPr="00A17921" w14:paraId="758A4E45" w14:textId="77777777" w:rsidTr="006E3485">
        <w:trPr>
          <w:jc w:val="center"/>
        </w:trPr>
        <w:tc>
          <w:tcPr>
            <w:tcW w:w="8926" w:type="dxa"/>
            <w:shd w:val="clear" w:color="auto" w:fill="E7E6E6" w:themeFill="background2"/>
          </w:tcPr>
          <w:p w14:paraId="66F8E587" w14:textId="1D9222FD" w:rsidR="0006017D" w:rsidRPr="00A17921" w:rsidRDefault="00087D03" w:rsidP="006E3485">
            <w:pPr>
              <w:pStyle w:val="Tableheading"/>
            </w:pPr>
            <w:r>
              <w:t xml:space="preserve">Participant </w:t>
            </w:r>
            <w:r w:rsidR="00054CE3">
              <w:t>s</w:t>
            </w:r>
            <w:r w:rsidR="0006017D" w:rsidRPr="00A17921">
              <w:t xml:space="preserve">election </w:t>
            </w:r>
            <w:r w:rsidR="00054CE3">
              <w:t>c</w:t>
            </w:r>
            <w:r w:rsidR="0006017D">
              <w:t>riteria</w:t>
            </w:r>
          </w:p>
        </w:tc>
      </w:tr>
      <w:tr w:rsidR="0006017D" w:rsidRPr="00A17921" w14:paraId="4EA2909F" w14:textId="77777777" w:rsidTr="006E3485">
        <w:trPr>
          <w:jc w:val="center"/>
        </w:trPr>
        <w:tc>
          <w:tcPr>
            <w:tcW w:w="8926" w:type="dxa"/>
          </w:tcPr>
          <w:p w14:paraId="58805751" w14:textId="0D3E9ACE" w:rsidR="0006017D" w:rsidRPr="004D2082" w:rsidRDefault="0006017D" w:rsidP="006E3485">
            <w:pPr>
              <w:pStyle w:val="Tablecontent"/>
            </w:pPr>
            <w:r w:rsidRPr="004D2082">
              <w:t>A young person is deemed an eligible child, within the meaning of paragraph 19B (2) of Schedule 2 to the Children Act 1989, immediately before he/she reached eighteen</w:t>
            </w:r>
            <w:r>
              <w:t>.</w:t>
            </w:r>
          </w:p>
        </w:tc>
      </w:tr>
      <w:tr w:rsidR="00546194" w:rsidRPr="00A17921" w14:paraId="2840F6F2" w14:textId="77777777" w:rsidTr="006E3485">
        <w:trPr>
          <w:jc w:val="center"/>
        </w:trPr>
        <w:tc>
          <w:tcPr>
            <w:tcW w:w="8926" w:type="dxa"/>
          </w:tcPr>
          <w:p w14:paraId="1EC5E077" w14:textId="22BA9B3E" w:rsidR="00546194" w:rsidRPr="004D2082" w:rsidRDefault="00546194" w:rsidP="00546194">
            <w:pPr>
              <w:pStyle w:val="Tablecontent"/>
            </w:pPr>
            <w:r>
              <w:t>Originally p</w:t>
            </w:r>
            <w:r w:rsidRPr="00A17921">
              <w:t>laced by Local Authority A or B</w:t>
            </w:r>
            <w:r>
              <w:t>.</w:t>
            </w:r>
          </w:p>
        </w:tc>
      </w:tr>
      <w:tr w:rsidR="00546194" w:rsidRPr="00A17921" w14:paraId="56688EA3" w14:textId="77777777" w:rsidTr="006E3485">
        <w:trPr>
          <w:jc w:val="center"/>
        </w:trPr>
        <w:tc>
          <w:tcPr>
            <w:tcW w:w="8926" w:type="dxa"/>
          </w:tcPr>
          <w:p w14:paraId="68C13058" w14:textId="409F9C55" w:rsidR="00546194" w:rsidRDefault="00546194" w:rsidP="00546194">
            <w:pPr>
              <w:pStyle w:val="Tablecontent"/>
            </w:pPr>
            <w:r w:rsidRPr="00A17921">
              <w:t xml:space="preserve">Living under a </w:t>
            </w:r>
            <w:r w:rsidRPr="000C1156">
              <w:rPr>
                <w:i/>
                <w:iCs/>
              </w:rPr>
              <w:t>Staying Put</w:t>
            </w:r>
            <w:r w:rsidRPr="00A17921">
              <w:t xml:space="preserve"> arrangement or independent living setting.</w:t>
            </w:r>
          </w:p>
        </w:tc>
      </w:tr>
      <w:tr w:rsidR="00546194" w:rsidRPr="00A17921" w14:paraId="1DAEE923" w14:textId="77777777" w:rsidTr="006E3485">
        <w:trPr>
          <w:jc w:val="center"/>
        </w:trPr>
        <w:tc>
          <w:tcPr>
            <w:tcW w:w="8926" w:type="dxa"/>
          </w:tcPr>
          <w:p w14:paraId="352D15ED" w14:textId="5A32947E" w:rsidR="00546194" w:rsidRPr="00A17921" w:rsidRDefault="00546194" w:rsidP="00546194">
            <w:pPr>
              <w:pStyle w:val="Tablecontent"/>
            </w:pPr>
            <w:r w:rsidRPr="00A17921">
              <w:t xml:space="preserve">18-21 (relates to the period for </w:t>
            </w:r>
            <w:r w:rsidRPr="000C1156">
              <w:rPr>
                <w:i/>
                <w:iCs/>
              </w:rPr>
              <w:t>Staying Put</w:t>
            </w:r>
            <w:r w:rsidRPr="00A17921">
              <w:t xml:space="preserve"> placement and the timescale for the introduction of the duty).</w:t>
            </w:r>
          </w:p>
        </w:tc>
      </w:tr>
    </w:tbl>
    <w:p w14:paraId="1EB6E853" w14:textId="23951366" w:rsidR="00BC2670" w:rsidRDefault="00822E9A" w:rsidP="00822E9A">
      <w:pPr>
        <w:pStyle w:val="Caption"/>
      </w:pPr>
      <w:bookmarkStart w:id="50" w:name="_Toc101108556"/>
      <w:r>
        <w:t xml:space="preserve">Table </w:t>
      </w:r>
      <w:fldSimple w:instr=" SEQ Table \* ARABIC ">
        <w:r w:rsidR="00E26E21">
          <w:rPr>
            <w:noProof/>
          </w:rPr>
          <w:t>5</w:t>
        </w:r>
      </w:fldSimple>
      <w:r>
        <w:t xml:space="preserve">: </w:t>
      </w:r>
      <w:r w:rsidRPr="004D35F5">
        <w:t xml:space="preserve">Participant </w:t>
      </w:r>
      <w:r w:rsidR="00087D03">
        <w:t>s</w:t>
      </w:r>
      <w:r w:rsidRPr="004D35F5">
        <w:t xml:space="preserve">election </w:t>
      </w:r>
      <w:r w:rsidR="00087D03">
        <w:t>c</w:t>
      </w:r>
      <w:r w:rsidRPr="004D35F5">
        <w:t>riteria</w:t>
      </w:r>
      <w:bookmarkEnd w:id="50"/>
    </w:p>
    <w:p w14:paraId="1C961D6B" w14:textId="10788747" w:rsidR="0006017D" w:rsidRPr="00A17921" w:rsidRDefault="0006017D" w:rsidP="008E4AF2">
      <w:r w:rsidRPr="00EE6C26">
        <w:t xml:space="preserve">Table </w:t>
      </w:r>
      <w:r w:rsidR="00F43CF3">
        <w:t>5</w:t>
      </w:r>
      <w:r w:rsidRPr="00EE6C26">
        <w:t xml:space="preserve"> specifies</w:t>
      </w:r>
      <w:r>
        <w:t xml:space="preserve"> the need to have lived in foster care a</w:t>
      </w:r>
      <w:r w:rsidRPr="00A17921">
        <w:t>s some young people live in other types of care placements where there is no option to stay put once they reach their 18</w:t>
      </w:r>
      <w:r w:rsidRPr="00A17921">
        <w:rPr>
          <w:vertAlign w:val="superscript"/>
        </w:rPr>
        <w:t>th</w:t>
      </w:r>
      <w:r w:rsidRPr="00A17921">
        <w:t xml:space="preserve"> birthday. </w:t>
      </w:r>
      <w:r>
        <w:t>I decided not to stipulate any other s</w:t>
      </w:r>
      <w:r w:rsidRPr="00A17921">
        <w:t xml:space="preserve">pecific circumstances or personal characteristics as this could have limited participant options </w:t>
      </w:r>
      <w:r>
        <w:t>further.</w:t>
      </w:r>
    </w:p>
    <w:p w14:paraId="24C02A94" w14:textId="3B1DAF57" w:rsidR="0006017D" w:rsidRDefault="0006017D">
      <w:r w:rsidRPr="00A17921">
        <w:t>T</w:t>
      </w:r>
      <w:r>
        <w:t>here were two reasons for t</w:t>
      </w:r>
      <w:r w:rsidRPr="00A17921">
        <w:t xml:space="preserve">alking </w:t>
      </w:r>
      <w:r w:rsidR="00A45D07">
        <w:t>with</w:t>
      </w:r>
      <w:r w:rsidRPr="00A17921">
        <w:t xml:space="preserve"> young people once they had made the decision to stay put or leave</w:t>
      </w:r>
      <w:r>
        <w:t xml:space="preserve"> their placement. The first</w:t>
      </w:r>
      <w:r w:rsidR="00B5261C">
        <w:t xml:space="preserve"> reason </w:t>
      </w:r>
      <w:r w:rsidR="00B56774">
        <w:t>being that</w:t>
      </w:r>
      <w:r>
        <w:t xml:space="preserve"> </w:t>
      </w:r>
      <w:r w:rsidRPr="00A17921">
        <w:t xml:space="preserve">the period between </w:t>
      </w:r>
      <w:r>
        <w:t xml:space="preserve">the age of </w:t>
      </w:r>
      <w:r w:rsidRPr="00A17921">
        <w:t xml:space="preserve">16 and 18 can be a </w:t>
      </w:r>
      <w:r>
        <w:t xml:space="preserve">time </w:t>
      </w:r>
      <w:r w:rsidRPr="00A17921">
        <w:t>of enormous change and uncertainty for a young person in care (Dinisman and Zeira, 2011</w:t>
      </w:r>
      <w:r>
        <w:t xml:space="preserve">). </w:t>
      </w:r>
      <w:r w:rsidR="00A45D07">
        <w:t>Asking questions about choices they may not yet be aware of</w:t>
      </w:r>
      <w:r w:rsidRPr="00A17921">
        <w:t xml:space="preserve">, might have felt overwhelming and unwelcome. </w:t>
      </w:r>
      <w:r w:rsidR="00A45D07">
        <w:t>I</w:t>
      </w:r>
      <w:r>
        <w:t xml:space="preserve"> am aware that rea</w:t>
      </w:r>
      <w:r w:rsidRPr="00A17921">
        <w:t>ching the legal age of adulthood does not necessarily negate these feelings or create certainty</w:t>
      </w:r>
      <w:r w:rsidR="00A45D07">
        <w:t xml:space="preserve"> as</w:t>
      </w:r>
      <w:r w:rsidR="00391165">
        <w:t>,</w:t>
      </w:r>
      <w:r w:rsidRPr="00A17921">
        <w:t xml:space="preserve"> this period could present further anxieties and complications</w:t>
      </w:r>
      <w:r>
        <w:t xml:space="preserve">. </w:t>
      </w:r>
      <w:r w:rsidRPr="00A17921">
        <w:t xml:space="preserve">The second reason </w:t>
      </w:r>
      <w:r w:rsidR="00A45D07">
        <w:t>being</w:t>
      </w:r>
      <w:r w:rsidRPr="00A17921">
        <w:t xml:space="preserve"> </w:t>
      </w:r>
      <w:r>
        <w:t xml:space="preserve">that </w:t>
      </w:r>
      <w:r w:rsidRPr="00417053">
        <w:t xml:space="preserve">decisions to stay put or leave can be made at any point between a young person’s 16th and 18th birthday and can also be changed during that period, so waiting until the final decision was made enabled not only the decision but also the </w:t>
      </w:r>
      <w:r w:rsidR="00666110" w:rsidRPr="00417053">
        <w:t>decision-making</w:t>
      </w:r>
      <w:r w:rsidRPr="00417053">
        <w:t xml:space="preserve"> process to be explored</w:t>
      </w:r>
      <w:r>
        <w:t>.</w:t>
      </w:r>
    </w:p>
    <w:p w14:paraId="5D13244D" w14:textId="38248CC8" w:rsidR="0006017D" w:rsidRPr="00A17921" w:rsidRDefault="0006017D">
      <w:r w:rsidRPr="00A17921">
        <w:t>Denscombe (2008) confirms that it is not easy to know what an adequate number of participants is for any study</w:t>
      </w:r>
      <w:r>
        <w:t xml:space="preserve">. </w:t>
      </w:r>
      <w:r w:rsidRPr="00A17921">
        <w:t xml:space="preserve">In proposing a minimum of ten </w:t>
      </w:r>
      <w:r>
        <w:t xml:space="preserve">young people my aim was </w:t>
      </w:r>
      <w:r w:rsidRPr="00A17921">
        <w:t xml:space="preserve">to capture a range of decisions including those who chose to stay with their foster carers and </w:t>
      </w:r>
      <w:r w:rsidRPr="00A17921">
        <w:lastRenderedPageBreak/>
        <w:t>those who chose to leave.</w:t>
      </w:r>
      <w:r>
        <w:t xml:space="preserve"> I knew that identifying young people would be challenging regardless of where they were currently residing. In the case of young people </w:t>
      </w:r>
      <w:r w:rsidRPr="00EA6298">
        <w:rPr>
          <w:i/>
          <w:iCs/>
        </w:rPr>
        <w:t>Staying Put</w:t>
      </w:r>
      <w:r>
        <w:t xml:space="preserve"> I was aware that in </w:t>
      </w:r>
      <w:r w:rsidRPr="00A17921">
        <w:t>the two local authorities involved, th</w:t>
      </w:r>
      <w:r w:rsidR="00350DAD">
        <w:t>e</w:t>
      </w:r>
      <w:r w:rsidRPr="00A17921">
        <w:t xml:space="preserve"> recorded number of young people in </w:t>
      </w:r>
      <w:r w:rsidRPr="00EA6298">
        <w:rPr>
          <w:i/>
          <w:iCs/>
        </w:rPr>
        <w:t>Staying Put</w:t>
      </w:r>
      <w:r w:rsidRPr="00A17921">
        <w:t xml:space="preserve"> arrangements </w:t>
      </w:r>
      <w:r>
        <w:t>wa</w:t>
      </w:r>
      <w:r w:rsidRPr="00A17921">
        <w:t>s lower than the national figure of 26</w:t>
      </w:r>
      <w:r w:rsidR="007118C1">
        <w:t xml:space="preserve"> per cent</w:t>
      </w:r>
      <w:r w:rsidRPr="00A17921">
        <w:t xml:space="preserve"> (DfE, 2020). </w:t>
      </w:r>
      <w:r>
        <w:t xml:space="preserve">However, recruiting young people living independently could also </w:t>
      </w:r>
      <w:r w:rsidR="00B5261C">
        <w:t xml:space="preserve">have </w:t>
      </w:r>
      <w:r>
        <w:t>be</w:t>
      </w:r>
      <w:r w:rsidR="00B5261C">
        <w:t>en</w:t>
      </w:r>
      <w:r>
        <w:t xml:space="preserve"> problematic as young people’s links with social </w:t>
      </w:r>
      <w:r w:rsidRPr="00A17921">
        <w:t>workers after the age of 18 years can be inconsistent and distant (Gill and Daw, 2017)</w:t>
      </w:r>
      <w:r>
        <w:t xml:space="preserve">. I also considered that </w:t>
      </w:r>
      <w:r w:rsidRPr="00A17921">
        <w:t xml:space="preserve">numerous participants </w:t>
      </w:r>
      <w:r>
        <w:t xml:space="preserve">might come forward, </w:t>
      </w:r>
      <w:r w:rsidRPr="00A17921">
        <w:t xml:space="preserve">which would have stretched available resources. The second </w:t>
      </w:r>
      <w:r>
        <w:t>possibility</w:t>
      </w:r>
      <w:r w:rsidRPr="00A17921">
        <w:t xml:space="preserve"> was considered more thoroughly due to the message it could send to young people if they were not selected</w:t>
      </w:r>
      <w:r w:rsidR="007F6CC2">
        <w:t>,</w:t>
      </w:r>
      <w:r w:rsidRPr="00A17921">
        <w:t xml:space="preserve"> and a contingency plan was developed to manage this eventuality. </w:t>
      </w:r>
      <w:r w:rsidR="00B5261C">
        <w:t xml:space="preserve">This plan included preprepared emails and letters explaining my situation and </w:t>
      </w:r>
      <w:r w:rsidR="003A6F55">
        <w:t xml:space="preserve">ongoing contact with the </w:t>
      </w:r>
      <w:r w:rsidR="00B5261C">
        <w:t>young pe</w:t>
      </w:r>
      <w:r w:rsidR="003A6F55">
        <w:t>ople</w:t>
      </w:r>
      <w:r w:rsidR="00B5261C">
        <w:t>’s worker</w:t>
      </w:r>
      <w:r w:rsidR="003A6F55">
        <w:t>s</w:t>
      </w:r>
      <w:r w:rsidR="00B5261C">
        <w:t xml:space="preserve"> to </w:t>
      </w:r>
      <w:r w:rsidR="003A6F55">
        <w:t>check numbers of participants coming forward.</w:t>
      </w:r>
      <w:r w:rsidR="00B5261C">
        <w:t xml:space="preserve"> </w:t>
      </w:r>
      <w:r w:rsidRPr="00A17921">
        <w:t>As it transpired</w:t>
      </w:r>
      <w:r w:rsidR="007447A6">
        <w:t>,</w:t>
      </w:r>
      <w:r w:rsidRPr="00A17921">
        <w:t xml:space="preserve"> eleven young people were able to take part</w:t>
      </w:r>
      <w:r w:rsidR="00E00235">
        <w:t>,</w:t>
      </w:r>
      <w:r w:rsidRPr="00A17921">
        <w:t xml:space="preserve"> and one decided </w:t>
      </w:r>
      <w:r>
        <w:t>they</w:t>
      </w:r>
      <w:r w:rsidRPr="00A17921">
        <w:t xml:space="preserve"> could not continue during our initial phone conversation. Seven of the </w:t>
      </w:r>
      <w:r>
        <w:t>young people</w:t>
      </w:r>
      <w:r w:rsidRPr="00A17921">
        <w:t xml:space="preserve"> were recruited through </w:t>
      </w:r>
      <w:r w:rsidR="00666110">
        <w:t>social workers or personal advisors</w:t>
      </w:r>
      <w:r w:rsidRPr="00A17921">
        <w:t xml:space="preserve"> and three young people were referred to</w:t>
      </w:r>
      <w:r>
        <w:t xml:space="preserve"> me</w:t>
      </w:r>
      <w:r w:rsidRPr="00A17921">
        <w:t xml:space="preserve"> by other participants. Using a network or snowballing approach is an effective method when researching specific issues </w:t>
      </w:r>
      <w:r>
        <w:t xml:space="preserve">especially when </w:t>
      </w:r>
      <w:r w:rsidR="00A45D07">
        <w:t>participants</w:t>
      </w:r>
      <w:r>
        <w:t xml:space="preserve"> are considered to be harder to reach (</w:t>
      </w:r>
      <w:r w:rsidRPr="00A17921">
        <w:t>Lee, 1993</w:t>
      </w:r>
      <w:r>
        <w:t>; Liamputtong, 2012</w:t>
      </w:r>
      <w:r w:rsidRPr="00A17921">
        <w:t>)</w:t>
      </w:r>
      <w:r>
        <w:t>.</w:t>
      </w:r>
      <w:r w:rsidRPr="00A17921">
        <w:t xml:space="preserve"> </w:t>
      </w:r>
    </w:p>
    <w:p w14:paraId="27490AB7" w14:textId="0EEC6DB8" w:rsidR="0006017D" w:rsidRDefault="0006017D" w:rsidP="006A75FF">
      <w:pPr>
        <w:pStyle w:val="Heading2"/>
      </w:pPr>
      <w:bookmarkStart w:id="51" w:name="_Toc101108501"/>
      <w:r w:rsidRPr="00A17921">
        <w:t xml:space="preserve">Data </w:t>
      </w:r>
      <w:r>
        <w:t>Construction</w:t>
      </w:r>
      <w:bookmarkEnd w:id="51"/>
    </w:p>
    <w:p w14:paraId="291C5A0A" w14:textId="3F73C66E" w:rsidR="0006017D" w:rsidRDefault="0006017D">
      <w:r w:rsidRPr="00A17921">
        <w:t xml:space="preserve">Having established the use of a qualitative methodology, methods of data collection also need to align and reflect the researcher’s axiological position (Silverman, 2010). </w:t>
      </w:r>
      <w:r>
        <w:t>The term</w:t>
      </w:r>
      <w:r w:rsidR="00666110">
        <w:t xml:space="preserve"> data</w:t>
      </w:r>
      <w:r>
        <w:t xml:space="preserve"> collection suggests a neutral transaction with the researcher receiving the data from the researched. Therefore, data construction seems a more accurate descriptor, as it acknowledges the active role of both party’s co-construction of the interview process (Bucknall, 2014).</w:t>
      </w:r>
    </w:p>
    <w:p w14:paraId="68579FA2" w14:textId="08D09469" w:rsidR="0006017D" w:rsidRPr="00A17921" w:rsidRDefault="0006017D">
      <w:r w:rsidRPr="00A17921">
        <w:t xml:space="preserve">Generating data that serves the purpose of research can come about through a variety of methods, however rich data is preferred to gain a deeper understanding of a subject </w:t>
      </w:r>
      <w:r>
        <w:t>with</w:t>
      </w:r>
      <w:r w:rsidRPr="00A17921">
        <w:t xml:space="preserve"> lived experiences (Braun and Clarke, 2013). Individual </w:t>
      </w:r>
      <w:r>
        <w:t xml:space="preserve">semi-structured </w:t>
      </w:r>
      <w:r w:rsidRPr="00A17921">
        <w:t>interviews were chosen as they enable</w:t>
      </w:r>
      <w:r>
        <w:t>d me</w:t>
      </w:r>
      <w:r w:rsidRPr="00A17921">
        <w:t xml:space="preserve"> to try to understand </w:t>
      </w:r>
      <w:r>
        <w:t>‘</w:t>
      </w:r>
      <w:r w:rsidRPr="00A17921">
        <w:t>themes of the lived daily world</w:t>
      </w:r>
      <w:r>
        <w:t>’</w:t>
      </w:r>
      <w:r w:rsidRPr="00A17921">
        <w:t xml:space="preserve"> of the participant (Kvale, 2007). Taking a constructivist approach might suppose that the interview starts with a blank sheet of paper and ask the participant what they think are the key questions (Morris, 2006). However, </w:t>
      </w:r>
      <w:r>
        <w:t>u</w:t>
      </w:r>
      <w:r w:rsidRPr="00A17921">
        <w:t>sing semi-structured interviews to explore the experience of a decision</w:t>
      </w:r>
      <w:r w:rsidR="001F39DA">
        <w:t>,</w:t>
      </w:r>
      <w:r w:rsidRPr="00A17921">
        <w:t xml:space="preserve"> allow</w:t>
      </w:r>
      <w:r>
        <w:t>ed me</w:t>
      </w:r>
      <w:r w:rsidRPr="00A17921">
        <w:t xml:space="preserve"> to steer the discussion with</w:t>
      </w:r>
      <w:r w:rsidR="00B7167D">
        <w:t>in</w:t>
      </w:r>
      <w:r w:rsidRPr="00A17921">
        <w:t xml:space="preserve"> predetermined areas of </w:t>
      </w:r>
      <w:r w:rsidRPr="00A17921">
        <w:lastRenderedPageBreak/>
        <w:t>interest, whilst allowing room to adapt and respond within the discussion (</w:t>
      </w:r>
      <w:r w:rsidR="003A6F55" w:rsidRPr="00A17921">
        <w:t xml:space="preserve">Denscombe, 2008; </w:t>
      </w:r>
      <w:r w:rsidRPr="00A17921">
        <w:t xml:space="preserve">Rubin and Babbie, </w:t>
      </w:r>
      <w:r w:rsidR="00BC2670">
        <w:t>2014</w:t>
      </w:r>
      <w:r w:rsidRPr="00A17921">
        <w:t xml:space="preserve">; Bryman, 2016). </w:t>
      </w:r>
    </w:p>
    <w:p w14:paraId="3AB4F667" w14:textId="2EB9161F" w:rsidR="0006017D" w:rsidRDefault="0006017D">
      <w:r w:rsidRPr="00A17921">
        <w:t xml:space="preserve">In any form of interview structure, the researcher’s approach is key, with Kvale describing the interviewer as a </w:t>
      </w:r>
      <w:r>
        <w:t>‘</w:t>
      </w:r>
      <w:r w:rsidRPr="00A17921">
        <w:t>traveller who walks alongside the participant to hear what they cho</w:t>
      </w:r>
      <w:r w:rsidR="007715AB">
        <w:t>o</w:t>
      </w:r>
      <w:r w:rsidRPr="00A17921">
        <w:t>se to share</w:t>
      </w:r>
      <w:r>
        <w:t>’</w:t>
      </w:r>
      <w:r w:rsidRPr="00A17921">
        <w:t xml:space="preserve"> (</w:t>
      </w:r>
      <w:r w:rsidR="00B56774">
        <w:t xml:space="preserve">2007, </w:t>
      </w:r>
      <w:r w:rsidRPr="00A17921">
        <w:t xml:space="preserve">p. 19). </w:t>
      </w:r>
      <w:r>
        <w:t>R</w:t>
      </w:r>
      <w:r w:rsidRPr="00A17921">
        <w:t xml:space="preserve">esearching social work </w:t>
      </w:r>
      <w:r w:rsidR="003A6F55">
        <w:t>issues</w:t>
      </w:r>
      <w:r w:rsidRPr="00A17921">
        <w:t xml:space="preserve"> requires sensitivity and ability to show genuine interest in the participant (Morris, 2006). </w:t>
      </w:r>
      <w:r>
        <w:t>Therefore, a researcher’s</w:t>
      </w:r>
      <w:r w:rsidRPr="00203F3C">
        <w:t xml:space="preserve"> </w:t>
      </w:r>
      <w:r w:rsidRPr="00A17921">
        <w:t xml:space="preserve">interviewing skills and ability to read paralanguage </w:t>
      </w:r>
      <w:r w:rsidR="00B56774">
        <w:t>are</w:t>
      </w:r>
      <w:r w:rsidRPr="00A17921">
        <w:t xml:space="preserve"> </w:t>
      </w:r>
      <w:r>
        <w:t xml:space="preserve">important. </w:t>
      </w:r>
      <w:r w:rsidRPr="00A17921">
        <w:t xml:space="preserve">Drawing on professional skills is valuable, however it is important to distinguish professional experience from that of a researcher, as there is a difference in motives and approaches. This distinction is reinforced by Denscombe (2008) who guards against an oversimplification of interviewing skills. </w:t>
      </w:r>
    </w:p>
    <w:p w14:paraId="60797C95" w14:textId="6CD09083" w:rsidR="0006017D" w:rsidRDefault="0006017D">
      <w:r>
        <w:t xml:space="preserve">Planning aspects of the interview can mitigate against interview drift or interviewer paralysis (King, Horrocks and Brooks, 2019). </w:t>
      </w:r>
      <w:r w:rsidR="0077064A">
        <w:t>Therefore,</w:t>
      </w:r>
      <w:r w:rsidR="007715AB">
        <w:t xml:space="preserve"> it is important to plan the </w:t>
      </w:r>
      <w:r w:rsidRPr="00A17921">
        <w:t xml:space="preserve">stages of </w:t>
      </w:r>
      <w:r w:rsidR="007715AB">
        <w:t xml:space="preserve">the </w:t>
      </w:r>
      <w:r w:rsidRPr="00A17921">
        <w:t>interview, beginning with themati</w:t>
      </w:r>
      <w:r w:rsidR="003A6F55">
        <w:t>s</w:t>
      </w:r>
      <w:r w:rsidRPr="00A17921">
        <w:t xml:space="preserve">ing and designing, </w:t>
      </w:r>
      <w:r w:rsidR="007715AB">
        <w:t xml:space="preserve">to think about </w:t>
      </w:r>
      <w:r>
        <w:t>how</w:t>
      </w:r>
      <w:r w:rsidRPr="00A17921">
        <w:t xml:space="preserve"> </w:t>
      </w:r>
      <w:r w:rsidR="007715AB">
        <w:t>each topic could</w:t>
      </w:r>
      <w:r w:rsidRPr="00A17921">
        <w:t xml:space="preserve"> contribute </w:t>
      </w:r>
      <w:r>
        <w:t>‘</w:t>
      </w:r>
      <w:r w:rsidRPr="00A17921">
        <w:t>thematically and dynamically</w:t>
      </w:r>
      <w:r>
        <w:t>’</w:t>
      </w:r>
      <w:r w:rsidRPr="00A17921">
        <w:t xml:space="preserve"> to understand and </w:t>
      </w:r>
      <w:r>
        <w:t>respond to the overarching research question</w:t>
      </w:r>
      <w:r w:rsidRPr="00A17921">
        <w:t xml:space="preserve"> (Kvale, 2007, p. 57). </w:t>
      </w:r>
      <w:r w:rsidR="007715AB">
        <w:t xml:space="preserve">As already noted, I used a </w:t>
      </w:r>
      <w:r w:rsidRPr="00A17921">
        <w:t xml:space="preserve">topic guide </w:t>
      </w:r>
      <w:r w:rsidR="007715AB">
        <w:t>to form an interview map which provided s</w:t>
      </w:r>
      <w:r w:rsidRPr="00A17921">
        <w:t>upport</w:t>
      </w:r>
      <w:r>
        <w:t xml:space="preserve"> and </w:t>
      </w:r>
      <w:r w:rsidRPr="00A45D07">
        <w:t xml:space="preserve">focus (Appendix </w:t>
      </w:r>
      <w:r w:rsidR="002A1286" w:rsidRPr="00A45D07">
        <w:t>3</w:t>
      </w:r>
      <w:r w:rsidRPr="00A45D07">
        <w:t>)</w:t>
      </w:r>
      <w:r w:rsidR="007715AB" w:rsidRPr="00A45D07">
        <w:t xml:space="preserve"> whilst</w:t>
      </w:r>
      <w:r w:rsidR="007715AB">
        <w:t xml:space="preserve"> being mindful that a</w:t>
      </w:r>
      <w:r w:rsidRPr="00EC1E1F">
        <w:t>lthough</w:t>
      </w:r>
      <w:r w:rsidR="007715AB">
        <w:t xml:space="preserve"> a </w:t>
      </w:r>
      <w:r w:rsidRPr="00EC1E1F">
        <w:t>guide can provide structure, the benefit of a se</w:t>
      </w:r>
      <w:r w:rsidRPr="00A17921">
        <w:t xml:space="preserve">mi-structured interview </w:t>
      </w:r>
      <w:r>
        <w:t>is being flexible</w:t>
      </w:r>
      <w:r w:rsidRPr="00A17921">
        <w:t xml:space="preserve"> to the responses given</w:t>
      </w:r>
      <w:r>
        <w:t xml:space="preserve"> (</w:t>
      </w:r>
      <w:r w:rsidRPr="00A17921">
        <w:t>Morris</w:t>
      </w:r>
      <w:r>
        <w:t xml:space="preserve">, </w:t>
      </w:r>
      <w:r w:rsidRPr="00A17921">
        <w:t xml:space="preserve">2015). </w:t>
      </w:r>
    </w:p>
    <w:p w14:paraId="24AF6418" w14:textId="356BF134" w:rsidR="0006017D" w:rsidRDefault="0006017D">
      <w:r>
        <w:t>Developing</w:t>
      </w:r>
      <w:r w:rsidR="007715AB">
        <w:t xml:space="preserve"> </w:t>
      </w:r>
      <w:r>
        <w:t xml:space="preserve">the topic guide was helpful to think about the possible journey of the interview and </w:t>
      </w:r>
      <w:r w:rsidR="007715AB">
        <w:t xml:space="preserve">as mentioned </w:t>
      </w:r>
      <w:r>
        <w:t xml:space="preserve">prompted </w:t>
      </w:r>
      <w:r w:rsidR="007715AB">
        <w:t xml:space="preserve">by the advisory group I </w:t>
      </w:r>
      <w:r w:rsidR="00E705EF">
        <w:t xml:space="preserve">created a basic </w:t>
      </w:r>
      <w:r>
        <w:t xml:space="preserve">visual representation </w:t>
      </w:r>
      <w:r w:rsidR="00E705EF">
        <w:t>for the young people</w:t>
      </w:r>
      <w:r>
        <w:t xml:space="preserve">. I developed a young person’s topic guide to offer reassurances about the content of the interview and </w:t>
      </w:r>
      <w:r w:rsidR="003A6F55">
        <w:t xml:space="preserve">to </w:t>
      </w:r>
      <w:r>
        <w:t xml:space="preserve">provide a reference point for the </w:t>
      </w:r>
      <w:r w:rsidRPr="00147E4B">
        <w:t xml:space="preserve">conversation (Appendix </w:t>
      </w:r>
      <w:r w:rsidR="002A1286" w:rsidRPr="00147E4B">
        <w:t>4</w:t>
      </w:r>
      <w:r w:rsidRPr="00147E4B">
        <w:t xml:space="preserve">). </w:t>
      </w:r>
      <w:r w:rsidR="00E705EF" w:rsidRPr="00147E4B">
        <w:t>I</w:t>
      </w:r>
      <w:r w:rsidR="00E705EF">
        <w:t xml:space="preserve"> also planned the use of drawing materials and plain or predesigned paper for young people to use du</w:t>
      </w:r>
      <w:r>
        <w:t xml:space="preserve">ring the </w:t>
      </w:r>
      <w:r w:rsidRPr="00147E4B">
        <w:t>interview</w:t>
      </w:r>
      <w:r w:rsidR="00E705EF" w:rsidRPr="00147E4B">
        <w:t xml:space="preserve"> (Appendix</w:t>
      </w:r>
      <w:r w:rsidR="002A1286" w:rsidRPr="00147E4B">
        <w:t xml:space="preserve"> 7</w:t>
      </w:r>
      <w:r w:rsidR="00E705EF" w:rsidRPr="00147E4B">
        <w:t>).</w:t>
      </w:r>
      <w:r w:rsidRPr="00147E4B">
        <w:t xml:space="preserve"> Art</w:t>
      </w:r>
      <w:r>
        <w:t xml:space="preserve"> materials were introduced for two reasons. First in recognition that young people use multiple media to communicate, interpret information and connect ideas (Bagnoli, 2009; Hearn and Thomson, 2014) and second because art can provide a useful distraction (Henderson and Mathew-Byrne, 2016) thus averting the researcher’s gaze. </w:t>
      </w:r>
      <w:r w:rsidR="00E705EF">
        <w:t xml:space="preserve">I did not intend to use this work as data as it is important not to assume that </w:t>
      </w:r>
      <w:r>
        <w:t>young people would want to draw or share their drawing (M</w:t>
      </w:r>
      <w:r w:rsidRPr="00047EB1">
        <w:t xml:space="preserve">oore, Saunders, </w:t>
      </w:r>
      <w:r>
        <w:t>and</w:t>
      </w:r>
      <w:r w:rsidRPr="00047EB1">
        <w:t xml:space="preserve"> McArthur, 2011</w:t>
      </w:r>
      <w:r>
        <w:t>). Most of the young people chose to doodle</w:t>
      </w:r>
      <w:r w:rsidR="00DA7C74">
        <w:t>,</w:t>
      </w:r>
      <w:r>
        <w:t xml:space="preserve"> with one young person writing out the questions as they were asked</w:t>
      </w:r>
      <w:r w:rsidR="00885B94">
        <w:t>,</w:t>
      </w:r>
      <w:r>
        <w:t xml:space="preserve"> using materials I had provided. </w:t>
      </w:r>
    </w:p>
    <w:p w14:paraId="4477D151" w14:textId="73C33CA0" w:rsidR="0006017D" w:rsidRDefault="0006017D">
      <w:r w:rsidRPr="00E92F38">
        <w:t xml:space="preserve">Acknowledging the social </w:t>
      </w:r>
      <w:r>
        <w:t xml:space="preserve">and relational </w:t>
      </w:r>
      <w:r w:rsidRPr="00E92F38">
        <w:t xml:space="preserve">nature of </w:t>
      </w:r>
      <w:r>
        <w:t>interviews (Flewitt, 2014)</w:t>
      </w:r>
      <w:r w:rsidRPr="00E92F38">
        <w:t xml:space="preserve">, I </w:t>
      </w:r>
      <w:r>
        <w:t xml:space="preserve">thought about how I used questions to build </w:t>
      </w:r>
      <w:r w:rsidRPr="00E92F38">
        <w:t>rapport and ensure</w:t>
      </w:r>
      <w:r w:rsidR="003A6F55">
        <w:t>d</w:t>
      </w:r>
      <w:r w:rsidRPr="00E92F38">
        <w:t xml:space="preserve"> that </w:t>
      </w:r>
      <w:r>
        <w:t xml:space="preserve">I did not take an </w:t>
      </w:r>
      <w:r w:rsidRPr="00E92F38">
        <w:t xml:space="preserve">interrogative </w:t>
      </w:r>
      <w:r>
        <w:t xml:space="preserve">stance </w:t>
      </w:r>
      <w:r>
        <w:lastRenderedPageBreak/>
        <w:t>which can make the participant feel uncomfortable</w:t>
      </w:r>
      <w:r w:rsidRPr="00E92F38">
        <w:t xml:space="preserve"> (Hopf, 2004).</w:t>
      </w:r>
      <w:r>
        <w:t xml:space="preserve"> Starting by introducing the art materials provided </w:t>
      </w:r>
      <w:r w:rsidR="00E705EF">
        <w:t xml:space="preserve">an opportunity </w:t>
      </w:r>
      <w:r>
        <w:t>to have a non-threatening conversation about the research and where I could share something of myself, namely my limited art skills. During the interviews I also had a piece of paper to use if I felt that the young person was struggling with eye contact. Often by looking down at my doodling provided a space for the young person to think without feeling awkward. Likewise</w:t>
      </w:r>
      <w:r w:rsidR="009256F4">
        <w:t>,</w:t>
      </w:r>
      <w:r>
        <w:t xml:space="preserve"> ending the interview by inviting young people to talk about things they </w:t>
      </w:r>
      <w:r w:rsidR="00E705EF">
        <w:t>might have wanted to add or</w:t>
      </w:r>
      <w:r>
        <w:t xml:space="preserve"> pass on to other social workers or foster carers, ended with a more open and conversational tone. This free time </w:t>
      </w:r>
      <w:r w:rsidR="00E705EF">
        <w:t xml:space="preserve">is important as it </w:t>
      </w:r>
      <w:r>
        <w:t>can allow young people a moment to reflect and to transition out of the interview (Flewitt, 2014).</w:t>
      </w:r>
      <w:r w:rsidR="00F14CFC">
        <w:t xml:space="preserve"> Although the core subjects in the topic guide remained the same, in the final three interviews I </w:t>
      </w:r>
      <w:r w:rsidR="00585374">
        <w:t xml:space="preserve">included a specific </w:t>
      </w:r>
      <w:r w:rsidR="00F14CFC">
        <w:t xml:space="preserve">question about the concept of independence as this has been raised in previous interviews. </w:t>
      </w:r>
      <w:r w:rsidR="00585374">
        <w:t>Being flexible in semi-structured interviews is helpful when unanticipated issues arise (Rubin and Babbie, 2014) and in this case I was interested in whether the young people in</w:t>
      </w:r>
      <w:r w:rsidR="00FC2E67">
        <w:t xml:space="preserve"> the</w:t>
      </w:r>
      <w:r w:rsidR="00585374">
        <w:t xml:space="preserve"> final three interviews</w:t>
      </w:r>
      <w:r w:rsidR="00FF7D8F">
        <w:t>,</w:t>
      </w:r>
      <w:r w:rsidR="00585374">
        <w:t xml:space="preserve"> </w:t>
      </w:r>
      <w:r w:rsidR="0067448C">
        <w:t xml:space="preserve">also </w:t>
      </w:r>
      <w:r w:rsidR="00585374">
        <w:t>had thoughts about being independent.</w:t>
      </w:r>
    </w:p>
    <w:p w14:paraId="4D081C2C" w14:textId="37C410F7" w:rsidR="0006017D" w:rsidRDefault="0006017D">
      <w:r w:rsidRPr="00DD62F4">
        <w:t>At the end of the interview the process of transcribing was explained, what it would look like and an offer to go through it with them once they had received it.</w:t>
      </w:r>
      <w:r w:rsidR="00E705EF">
        <w:t xml:space="preserve"> I gave the young people a choice about whether they wanted to receive the transcript by email or post and clarified why there was a deadline for their responses. I explained that they would have two weeks to let me know if there were any inaccuracies in how I had understood them or things they were uncomfortable about sharing. </w:t>
      </w:r>
      <w:r w:rsidRPr="00DD62F4">
        <w:t xml:space="preserve">A lack of response was not automatically interpreted as consent </w:t>
      </w:r>
      <w:r w:rsidR="00E705EF">
        <w:t xml:space="preserve">to the transcripts </w:t>
      </w:r>
      <w:r w:rsidRPr="00DD62F4">
        <w:t xml:space="preserve">and those young people who did not reply in the timescale were contacted by text to check that they had received it and further offers of support were given. Eight out of ten young people said that they had read the transcript and affirmed their agreement </w:t>
      </w:r>
      <w:r w:rsidR="003A6F55">
        <w:t xml:space="preserve">to its accuracy </w:t>
      </w:r>
      <w:r w:rsidRPr="00DD62F4">
        <w:t>by email or text, the other two young people said that they did not want to look at the transcript and that they were ‘ok with what I said’ and ‘I was fine with it on the day and still am’.</w:t>
      </w:r>
    </w:p>
    <w:p w14:paraId="03C80C78" w14:textId="2D9012F0" w:rsidR="0006017D" w:rsidRDefault="0006017D">
      <w:r>
        <w:t xml:space="preserve">Preparing the practical aspects of an interview is important to both the researcher and participant (King, Horrocks and Brooks, 2019). Interviewing young people required thought about venue </w:t>
      </w:r>
      <w:r w:rsidR="00E705EF">
        <w:t>as</w:t>
      </w:r>
      <w:r>
        <w:t xml:space="preserve"> </w:t>
      </w:r>
      <w:r w:rsidR="00E705EF">
        <w:t>i</w:t>
      </w:r>
      <w:r>
        <w:t>nterviewing children and young people in places they feel safe and comfortable is a primary consideration (Flewitt, 2014). I asked all of the young people their preferred place</w:t>
      </w:r>
      <w:r w:rsidR="00B84ED4">
        <w:t xml:space="preserve"> —</w:t>
      </w:r>
      <w:r>
        <w:t xml:space="preserve"> most decided that they would like to be at home</w:t>
      </w:r>
      <w:r w:rsidR="00B84ED4">
        <w:t>,</w:t>
      </w:r>
      <w:r>
        <w:t xml:space="preserve"> and some asked to meet in cafes. </w:t>
      </w:r>
      <w:r w:rsidR="00E705EF">
        <w:t>Café meetings were thoroughly discussed to ensure they were aware of the issues of confidentiality in a public space. Likewise, h</w:t>
      </w:r>
      <w:r>
        <w:t xml:space="preserve">ome visits </w:t>
      </w:r>
      <w:r w:rsidR="00E705EF">
        <w:t>were also</w:t>
      </w:r>
      <w:r>
        <w:t xml:space="preserve"> discussed to ensure that </w:t>
      </w:r>
      <w:r>
        <w:lastRenderedPageBreak/>
        <w:t>there was a quiet communal space</w:t>
      </w:r>
      <w:r w:rsidR="00A71CAC">
        <w:t>,</w:t>
      </w:r>
      <w:r>
        <w:t xml:space="preserve"> as I did not want to sit in a bedroom or noisy room with distractions. The café based interviews were most challenging as they were both noisy and lacked privacy</w:t>
      </w:r>
      <w:r w:rsidR="00E705EF">
        <w:t xml:space="preserve"> at points in the interview</w:t>
      </w:r>
      <w:r>
        <w:t>. In these situations, I checked their feelings by pausing when other people were in earshot and asking if they wanted to continue.</w:t>
      </w:r>
    </w:p>
    <w:p w14:paraId="21EB4E64" w14:textId="155F9C75" w:rsidR="0006017D" w:rsidRDefault="0006017D">
      <w:r>
        <w:t>Concerns about noise and interruption also related to the use of a digital recorder to capture the interview. Although the recorder did not appear to</w:t>
      </w:r>
      <w:r w:rsidR="00860C41">
        <w:t xml:space="preserve"> faze</w:t>
      </w:r>
      <w:r>
        <w:t xml:space="preserve"> the </w:t>
      </w:r>
      <w:r w:rsidR="009563BB">
        <w:t>participants</w:t>
      </w:r>
      <w:r>
        <w:t xml:space="preserve"> </w:t>
      </w:r>
      <w:r w:rsidR="00F04BF6">
        <w:t xml:space="preserve">as </w:t>
      </w:r>
      <w:r>
        <w:t xml:space="preserve">suggested in other research </w:t>
      </w:r>
      <w:r w:rsidR="009563BB">
        <w:t xml:space="preserve">with children and young people </w:t>
      </w:r>
      <w:r>
        <w:t xml:space="preserve">(King, Horrocks and Brooks, 2019), I was </w:t>
      </w:r>
      <w:r w:rsidR="009563BB">
        <w:t>mindful about how I introduced the device and explained that the recording would not be shared with other people</w:t>
      </w:r>
      <w:r>
        <w:t>. As a back-up I took additional batteries but also recorded the interview on a phone as I found the sound quality varied on the recording device.</w:t>
      </w:r>
    </w:p>
    <w:p w14:paraId="743C08CC" w14:textId="6EFEDD66" w:rsidR="0006017D" w:rsidRPr="00A17921" w:rsidRDefault="0006017D">
      <w:r>
        <w:t>The final practical element I had not considered was the need to contact young people using text</w:t>
      </w:r>
      <w:r w:rsidR="00B87033">
        <w:t>,</w:t>
      </w:r>
      <w:r>
        <w:t xml:space="preserve"> as young people did not consistently use phone and email communication. Rather than sharing my personal number I bought a phone </w:t>
      </w:r>
      <w:r w:rsidR="003A7812" w:rsidRPr="003A7812">
        <w:t xml:space="preserve">to </w:t>
      </w:r>
      <w:r w:rsidR="009563BB">
        <w:t>ensure</w:t>
      </w:r>
      <w:r w:rsidR="003A7812" w:rsidRPr="003A7812">
        <w:t xml:space="preserve"> </w:t>
      </w:r>
      <w:r w:rsidR="009563BB">
        <w:t xml:space="preserve">my </w:t>
      </w:r>
      <w:r w:rsidR="003A7812" w:rsidRPr="003A7812">
        <w:t xml:space="preserve">privacy </w:t>
      </w:r>
      <w:r w:rsidR="009563BB">
        <w:t>and boundaries</w:t>
      </w:r>
      <w:r w:rsidR="003A7812" w:rsidRPr="003A7812">
        <w:t xml:space="preserve">, </w:t>
      </w:r>
      <w:r w:rsidR="009563BB">
        <w:t xml:space="preserve">which </w:t>
      </w:r>
      <w:r w:rsidR="003A7812" w:rsidRPr="003A7812">
        <w:t xml:space="preserve">also </w:t>
      </w:r>
      <w:r>
        <w:t xml:space="preserve">made it easier to </w:t>
      </w:r>
      <w:r w:rsidR="009563BB">
        <w:t xml:space="preserve">check in with young people </w:t>
      </w:r>
      <w:r>
        <w:t>before and after the interview. Symbols of care such as checking the welfare of young participants are important facets of the research</w:t>
      </w:r>
      <w:r w:rsidR="009563BB">
        <w:t xml:space="preserve"> process</w:t>
      </w:r>
      <w:r>
        <w:t xml:space="preserve"> (Groundwater-Smith, Dockett and Botterall, 2015). </w:t>
      </w:r>
      <w:r w:rsidR="009563BB">
        <w:t xml:space="preserve">Another symbol of care and regard is payment for participation. </w:t>
      </w:r>
      <w:r>
        <w:t xml:space="preserve">Payments for young participants are considered problematic and associated with notions of inducement (Cree, Kay and Tisdall, 2002). Although I had made young people aware that I was not able to recompense them for their </w:t>
      </w:r>
      <w:r w:rsidR="009563BB">
        <w:t>involvement</w:t>
      </w:r>
      <w:r>
        <w:t>, I wanted to acknowledge their contribution and show the value I had placed on their time (Graham, Powel</w:t>
      </w:r>
      <w:r w:rsidR="007C50B9">
        <w:t>l</w:t>
      </w:r>
      <w:r>
        <w:t xml:space="preserve"> and Taylor, 2015). I did this by taking food and drink to leave </w:t>
      </w:r>
      <w:r w:rsidR="003A6F55">
        <w:t xml:space="preserve">with them </w:t>
      </w:r>
      <w:r>
        <w:t xml:space="preserve">at the end of the interview. </w:t>
      </w:r>
      <w:r w:rsidR="009563BB">
        <w:t xml:space="preserve">As these tokens were unexpected, they are not considered as an inducement which is an important factor in ensuring the integrity of the research. </w:t>
      </w:r>
    </w:p>
    <w:p w14:paraId="543ED6B5" w14:textId="77777777" w:rsidR="00004AC6" w:rsidRDefault="00004AC6" w:rsidP="00004AC6">
      <w:pPr>
        <w:pStyle w:val="Heading2"/>
      </w:pPr>
      <w:bookmarkStart w:id="52" w:name="_Toc101108502"/>
      <w:r w:rsidRPr="006D656A">
        <w:t>Quality</w:t>
      </w:r>
      <w:bookmarkEnd w:id="52"/>
    </w:p>
    <w:p w14:paraId="09BFBE44" w14:textId="77777777" w:rsidR="00004AC6" w:rsidRPr="00FD4953" w:rsidRDefault="00004AC6" w:rsidP="00004AC6">
      <w:r w:rsidRPr="00FD4953">
        <w:t>The issue of integrity is an important facet in ensuring the quality of any research produced (Birks, 2014). Markers of quality can be problematic for qualitative research as traditional standards, such as validity, reliability and objectivity are aligned with quantitative forms of inquiry (Denzin, 2011). Lincoln and Guba (1985) developed more relevant measures and using their four markers – credibility, transferability, dependability and confirmability, this section addresses their categories of quality in relation to this research.</w:t>
      </w:r>
    </w:p>
    <w:p w14:paraId="3E715590" w14:textId="1CEC5D9D" w:rsidR="003A0504" w:rsidRPr="00FD4953" w:rsidRDefault="00004AC6" w:rsidP="00004AC6">
      <w:r w:rsidRPr="00FD4953">
        <w:t xml:space="preserve">Flick (2018) suggests that Lincoln and Guba’s (1985) first measure, credibility, is the most important of their quality markers. Producing credible research is important for involved </w:t>
      </w:r>
      <w:r w:rsidRPr="00FD4953">
        <w:lastRenderedPageBreak/>
        <w:t xml:space="preserve">participants and ‘end users’ (Birks, 2014, p. 221) if the researcher wants to make any impact with their work (Kumar, 2019). Measures of credibility suggested by Lincoln and Guba (1985) include understanding the field of research, peer debriefing, member checking and triangulation. Whilst the first three elements relevant to this research are noted in Table </w:t>
      </w:r>
      <w:r w:rsidR="003A0504" w:rsidRPr="00FD4953">
        <w:t>6</w:t>
      </w:r>
      <w:r w:rsidRPr="00FD4953">
        <w:t xml:space="preserve">, the role of triangulation is not relevant. Triangulation can be associated with getting to the right answer through mixed methods and triangulation of data (Braun and Clarke, 2013). Using more than one method of data collection is seen by some as beneficial in offsetting perceived limitations in qualitative research when one research method is used (Bryman, 2016) and the researcher aims to present a valid and trustworthy set of findings using mixed methods (Gray, 2014), although, ‘better results’ are not guaranteed (Sarantakos, 2013, p. 161). It is more important that decisions about data collection methods are grounded in the research questions and the most appropriate way to investigate them, enabling the researcher to stand by the data collected (Silverman, 2010). Furthermore, demonstrating credibility through triangulation is at odds with my epistemological position as the aim of my research was not to seek findings considered to be objectively true, rather to construct meaning and context from the data (Fielding and Fielding, 1986). This thinking is better associated with </w:t>
      </w:r>
      <w:r w:rsidRPr="00FD4953">
        <w:rPr>
          <w:i/>
          <w:iCs/>
        </w:rPr>
        <w:t>crystallisation</w:t>
      </w:r>
      <w:r w:rsidRPr="00FD4953">
        <w:t xml:space="preserve">, which enables the researcher to acknowledge that there is no single truth to be discovered, instead there are multiple perspectives of an issue or event (Ellingson, 2009). </w:t>
      </w:r>
    </w:p>
    <w:tbl>
      <w:tblPr>
        <w:tblStyle w:val="TableGrid"/>
        <w:tblW w:w="0" w:type="auto"/>
        <w:tblLook w:val="04A0" w:firstRow="1" w:lastRow="0" w:firstColumn="1" w:lastColumn="0" w:noHBand="0" w:noVBand="1"/>
      </w:tblPr>
      <w:tblGrid>
        <w:gridCol w:w="4505"/>
        <w:gridCol w:w="4505"/>
      </w:tblGrid>
      <w:tr w:rsidR="00004AC6" w:rsidRPr="00FD4953" w14:paraId="3B89CF66" w14:textId="77777777" w:rsidTr="003F7083">
        <w:tc>
          <w:tcPr>
            <w:tcW w:w="4505" w:type="dxa"/>
          </w:tcPr>
          <w:p w14:paraId="662A739D" w14:textId="77777777" w:rsidR="00004AC6" w:rsidRPr="00FD4953" w:rsidRDefault="00004AC6" w:rsidP="003A0504">
            <w:pPr>
              <w:pStyle w:val="Tableheading"/>
            </w:pPr>
            <w:r w:rsidRPr="00FD4953">
              <w:t>Lincoln and Guba’s (1985) Marker</w:t>
            </w:r>
          </w:p>
        </w:tc>
        <w:tc>
          <w:tcPr>
            <w:tcW w:w="4505" w:type="dxa"/>
          </w:tcPr>
          <w:p w14:paraId="05A239A3" w14:textId="77777777" w:rsidR="00004AC6" w:rsidRPr="00FD4953" w:rsidRDefault="00004AC6" w:rsidP="003A0504">
            <w:pPr>
              <w:pStyle w:val="Tableheading"/>
            </w:pPr>
            <w:r w:rsidRPr="00FD4953">
              <w:t>Measures Taken</w:t>
            </w:r>
          </w:p>
        </w:tc>
      </w:tr>
      <w:tr w:rsidR="00004AC6" w:rsidRPr="00FD4953" w14:paraId="280EA98F" w14:textId="77777777" w:rsidTr="003F7083">
        <w:tc>
          <w:tcPr>
            <w:tcW w:w="4505" w:type="dxa"/>
          </w:tcPr>
          <w:p w14:paraId="30E643D6" w14:textId="77777777" w:rsidR="00004AC6" w:rsidRPr="00FD4953" w:rsidRDefault="00004AC6" w:rsidP="00DE6B63">
            <w:pPr>
              <w:pStyle w:val="Tablecontent"/>
            </w:pPr>
            <w:r w:rsidRPr="00FD4953">
              <w:t>Understanding the field of research</w:t>
            </w:r>
          </w:p>
        </w:tc>
        <w:tc>
          <w:tcPr>
            <w:tcW w:w="4505" w:type="dxa"/>
          </w:tcPr>
          <w:p w14:paraId="0CC54309" w14:textId="07F5176C" w:rsidR="00004AC6" w:rsidRPr="00FD4953" w:rsidRDefault="00004AC6" w:rsidP="00DE6B63">
            <w:pPr>
              <w:pStyle w:val="Tablecontent"/>
              <w:numPr>
                <w:ilvl w:val="0"/>
                <w:numId w:val="26"/>
              </w:numPr>
            </w:pPr>
            <w:r w:rsidRPr="00FD4953">
              <w:t>Existing personal experience</w:t>
            </w:r>
            <w:r w:rsidR="00DE6B63" w:rsidRPr="00FD4953">
              <w:t>.</w:t>
            </w:r>
          </w:p>
          <w:p w14:paraId="06A95F07" w14:textId="77777777" w:rsidR="00004AC6" w:rsidRPr="00FD4953" w:rsidRDefault="00004AC6" w:rsidP="00DE6B63">
            <w:pPr>
              <w:pStyle w:val="Tablecontent"/>
              <w:numPr>
                <w:ilvl w:val="0"/>
                <w:numId w:val="26"/>
              </w:numPr>
            </w:pPr>
            <w:r w:rsidRPr="00FD4953">
              <w:t>Discussion with social workers and managers from the local authorities.</w:t>
            </w:r>
          </w:p>
          <w:p w14:paraId="2AAF5035" w14:textId="77777777" w:rsidR="00004AC6" w:rsidRPr="00FD4953" w:rsidRDefault="00004AC6" w:rsidP="00DE6B63">
            <w:pPr>
              <w:pStyle w:val="Tablecontent"/>
              <w:numPr>
                <w:ilvl w:val="0"/>
                <w:numId w:val="26"/>
              </w:numPr>
            </w:pPr>
            <w:r w:rsidRPr="00FD4953">
              <w:t>Working with the advisory group.</w:t>
            </w:r>
          </w:p>
          <w:p w14:paraId="22A4D1BB" w14:textId="125D630B" w:rsidR="00004AC6" w:rsidRPr="00FD4953" w:rsidRDefault="00004AC6" w:rsidP="00DE6B63">
            <w:pPr>
              <w:pStyle w:val="Tablecontent"/>
              <w:numPr>
                <w:ilvl w:val="0"/>
                <w:numId w:val="26"/>
              </w:numPr>
            </w:pPr>
            <w:r w:rsidRPr="00FD4953">
              <w:t>Literature and policy review</w:t>
            </w:r>
            <w:r w:rsidR="00DE6B63" w:rsidRPr="00FD4953">
              <w:t>.</w:t>
            </w:r>
          </w:p>
        </w:tc>
      </w:tr>
      <w:tr w:rsidR="00004AC6" w:rsidRPr="00FD4953" w14:paraId="2F88AC2B" w14:textId="77777777" w:rsidTr="003F7083">
        <w:tc>
          <w:tcPr>
            <w:tcW w:w="4505" w:type="dxa"/>
          </w:tcPr>
          <w:p w14:paraId="558B9662" w14:textId="77777777" w:rsidR="00004AC6" w:rsidRPr="00FD4953" w:rsidRDefault="00004AC6" w:rsidP="00DE6B63">
            <w:pPr>
              <w:pStyle w:val="Tablecontent"/>
            </w:pPr>
            <w:r w:rsidRPr="00FD4953">
              <w:t>Peer debriefing</w:t>
            </w:r>
          </w:p>
        </w:tc>
        <w:tc>
          <w:tcPr>
            <w:tcW w:w="4505" w:type="dxa"/>
          </w:tcPr>
          <w:p w14:paraId="671519B9" w14:textId="77777777" w:rsidR="00004AC6" w:rsidRPr="00FD4953" w:rsidRDefault="00004AC6" w:rsidP="00DE6B63">
            <w:pPr>
              <w:pStyle w:val="Tablecontent"/>
              <w:numPr>
                <w:ilvl w:val="0"/>
                <w:numId w:val="27"/>
              </w:numPr>
            </w:pPr>
            <w:r w:rsidRPr="00FD4953">
              <w:t>Using regular supervision and peer discussion and review to check my assumptions and challenge my thinking during the research process.</w:t>
            </w:r>
          </w:p>
        </w:tc>
      </w:tr>
      <w:tr w:rsidR="00004AC6" w:rsidRPr="00FD4953" w14:paraId="4E6B1EFC" w14:textId="77777777" w:rsidTr="003F7083">
        <w:tc>
          <w:tcPr>
            <w:tcW w:w="4505" w:type="dxa"/>
          </w:tcPr>
          <w:p w14:paraId="2941BEEC" w14:textId="77777777" w:rsidR="00004AC6" w:rsidRPr="00FD4953" w:rsidRDefault="00004AC6" w:rsidP="00DE6B63">
            <w:pPr>
              <w:pStyle w:val="Tablecontent"/>
            </w:pPr>
            <w:r w:rsidRPr="00FD4953">
              <w:t xml:space="preserve">Member checking </w:t>
            </w:r>
          </w:p>
        </w:tc>
        <w:tc>
          <w:tcPr>
            <w:tcW w:w="4505" w:type="dxa"/>
          </w:tcPr>
          <w:p w14:paraId="5A461A48" w14:textId="77777777" w:rsidR="00004AC6" w:rsidRPr="00FD4953" w:rsidRDefault="00004AC6" w:rsidP="00DE6B63">
            <w:pPr>
              <w:pStyle w:val="Tablecontent"/>
              <w:numPr>
                <w:ilvl w:val="0"/>
                <w:numId w:val="27"/>
              </w:numPr>
            </w:pPr>
            <w:r w:rsidRPr="00FD4953">
              <w:t>Returning transcripts to participants and supporting them to ask questions.</w:t>
            </w:r>
          </w:p>
        </w:tc>
      </w:tr>
    </w:tbl>
    <w:p w14:paraId="7E9099C9" w14:textId="613F997A" w:rsidR="00004AC6" w:rsidRPr="00FD4953" w:rsidRDefault="0070041A" w:rsidP="0070041A">
      <w:pPr>
        <w:pStyle w:val="Caption"/>
      </w:pPr>
      <w:bookmarkStart w:id="53" w:name="_Toc101108557"/>
      <w:r w:rsidRPr="00FD4953">
        <w:t xml:space="preserve">Table </w:t>
      </w:r>
      <w:fldSimple w:instr=" SEQ Table \* ARABIC ">
        <w:r w:rsidR="00E26E21">
          <w:rPr>
            <w:noProof/>
          </w:rPr>
          <w:t>6</w:t>
        </w:r>
      </w:fldSimple>
      <w:r w:rsidRPr="00FD4953">
        <w:rPr>
          <w:noProof/>
        </w:rPr>
        <w:t>: Quality Measure: Credibility</w:t>
      </w:r>
      <w:bookmarkEnd w:id="53"/>
    </w:p>
    <w:p w14:paraId="4FE7A604" w14:textId="77777777" w:rsidR="0070041A" w:rsidRPr="00FD4953" w:rsidRDefault="0070041A" w:rsidP="00004AC6"/>
    <w:p w14:paraId="0C68B7F9" w14:textId="77777777" w:rsidR="00004AC6" w:rsidRPr="00FD4953" w:rsidRDefault="00004AC6" w:rsidP="00004AC6"/>
    <w:p w14:paraId="286679FD" w14:textId="63F99C68" w:rsidR="00004AC6" w:rsidRPr="00FD4953" w:rsidRDefault="00004AC6" w:rsidP="00004AC6">
      <w:r w:rsidRPr="00FD4953">
        <w:t xml:space="preserve">As noted in this chapter ideas of truth and objectivity are methodologically problematic as understandings are constructed in specific times and spaces (Foucault, 1972), meaning that how we read or hear something we have said previously will change through the interpretation of someone else. An alternative approach can be member checking (see Table </w:t>
      </w:r>
      <w:r w:rsidR="001F4287" w:rsidRPr="00FD4953">
        <w:t>6</w:t>
      </w:r>
      <w:r w:rsidRPr="00FD4953">
        <w:t xml:space="preserve">), where data or analysis is returned to the participant. Member checking is regarded by some as key to checking the </w:t>
      </w:r>
      <w:r w:rsidRPr="00FD4953">
        <w:rPr>
          <w:i/>
          <w:iCs/>
        </w:rPr>
        <w:t>accuracy</w:t>
      </w:r>
      <w:r w:rsidRPr="00FD4953">
        <w:t xml:space="preserve"> and credibility of data (Lincoln and Guba, 1985). However, returning material to participants is not a neutral or technical process and does not automatically denote good research practice (Birt et al., 2016). I chose to share transcripts with young people, not to render their accounts as valid or </w:t>
      </w:r>
      <w:r w:rsidRPr="00FD4953">
        <w:rPr>
          <w:i/>
          <w:iCs/>
        </w:rPr>
        <w:t>true</w:t>
      </w:r>
      <w:r w:rsidRPr="00FD4953">
        <w:t xml:space="preserve"> but to enable them to see changes I had made to identifying information and ensure the personal information had been appropriately redacted. Sharing interview transcription is ‘littered with challenges’, not least of all because of the delay in process (Forbat and Henderson, 2005, p.1117). Without the motivation of validating data, sharing of transcripts is seen by some as being polite or compensatory (Page, Samson and Crockett, 2000), however it also reflects an overall respect for and recognition of the participant (Kvale, 2007).</w:t>
      </w:r>
    </w:p>
    <w:p w14:paraId="7E62B107" w14:textId="1DA41035" w:rsidR="00004AC6" w:rsidRPr="00FD4953" w:rsidRDefault="00004AC6" w:rsidP="00004AC6">
      <w:r w:rsidRPr="00FD4953">
        <w:t xml:space="preserve">Transferability is the second marker of quality identified by Lincoln and Guba (1985), meaning the way that findings from one study can inform another. However, demonstrating transferability is not a straightforward task as the application of research findings moves the burden of responsibility onto the reader (Lincoln and Guba, 1985). Therefore, the researcher needs to be explicit in setting up the context so that others can make decisions about how knowledge can be transferred and why their work is relevant to other settings (Braun and Clarke, 2013). Table </w:t>
      </w:r>
      <w:r w:rsidR="002A3F1A" w:rsidRPr="00FD4953">
        <w:t>7</w:t>
      </w:r>
      <w:r w:rsidRPr="00FD4953">
        <w:t xml:space="preserve"> identifies the measures taken in this study.</w:t>
      </w:r>
    </w:p>
    <w:tbl>
      <w:tblPr>
        <w:tblStyle w:val="TableGrid"/>
        <w:tblW w:w="0" w:type="auto"/>
        <w:tblLook w:val="04A0" w:firstRow="1" w:lastRow="0" w:firstColumn="1" w:lastColumn="0" w:noHBand="0" w:noVBand="1"/>
      </w:tblPr>
      <w:tblGrid>
        <w:gridCol w:w="4505"/>
        <w:gridCol w:w="4505"/>
      </w:tblGrid>
      <w:tr w:rsidR="00004AC6" w:rsidRPr="00FD4953" w14:paraId="42D22655" w14:textId="77777777" w:rsidTr="003F7083">
        <w:tc>
          <w:tcPr>
            <w:tcW w:w="4505" w:type="dxa"/>
          </w:tcPr>
          <w:p w14:paraId="2CA8C0F6" w14:textId="77777777" w:rsidR="00004AC6" w:rsidRPr="00FD4953" w:rsidRDefault="00004AC6" w:rsidP="001F4287">
            <w:pPr>
              <w:pStyle w:val="Tableheading"/>
            </w:pPr>
            <w:r w:rsidRPr="00FD4953">
              <w:t>Lincoln and Guba’s (1985) Marker</w:t>
            </w:r>
          </w:p>
        </w:tc>
        <w:tc>
          <w:tcPr>
            <w:tcW w:w="4505" w:type="dxa"/>
          </w:tcPr>
          <w:p w14:paraId="60FF7256" w14:textId="77777777" w:rsidR="00004AC6" w:rsidRPr="00FD4953" w:rsidRDefault="00004AC6" w:rsidP="001F4287">
            <w:pPr>
              <w:pStyle w:val="Tableheading"/>
            </w:pPr>
            <w:r w:rsidRPr="00FD4953">
              <w:t>Measures Taken</w:t>
            </w:r>
          </w:p>
        </w:tc>
      </w:tr>
      <w:tr w:rsidR="00004AC6" w:rsidRPr="00FD4953" w14:paraId="5E774027" w14:textId="77777777" w:rsidTr="003F7083">
        <w:tc>
          <w:tcPr>
            <w:tcW w:w="4505" w:type="dxa"/>
          </w:tcPr>
          <w:p w14:paraId="13156399" w14:textId="77777777" w:rsidR="00004AC6" w:rsidRPr="00FD4953" w:rsidRDefault="00004AC6" w:rsidP="001F4287">
            <w:pPr>
              <w:pStyle w:val="tablecontent-singlespaced"/>
            </w:pPr>
            <w:r w:rsidRPr="00FD4953">
              <w:t>Context setting</w:t>
            </w:r>
          </w:p>
        </w:tc>
        <w:tc>
          <w:tcPr>
            <w:tcW w:w="4505" w:type="dxa"/>
          </w:tcPr>
          <w:p w14:paraId="369A9A75" w14:textId="391B7E11" w:rsidR="00004AC6" w:rsidRPr="00FD4953" w:rsidRDefault="00004AC6" w:rsidP="001F4287">
            <w:pPr>
              <w:pStyle w:val="tablecontent-singlespaced"/>
              <w:numPr>
                <w:ilvl w:val="0"/>
                <w:numId w:val="27"/>
              </w:numPr>
            </w:pPr>
            <w:r w:rsidRPr="00FD4953">
              <w:t>Detail of the historical and practice setting in Chapters 1-4</w:t>
            </w:r>
            <w:r w:rsidR="00F671D1" w:rsidRPr="00FD4953">
              <w:t>.</w:t>
            </w:r>
          </w:p>
          <w:p w14:paraId="642444FB" w14:textId="6EC033F4" w:rsidR="00004AC6" w:rsidRPr="00FD4953" w:rsidRDefault="00004AC6" w:rsidP="001F4287">
            <w:pPr>
              <w:pStyle w:val="tablecontent-singlespaced"/>
              <w:numPr>
                <w:ilvl w:val="0"/>
                <w:numId w:val="27"/>
              </w:numPr>
            </w:pPr>
            <w:r w:rsidRPr="00FD4953">
              <w:t>Detail included of the research process and decisions in Chapter 6</w:t>
            </w:r>
            <w:r w:rsidR="00F671D1" w:rsidRPr="00FD4953">
              <w:t>.</w:t>
            </w:r>
          </w:p>
        </w:tc>
      </w:tr>
      <w:tr w:rsidR="00004AC6" w:rsidRPr="00FD4953" w14:paraId="28201BE6" w14:textId="77777777" w:rsidTr="003F7083">
        <w:tc>
          <w:tcPr>
            <w:tcW w:w="4505" w:type="dxa"/>
          </w:tcPr>
          <w:p w14:paraId="1FE4F262" w14:textId="77777777" w:rsidR="00004AC6" w:rsidRPr="00FD4953" w:rsidRDefault="00004AC6" w:rsidP="001F4287">
            <w:pPr>
              <w:pStyle w:val="tablecontent-singlespaced"/>
            </w:pPr>
            <w:r w:rsidRPr="00FD4953">
              <w:t>Participant description</w:t>
            </w:r>
          </w:p>
        </w:tc>
        <w:tc>
          <w:tcPr>
            <w:tcW w:w="4505" w:type="dxa"/>
          </w:tcPr>
          <w:p w14:paraId="2D3367C1" w14:textId="77777777" w:rsidR="00004AC6" w:rsidRPr="00FD4953" w:rsidRDefault="00004AC6" w:rsidP="001F4287">
            <w:pPr>
              <w:pStyle w:val="tablecontent-singlespaced"/>
              <w:numPr>
                <w:ilvl w:val="0"/>
                <w:numId w:val="27"/>
              </w:numPr>
            </w:pPr>
            <w:r w:rsidRPr="00FD4953">
              <w:t>Anonymised detail of the participants in Part Three.</w:t>
            </w:r>
          </w:p>
        </w:tc>
      </w:tr>
      <w:tr w:rsidR="00004AC6" w:rsidRPr="00FD4953" w14:paraId="6F64C763" w14:textId="77777777" w:rsidTr="003F7083">
        <w:tc>
          <w:tcPr>
            <w:tcW w:w="4505" w:type="dxa"/>
          </w:tcPr>
          <w:p w14:paraId="72DB16A6" w14:textId="77777777" w:rsidR="00004AC6" w:rsidRPr="00FD4953" w:rsidRDefault="00004AC6" w:rsidP="001F4287">
            <w:pPr>
              <w:pStyle w:val="tablecontent-singlespaced"/>
            </w:pPr>
            <w:r w:rsidRPr="00FD4953">
              <w:t>Identification of value</w:t>
            </w:r>
          </w:p>
        </w:tc>
        <w:tc>
          <w:tcPr>
            <w:tcW w:w="4505" w:type="dxa"/>
          </w:tcPr>
          <w:p w14:paraId="5A00E52D" w14:textId="77777777" w:rsidR="00004AC6" w:rsidRPr="00FD4953" w:rsidRDefault="00004AC6" w:rsidP="001F4287">
            <w:pPr>
              <w:pStyle w:val="tablecontent-singlespaced"/>
              <w:numPr>
                <w:ilvl w:val="0"/>
                <w:numId w:val="27"/>
              </w:numPr>
            </w:pPr>
            <w:r w:rsidRPr="00FD4953">
              <w:t>Relevance and contribution detailed in Chapter 12.</w:t>
            </w:r>
          </w:p>
        </w:tc>
      </w:tr>
    </w:tbl>
    <w:p w14:paraId="08420B38" w14:textId="47BE6D00" w:rsidR="00004AC6" w:rsidRPr="00FD4953" w:rsidRDefault="002A3F1A" w:rsidP="002A3F1A">
      <w:pPr>
        <w:pStyle w:val="Caption"/>
      </w:pPr>
      <w:bookmarkStart w:id="54" w:name="_Toc101108558"/>
      <w:r w:rsidRPr="00FD4953">
        <w:t xml:space="preserve">Table </w:t>
      </w:r>
      <w:fldSimple w:instr=" SEQ Table \* ARABIC ">
        <w:r w:rsidR="00E26E21">
          <w:rPr>
            <w:noProof/>
          </w:rPr>
          <w:t>7</w:t>
        </w:r>
      </w:fldSimple>
      <w:r w:rsidRPr="00FD4953">
        <w:t>: Quality Measure: Transferability</w:t>
      </w:r>
      <w:bookmarkEnd w:id="54"/>
    </w:p>
    <w:p w14:paraId="68B50655" w14:textId="75A32746" w:rsidR="00004AC6" w:rsidRPr="00FD4953" w:rsidRDefault="00004AC6" w:rsidP="00004AC6">
      <w:r w:rsidRPr="00FD4953">
        <w:lastRenderedPageBreak/>
        <w:t>The third and fourth measures suggested by Lincoln and Guba (1985) are dependability and confirmability. Both elements relate to the trustworthiness of the process where dependability relates to the logic and traceability of the research (Nowell et al., 2017) and confirmability is concerned with the researcher’s use of data to draw conclusions and is established when the other markers are achieved (Nowell et al., 2017). Table</w:t>
      </w:r>
      <w:r w:rsidR="00CC5F5F" w:rsidRPr="00FD4953">
        <w:t xml:space="preserve"> 8</w:t>
      </w:r>
      <w:r w:rsidRPr="00FD4953">
        <w:t xml:space="preserve"> and </w:t>
      </w:r>
      <w:r w:rsidR="00CC5F5F" w:rsidRPr="00FD4953">
        <w:t>9</w:t>
      </w:r>
      <w:r w:rsidRPr="00FD4953">
        <w:t xml:space="preserve"> sets out these quality markers and the actions of the researcher.</w:t>
      </w:r>
    </w:p>
    <w:tbl>
      <w:tblPr>
        <w:tblStyle w:val="TableGrid"/>
        <w:tblW w:w="0" w:type="auto"/>
        <w:tblLook w:val="04A0" w:firstRow="1" w:lastRow="0" w:firstColumn="1" w:lastColumn="0" w:noHBand="0" w:noVBand="1"/>
      </w:tblPr>
      <w:tblGrid>
        <w:gridCol w:w="4505"/>
        <w:gridCol w:w="4505"/>
      </w:tblGrid>
      <w:tr w:rsidR="00004AC6" w:rsidRPr="00FD4953" w14:paraId="396158F7" w14:textId="77777777" w:rsidTr="003F7083">
        <w:tc>
          <w:tcPr>
            <w:tcW w:w="4505" w:type="dxa"/>
          </w:tcPr>
          <w:p w14:paraId="1A0781D0" w14:textId="77777777" w:rsidR="00004AC6" w:rsidRPr="00FD4953" w:rsidRDefault="00004AC6" w:rsidP="00CC5F5F">
            <w:pPr>
              <w:pStyle w:val="Tableheading"/>
            </w:pPr>
            <w:r w:rsidRPr="00FD4953">
              <w:t>Lincoln and Guba’s (1985) Marker</w:t>
            </w:r>
          </w:p>
        </w:tc>
        <w:tc>
          <w:tcPr>
            <w:tcW w:w="4505" w:type="dxa"/>
          </w:tcPr>
          <w:p w14:paraId="2D0BD118" w14:textId="77777777" w:rsidR="00004AC6" w:rsidRPr="00FD4953" w:rsidRDefault="00004AC6" w:rsidP="00CC5F5F">
            <w:pPr>
              <w:pStyle w:val="Tableheading"/>
            </w:pPr>
            <w:r w:rsidRPr="00FD4953">
              <w:t>Measures Taken</w:t>
            </w:r>
          </w:p>
        </w:tc>
      </w:tr>
      <w:tr w:rsidR="00004AC6" w:rsidRPr="00FD4953" w14:paraId="005BD2FA" w14:textId="77777777" w:rsidTr="003F7083">
        <w:tc>
          <w:tcPr>
            <w:tcW w:w="4505" w:type="dxa"/>
          </w:tcPr>
          <w:p w14:paraId="669ECE00" w14:textId="77777777" w:rsidR="00004AC6" w:rsidRPr="00FD4953" w:rsidRDefault="00004AC6" w:rsidP="00CC5F5F">
            <w:pPr>
              <w:pStyle w:val="Tablecontent"/>
            </w:pPr>
            <w:r w:rsidRPr="00FD4953">
              <w:t>Clarity of purpose</w:t>
            </w:r>
          </w:p>
        </w:tc>
        <w:tc>
          <w:tcPr>
            <w:tcW w:w="4505" w:type="dxa"/>
          </w:tcPr>
          <w:p w14:paraId="7551C0C5" w14:textId="77777777" w:rsidR="00004AC6" w:rsidRPr="00FD4953" w:rsidRDefault="00004AC6" w:rsidP="00CC5F5F">
            <w:pPr>
              <w:pStyle w:val="Tablecontent"/>
              <w:numPr>
                <w:ilvl w:val="0"/>
                <w:numId w:val="27"/>
              </w:numPr>
            </w:pPr>
            <w:r w:rsidRPr="00FD4953">
              <w:t>Rationale for and purpose of the study discussed with the advisory group, supervisors and local authority managers and social workers.</w:t>
            </w:r>
          </w:p>
          <w:p w14:paraId="5C5D3F8C" w14:textId="0247A0F7" w:rsidR="00004AC6" w:rsidRPr="00FD4953" w:rsidRDefault="00004AC6" w:rsidP="00CC5F5F">
            <w:pPr>
              <w:pStyle w:val="Tablecontent"/>
              <w:numPr>
                <w:ilvl w:val="0"/>
                <w:numId w:val="27"/>
              </w:numPr>
            </w:pPr>
            <w:r w:rsidRPr="00FD4953">
              <w:t xml:space="preserve">Detail of purpose and rationale set out in Chapter </w:t>
            </w:r>
            <w:r w:rsidR="00A94F63" w:rsidRPr="00FD4953">
              <w:t>1.</w:t>
            </w:r>
            <w:r w:rsidRPr="00FD4953">
              <w:t xml:space="preserve"> </w:t>
            </w:r>
          </w:p>
        </w:tc>
      </w:tr>
      <w:tr w:rsidR="00004AC6" w:rsidRPr="00FD4953" w14:paraId="58D86E51" w14:textId="77777777" w:rsidTr="003F7083">
        <w:tc>
          <w:tcPr>
            <w:tcW w:w="4505" w:type="dxa"/>
          </w:tcPr>
          <w:p w14:paraId="5DB970A0" w14:textId="77777777" w:rsidR="00004AC6" w:rsidRPr="00FD4953" w:rsidRDefault="00004AC6" w:rsidP="00CC5F5F">
            <w:pPr>
              <w:pStyle w:val="Tablecontent"/>
            </w:pPr>
            <w:r w:rsidRPr="00FD4953">
              <w:t>Participant selection</w:t>
            </w:r>
          </w:p>
        </w:tc>
        <w:tc>
          <w:tcPr>
            <w:tcW w:w="4505" w:type="dxa"/>
          </w:tcPr>
          <w:p w14:paraId="2E227F9F" w14:textId="77777777" w:rsidR="00004AC6" w:rsidRPr="00FD4953" w:rsidRDefault="00004AC6" w:rsidP="00CC5F5F">
            <w:pPr>
              <w:pStyle w:val="Tablecontent"/>
              <w:numPr>
                <w:ilvl w:val="0"/>
                <w:numId w:val="27"/>
              </w:numPr>
            </w:pPr>
            <w:r w:rsidRPr="00FD4953">
              <w:t>Discussion with supervisors and advisory group.</w:t>
            </w:r>
          </w:p>
          <w:p w14:paraId="7C86C249" w14:textId="0C063153" w:rsidR="00004AC6" w:rsidRPr="00FD4953" w:rsidRDefault="00004AC6" w:rsidP="00CC5F5F">
            <w:pPr>
              <w:pStyle w:val="Tablecontent"/>
              <w:numPr>
                <w:ilvl w:val="0"/>
                <w:numId w:val="27"/>
              </w:numPr>
            </w:pPr>
            <w:r w:rsidRPr="00FD4953">
              <w:t>Detail set out in Chapter 6</w:t>
            </w:r>
            <w:r w:rsidR="004E70A0" w:rsidRPr="00FD4953">
              <w:t>.</w:t>
            </w:r>
          </w:p>
        </w:tc>
      </w:tr>
      <w:tr w:rsidR="00004AC6" w:rsidRPr="00FD4953" w14:paraId="2C147973" w14:textId="77777777" w:rsidTr="003F7083">
        <w:tc>
          <w:tcPr>
            <w:tcW w:w="4505" w:type="dxa"/>
          </w:tcPr>
          <w:p w14:paraId="020D06C0" w14:textId="77777777" w:rsidR="00004AC6" w:rsidRPr="00FD4953" w:rsidRDefault="00004AC6" w:rsidP="00CC5F5F">
            <w:pPr>
              <w:pStyle w:val="Tablecontent"/>
            </w:pPr>
            <w:r w:rsidRPr="00FD4953">
              <w:t>Clarity about data analysis</w:t>
            </w:r>
          </w:p>
        </w:tc>
        <w:tc>
          <w:tcPr>
            <w:tcW w:w="4505" w:type="dxa"/>
          </w:tcPr>
          <w:p w14:paraId="48C8A7C0" w14:textId="77777777" w:rsidR="00004AC6" w:rsidRPr="00FD4953" w:rsidRDefault="00004AC6" w:rsidP="00CC5F5F">
            <w:pPr>
              <w:pStyle w:val="Tablecontent"/>
              <w:numPr>
                <w:ilvl w:val="0"/>
                <w:numId w:val="27"/>
              </w:numPr>
            </w:pPr>
            <w:r w:rsidRPr="00FD4953">
              <w:t>Discussion with supervisors and peer study group including sharing anonymised transcripts.</w:t>
            </w:r>
          </w:p>
          <w:p w14:paraId="54D84CD7" w14:textId="77777777" w:rsidR="00004AC6" w:rsidRPr="00FD4953" w:rsidRDefault="00004AC6" w:rsidP="00CC5F5F">
            <w:pPr>
              <w:pStyle w:val="Tablecontent"/>
              <w:numPr>
                <w:ilvl w:val="0"/>
                <w:numId w:val="27"/>
              </w:numPr>
            </w:pPr>
            <w:r w:rsidRPr="00FD4953">
              <w:t>Sharing stages of the process with supervisors.</w:t>
            </w:r>
          </w:p>
          <w:p w14:paraId="0908A7A7" w14:textId="77777777" w:rsidR="00004AC6" w:rsidRPr="00FD4953" w:rsidRDefault="00004AC6" w:rsidP="00CC5F5F">
            <w:pPr>
              <w:pStyle w:val="Tablecontent"/>
              <w:numPr>
                <w:ilvl w:val="0"/>
                <w:numId w:val="27"/>
              </w:numPr>
            </w:pPr>
            <w:r w:rsidRPr="00FD4953">
              <w:t>Detail and examples of the process set out in Chapter 6. Followed an established model of analysis.</w:t>
            </w:r>
          </w:p>
        </w:tc>
      </w:tr>
    </w:tbl>
    <w:p w14:paraId="28840B11" w14:textId="0AA0956D" w:rsidR="00004AC6" w:rsidRPr="00FD4953" w:rsidRDefault="00CC5F5F" w:rsidP="00CC5F5F">
      <w:pPr>
        <w:pStyle w:val="Caption"/>
      </w:pPr>
      <w:bookmarkStart w:id="55" w:name="_Toc101108559"/>
      <w:r w:rsidRPr="00FD4953">
        <w:t xml:space="preserve">Table </w:t>
      </w:r>
      <w:fldSimple w:instr=" SEQ Table \* ARABIC ">
        <w:r w:rsidR="00E26E21">
          <w:rPr>
            <w:noProof/>
          </w:rPr>
          <w:t>8</w:t>
        </w:r>
      </w:fldSimple>
      <w:r w:rsidRPr="00FD4953">
        <w:t>: Quality Measure: Dependability</w:t>
      </w:r>
      <w:bookmarkEnd w:id="55"/>
    </w:p>
    <w:tbl>
      <w:tblPr>
        <w:tblStyle w:val="TableGrid"/>
        <w:tblW w:w="0" w:type="auto"/>
        <w:tblLook w:val="04A0" w:firstRow="1" w:lastRow="0" w:firstColumn="1" w:lastColumn="0" w:noHBand="0" w:noVBand="1"/>
      </w:tblPr>
      <w:tblGrid>
        <w:gridCol w:w="4505"/>
        <w:gridCol w:w="4505"/>
      </w:tblGrid>
      <w:tr w:rsidR="00004AC6" w:rsidRPr="00FD4953" w14:paraId="6EEE77C6" w14:textId="77777777" w:rsidTr="00424B56">
        <w:trPr>
          <w:tblHeader/>
        </w:trPr>
        <w:tc>
          <w:tcPr>
            <w:tcW w:w="4505" w:type="dxa"/>
          </w:tcPr>
          <w:p w14:paraId="38E00446" w14:textId="77777777" w:rsidR="00004AC6" w:rsidRPr="00FD4953" w:rsidRDefault="00004AC6" w:rsidP="00CC5F5F">
            <w:pPr>
              <w:pStyle w:val="Tableheading"/>
            </w:pPr>
            <w:r w:rsidRPr="00FD4953">
              <w:t>Lincoln and Guba’s (1985) Marker</w:t>
            </w:r>
          </w:p>
        </w:tc>
        <w:tc>
          <w:tcPr>
            <w:tcW w:w="4505" w:type="dxa"/>
          </w:tcPr>
          <w:p w14:paraId="0510C1FB" w14:textId="77777777" w:rsidR="00004AC6" w:rsidRPr="00FD4953" w:rsidRDefault="00004AC6" w:rsidP="00CC5F5F">
            <w:pPr>
              <w:pStyle w:val="Tableheading"/>
            </w:pPr>
            <w:r w:rsidRPr="00FD4953">
              <w:t>Measures Taken</w:t>
            </w:r>
          </w:p>
        </w:tc>
      </w:tr>
      <w:tr w:rsidR="00004AC6" w:rsidRPr="00FD4953" w14:paraId="4BB72F09" w14:textId="77777777" w:rsidTr="003F7083">
        <w:tc>
          <w:tcPr>
            <w:tcW w:w="4505" w:type="dxa"/>
          </w:tcPr>
          <w:p w14:paraId="4D75CC9B" w14:textId="77777777" w:rsidR="00004AC6" w:rsidRPr="00FD4953" w:rsidRDefault="00004AC6" w:rsidP="00CC5F5F">
            <w:pPr>
              <w:pStyle w:val="Tablecontent"/>
            </w:pPr>
            <w:r w:rsidRPr="00FD4953">
              <w:t>Researcher reflexivity</w:t>
            </w:r>
          </w:p>
        </w:tc>
        <w:tc>
          <w:tcPr>
            <w:tcW w:w="4505" w:type="dxa"/>
          </w:tcPr>
          <w:p w14:paraId="3B3742E1" w14:textId="77777777" w:rsidR="00004AC6" w:rsidRPr="00FD4953" w:rsidRDefault="00004AC6" w:rsidP="00CC5F5F">
            <w:pPr>
              <w:pStyle w:val="Tablecontent"/>
              <w:numPr>
                <w:ilvl w:val="0"/>
                <w:numId w:val="28"/>
              </w:numPr>
            </w:pPr>
            <w:r w:rsidRPr="00FD4953">
              <w:t>Maintained research journal throughout the process.</w:t>
            </w:r>
          </w:p>
          <w:p w14:paraId="520D9325" w14:textId="77777777" w:rsidR="00004AC6" w:rsidRPr="00FD4953" w:rsidRDefault="00004AC6" w:rsidP="00CC5F5F">
            <w:pPr>
              <w:pStyle w:val="Tablecontent"/>
              <w:numPr>
                <w:ilvl w:val="0"/>
                <w:numId w:val="28"/>
              </w:numPr>
            </w:pPr>
            <w:r w:rsidRPr="00FD4953">
              <w:t>Reflective and reflexive discussion with supervisors and peer study group.</w:t>
            </w:r>
          </w:p>
          <w:p w14:paraId="6DD2D160" w14:textId="0B298C2E" w:rsidR="00004AC6" w:rsidRPr="00FD4953" w:rsidRDefault="00004AC6" w:rsidP="00CC5F5F">
            <w:pPr>
              <w:pStyle w:val="Tablecontent"/>
              <w:numPr>
                <w:ilvl w:val="0"/>
                <w:numId w:val="28"/>
              </w:numPr>
            </w:pPr>
            <w:r w:rsidRPr="00FD4953">
              <w:t>Inclusion of reflexive thinking in the thesis (Chapter 6 and 11)</w:t>
            </w:r>
            <w:r w:rsidR="004A5DED" w:rsidRPr="00FD4953">
              <w:t>.</w:t>
            </w:r>
          </w:p>
        </w:tc>
      </w:tr>
      <w:tr w:rsidR="00004AC6" w:rsidRPr="00FD4953" w14:paraId="3A3A59B4" w14:textId="77777777" w:rsidTr="003F7083">
        <w:tc>
          <w:tcPr>
            <w:tcW w:w="4505" w:type="dxa"/>
          </w:tcPr>
          <w:p w14:paraId="4D943A1F" w14:textId="77777777" w:rsidR="00004AC6" w:rsidRPr="00FD4953" w:rsidRDefault="00004AC6" w:rsidP="00CC5F5F">
            <w:pPr>
              <w:pStyle w:val="Tablecontent"/>
            </w:pPr>
            <w:r w:rsidRPr="00FD4953">
              <w:t>Coherence between data and conclusions</w:t>
            </w:r>
          </w:p>
        </w:tc>
        <w:tc>
          <w:tcPr>
            <w:tcW w:w="4505" w:type="dxa"/>
          </w:tcPr>
          <w:p w14:paraId="4A868689" w14:textId="77777777" w:rsidR="00004AC6" w:rsidRPr="00FD4953" w:rsidRDefault="00004AC6" w:rsidP="00CC5F5F">
            <w:pPr>
              <w:pStyle w:val="Tablecontent"/>
              <w:numPr>
                <w:ilvl w:val="0"/>
                <w:numId w:val="28"/>
              </w:numPr>
            </w:pPr>
            <w:r w:rsidRPr="00FD4953">
              <w:t>Ongoing discussion with supervisory team, including draft reading prior to final submission.</w:t>
            </w:r>
          </w:p>
          <w:p w14:paraId="25E4165B" w14:textId="77777777" w:rsidR="00004AC6" w:rsidRPr="00FD4953" w:rsidRDefault="00004AC6" w:rsidP="00CC5F5F">
            <w:pPr>
              <w:pStyle w:val="Tablecontent"/>
              <w:numPr>
                <w:ilvl w:val="0"/>
                <w:numId w:val="28"/>
              </w:numPr>
            </w:pPr>
            <w:r w:rsidRPr="00FD4953">
              <w:lastRenderedPageBreak/>
              <w:t>Detail of the data is set out in Part Three, alongside analysis in Chapter 10 and conclusions in Chapter 11.</w:t>
            </w:r>
          </w:p>
        </w:tc>
      </w:tr>
      <w:tr w:rsidR="00004AC6" w:rsidRPr="00FD4953" w14:paraId="18F63DC0" w14:textId="77777777" w:rsidTr="003F7083">
        <w:tc>
          <w:tcPr>
            <w:tcW w:w="4505" w:type="dxa"/>
          </w:tcPr>
          <w:p w14:paraId="6B903484" w14:textId="77777777" w:rsidR="00004AC6" w:rsidRPr="00FD4953" w:rsidRDefault="00004AC6" w:rsidP="00CC5F5F">
            <w:pPr>
              <w:pStyle w:val="Tablecontent"/>
            </w:pPr>
            <w:r w:rsidRPr="00FD4953">
              <w:lastRenderedPageBreak/>
              <w:t>Justification of theoretical, methodological and analytical choices (Koch, 1994)</w:t>
            </w:r>
          </w:p>
        </w:tc>
        <w:tc>
          <w:tcPr>
            <w:tcW w:w="4505" w:type="dxa"/>
          </w:tcPr>
          <w:p w14:paraId="163B9BE6" w14:textId="77777777" w:rsidR="00004AC6" w:rsidRPr="00FD4953" w:rsidRDefault="00004AC6" w:rsidP="00CC5F5F">
            <w:pPr>
              <w:pStyle w:val="Tablecontent"/>
              <w:numPr>
                <w:ilvl w:val="0"/>
                <w:numId w:val="28"/>
              </w:numPr>
            </w:pPr>
            <w:r w:rsidRPr="00FD4953">
              <w:t>Ongoing discussion with supervisory team, including draft reading prior to final submission.</w:t>
            </w:r>
          </w:p>
          <w:p w14:paraId="07D8886C" w14:textId="77777777" w:rsidR="00004AC6" w:rsidRPr="00FD4953" w:rsidRDefault="00004AC6" w:rsidP="00CC5F5F">
            <w:pPr>
              <w:pStyle w:val="Tablecontent"/>
              <w:numPr>
                <w:ilvl w:val="0"/>
                <w:numId w:val="28"/>
              </w:numPr>
            </w:pPr>
            <w:r w:rsidRPr="00FD4953">
              <w:t>Rational set out in Chapter 1, Part 1 and Chapter 6.</w:t>
            </w:r>
          </w:p>
        </w:tc>
      </w:tr>
    </w:tbl>
    <w:p w14:paraId="39ABB02A" w14:textId="7DF39716" w:rsidR="00004AC6" w:rsidRPr="00FD4953" w:rsidRDefault="00CC5F5F" w:rsidP="00CC5F5F">
      <w:pPr>
        <w:pStyle w:val="Caption"/>
        <w:rPr>
          <w:b/>
          <w:bCs/>
        </w:rPr>
      </w:pPr>
      <w:bookmarkStart w:id="56" w:name="_Toc101108560"/>
      <w:r w:rsidRPr="00FD4953">
        <w:t xml:space="preserve">Table </w:t>
      </w:r>
      <w:fldSimple w:instr=" SEQ Table \* ARABIC ">
        <w:r w:rsidR="00E26E21">
          <w:rPr>
            <w:noProof/>
          </w:rPr>
          <w:t>9</w:t>
        </w:r>
      </w:fldSimple>
      <w:r w:rsidRPr="00FD4953">
        <w:t>: Quality Measure: Confirmability</w:t>
      </w:r>
      <w:bookmarkEnd w:id="56"/>
    </w:p>
    <w:p w14:paraId="0A9204B1" w14:textId="6DEBBBFD" w:rsidR="00004AC6" w:rsidRPr="00FD4953" w:rsidRDefault="00004AC6" w:rsidP="00004AC6">
      <w:r w:rsidRPr="00FD4953">
        <w:t xml:space="preserve">Alongside Lincoln and Guba’s measures, consideration has also been given to Morrow’s (2005) suggestion of social validity and Ballinger’s (2006) measure of coherence which can provide a helpful gauge during the research process. Here researchers have to consider and stipulate why their research is important and why the interpretation has meaning (Morrow, 2005) and there is coherence between epistemology and the method employed (Ballinger, 2006). Both areas have been discussed in supervision and addressed in this thesis and noted in the Table </w:t>
      </w:r>
      <w:r w:rsidR="007331A0" w:rsidRPr="00FD4953">
        <w:t>6 to 9</w:t>
      </w:r>
      <w:r w:rsidRPr="00FD4953">
        <w:t xml:space="preserve">. Through these discussions researchers recognise their role in the construction of data through reflexive engagement (Morrow, 2005; Ballinger, 2006), demonstrated through my use of journals and supervision including examination of the ethics in the study. This summary demonstrates the researcher’s response to the issue of quality and lays the foundation for </w:t>
      </w:r>
      <w:r w:rsidR="00F37AAF" w:rsidRPr="00FD4953">
        <w:t>an ethical approach to undertaking the study</w:t>
      </w:r>
      <w:r w:rsidRPr="00FD4953">
        <w:t>.</w:t>
      </w:r>
    </w:p>
    <w:p w14:paraId="3F189903" w14:textId="0DF39DC4" w:rsidR="00987730" w:rsidRPr="00FD4953" w:rsidRDefault="00987730" w:rsidP="00987730">
      <w:pPr>
        <w:pStyle w:val="Heading2"/>
      </w:pPr>
      <w:bookmarkStart w:id="57" w:name="_Toc101108503"/>
      <w:r w:rsidRPr="00FD4953">
        <w:t>Ethical Considerations</w:t>
      </w:r>
      <w:bookmarkEnd w:id="57"/>
    </w:p>
    <w:p w14:paraId="2DB2EE98" w14:textId="244B4887" w:rsidR="00987730" w:rsidRDefault="00987730" w:rsidP="00987730">
      <w:r w:rsidRPr="00FD4953">
        <w:t>As a social work researcher, I worked within parallel ethical frameworks, first, working within the university’s research ethics policy and second, my professional code of ethics (B</w:t>
      </w:r>
      <w:r w:rsidR="0077064A" w:rsidRPr="00FD4953">
        <w:t xml:space="preserve">ritish </w:t>
      </w:r>
      <w:r w:rsidRPr="00FD4953">
        <w:t>A</w:t>
      </w:r>
      <w:r w:rsidR="0077064A" w:rsidRPr="00FD4953">
        <w:t xml:space="preserve">ssociation of </w:t>
      </w:r>
      <w:r w:rsidRPr="00FD4953">
        <w:t>S</w:t>
      </w:r>
      <w:r w:rsidR="0077064A" w:rsidRPr="00FD4953">
        <w:t xml:space="preserve">ocial </w:t>
      </w:r>
      <w:r w:rsidRPr="00FD4953">
        <w:t>W</w:t>
      </w:r>
      <w:r w:rsidR="0077064A" w:rsidRPr="00FD4953">
        <w:t>ork</w:t>
      </w:r>
      <w:r w:rsidRPr="00FD4953">
        <w:t>, 201</w:t>
      </w:r>
      <w:r w:rsidR="006519C0" w:rsidRPr="00FD4953">
        <w:t>8</w:t>
      </w:r>
      <w:r w:rsidRPr="00FD4953">
        <w:t>). Although each framework relates to their respective field, there are shared expectations regarding conduct and consideration of participants, resulting in a congruent relationship between the two. Ethics procedures for the university and the local authorities reflected these similarities through their application processes</w:t>
      </w:r>
      <w:r w:rsidR="00171972">
        <w:t>.</w:t>
      </w:r>
    </w:p>
    <w:p w14:paraId="44780347" w14:textId="16B7DB2D" w:rsidR="00987730" w:rsidRPr="00A17921" w:rsidRDefault="00987730" w:rsidP="00987730">
      <w:r w:rsidRPr="00A17921">
        <w:t xml:space="preserve">A central principle in research ethics is that participants should be protected from risk of harm, with the protection of dignity and safety being critical in social research (Silverman, 2010). However, when involving people with lived social care experience, protection from harm is not straightforward. Iphofen (2009) suggests that researchers should consider that most participants have life experiences that render them vulnerable at some level, and </w:t>
      </w:r>
      <w:r w:rsidRPr="00A17921">
        <w:lastRenderedPageBreak/>
        <w:t>researchers should consider how their participation exacerbates this vulnerability. Research involving any ‘vulnerable’ group can lead to researcher paralysis or avoidance (Iphofen, 2009; Alderson, 2014). This is where the researcher becomes so concerned by the ethical dilemmas they face, they exclude some people from the research process</w:t>
      </w:r>
      <w:r>
        <w:t xml:space="preserve"> —</w:t>
      </w:r>
      <w:r w:rsidRPr="00A17921">
        <w:t xml:space="preserve"> potentially reinforcing their marginalisation (A</w:t>
      </w:r>
      <w:r w:rsidR="00EE7A6E">
        <w:t>lderson and Morrow</w:t>
      </w:r>
      <w:r w:rsidRPr="00A17921">
        <w:t>, 20</w:t>
      </w:r>
      <w:r w:rsidR="00EE7A6E">
        <w:t>11</w:t>
      </w:r>
      <w:r w:rsidRPr="00A17921">
        <w:t>).</w:t>
      </w:r>
    </w:p>
    <w:p w14:paraId="4B228E43" w14:textId="49C42E9C" w:rsidR="00987730" w:rsidRPr="00A17921" w:rsidRDefault="00987730" w:rsidP="00987730">
      <w:r w:rsidRPr="00A17921">
        <w:t xml:space="preserve">Mendes, Snow and Baidawi (2014) highlight that research involving </w:t>
      </w:r>
      <w:r>
        <w:t>young people leaving care</w:t>
      </w:r>
      <w:r w:rsidRPr="00A17921">
        <w:t xml:space="preserve"> has the potential to bring traumatic and difficult issues to the fore, even if this is unintentional. From my own professional social work </w:t>
      </w:r>
      <w:r>
        <w:t>practice</w:t>
      </w:r>
      <w:r w:rsidRPr="00A17921">
        <w:t xml:space="preserve">, I was aware that young people </w:t>
      </w:r>
      <w:r>
        <w:t>living in</w:t>
      </w:r>
      <w:r w:rsidRPr="00A17921">
        <w:t xml:space="preserve"> the care system often have difficult</w:t>
      </w:r>
      <w:r>
        <w:t xml:space="preserve"> experiences</w:t>
      </w:r>
      <w:r w:rsidRPr="00A17921">
        <w:t xml:space="preserve">. I therefore addressed this ethical </w:t>
      </w:r>
      <w:r w:rsidR="009D0C27">
        <w:t>concern</w:t>
      </w:r>
      <w:r w:rsidRPr="00A17921">
        <w:t xml:space="preserve"> from the outset by developing plans to support participants during the research process. Support before, during and after the interview was core to the structure of each meeting. For example,</w:t>
      </w:r>
      <w:r>
        <w:t xml:space="preserve"> I</w:t>
      </w:r>
      <w:r w:rsidRPr="00A17921">
        <w:t xml:space="preserve"> identif</w:t>
      </w:r>
      <w:r>
        <w:t>ied</w:t>
      </w:r>
      <w:r w:rsidRPr="00A17921">
        <w:t xml:space="preserve"> support networks, provid</w:t>
      </w:r>
      <w:r>
        <w:t>ed</w:t>
      </w:r>
      <w:r w:rsidRPr="00A17921">
        <w:t xml:space="preserve"> information about support contacts, </w:t>
      </w:r>
      <w:r>
        <w:t xml:space="preserve">offered </w:t>
      </w:r>
      <w:r w:rsidRPr="00A17921">
        <w:t>multiple opportunities to pause and stop</w:t>
      </w:r>
      <w:r>
        <w:t>,</w:t>
      </w:r>
      <w:r w:rsidRPr="00A17921">
        <w:t xml:space="preserve"> and </w:t>
      </w:r>
      <w:r>
        <w:t xml:space="preserve">provided </w:t>
      </w:r>
      <w:r w:rsidRPr="00A17921">
        <w:t xml:space="preserve">time before and after the discussion for general questions and thoughts. In each interview, if the young person appeared to be upset, I was able to regulate the discussion by moving onto more general topics and, where appropriate, ask the young person if they needed external help, for example contacting their worker or carer. Whilst recognising the distinction between researcher and social </w:t>
      </w:r>
      <w:r>
        <w:t>w</w:t>
      </w:r>
      <w:r w:rsidRPr="00A17921">
        <w:t>orker, I still utilised my professional skills to try and create a supportive and empathetic environment. In their research</w:t>
      </w:r>
      <w:r>
        <w:t xml:space="preserve"> with young people leaving care,</w:t>
      </w:r>
      <w:r w:rsidRPr="00A17921">
        <w:t xml:space="preserve"> Mendes, Snow and Baidawi (2014) support the use of professional experience but state that recognition of potential distress is in itself insufficient. They recommend researchers in this field to use their professional social work skills to support young people.</w:t>
      </w:r>
    </w:p>
    <w:p w14:paraId="07B88785" w14:textId="0155C532" w:rsidR="00987730" w:rsidRPr="00A17921" w:rsidRDefault="00987730" w:rsidP="00987730">
      <w:r w:rsidRPr="00A17921">
        <w:t>Strategies to minimise distress when researching sensitive life experiences are complicated by a lack of ‘a reliable point of reference for decisions’ about how to manage concerns about risk (</w:t>
      </w:r>
      <w:r w:rsidR="003C5C94" w:rsidRPr="003B30CD">
        <w:rPr>
          <w:rStyle w:val="bibauth"/>
          <w:color w:val="000000" w:themeColor="text1"/>
          <w:sz w:val="21"/>
          <w:szCs w:val="21"/>
          <w:bdr w:val="none" w:sz="0" w:space="0" w:color="auto" w:frame="1"/>
          <w:shd w:val="clear" w:color="auto" w:fill="FFFFFF"/>
        </w:rPr>
        <w:t>Newman</w:t>
      </w:r>
      <w:r w:rsidR="003C5C94">
        <w:rPr>
          <w:rStyle w:val="bibauth"/>
          <w:sz w:val="21"/>
          <w:szCs w:val="21"/>
          <w:bdr w:val="none" w:sz="0" w:space="0" w:color="auto" w:frame="1"/>
          <w:shd w:val="clear" w:color="auto" w:fill="FFFFFF"/>
        </w:rPr>
        <w:t xml:space="preserve"> and </w:t>
      </w:r>
      <w:r w:rsidR="003C5C94" w:rsidRPr="003B30CD">
        <w:rPr>
          <w:rStyle w:val="bibauth"/>
          <w:color w:val="000000" w:themeColor="text1"/>
          <w:sz w:val="21"/>
          <w:szCs w:val="21"/>
          <w:bdr w:val="none" w:sz="0" w:space="0" w:color="auto" w:frame="1"/>
          <w:shd w:val="clear" w:color="auto" w:fill="FFFFFF"/>
        </w:rPr>
        <w:t>Kaloupek</w:t>
      </w:r>
      <w:r w:rsidR="003C5C94">
        <w:rPr>
          <w:rStyle w:val="bibauth"/>
          <w:color w:val="000000" w:themeColor="text1"/>
          <w:sz w:val="21"/>
          <w:szCs w:val="21"/>
          <w:bdr w:val="none" w:sz="0" w:space="0" w:color="auto" w:frame="1"/>
          <w:shd w:val="clear" w:color="auto" w:fill="FFFFFF"/>
        </w:rPr>
        <w:t>, 2004</w:t>
      </w:r>
      <w:r w:rsidRPr="00A17921">
        <w:t xml:space="preserve">, p. 383). Although social work is not the point of reference discussed, practice experience did act as a useful resource and influenced my thinking and understanding of the participants. For example, </w:t>
      </w:r>
      <w:r>
        <w:t xml:space="preserve">I </w:t>
      </w:r>
      <w:r w:rsidRPr="00A17921">
        <w:t>ensur</w:t>
      </w:r>
      <w:r>
        <w:t>ed</w:t>
      </w:r>
      <w:r w:rsidRPr="00A17921">
        <w:t xml:space="preserve"> that I avoided direct questions about the young person’s care experience and birth family relationships. Wherever references to sensitive subjects arose</w:t>
      </w:r>
      <w:r>
        <w:t>,</w:t>
      </w:r>
      <w:r w:rsidRPr="00A17921">
        <w:t xml:space="preserve"> I reiterated that they could choose not to share these details. Although this might seem a routine part of any research discussion, there is additional significance with children or young people with care experience, who can often feel that they are compelled to share personal information without question (Winter, 2006).</w:t>
      </w:r>
    </w:p>
    <w:p w14:paraId="4D33B15D" w14:textId="77777777" w:rsidR="00987730" w:rsidRDefault="00987730" w:rsidP="00202ED0">
      <w:pPr>
        <w:pStyle w:val="Heading3"/>
      </w:pPr>
      <w:r>
        <w:lastRenderedPageBreak/>
        <w:t>Consent</w:t>
      </w:r>
    </w:p>
    <w:p w14:paraId="53281187" w14:textId="65EF16E7" w:rsidR="00987730" w:rsidRDefault="00987730" w:rsidP="00987730">
      <w:r w:rsidRPr="00A17921">
        <w:t xml:space="preserve">In a research relationship the choice to participate needs to be informed and retractable (Kumar, 2019). Being informed about retracting consent and the parameters and intentions of research is a tenet of preparatory ethical discussions (Rubin and Babbie, 2014). Rubin and Babbie (2014) </w:t>
      </w:r>
      <w:r w:rsidR="0065333D">
        <w:t xml:space="preserve">also </w:t>
      </w:r>
      <w:r w:rsidRPr="00A17921">
        <w:t>recognise that this is not a straightforward contract of agreement. Like any type of enquiry, social work research requires participants to share personal aspects of their lives, however many service users have experienced instances of coerced consent in their interactions with social workers (Rubin and Babbie, 2014). With this in mind</w:t>
      </w:r>
      <w:r>
        <w:t xml:space="preserve">, </w:t>
      </w:r>
      <w:r w:rsidRPr="00A17921">
        <w:t xml:space="preserve">thought and recognition </w:t>
      </w:r>
      <w:r w:rsidR="002A1286">
        <w:t>were</w:t>
      </w:r>
      <w:r w:rsidR="0094384B">
        <w:t xml:space="preserve"> </w:t>
      </w:r>
      <w:r>
        <w:t xml:space="preserve">given to </w:t>
      </w:r>
      <w:r w:rsidRPr="00A17921">
        <w:t>the young person’s understanding of consent.</w:t>
      </w:r>
    </w:p>
    <w:p w14:paraId="43355297" w14:textId="5B7468A5" w:rsidR="00987730" w:rsidRPr="00A17921" w:rsidRDefault="00987730" w:rsidP="00987730">
      <w:r w:rsidRPr="00A17921">
        <w:t>There were two planned stages of consent</w:t>
      </w:r>
      <w:r>
        <w:t xml:space="preserve">. First, as </w:t>
      </w:r>
      <w:r w:rsidR="009D0C27">
        <w:t>mentioned earlier in this chapter</w:t>
      </w:r>
      <w:r>
        <w:t xml:space="preserve">, was permission </w:t>
      </w:r>
      <w:r w:rsidRPr="00A17921">
        <w:t>at an organisational level</w:t>
      </w:r>
      <w:r>
        <w:t xml:space="preserve">, the second was a consent form which was discussed </w:t>
      </w:r>
      <w:r w:rsidRPr="00A17921">
        <w:t xml:space="preserve">with </w:t>
      </w:r>
      <w:r w:rsidR="009D0C27">
        <w:t>each</w:t>
      </w:r>
      <w:r w:rsidRPr="00A17921">
        <w:t xml:space="preserve"> participant. </w:t>
      </w:r>
      <w:r>
        <w:t>S</w:t>
      </w:r>
      <w:r w:rsidRPr="00A17921">
        <w:t xml:space="preserve">ocial workers </w:t>
      </w:r>
      <w:r>
        <w:t xml:space="preserve">and </w:t>
      </w:r>
      <w:r w:rsidRPr="00A17921">
        <w:t>personal advisors</w:t>
      </w:r>
      <w:r>
        <w:t xml:space="preserve"> were provided with information about the research as well as </w:t>
      </w:r>
      <w:r w:rsidRPr="00A17921">
        <w:t>the information sheet and consent form for young people</w:t>
      </w:r>
      <w:r>
        <w:t>,</w:t>
      </w:r>
      <w:r w:rsidRPr="00A17921">
        <w:t xml:space="preserve"> to enable them to discuss the research before agreeing to take part </w:t>
      </w:r>
      <w:r w:rsidRPr="0065333D">
        <w:t>(Append</w:t>
      </w:r>
      <w:r w:rsidR="002A1286" w:rsidRPr="0065333D">
        <w:t>ix 8</w:t>
      </w:r>
      <w:r w:rsidRPr="0065333D">
        <w:t xml:space="preserve"> and</w:t>
      </w:r>
      <w:r w:rsidR="002A1286" w:rsidRPr="0065333D">
        <w:t xml:space="preserve"> Appendix</w:t>
      </w:r>
      <w:r w:rsidR="002A1286">
        <w:t xml:space="preserve"> 9</w:t>
      </w:r>
      <w:r w:rsidRPr="00A17921">
        <w:t>).</w:t>
      </w:r>
      <w:r>
        <w:t xml:space="preserve"> This was to </w:t>
      </w:r>
      <w:r w:rsidRPr="00A17921">
        <w:t xml:space="preserve">ensure </w:t>
      </w:r>
      <w:r w:rsidR="009D0C27">
        <w:t>professionals</w:t>
      </w:r>
      <w:r w:rsidRPr="00A17921">
        <w:t xml:space="preserve"> gave potential participants clear and consistent information. Although this was a lengthy process</w:t>
      </w:r>
      <w:r>
        <w:t>,</w:t>
      </w:r>
      <w:r w:rsidRPr="00A17921">
        <w:t xml:space="preserve"> it gave young people a further opportunity to decline or think about their involvement. The space also enabled social workers or </w:t>
      </w:r>
      <w:r w:rsidR="0065333D">
        <w:t xml:space="preserve">personal </w:t>
      </w:r>
      <w:r w:rsidRPr="00A17921">
        <w:t xml:space="preserve">advisors more time to talk to young people with additional learning needs which is important as assumptions </w:t>
      </w:r>
      <w:r w:rsidR="009D0C27">
        <w:t xml:space="preserve">based on </w:t>
      </w:r>
      <w:r w:rsidRPr="00A17921">
        <w:t xml:space="preserve">age can mask differences in ability (Groundwater-Smith, Dockett and Bottrell, 2015). For example, one young person found reading difficult and relying on written information would have been a barrier to their participation. </w:t>
      </w:r>
    </w:p>
    <w:p w14:paraId="6FAE4FEE" w14:textId="228F0F79" w:rsidR="00987730" w:rsidRDefault="00987730" w:rsidP="00987730">
      <w:r w:rsidRPr="00A17921">
        <w:t>I was mindful during this phase of the study</w:t>
      </w:r>
      <w:r>
        <w:t>,</w:t>
      </w:r>
      <w:r w:rsidRPr="00A17921">
        <w:t xml:space="preserve"> that although social workers and advisors would be supporting potential participants, adults in a gatekeeping role can conflate their general safeguarding responsibility with specific </w:t>
      </w:r>
      <w:r w:rsidR="00DC59B2">
        <w:t>decision-making</w:t>
      </w:r>
      <w:r w:rsidRPr="00A17921">
        <w:t xml:space="preserve"> about their perceptions of whether participation </w:t>
      </w:r>
      <w:r w:rsidR="009D0C27">
        <w:t xml:space="preserve">could </w:t>
      </w:r>
      <w:r w:rsidR="00202ED0">
        <w:t xml:space="preserve">be </w:t>
      </w:r>
      <w:r w:rsidR="00202ED0" w:rsidRPr="00A17921">
        <w:t>harmful</w:t>
      </w:r>
      <w:r w:rsidRPr="00A17921">
        <w:t>. Although talking</w:t>
      </w:r>
      <w:r w:rsidR="0065333D">
        <w:t xml:space="preserve"> about</w:t>
      </w:r>
      <w:r w:rsidRPr="00A17921">
        <w:t xml:space="preserve"> children and </w:t>
      </w:r>
      <w:r w:rsidR="0065333D">
        <w:t xml:space="preserve">associated </w:t>
      </w:r>
      <w:r w:rsidRPr="00A17921">
        <w:t>risk, Hood, Kelley and Mayall (1996) highlighted both the need for support with consent and the potential barrier of a social worker’s perceived duty to protect. This internal assessment can override the opportunity for young people to become involved in research (</w:t>
      </w:r>
      <w:r w:rsidRPr="00A17921">
        <w:rPr>
          <w:color w:val="1C1D1E"/>
          <w:shd w:val="clear" w:color="auto" w:fill="FFFFFF"/>
        </w:rPr>
        <w:t>Colling</w:t>
      </w:r>
      <w:r w:rsidR="00985F12">
        <w:rPr>
          <w:color w:val="1C1D1E"/>
          <w:shd w:val="clear" w:color="auto" w:fill="FFFFFF"/>
        </w:rPr>
        <w:t>s</w:t>
      </w:r>
      <w:r w:rsidRPr="00A17921">
        <w:rPr>
          <w:color w:val="1C1D1E"/>
          <w:shd w:val="clear" w:color="auto" w:fill="FFFFFF"/>
        </w:rPr>
        <w:t>, Grace, and Llewellyn, 2016)</w:t>
      </w:r>
      <w:r w:rsidR="009D0C27">
        <w:rPr>
          <w:color w:val="1C1D1E"/>
          <w:shd w:val="clear" w:color="auto" w:fill="FFFFFF"/>
        </w:rPr>
        <w:t xml:space="preserve">, reflecting the dilemmas in practice highlighted </w:t>
      </w:r>
      <w:r w:rsidR="009D0C27" w:rsidRPr="002C5A99">
        <w:rPr>
          <w:color w:val="1C1D1E"/>
          <w:shd w:val="clear" w:color="auto" w:fill="FFFFFF"/>
        </w:rPr>
        <w:t>in Chapter</w:t>
      </w:r>
      <w:r w:rsidR="002C5A99" w:rsidRPr="002C5A99">
        <w:rPr>
          <w:color w:val="1C1D1E"/>
          <w:shd w:val="clear" w:color="auto" w:fill="FFFFFF"/>
        </w:rPr>
        <w:t xml:space="preserve"> 4</w:t>
      </w:r>
      <w:r w:rsidRPr="002C5A99">
        <w:rPr>
          <w:color w:val="1C1D1E"/>
          <w:shd w:val="clear" w:color="auto" w:fill="FFFFFF"/>
        </w:rPr>
        <w:t>.</w:t>
      </w:r>
      <w:r>
        <w:rPr>
          <w:color w:val="1C1D1E"/>
          <w:shd w:val="clear" w:color="auto" w:fill="FFFFFF"/>
        </w:rPr>
        <w:t xml:space="preserve"> </w:t>
      </w:r>
    </w:p>
    <w:p w14:paraId="0D3D5EF1" w14:textId="40C46507" w:rsidR="00987730" w:rsidRPr="00A17921" w:rsidRDefault="00987730" w:rsidP="00987730">
      <w:r w:rsidRPr="00A17921">
        <w:t>Once the participants were identified, consent and research information were revisited in pre-interview phone calls</w:t>
      </w:r>
      <w:r>
        <w:t xml:space="preserve"> and texts</w:t>
      </w:r>
      <w:r w:rsidRPr="00A17921">
        <w:t>, where</w:t>
      </w:r>
      <w:r>
        <w:t xml:space="preserve"> </w:t>
      </w:r>
      <w:r w:rsidR="009D0C27">
        <w:t xml:space="preserve">I </w:t>
      </w:r>
      <w:r>
        <w:t>agreed</w:t>
      </w:r>
      <w:r w:rsidR="009D0C27">
        <w:t xml:space="preserve"> with participants details about </w:t>
      </w:r>
      <w:r>
        <w:t>practical arrangements</w:t>
      </w:r>
      <w:r w:rsidR="009D0C27">
        <w:t xml:space="preserve">, </w:t>
      </w:r>
      <w:r w:rsidRPr="00A17921">
        <w:t xml:space="preserve">what the interview would involve </w:t>
      </w:r>
      <w:r w:rsidR="009D0C27">
        <w:t>and</w:t>
      </w:r>
      <w:r w:rsidRPr="00A17921">
        <w:t xml:space="preserve"> additional opportunities to withdraw. Although seemingly repetitive, I was aware that the issue of informed consent is more than a </w:t>
      </w:r>
      <w:r w:rsidRPr="00A17921">
        <w:lastRenderedPageBreak/>
        <w:t xml:space="preserve">practical decision, whereby the participant weighs up their emotional response as well as their availability (Groundwater-Smith, Dockett and Bottrell, 2015). Revisiting consent and research information also enabled me to mitigate against any undisclosed literacy issues (McLaughlin, 2012) and also attend to the ‘behind-the-scenes’ issues of power where consent feels obligatory (Lunabba, 2016). Recognised by Lunabba (2016) as enmeshed within the question of consent, adults </w:t>
      </w:r>
      <w:r w:rsidR="009D0C27" w:rsidRPr="00A17921">
        <w:t>can</w:t>
      </w:r>
      <w:r w:rsidRPr="00A17921">
        <w:t xml:space="preserve"> use their position to empower or restrict (</w:t>
      </w:r>
      <w:r w:rsidR="00BF2CD2">
        <w:t xml:space="preserve">2016, </w:t>
      </w:r>
      <w:r w:rsidRPr="00A17921">
        <w:t>p. 95)</w:t>
      </w:r>
      <w:r w:rsidR="009D0C27">
        <w:t xml:space="preserve"> and </w:t>
      </w:r>
      <w:r w:rsidRPr="00A17921">
        <w:t>I recognised that young people might have been pressured into their involvement by well-intentioned gatekeepers. Finally, consent was revisited at the beginning of the interview where I talked through the consent form</w:t>
      </w:r>
      <w:r>
        <w:t xml:space="preserve"> again</w:t>
      </w:r>
      <w:r w:rsidRPr="00A17921">
        <w:t xml:space="preserve">, ensuring that participants understood each question. Participants were </w:t>
      </w:r>
      <w:r>
        <w:t xml:space="preserve">then </w:t>
      </w:r>
      <w:r w:rsidRPr="00A17921">
        <w:t xml:space="preserve">given a copy of their signed form and the research information sheet. </w:t>
      </w:r>
    </w:p>
    <w:p w14:paraId="066FF23C" w14:textId="77777777" w:rsidR="00987730" w:rsidRDefault="00987730" w:rsidP="00987730">
      <w:pPr>
        <w:pStyle w:val="Heading3"/>
      </w:pPr>
      <w:r w:rsidRPr="00A17921">
        <w:t>Confidentiality</w:t>
      </w:r>
      <w:r>
        <w:t xml:space="preserve"> and Anonymity</w:t>
      </w:r>
    </w:p>
    <w:p w14:paraId="6BEF2AAD" w14:textId="0B305DE4" w:rsidR="00D00449" w:rsidRDefault="00987730" w:rsidP="00987730">
      <w:r>
        <w:t xml:space="preserve">A further </w:t>
      </w:r>
      <w:r w:rsidRPr="00A17921">
        <w:t>ethical consideration relates to protecting the participant’s information. Piper and Simons (2</w:t>
      </w:r>
      <w:r w:rsidR="00731AAC">
        <w:t>004</w:t>
      </w:r>
      <w:r w:rsidRPr="00A17921">
        <w:t xml:space="preserve">) suggest that researchers should not confuse anonymity with confidentiality and attend to each aspect to fully protect the participants. Confidentiality relates to the management of the participant’s information, for example how and where it will be shared (King, Horrocks and Brooks, 2019). </w:t>
      </w:r>
      <w:r>
        <w:t xml:space="preserve">The parameters of confidentiality were set out during </w:t>
      </w:r>
      <w:r w:rsidRPr="00A17921">
        <w:t>the initial telephone conversation and at the beginning of each interview</w:t>
      </w:r>
      <w:r w:rsidR="00D00449">
        <w:t xml:space="preserve"> and young people were informed about </w:t>
      </w:r>
      <w:r w:rsidR="00D00449" w:rsidRPr="00A17921">
        <w:t>the need to share information in the event of disclosure about a child protection or adult safeguarding issue.</w:t>
      </w:r>
    </w:p>
    <w:p w14:paraId="6CBC335D" w14:textId="5C4B1E03" w:rsidR="00987730" w:rsidRPr="00A17921" w:rsidRDefault="00987730" w:rsidP="00987730">
      <w:r w:rsidRPr="00A17921">
        <w:t>King, Horrocks and Brooks (2019) recognise that promising unequivocal confidentiality is not possible</w:t>
      </w:r>
      <w:r>
        <w:t>,</w:t>
      </w:r>
      <w:r w:rsidRPr="00A17921">
        <w:t xml:space="preserve"> as participant responses are a key component of sharing research outcomes.</w:t>
      </w:r>
      <w:r w:rsidR="00D00449">
        <w:t xml:space="preserve"> </w:t>
      </w:r>
      <w:r>
        <w:t>Nevertheless,</w:t>
      </w:r>
      <w:r w:rsidRPr="004A72E6">
        <w:t xml:space="preserve"> measures can be taken to control the access to and sharing of information. On a practical level</w:t>
      </w:r>
      <w:r>
        <w:t>,</w:t>
      </w:r>
      <w:r w:rsidRPr="004A72E6">
        <w:t xml:space="preserve"> recordings and transcripts were secured on the university’s system, and signed consent forms with participant names were scanned, stored and shredded. Finally, all identifying information about each participant and local authority was omitted from the transcripts shared with my supervisory team and </w:t>
      </w:r>
      <w:r>
        <w:t xml:space="preserve">in </w:t>
      </w:r>
      <w:r w:rsidRPr="004A72E6">
        <w:t>this thesis.</w:t>
      </w:r>
    </w:p>
    <w:p w14:paraId="0B0B79C3" w14:textId="5CF54473" w:rsidR="00987730" w:rsidRDefault="00987730" w:rsidP="00987730">
      <w:r>
        <w:t>With respect to issues of anonymity, p</w:t>
      </w:r>
      <w:r w:rsidRPr="00A17921">
        <w:t>rotecting the identity of participants in research was planned to ensure ease of data management (Rubin ad Babbie, 2014) but also recognising the impact on the young people where they could be identified by their foster carers or local authority worker. Whilst anonymity offers a layer of protection for the participant, Silverman (2011) note</w:t>
      </w:r>
      <w:r>
        <w:t>d</w:t>
      </w:r>
      <w:r w:rsidRPr="00A17921">
        <w:t xml:space="preserve"> that participants still need to be</w:t>
      </w:r>
      <w:r>
        <w:t xml:space="preserve"> able to</w:t>
      </w:r>
      <w:r w:rsidRPr="00A17921">
        <w:t xml:space="preserve"> </w:t>
      </w:r>
      <w:r>
        <w:t>recognise</w:t>
      </w:r>
      <w:r w:rsidRPr="00A17921">
        <w:t xml:space="preserve"> themselves in the research to redress any alteration of their voice. With this in mind the advisory group, detailed </w:t>
      </w:r>
      <w:r w:rsidR="00D00449">
        <w:t xml:space="preserve">earlier </w:t>
      </w:r>
      <w:r>
        <w:t xml:space="preserve">in </w:t>
      </w:r>
      <w:r>
        <w:lastRenderedPageBreak/>
        <w:t>this chapter</w:t>
      </w:r>
      <w:r w:rsidRPr="00A17921">
        <w:t>, developed a menu of names for the participants</w:t>
      </w:r>
      <w:r>
        <w:t xml:space="preserve"> which they could choose from</w:t>
      </w:r>
      <w:r w:rsidRPr="00A17921">
        <w:t xml:space="preserve">. Allen and Wiles (2015) recognise the significance attached to participants when selecting their own </w:t>
      </w:r>
      <w:r w:rsidR="00D00449">
        <w:t>pseudo</w:t>
      </w:r>
      <w:r w:rsidR="00D00449" w:rsidRPr="00A17921">
        <w:t>nym</w:t>
      </w:r>
      <w:r w:rsidRPr="00A17921">
        <w:t xml:space="preserve">, however the advisory group felt that the young people might feel </w:t>
      </w:r>
      <w:r w:rsidR="00D00449">
        <w:t xml:space="preserve">under </w:t>
      </w:r>
      <w:r w:rsidRPr="00A17921">
        <w:t>pressure at the beginning of the process</w:t>
      </w:r>
      <w:r w:rsidR="00D00449">
        <w:t xml:space="preserve"> to make this choice</w:t>
      </w:r>
      <w:r w:rsidRPr="00A17921">
        <w:t xml:space="preserve">. Participants were therefore given the </w:t>
      </w:r>
      <w:r w:rsidR="00D00449">
        <w:t xml:space="preserve">option </w:t>
      </w:r>
      <w:r w:rsidRPr="00A17921">
        <w:t xml:space="preserve">to select </w:t>
      </w:r>
      <w:r w:rsidR="00D00449">
        <w:t xml:space="preserve">their own </w:t>
      </w:r>
      <w:r w:rsidRPr="00A17921">
        <w:t xml:space="preserve">pseudonyms for </w:t>
      </w:r>
      <w:r w:rsidR="0065333D">
        <w:t xml:space="preserve">themselves, </w:t>
      </w:r>
      <w:r w:rsidR="00D00449">
        <w:t xml:space="preserve">foster </w:t>
      </w:r>
      <w:r w:rsidRPr="00A17921">
        <w:t xml:space="preserve">carers, workers or pets </w:t>
      </w:r>
      <w:r w:rsidR="00D00449">
        <w:t xml:space="preserve">or choose </w:t>
      </w:r>
      <w:r w:rsidRPr="00A17921">
        <w:t xml:space="preserve">from the list </w:t>
      </w:r>
      <w:r w:rsidR="00D00449">
        <w:t>prepared by the advisory group</w:t>
      </w:r>
      <w:r w:rsidRPr="00A17921">
        <w:t xml:space="preserve">. </w:t>
      </w:r>
    </w:p>
    <w:p w14:paraId="524AF4CC" w14:textId="70FAC740" w:rsidR="00987730" w:rsidRDefault="00987730" w:rsidP="00987730">
      <w:pPr>
        <w:pStyle w:val="Heading3"/>
      </w:pPr>
      <w:r>
        <w:t xml:space="preserve">Benefits to </w:t>
      </w:r>
      <w:r w:rsidR="000C16BA">
        <w:t>Y</w:t>
      </w:r>
      <w:r>
        <w:t xml:space="preserve">oung </w:t>
      </w:r>
      <w:r w:rsidR="000C16BA">
        <w:t>P</w:t>
      </w:r>
      <w:r>
        <w:t>eople</w:t>
      </w:r>
    </w:p>
    <w:p w14:paraId="209E107A" w14:textId="38060D1E" w:rsidR="00987730" w:rsidRPr="00A17921" w:rsidRDefault="00D00449" w:rsidP="00987730">
      <w:r>
        <w:t>In addition to</w:t>
      </w:r>
      <w:r w:rsidR="00987730" w:rsidRPr="00A17921">
        <w:t xml:space="preserve"> the consideration of risk, which is understandably at the forefront of any ethical discussion, there can be positive consequences of being involved in research. For example, Ruch (201</w:t>
      </w:r>
      <w:r w:rsidR="00330D92">
        <w:t>4</w:t>
      </w:r>
      <w:r w:rsidR="00987730" w:rsidRPr="00A17921">
        <w:t>) highlight</w:t>
      </w:r>
      <w:r w:rsidR="00987730">
        <w:t>ed</w:t>
      </w:r>
      <w:r w:rsidR="00987730" w:rsidRPr="00A17921">
        <w:t xml:space="preserve"> the potential benefits in the researcher/researched relationship itself and in the context of social work research</w:t>
      </w:r>
      <w:r w:rsidR="00987730">
        <w:t>.</w:t>
      </w:r>
      <w:r w:rsidR="00987730" w:rsidRPr="00A17921">
        <w:t xml:space="preserve"> Ruch (2014) add</w:t>
      </w:r>
      <w:r w:rsidR="00987730">
        <w:t>ed</w:t>
      </w:r>
      <w:r w:rsidR="00987730" w:rsidRPr="00A17921">
        <w:t xml:space="preserve"> that both the participant and the researcher can gain from the relational aspects of the exchange, although these gains are subtle and intangible.</w:t>
      </w:r>
    </w:p>
    <w:p w14:paraId="6AEACE0B" w14:textId="4DA2FA2A" w:rsidR="00987730" w:rsidRPr="00A17921" w:rsidRDefault="00987730" w:rsidP="00987730">
      <w:r w:rsidRPr="00A17921">
        <w:t xml:space="preserve">The important considerations of harm and benefit to young people involved in research also need to be seen in the context of the value of their contribution to developing practice. Drawing on the experiences of children and young people has become a more established research approach in a range of disciplines (Fleming and Boeck, 2012; O'Reilly, Ronzoni and Dogra, 2013; Horgan, 2017). </w:t>
      </w:r>
      <w:r w:rsidR="0065333D">
        <w:t>G</w:t>
      </w:r>
      <w:r w:rsidRPr="00A17921">
        <w:t>reater levels of involvement have been associated with the evolving construct of what childhood means</w:t>
      </w:r>
      <w:r w:rsidR="0065333D">
        <w:t>,</w:t>
      </w:r>
      <w:r w:rsidR="0065333D" w:rsidRPr="0065333D">
        <w:t xml:space="preserve"> </w:t>
      </w:r>
      <w:r w:rsidR="0065333D">
        <w:t>a</w:t>
      </w:r>
      <w:r w:rsidR="0065333D" w:rsidRPr="00A17921">
        <w:t xml:space="preserve">s previously discussed </w:t>
      </w:r>
      <w:r w:rsidR="0065333D" w:rsidRPr="00333360">
        <w:t>in Chapter</w:t>
      </w:r>
      <w:r w:rsidR="0065333D">
        <w:t xml:space="preserve"> </w:t>
      </w:r>
      <w:r w:rsidR="00585300">
        <w:t>5</w:t>
      </w:r>
      <w:r w:rsidR="00585300" w:rsidRPr="00A17921">
        <w:t xml:space="preserve"> (</w:t>
      </w:r>
      <w:r w:rsidRPr="00A17921">
        <w:t>Bradbury-Jones and Taylor, 201</w:t>
      </w:r>
      <w:r w:rsidR="007610F1">
        <w:t>5</w:t>
      </w:r>
      <w:r w:rsidRPr="00A17921">
        <w:t>). Consequently, children and young people become seen as agentive, with a shift in epistemological thinking where a child’s perspective is seen as an important and valid point of view (Gall</w:t>
      </w:r>
      <w:r w:rsidR="009A2EFF">
        <w:t>acher</w:t>
      </w:r>
      <w:r w:rsidRPr="00A17921">
        <w:t xml:space="preserve"> and Gallagher, 2008).</w:t>
      </w:r>
    </w:p>
    <w:p w14:paraId="76AD3BE8" w14:textId="5674EAD5" w:rsidR="0006017D" w:rsidRPr="00A17921" w:rsidRDefault="0006017D" w:rsidP="006A75FF">
      <w:pPr>
        <w:pStyle w:val="Heading2"/>
      </w:pPr>
      <w:bookmarkStart w:id="58" w:name="_Toc101108504"/>
      <w:r w:rsidRPr="00A17921">
        <w:t>Data Analysis</w:t>
      </w:r>
      <w:bookmarkEnd w:id="58"/>
    </w:p>
    <w:p w14:paraId="2AD625C7" w14:textId="06A058AA" w:rsidR="0006017D" w:rsidRPr="00A17921" w:rsidRDefault="0006017D">
      <w:r w:rsidRPr="00A17921">
        <w:t xml:space="preserve">The </w:t>
      </w:r>
      <w:r w:rsidR="00D00449">
        <w:t xml:space="preserve">final section in this chapter focuses on the analysis of the young people’s perspectives. The </w:t>
      </w:r>
      <w:r w:rsidRPr="00A17921">
        <w:t>process of analysis is more than identifying themes that relate to participant quotes, it is part of an active relationship between data and the researcher (</w:t>
      </w:r>
      <w:r w:rsidR="003639A5" w:rsidRPr="00A17921">
        <w:t>Lichtman</w:t>
      </w:r>
      <w:r w:rsidRPr="00A17921">
        <w:t xml:space="preserve">, 2017). Breaking down data using coding and categorisation is seen as critical in qualitative research, as the source material does ‘not speak for itself’ (Denzin, 1994). Miles and Huberman’s (1994) three staged process and Wolcott’s (1994) reference to transforming data both follow the principle that material is read and coded, further emphasising the relationship described by </w:t>
      </w:r>
      <w:r w:rsidR="003639A5" w:rsidRPr="00A17921">
        <w:t>Lichtman</w:t>
      </w:r>
      <w:r w:rsidRPr="00A17921">
        <w:t xml:space="preserve"> (2017). </w:t>
      </w:r>
    </w:p>
    <w:p w14:paraId="22BFD35B" w14:textId="57821E9E" w:rsidR="0006017D" w:rsidRPr="00A17921" w:rsidRDefault="0006017D">
      <w:r w:rsidRPr="00A17921">
        <w:lastRenderedPageBreak/>
        <w:t xml:space="preserve">A thematic approach was selected as it is a useful method for interpreting data and developing a deeper understanding of an issue (Braun and Clarke, 2013). As well as having a straightforward and practical application (Litchman, 2017), thematic approaches complement qualitative research by supporting an understanding of lived experience (King, Horrocks and Brooks, 2019). Braun and Clarke’s method is ‘theoretically-flexible’ however they note that this does not mean </w:t>
      </w:r>
      <w:r>
        <w:t>t</w:t>
      </w:r>
      <w:r w:rsidRPr="00A17921">
        <w:t xml:space="preserve">hematic </w:t>
      </w:r>
      <w:r>
        <w:t>a</w:t>
      </w:r>
      <w:r w:rsidRPr="00A17921">
        <w:t xml:space="preserve">nalysis (TA) is neutral as it requires researchers to think about the ‘variety’ of TA that aligns with their methodological framework (Braun and </w:t>
      </w:r>
      <w:r w:rsidRPr="00FD4953">
        <w:t xml:space="preserve">Clarke, 2019). To this end, </w:t>
      </w:r>
      <w:r w:rsidR="0035215B" w:rsidRPr="00FD4953">
        <w:t xml:space="preserve">using </w:t>
      </w:r>
      <w:r w:rsidRPr="00FD4953">
        <w:t xml:space="preserve">constructivist TA reflected my epistemological stance as it focuses on how participants have constructed their world rather than inductive or theoretical TA which starts with a bottom-up approach or is shaped by existing theory (Braun and Clark, 2013). A constructivist approach also acknowledges the ‘knowingness’ and interplay of the researcher’s role in the analysis whereby the participant’s experience is then understood </w:t>
      </w:r>
      <w:r w:rsidR="001E3E6A" w:rsidRPr="00FD4953">
        <w:t xml:space="preserve">by the researcher </w:t>
      </w:r>
      <w:r w:rsidRPr="00FD4953">
        <w:t>in the context of their multifaceted lenses. (Braun and Clarke, 2019, p. 594).</w:t>
      </w:r>
      <w:r>
        <w:t xml:space="preserve"> </w:t>
      </w:r>
    </w:p>
    <w:p w14:paraId="2D7E8EDF" w14:textId="503790BE" w:rsidR="0006017D" w:rsidRDefault="00C42E9D">
      <w:r>
        <w:t>There were six stages in the interpretative process and a</w:t>
      </w:r>
      <w:r w:rsidR="0006017D">
        <w:t>lthough I am presenting this section in a linear way, in reality the process was untidier than this account suggests, as steps had to be repeated and revisited a number of times. Using Braun and Clarke’s coding and analysis staged model (2013)</w:t>
      </w:r>
      <w:r>
        <w:t>, each step is now summarised</w:t>
      </w:r>
      <w:r w:rsidR="0006017D">
        <w:t>.</w:t>
      </w:r>
    </w:p>
    <w:p w14:paraId="06854BE7" w14:textId="0AC1DB76" w:rsidR="0006017D" w:rsidRDefault="0006017D" w:rsidP="006E3485">
      <w:pPr>
        <w:pStyle w:val="Heading3"/>
      </w:pPr>
      <w:r>
        <w:t>Stage 1: Transcription</w:t>
      </w:r>
    </w:p>
    <w:p w14:paraId="42BD903E" w14:textId="6C12F451" w:rsidR="0006017D" w:rsidRDefault="00F14CFC">
      <w:r>
        <w:t xml:space="preserve">I </w:t>
      </w:r>
      <w:r w:rsidRPr="00A17921">
        <w:t>transcribe</w:t>
      </w:r>
      <w:r>
        <w:t xml:space="preserve">d </w:t>
      </w:r>
      <w:r w:rsidR="0035215B">
        <w:t>the</w:t>
      </w:r>
      <w:r>
        <w:t xml:space="preserve"> interview</w:t>
      </w:r>
      <w:r w:rsidR="0035215B">
        <w:t>s</w:t>
      </w:r>
      <w:r w:rsidRPr="00A17921">
        <w:t xml:space="preserve"> as, although resource intensive, </w:t>
      </w:r>
      <w:r>
        <w:t xml:space="preserve">this </w:t>
      </w:r>
      <w:r w:rsidRPr="00A17921">
        <w:t xml:space="preserve">can be ‘the first stage of the analysis’ (King, Horrocks and Brooks, 2019). </w:t>
      </w:r>
      <w:r w:rsidR="00B56774">
        <w:t>The t</w:t>
      </w:r>
      <w:r w:rsidR="0006017D" w:rsidRPr="00A17921">
        <w:t>ranscri</w:t>
      </w:r>
      <w:r w:rsidR="00B56774">
        <w:t xml:space="preserve">ption </w:t>
      </w:r>
      <w:r>
        <w:t xml:space="preserve">process took place after the final interview; </w:t>
      </w:r>
      <w:r w:rsidR="0067448C">
        <w:t>however,</w:t>
      </w:r>
      <w:r>
        <w:t xml:space="preserve"> I used my journal to reflect on what had been said and the questions asked previously before </w:t>
      </w:r>
      <w:r w:rsidR="0065333D">
        <w:t xml:space="preserve">the </w:t>
      </w:r>
      <w:r w:rsidR="00DA425E">
        <w:t xml:space="preserve">start of </w:t>
      </w:r>
      <w:r w:rsidR="005B3073">
        <w:t>every</w:t>
      </w:r>
      <w:r w:rsidR="0006017D">
        <w:t xml:space="preserve"> interview</w:t>
      </w:r>
      <w:r>
        <w:t>.</w:t>
      </w:r>
      <w:r w:rsidR="0006017D" w:rsidRPr="00A17921">
        <w:t xml:space="preserve"> Using Braun and Clark’s (2013) notation system each interview was transcribed, </w:t>
      </w:r>
      <w:r w:rsidR="0006017D">
        <w:t xml:space="preserve">resulting in </w:t>
      </w:r>
      <w:r w:rsidR="0006017D" w:rsidRPr="00A17921">
        <w:t xml:space="preserve">two versions with the second omitting any detail relating to their care experience </w:t>
      </w:r>
      <w:r w:rsidR="00C42E9D">
        <w:t xml:space="preserve">but </w:t>
      </w:r>
      <w:r w:rsidR="0006017D" w:rsidRPr="00A17921">
        <w:t>unrelated to the research questions. The ‘clean’ transcript left out details about birth parents or names of services for example</w:t>
      </w:r>
      <w:r w:rsidR="00C77DC3">
        <w:t>,</w:t>
      </w:r>
      <w:r w:rsidR="0006017D">
        <w:t xml:space="preserve"> as m</w:t>
      </w:r>
      <w:r w:rsidR="0006017D" w:rsidRPr="00A17921">
        <w:t>any of the young people were open about their lives and shared aspects of their experience that could identify them.</w:t>
      </w:r>
      <w:r w:rsidR="00C42E9D">
        <w:t xml:space="preserve"> The c</w:t>
      </w:r>
      <w:r w:rsidR="0006017D" w:rsidRPr="00A17921">
        <w:t xml:space="preserve">ontext of the discussion was not lost by having a redacted transcription, as </w:t>
      </w:r>
      <w:r w:rsidR="0006017D">
        <w:t xml:space="preserve">it was always possible to refer to </w:t>
      </w:r>
      <w:r w:rsidR="0006017D" w:rsidRPr="00A17921">
        <w:t>the original</w:t>
      </w:r>
      <w:r w:rsidR="0006017D">
        <w:t>. During this early phase I referred to the notes I had made after each interview and during transcription</w:t>
      </w:r>
      <w:r w:rsidR="00D00449">
        <w:t xml:space="preserve"> and </w:t>
      </w:r>
      <w:r w:rsidR="0006017D">
        <w:t>added ongoing thoughts or ideas to my reflective journal</w:t>
      </w:r>
      <w:r w:rsidR="00C42E9D">
        <w:t>, u</w:t>
      </w:r>
      <w:r w:rsidR="0006017D">
        <w:t xml:space="preserve">nderlining that data analysis is an ongoing process not an end product (Kumar, 2019). </w:t>
      </w:r>
    </w:p>
    <w:p w14:paraId="7556553D" w14:textId="77777777" w:rsidR="0006017D" w:rsidRDefault="0006017D" w:rsidP="006E3485">
      <w:pPr>
        <w:pStyle w:val="Heading3"/>
      </w:pPr>
      <w:r>
        <w:lastRenderedPageBreak/>
        <w:t>Stage 2: Reading and familiarisation</w:t>
      </w:r>
    </w:p>
    <w:p w14:paraId="0404B2BD" w14:textId="068F6DB9" w:rsidR="0006017D" w:rsidRDefault="0006017D">
      <w:r>
        <w:t xml:space="preserve">At the beginning of the process, I printed off transcripts to read, but once restrictions were imposed due to the pandemic, I had no access to a printer and had to switch to using software to manage </w:t>
      </w:r>
      <w:r w:rsidR="005B6113">
        <w:t>the</w:t>
      </w:r>
      <w:r>
        <w:t xml:space="preserve"> data. The benefits of using </w:t>
      </w:r>
      <w:r w:rsidRPr="00A17921">
        <w:t xml:space="preserve">computer assisted analytical </w:t>
      </w:r>
      <w:r>
        <w:t xml:space="preserve">software are the tools available to </w:t>
      </w:r>
      <w:r w:rsidRPr="00A17921">
        <w:t>support coding and categorisation of material</w:t>
      </w:r>
      <w:r>
        <w:t xml:space="preserve"> (Kumar, 2019)</w:t>
      </w:r>
      <w:r w:rsidRPr="00A17921">
        <w:t>.</w:t>
      </w:r>
      <w:r>
        <w:t xml:space="preserve"> Software does not </w:t>
      </w:r>
      <w:r w:rsidRPr="00A17921">
        <w:t>replace or act as a shortcut to analysis,</w:t>
      </w:r>
      <w:r>
        <w:t xml:space="preserve"> as the researcher is still engaged with decisions and connections</w:t>
      </w:r>
      <w:r w:rsidRPr="00A17921">
        <w:t xml:space="preserve"> </w:t>
      </w:r>
      <w:r>
        <w:t xml:space="preserve">between ideas </w:t>
      </w:r>
      <w:r w:rsidRPr="00A17921">
        <w:t>(Bazeley, 2007).</w:t>
      </w:r>
      <w:r>
        <w:t xml:space="preserve"> I used </w:t>
      </w:r>
      <w:r w:rsidRPr="001418C2">
        <w:rPr>
          <w:i/>
          <w:iCs/>
        </w:rPr>
        <w:t>Taguette,</w:t>
      </w:r>
      <w:r w:rsidRPr="00A17921">
        <w:t xml:space="preserve"> an open-source programme </w:t>
      </w:r>
      <w:r>
        <w:t xml:space="preserve">to </w:t>
      </w:r>
      <w:r w:rsidRPr="00A17921">
        <w:t>mov</w:t>
      </w:r>
      <w:r>
        <w:t>e</w:t>
      </w:r>
      <w:r w:rsidRPr="00A17921">
        <w:t xml:space="preserve"> text and highlight ideas</w:t>
      </w:r>
      <w:r>
        <w:t>.</w:t>
      </w:r>
    </w:p>
    <w:p w14:paraId="7F9A81FE" w14:textId="01D75A2A" w:rsidR="0006017D" w:rsidRDefault="0006017D">
      <w:r>
        <w:t xml:space="preserve">Familiarisation of the data was </w:t>
      </w:r>
      <w:r w:rsidR="005B6113">
        <w:t xml:space="preserve">achieved </w:t>
      </w:r>
      <w:r>
        <w:t>through reading transcripts but also listening to the recordings without the task of simultaneous transcribing. In this phase researchers are encouraged to tune in to the data and highlight any early ‘noticings’, but also engage in critical questioning about meanings and sense making (Braun and Clarke, 2013, p. 205).</w:t>
      </w:r>
    </w:p>
    <w:p w14:paraId="101FA3F0" w14:textId="77777777" w:rsidR="0006017D" w:rsidRDefault="0006017D" w:rsidP="006E3485">
      <w:pPr>
        <w:pStyle w:val="Heading3"/>
      </w:pPr>
      <w:r>
        <w:t>Stage 3: Coding – complete</w:t>
      </w:r>
    </w:p>
    <w:p w14:paraId="303A2A35" w14:textId="4016EBC1" w:rsidR="0006017D" w:rsidRDefault="0006017D" w:rsidP="00ED1107">
      <w:r>
        <w:t>Coding data into groups or labels moves the analysis process from ‘description to interpretation’ (Grbich, 2013, p. 259). At this stage Braun and Clarke (2013) suggest that all of the data is coded according to the research question</w:t>
      </w:r>
      <w:r w:rsidR="00583C0C">
        <w:t>,</w:t>
      </w:r>
      <w:r>
        <w:t xml:space="preserve"> using a single word or short phrase. An example of this stage of data coding is presented </w:t>
      </w:r>
      <w:r w:rsidRPr="00F43CF3">
        <w:t xml:space="preserve">in </w:t>
      </w:r>
      <w:r w:rsidR="007635BC" w:rsidRPr="00F43CF3">
        <w:t xml:space="preserve">Table </w:t>
      </w:r>
      <w:r w:rsidR="00F43CF3" w:rsidRPr="00F43CF3">
        <w:t>6</w:t>
      </w:r>
      <w:r w:rsidR="007635BC" w:rsidRPr="00F43CF3">
        <w:t>.</w:t>
      </w:r>
    </w:p>
    <w:tbl>
      <w:tblPr>
        <w:tblW w:w="8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0"/>
        <w:gridCol w:w="3402"/>
      </w:tblGrid>
      <w:tr w:rsidR="0006017D" w14:paraId="6C3EE086" w14:textId="77777777" w:rsidTr="006E3485">
        <w:tc>
          <w:tcPr>
            <w:tcW w:w="5240" w:type="dxa"/>
            <w:shd w:val="clear" w:color="auto" w:fill="F2F2F2" w:themeFill="background1" w:themeFillShade="F2"/>
            <w:tcMar>
              <w:top w:w="113" w:type="dxa"/>
              <w:bottom w:w="113" w:type="dxa"/>
            </w:tcMar>
          </w:tcPr>
          <w:p w14:paraId="42720500" w14:textId="2C00229B" w:rsidR="0006017D" w:rsidRPr="009F269C" w:rsidRDefault="0006017D" w:rsidP="006E3485">
            <w:pPr>
              <w:pStyle w:val="Tableheading"/>
            </w:pPr>
            <w:r w:rsidRPr="009F269C">
              <w:t>Transcription Ex</w:t>
            </w:r>
            <w:r w:rsidR="00C14966">
              <w:t>cerpt</w:t>
            </w:r>
          </w:p>
        </w:tc>
        <w:tc>
          <w:tcPr>
            <w:tcW w:w="3402" w:type="dxa"/>
            <w:shd w:val="clear" w:color="auto" w:fill="F2F2F2" w:themeFill="background1" w:themeFillShade="F2"/>
            <w:tcMar>
              <w:top w:w="113" w:type="dxa"/>
              <w:bottom w:w="113" w:type="dxa"/>
            </w:tcMar>
          </w:tcPr>
          <w:p w14:paraId="2B36B15C" w14:textId="77777777" w:rsidR="0006017D" w:rsidRPr="009F269C" w:rsidRDefault="0006017D" w:rsidP="006E3485">
            <w:pPr>
              <w:pStyle w:val="Tableheading"/>
            </w:pPr>
            <w:r w:rsidRPr="009F269C">
              <w:t>Coding</w:t>
            </w:r>
          </w:p>
        </w:tc>
      </w:tr>
      <w:tr w:rsidR="0006017D" w14:paraId="70E2B60C" w14:textId="77777777" w:rsidTr="006E3485">
        <w:tc>
          <w:tcPr>
            <w:tcW w:w="5240" w:type="dxa"/>
            <w:tcMar>
              <w:top w:w="113" w:type="dxa"/>
              <w:bottom w:w="113" w:type="dxa"/>
            </w:tcMar>
          </w:tcPr>
          <w:p w14:paraId="4338672C" w14:textId="561C8AD4" w:rsidR="0006017D" w:rsidRDefault="0006017D" w:rsidP="007B4C41">
            <w:pPr>
              <w:pStyle w:val="tablecontent-singlespaced"/>
            </w:pPr>
            <w:r w:rsidRPr="006E3485">
              <w:t>my foster carers are really really nice people (.) like they are just like lovely and they (.) sat me down and like made me a nice dinner and stuff and said we just want you to know that no matter what like (.) you'll always have a space in our home (.) you are like a part of our family (.) you’re our daughter so you can stay here</w:t>
            </w:r>
            <w:r>
              <w:t xml:space="preserve"> </w:t>
            </w:r>
            <w:r w:rsidR="000B3A65">
              <w:t xml:space="preserve">– </w:t>
            </w:r>
            <w:r>
              <w:t>Liam</w:t>
            </w:r>
          </w:p>
        </w:tc>
        <w:tc>
          <w:tcPr>
            <w:tcW w:w="3402" w:type="dxa"/>
            <w:tcMar>
              <w:top w:w="113" w:type="dxa"/>
              <w:bottom w:w="113" w:type="dxa"/>
            </w:tcMar>
          </w:tcPr>
          <w:p w14:paraId="65DACB70" w14:textId="77777777" w:rsidR="0006017D" w:rsidRDefault="0006017D" w:rsidP="007B4C41">
            <w:pPr>
              <w:pStyle w:val="Tablecontent"/>
            </w:pPr>
            <w:r w:rsidRPr="00BE156B">
              <w:t xml:space="preserve">Discussion About Options </w:t>
            </w:r>
          </w:p>
          <w:p w14:paraId="15BB7A55" w14:textId="77777777" w:rsidR="0006017D" w:rsidRPr="000C1156" w:rsidRDefault="0006017D" w:rsidP="007B4C41">
            <w:pPr>
              <w:pStyle w:val="Tablecontent"/>
              <w:rPr>
                <w:i/>
                <w:iCs/>
              </w:rPr>
            </w:pPr>
            <w:r w:rsidRPr="000C1156">
              <w:rPr>
                <w:i/>
                <w:iCs/>
              </w:rPr>
              <w:t>Staying Put</w:t>
            </w:r>
          </w:p>
          <w:p w14:paraId="5450BEE8" w14:textId="77777777" w:rsidR="0006017D" w:rsidRDefault="0006017D" w:rsidP="007B4C41">
            <w:pPr>
              <w:pStyle w:val="Tablecontent"/>
            </w:pPr>
            <w:r w:rsidRPr="00BE156B">
              <w:t xml:space="preserve">Feelings Pre 18 </w:t>
            </w:r>
          </w:p>
          <w:p w14:paraId="38B8B4AE" w14:textId="77777777" w:rsidR="0006017D" w:rsidRDefault="0006017D" w:rsidP="007B4C41">
            <w:pPr>
              <w:pStyle w:val="Tablecontent"/>
            </w:pPr>
            <w:r>
              <w:t>Feelings Post 18 - Reassurance</w:t>
            </w:r>
          </w:p>
          <w:p w14:paraId="20F84E5B" w14:textId="77777777" w:rsidR="0006017D" w:rsidRDefault="0006017D" w:rsidP="007B4C41">
            <w:pPr>
              <w:pStyle w:val="Tablecontent"/>
            </w:pPr>
            <w:r w:rsidRPr="00BE156B">
              <w:t>The Carer's Perspective</w:t>
            </w:r>
          </w:p>
        </w:tc>
      </w:tr>
      <w:tr w:rsidR="0006017D" w14:paraId="627F8B4C" w14:textId="77777777" w:rsidTr="006E3485">
        <w:tc>
          <w:tcPr>
            <w:tcW w:w="5240" w:type="dxa"/>
            <w:tcMar>
              <w:top w:w="113" w:type="dxa"/>
              <w:bottom w:w="113" w:type="dxa"/>
            </w:tcMar>
          </w:tcPr>
          <w:p w14:paraId="446EE504" w14:textId="714A662D" w:rsidR="0006017D" w:rsidRPr="00BE156B" w:rsidRDefault="0006017D" w:rsidP="007B4C41">
            <w:pPr>
              <w:pStyle w:val="tablecontent-singlespaced"/>
            </w:pPr>
            <w:r w:rsidRPr="006E3485">
              <w:t>you get all the drug people and (.) I know I shouldn’t put it like (.) but is just don’t sound safe living in a hostel (.) like leaving a care home (.) like living in a family unit and its like then you get put in a hostel like what is that (.) it’s like you're not wanted like ((pause)) it’s like a care home like Tracey Beaker (.) it was like just stay in your room you can’t come (.) I di</w:t>
            </w:r>
            <w:r w:rsidR="00562B3B">
              <w:t>dn’t</w:t>
            </w:r>
            <w:r w:rsidRPr="006E3485">
              <w:t xml:space="preserve"> look round I just was like if you want me to move somewhere I'm telling you I'm not having this (.)</w:t>
            </w:r>
            <w:r>
              <w:t xml:space="preserve"> </w:t>
            </w:r>
            <w:r w:rsidR="000B3A65">
              <w:t>–</w:t>
            </w:r>
            <w:r w:rsidR="000B3A65" w:rsidRPr="00FF4466">
              <w:t xml:space="preserve"> </w:t>
            </w:r>
            <w:r w:rsidRPr="00FF4466">
              <w:t>Beth</w:t>
            </w:r>
          </w:p>
        </w:tc>
        <w:tc>
          <w:tcPr>
            <w:tcW w:w="3402" w:type="dxa"/>
            <w:tcMar>
              <w:top w:w="113" w:type="dxa"/>
              <w:bottom w:w="113" w:type="dxa"/>
            </w:tcMar>
          </w:tcPr>
          <w:p w14:paraId="6D54B1A0" w14:textId="77777777" w:rsidR="0006017D" w:rsidRPr="007B4C41" w:rsidRDefault="0006017D" w:rsidP="007B4C41">
            <w:pPr>
              <w:pStyle w:val="Tablecontent"/>
            </w:pPr>
            <w:r w:rsidRPr="007B4C41">
              <w:t>Discussion About Options Informing decision</w:t>
            </w:r>
          </w:p>
          <w:p w14:paraId="652F4BE5" w14:textId="77777777" w:rsidR="0006017D" w:rsidRPr="00BE156B" w:rsidRDefault="0006017D" w:rsidP="007B4C41">
            <w:pPr>
              <w:pStyle w:val="Tablecontent"/>
            </w:pPr>
            <w:r w:rsidRPr="007B4C41">
              <w:t>Feelings Post 18 - Fear</w:t>
            </w:r>
          </w:p>
        </w:tc>
      </w:tr>
    </w:tbl>
    <w:p w14:paraId="520FCD28" w14:textId="303D51D2" w:rsidR="0006017D" w:rsidRDefault="00A36C2F" w:rsidP="00A36C2F">
      <w:pPr>
        <w:pStyle w:val="Caption"/>
      </w:pPr>
      <w:bookmarkStart w:id="59" w:name="_Toc101108561"/>
      <w:r>
        <w:t xml:space="preserve">Table </w:t>
      </w:r>
      <w:fldSimple w:instr=" SEQ Table \* ARABIC ">
        <w:r w:rsidR="00E26E21">
          <w:rPr>
            <w:noProof/>
          </w:rPr>
          <w:t>10</w:t>
        </w:r>
      </w:fldSimple>
      <w:r>
        <w:t xml:space="preserve">: </w:t>
      </w:r>
      <w:r w:rsidRPr="00C50C2F">
        <w:t>Stage 3</w:t>
      </w:r>
      <w:r>
        <w:t xml:space="preserve"> </w:t>
      </w:r>
      <w:r w:rsidR="00C14966">
        <w:t>–</w:t>
      </w:r>
      <w:r w:rsidRPr="00C50C2F">
        <w:t xml:space="preserve"> </w:t>
      </w:r>
      <w:r w:rsidR="00C14966">
        <w:t>Excerpt of C</w:t>
      </w:r>
      <w:r w:rsidRPr="00C50C2F">
        <w:t xml:space="preserve">oding </w:t>
      </w:r>
      <w:r w:rsidR="00DF0D2E" w:rsidRPr="00DF0D2E">
        <w:t>–</w:t>
      </w:r>
      <w:r w:rsidR="00DF0D2E">
        <w:t xml:space="preserve"> </w:t>
      </w:r>
      <w:r w:rsidR="00F42A15">
        <w:t>c</w:t>
      </w:r>
      <w:r w:rsidRPr="00C50C2F">
        <w:t>omplete</w:t>
      </w:r>
      <w:bookmarkEnd w:id="59"/>
    </w:p>
    <w:p w14:paraId="433E5C9C" w14:textId="56B6FD26" w:rsidR="0006017D" w:rsidRDefault="0006017D" w:rsidP="008E4AF2">
      <w:r w:rsidRPr="00F43CF3">
        <w:lastRenderedPageBreak/>
        <w:t xml:space="preserve">Table </w:t>
      </w:r>
      <w:r w:rsidR="00F43CF3" w:rsidRPr="00F43CF3">
        <w:t>6</w:t>
      </w:r>
      <w:r w:rsidRPr="00EE6C26">
        <w:t xml:space="preserve"> illustrates</w:t>
      </w:r>
      <w:r>
        <w:t xml:space="preserve"> my early thinking about the relationships between the data and </w:t>
      </w:r>
      <w:r w:rsidR="005B6113">
        <w:t>the</w:t>
      </w:r>
      <w:r>
        <w:t xml:space="preserve"> research questions</w:t>
      </w:r>
      <w:r w:rsidR="003F61B8">
        <w:t>. F</w:t>
      </w:r>
      <w:r>
        <w:t>or example</w:t>
      </w:r>
      <w:r w:rsidR="003F61B8">
        <w:t>,</w:t>
      </w:r>
      <w:r>
        <w:t xml:space="preserve"> I started to see contrast</w:t>
      </w:r>
      <w:r w:rsidR="005B6113">
        <w:t>s</w:t>
      </w:r>
      <w:r>
        <w:t xml:space="preserve"> in the way that</w:t>
      </w:r>
      <w:r w:rsidR="005B6113">
        <w:t xml:space="preserve"> the participant’s </w:t>
      </w:r>
      <w:r>
        <w:t>future options were discussed. Liam is presented with the option to stay as they are seen as part of the family, whereas Beth presents a negative picture of a specific housing project. The multiple codes are a common feature of early coding (Mason, 2018) and reflect my different thought processes at that time. The other element that became apparent during this stage was the impact of the extraction of specific text. Using a thematic approach can disaggregate the narrative of the participant and result in the reader missing the context of the person’s overall account (</w:t>
      </w:r>
      <w:r w:rsidRPr="00A17921">
        <w:t>King, Horrocks and Brooks, 2019).</w:t>
      </w:r>
      <w:r>
        <w:t xml:space="preserve"> However, the story of the research is about how individual stories come together to shine a light on a subject (Rubin and Babbie, 2014) emphasising the need for the researcher to create a coherent and respectful narrative. </w:t>
      </w:r>
    </w:p>
    <w:p w14:paraId="49FB08DF" w14:textId="77777777" w:rsidR="0006017D" w:rsidRDefault="0006017D" w:rsidP="006E3485">
      <w:pPr>
        <w:pStyle w:val="Heading3"/>
      </w:pPr>
      <w:r>
        <w:t>Stage 4 and 5: Searching for themes and reviewing themes</w:t>
      </w:r>
    </w:p>
    <w:p w14:paraId="3E90279B" w14:textId="71583B78" w:rsidR="0006017D" w:rsidRPr="007D3963" w:rsidRDefault="0006017D">
      <w:r>
        <w:t xml:space="preserve">The next two stages are important in refining initial codes and developing a clearer sense of the relationships between codes and early themes (Grbich, 2013). During this phase I also revisited the original transcripts to review them separately from the initial coding to help me reflect on my thinking at the time. As I mentioned in the introduction, this phase of the analysis is iterative and repeating and revisiting ideas is part of the constructivist TA process (Braun and Clarke, 2013). During these stages, codes were renamed, and patterns identified that reflected meanings rather than frequency of occurrence. For example, the code identified </w:t>
      </w:r>
      <w:r w:rsidRPr="00995899">
        <w:t xml:space="preserve">in </w:t>
      </w:r>
      <w:r w:rsidR="005B6113">
        <w:t>T</w:t>
      </w:r>
      <w:r w:rsidRPr="00995899">
        <w:t xml:space="preserve">able </w:t>
      </w:r>
      <w:r w:rsidR="00F43CF3">
        <w:t xml:space="preserve">6 </w:t>
      </w:r>
      <w:r w:rsidRPr="00995899">
        <w:t xml:space="preserve">as </w:t>
      </w:r>
      <w:r w:rsidRPr="00995899">
        <w:rPr>
          <w:i/>
          <w:iCs/>
        </w:rPr>
        <w:t>discussion</w:t>
      </w:r>
      <w:r w:rsidRPr="007D3963">
        <w:rPr>
          <w:i/>
          <w:iCs/>
        </w:rPr>
        <w:t xml:space="preserve"> about options</w:t>
      </w:r>
      <w:r>
        <w:t xml:space="preserve"> changes to </w:t>
      </w:r>
      <w:r w:rsidRPr="007D3963">
        <w:rPr>
          <w:i/>
          <w:iCs/>
        </w:rPr>
        <w:t>information/misinformation</w:t>
      </w:r>
      <w:r>
        <w:rPr>
          <w:i/>
          <w:iCs/>
        </w:rPr>
        <w:t xml:space="preserve"> </w:t>
      </w:r>
      <w:r>
        <w:t xml:space="preserve">to reflect my changing interpretation of the factors young people drew on to make their decisions. </w:t>
      </w:r>
    </w:p>
    <w:p w14:paraId="7789C1B0" w14:textId="77777777" w:rsidR="0006017D" w:rsidRDefault="0006017D" w:rsidP="006E3485">
      <w:pPr>
        <w:pStyle w:val="Heading3"/>
      </w:pPr>
      <w:r>
        <w:t>Stage 6: Defining and naming themes</w:t>
      </w:r>
    </w:p>
    <w:p w14:paraId="5E59BEFE" w14:textId="32C6856A" w:rsidR="0006017D" w:rsidRDefault="0006017D">
      <w:r>
        <w:t xml:space="preserve">The final analysis stage before writing is to pull together ideas into themes that are coherent and respond to the research questions but also are consistent with methodological design (Rubin and Babbie, 2014). There are different ways to present codes and themes, but I used a mind map programme called </w:t>
      </w:r>
      <w:r w:rsidRPr="00DA425E">
        <w:rPr>
          <w:i/>
          <w:iCs/>
        </w:rPr>
        <w:t>Whimsical</w:t>
      </w:r>
      <w:r>
        <w:t xml:space="preserve"> to provide a visual depiction of my thinking. </w:t>
      </w:r>
      <w:r w:rsidR="005B6113">
        <w:t xml:space="preserve">Figure </w:t>
      </w:r>
      <w:r w:rsidR="00F43CF3">
        <w:t>7</w:t>
      </w:r>
      <w:r w:rsidR="005B6113">
        <w:t xml:space="preserve"> provides </w:t>
      </w:r>
      <w:r>
        <w:t xml:space="preserve">a section from the theme </w:t>
      </w:r>
      <w:r w:rsidR="005B6113">
        <w:t>‘</w:t>
      </w:r>
      <w:r>
        <w:t>the proceduralisation of moving on</w:t>
      </w:r>
      <w:r w:rsidR="005B6113">
        <w:t>’.</w:t>
      </w:r>
    </w:p>
    <w:p w14:paraId="006E3DA0" w14:textId="6BBB2742" w:rsidR="001E4507" w:rsidRDefault="009A56BF" w:rsidP="00A57BF7">
      <w:pPr>
        <w:pStyle w:val="Caption"/>
      </w:pPr>
      <w:r>
        <w:rPr>
          <w:noProof/>
        </w:rPr>
        <w:lastRenderedPageBreak/>
        <w:drawing>
          <wp:inline distT="0" distB="0" distL="0" distR="0" wp14:anchorId="1091F38F" wp14:editId="05DDF508">
            <wp:extent cx="5727700" cy="3420110"/>
            <wp:effectExtent l="0" t="0" r="0" b="0"/>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27700" cy="3420110"/>
                    </a:xfrm>
                    <a:prstGeom prst="rect">
                      <a:avLst/>
                    </a:prstGeom>
                  </pic:spPr>
                </pic:pic>
              </a:graphicData>
            </a:graphic>
          </wp:inline>
        </w:drawing>
      </w:r>
    </w:p>
    <w:p w14:paraId="267DB260" w14:textId="5E5AEE8A" w:rsidR="0006017D" w:rsidRDefault="00A57BF7" w:rsidP="00A57BF7">
      <w:pPr>
        <w:pStyle w:val="Caption"/>
        <w:rPr>
          <w:sz w:val="22"/>
          <w:szCs w:val="22"/>
        </w:rPr>
      </w:pPr>
      <w:bookmarkStart w:id="60" w:name="_Toc101108547"/>
      <w:r>
        <w:t xml:space="preserve">Figure </w:t>
      </w:r>
      <w:fldSimple w:instr=" SEQ Figure \* ARABIC ">
        <w:r w:rsidR="00E26E21">
          <w:rPr>
            <w:noProof/>
          </w:rPr>
          <w:t>7</w:t>
        </w:r>
      </w:fldSimple>
      <w:r>
        <w:t xml:space="preserve">: </w:t>
      </w:r>
      <w:r w:rsidRPr="0088228A">
        <w:t xml:space="preserve">Section of </w:t>
      </w:r>
      <w:r w:rsidR="00432F9F">
        <w:t>m</w:t>
      </w:r>
      <w:r w:rsidRPr="0088228A">
        <w:t xml:space="preserve">ind </w:t>
      </w:r>
      <w:r w:rsidR="00432F9F">
        <w:t>m</w:t>
      </w:r>
      <w:r w:rsidRPr="0088228A">
        <w:t xml:space="preserve">ap showing </w:t>
      </w:r>
      <w:r w:rsidR="00432F9F">
        <w:t>t</w:t>
      </w:r>
      <w:r w:rsidRPr="0088228A">
        <w:t>hemes</w:t>
      </w:r>
      <w:bookmarkEnd w:id="60"/>
    </w:p>
    <w:p w14:paraId="39571F06" w14:textId="71D7B38F" w:rsidR="0006017D" w:rsidRDefault="0006017D" w:rsidP="008E4AF2">
      <w:r>
        <w:t xml:space="preserve">In </w:t>
      </w:r>
      <w:r w:rsidR="005B6113" w:rsidRPr="00F43CF3">
        <w:t>F</w:t>
      </w:r>
      <w:r w:rsidRPr="00F43CF3">
        <w:t xml:space="preserve">igure </w:t>
      </w:r>
      <w:r w:rsidR="00F43CF3" w:rsidRPr="00F43CF3">
        <w:t>7</w:t>
      </w:r>
      <w:r w:rsidRPr="00F43CF3">
        <w:t xml:space="preserve"> the</w:t>
      </w:r>
      <w:r>
        <w:t xml:space="preserve"> </w:t>
      </w:r>
      <w:r w:rsidRPr="00995899">
        <w:t xml:space="preserve">grouping of codes relating to </w:t>
      </w:r>
      <w:r w:rsidRPr="00995899">
        <w:rPr>
          <w:i/>
          <w:iCs/>
        </w:rPr>
        <w:t>Staying Put</w:t>
      </w:r>
      <w:r w:rsidRPr="00995899">
        <w:t xml:space="preserve"> have been broken down from the original coding seen in </w:t>
      </w:r>
      <w:r w:rsidR="005B6113">
        <w:t>T</w:t>
      </w:r>
      <w:r w:rsidRPr="00995899">
        <w:t xml:space="preserve">able </w:t>
      </w:r>
      <w:r w:rsidR="00F43CF3">
        <w:t>6</w:t>
      </w:r>
      <w:r w:rsidRPr="00995899">
        <w:t>. Th</w:t>
      </w:r>
      <w:r w:rsidR="002F36D4">
        <w:t xml:space="preserve">e example </w:t>
      </w:r>
      <w:r w:rsidR="002F36D4" w:rsidRPr="00F43CF3">
        <w:t xml:space="preserve">in Figure </w:t>
      </w:r>
      <w:r w:rsidR="00F43CF3" w:rsidRPr="00F43CF3">
        <w:t>7</w:t>
      </w:r>
      <w:r>
        <w:t xml:space="preserve"> shows the progression of my thinking between </w:t>
      </w:r>
      <w:r w:rsidR="002F36D4">
        <w:t xml:space="preserve">the coding of </w:t>
      </w:r>
      <w:r>
        <w:t xml:space="preserve">coding mentions or language relating to </w:t>
      </w:r>
      <w:r w:rsidRPr="00F43CF3">
        <w:rPr>
          <w:i/>
          <w:iCs/>
        </w:rPr>
        <w:t>Staying Put</w:t>
      </w:r>
      <w:r w:rsidR="002F36D4" w:rsidRPr="00F43CF3">
        <w:rPr>
          <w:i/>
          <w:iCs/>
        </w:rPr>
        <w:t xml:space="preserve"> </w:t>
      </w:r>
      <w:r w:rsidR="002F36D4" w:rsidRPr="00F43CF3">
        <w:t>in Table</w:t>
      </w:r>
      <w:r w:rsidR="00F43CF3" w:rsidRPr="00F43CF3">
        <w:t xml:space="preserve"> 6</w:t>
      </w:r>
      <w:r w:rsidR="00DD0EC4" w:rsidRPr="00F43CF3">
        <w:t>,</w:t>
      </w:r>
      <w:r w:rsidRPr="00F43CF3">
        <w:t xml:space="preserve"> to a more analytical understanding of the young person’s descriptions.</w:t>
      </w:r>
      <w:r w:rsidR="0056790A">
        <w:t xml:space="preserve"> </w:t>
      </w:r>
    </w:p>
    <w:p w14:paraId="730A3AA6" w14:textId="1D7A9105" w:rsidR="0006017D" w:rsidRDefault="0006017D" w:rsidP="006A75FF">
      <w:pPr>
        <w:pStyle w:val="Heading2"/>
      </w:pPr>
      <w:bookmarkStart w:id="61" w:name="_Toc101108505"/>
      <w:r>
        <w:t>Chapter Summary</w:t>
      </w:r>
      <w:bookmarkEnd w:id="61"/>
    </w:p>
    <w:p w14:paraId="3A13B865" w14:textId="62851283" w:rsidR="0006017D" w:rsidRDefault="0006017D">
      <w:r>
        <w:t xml:space="preserve">This chapter </w:t>
      </w:r>
      <w:r w:rsidR="00DD0EC4">
        <w:t>h</w:t>
      </w:r>
      <w:r>
        <w:t>as detailed the research process and shown the thinking behind the decisions I made at each stage. Building on the discussion about the researcher’s position</w:t>
      </w:r>
      <w:r w:rsidRPr="00113DFB">
        <w:t>, I have</w:t>
      </w:r>
      <w:r>
        <w:t xml:space="preserve"> provided a rationale for undertaking an in-depth qualitative study. Qualitative research is about the story of a situation and the methodological discussion provides the ground rules for how that story is told (Silverman, 2011)</w:t>
      </w:r>
      <w:r w:rsidR="007635BC">
        <w:t xml:space="preserve"> and t</w:t>
      </w:r>
      <w:r>
        <w:t xml:space="preserve">he next part of the thesis moves on to discuss the three themes generated from the data. </w:t>
      </w:r>
    </w:p>
    <w:p w14:paraId="7629C21E" w14:textId="77777777" w:rsidR="002F36D4" w:rsidRDefault="002F36D4">
      <w:pPr>
        <w:spacing w:after="0" w:line="240" w:lineRule="auto"/>
        <w:rPr>
          <w:rFonts w:eastAsiaTheme="majorEastAsia"/>
          <w:b/>
          <w:color w:val="000000" w:themeColor="text1"/>
          <w:sz w:val="40"/>
          <w:szCs w:val="32"/>
        </w:rPr>
      </w:pPr>
      <w:r>
        <w:br w:type="page"/>
      </w:r>
    </w:p>
    <w:p w14:paraId="7DF80E67" w14:textId="17A5CE57" w:rsidR="004A626F" w:rsidRDefault="004A626F" w:rsidP="00301A3B">
      <w:pPr>
        <w:pStyle w:val="Heading1"/>
      </w:pPr>
      <w:bookmarkStart w:id="62" w:name="_Toc101108506"/>
      <w:r w:rsidRPr="004A626F">
        <w:lastRenderedPageBreak/>
        <w:t xml:space="preserve">Part </w:t>
      </w:r>
      <w:r w:rsidR="00C90062">
        <w:t>Three</w:t>
      </w:r>
      <w:r w:rsidRPr="004A626F">
        <w:t xml:space="preserve">: </w:t>
      </w:r>
      <w:r w:rsidR="002A740A">
        <w:t xml:space="preserve">Constructed </w:t>
      </w:r>
      <w:r w:rsidRPr="004A626F">
        <w:t>Themes</w:t>
      </w:r>
      <w:bookmarkEnd w:id="62"/>
    </w:p>
    <w:p w14:paraId="110425A2" w14:textId="03A975EC" w:rsidR="00E4405C" w:rsidRPr="00E4405C" w:rsidRDefault="00E4405C">
      <w:r w:rsidRPr="00E4405C">
        <w:t xml:space="preserve">The next three chapters present the themes </w:t>
      </w:r>
      <w:r w:rsidR="002A740A">
        <w:t>constructed</w:t>
      </w:r>
      <w:r w:rsidRPr="00E4405C">
        <w:t xml:space="preserve"> from the interviews with young people. </w:t>
      </w:r>
      <w:r>
        <w:t xml:space="preserve">Whilst </w:t>
      </w:r>
      <w:r w:rsidRPr="00E4405C">
        <w:t xml:space="preserve">the themes discussed </w:t>
      </w:r>
      <w:r w:rsidR="00E33F59">
        <w:t xml:space="preserve">are </w:t>
      </w:r>
      <w:r>
        <w:t>derived</w:t>
      </w:r>
      <w:r w:rsidRPr="00E4405C">
        <w:t xml:space="preserve"> from </w:t>
      </w:r>
      <w:r w:rsidR="00E33F59">
        <w:t xml:space="preserve">the examination of </w:t>
      </w:r>
      <w:r w:rsidRPr="00E4405C">
        <w:t xml:space="preserve">young people’s </w:t>
      </w:r>
      <w:r w:rsidR="00E33F59">
        <w:t>decisions regarding</w:t>
      </w:r>
      <w:r w:rsidRPr="00E4405C">
        <w:t xml:space="preserve"> </w:t>
      </w:r>
      <w:r w:rsidRPr="00007CFC">
        <w:rPr>
          <w:i/>
          <w:iCs/>
        </w:rPr>
        <w:t>Staying Put</w:t>
      </w:r>
      <w:r w:rsidRPr="00E4405C">
        <w:t xml:space="preserve">, it became apparent that </w:t>
      </w:r>
      <w:r w:rsidR="00E33F59" w:rsidRPr="00E4405C">
        <w:t>th</w:t>
      </w:r>
      <w:r w:rsidR="00E33F59">
        <w:t xml:space="preserve">ere were also more general reflections of </w:t>
      </w:r>
      <w:r w:rsidRPr="00E4405C">
        <w:t xml:space="preserve">the young people’s </w:t>
      </w:r>
      <w:r>
        <w:t>care experience</w:t>
      </w:r>
      <w:r w:rsidRPr="00E4405C">
        <w:t>.</w:t>
      </w:r>
      <w:r>
        <w:t xml:space="preserve"> Rather than disregard these issues, </w:t>
      </w:r>
      <w:r w:rsidR="00A24830">
        <w:t xml:space="preserve">locating the </w:t>
      </w:r>
      <w:r w:rsidRPr="00007CFC">
        <w:rPr>
          <w:i/>
          <w:iCs/>
        </w:rPr>
        <w:t>Staying Put</w:t>
      </w:r>
      <w:r w:rsidRPr="00E4405C">
        <w:t xml:space="preserve"> </w:t>
      </w:r>
      <w:r w:rsidR="00A24830">
        <w:t xml:space="preserve">scheme </w:t>
      </w:r>
      <w:r>
        <w:t>alongside</w:t>
      </w:r>
      <w:r w:rsidRPr="00E4405C">
        <w:t xml:space="preserve"> aspects of t</w:t>
      </w:r>
      <w:r w:rsidR="00A24830">
        <w:t>he care system develop</w:t>
      </w:r>
      <w:r w:rsidR="00007CFC">
        <w:t>ed</w:t>
      </w:r>
      <w:r w:rsidR="00A24830">
        <w:t xml:space="preserve"> </w:t>
      </w:r>
      <w:r w:rsidR="007850BB">
        <w:t>a</w:t>
      </w:r>
      <w:r w:rsidR="00A24830">
        <w:t xml:space="preserve"> </w:t>
      </w:r>
      <w:r w:rsidR="002A740A">
        <w:t xml:space="preserve">broader </w:t>
      </w:r>
      <w:r w:rsidRPr="00E4405C">
        <w:t xml:space="preserve">understanding of this transition point. Each identified theme </w:t>
      </w:r>
      <w:r w:rsidR="000A1477" w:rsidRPr="00E4405C">
        <w:t>relate</w:t>
      </w:r>
      <w:r w:rsidR="000A1477">
        <w:t>d</w:t>
      </w:r>
      <w:r w:rsidRPr="00E4405C">
        <w:t xml:space="preserve"> to a different element of experience from the period leading up to the young person’s 18</w:t>
      </w:r>
      <w:r w:rsidRPr="00E4405C">
        <w:rPr>
          <w:vertAlign w:val="superscript"/>
        </w:rPr>
        <w:t>th</w:t>
      </w:r>
      <w:r w:rsidRPr="00E4405C">
        <w:t xml:space="preserve"> birthday</w:t>
      </w:r>
      <w:r w:rsidR="00F45930">
        <w:t xml:space="preserve"> which also relate to the research questions set out in Chapter 1</w:t>
      </w:r>
      <w:r w:rsidR="00A24830">
        <w:t>.</w:t>
      </w:r>
      <w:r w:rsidRPr="00E4405C">
        <w:t xml:space="preserve"> Themes are </w:t>
      </w:r>
      <w:r w:rsidR="00E33F59">
        <w:t>subdivided,</w:t>
      </w:r>
      <w:r w:rsidR="007850BB">
        <w:t xml:space="preserve"> using the young people’s quotes as subtheme headings,</w:t>
      </w:r>
      <w:r w:rsidRPr="00E4405C">
        <w:t xml:space="preserve"> and the analysis of each issue is presented alongside extracts from the interviews with participants</w:t>
      </w:r>
      <w:r w:rsidR="00CF7F94">
        <w:t>.</w:t>
      </w:r>
    </w:p>
    <w:p w14:paraId="19D908A5" w14:textId="7EE84751" w:rsidR="00E4405C" w:rsidRDefault="00E4405C">
      <w:r w:rsidRPr="007850BB">
        <w:t>Chapter</w:t>
      </w:r>
      <w:r w:rsidR="007850BB" w:rsidRPr="007850BB">
        <w:t xml:space="preserve"> 7</w:t>
      </w:r>
      <w:r w:rsidRPr="00E4405C">
        <w:t xml:space="preserve"> discusses the theme of </w:t>
      </w:r>
      <w:r w:rsidR="007850BB">
        <w:t>agency in the participant’s</w:t>
      </w:r>
      <w:r w:rsidRPr="00E4405C">
        <w:t xml:space="preserve"> historical decisions and their decision about </w:t>
      </w:r>
      <w:r w:rsidRPr="006E3485">
        <w:rPr>
          <w:i/>
          <w:iCs/>
        </w:rPr>
        <w:t>Staying Put</w:t>
      </w:r>
      <w:r w:rsidR="00CF7F94">
        <w:rPr>
          <w:i/>
          <w:iCs/>
        </w:rPr>
        <w:t xml:space="preserve"> – </w:t>
      </w:r>
      <w:r w:rsidR="00CF7F94">
        <w:t>re</w:t>
      </w:r>
      <w:r w:rsidR="003E4872">
        <w:t>lating</w:t>
      </w:r>
      <w:r w:rsidR="00CF7F94">
        <w:t xml:space="preserve"> to </w:t>
      </w:r>
      <w:r w:rsidR="003E4872">
        <w:t>the research</w:t>
      </w:r>
      <w:r w:rsidR="00CF7F94">
        <w:t xml:space="preserve"> question </w:t>
      </w:r>
      <w:r w:rsidR="003E4872">
        <w:t xml:space="preserve">about </w:t>
      </w:r>
      <w:r w:rsidR="00CF7F94">
        <w:t>how much influence young people felt they had in making their decision</w:t>
      </w:r>
      <w:r w:rsidR="00CF7F94">
        <w:rPr>
          <w:i/>
          <w:iCs/>
        </w:rPr>
        <w:t>.</w:t>
      </w:r>
      <w:r w:rsidRPr="00F45930">
        <w:t xml:space="preserve"> Chapter</w:t>
      </w:r>
      <w:r w:rsidR="007850BB" w:rsidRPr="00F45930">
        <w:t xml:space="preserve"> 8</w:t>
      </w:r>
      <w:r w:rsidRPr="00F45930">
        <w:t xml:space="preserve"> </w:t>
      </w:r>
      <w:r w:rsidR="00CF7F94">
        <w:t xml:space="preserve">refers to the question of </w:t>
      </w:r>
      <w:r w:rsidR="00DA425E">
        <w:t>the</w:t>
      </w:r>
      <w:r w:rsidR="003E4872">
        <w:t xml:space="preserve"> </w:t>
      </w:r>
      <w:r w:rsidR="00CF7F94">
        <w:t>factors inform</w:t>
      </w:r>
      <w:r w:rsidR="00DA425E">
        <w:t>ing</w:t>
      </w:r>
      <w:r w:rsidR="00CF7F94">
        <w:t xml:space="preserve"> their decision</w:t>
      </w:r>
      <w:r w:rsidR="00DA425E">
        <w:t>-making</w:t>
      </w:r>
      <w:r w:rsidR="00CF7F94">
        <w:t xml:space="preserve"> and </w:t>
      </w:r>
      <w:r w:rsidR="00CF7F94" w:rsidRPr="00E4405C">
        <w:t>explores</w:t>
      </w:r>
      <w:r w:rsidRPr="00E4405C">
        <w:t xml:space="preserve"> how </w:t>
      </w:r>
      <w:r w:rsidR="00F45930">
        <w:t xml:space="preserve">sources of support, information and </w:t>
      </w:r>
      <w:r w:rsidRPr="00E4405C">
        <w:t>misinformation w</w:t>
      </w:r>
      <w:r w:rsidR="00F45930">
        <w:t>ere</w:t>
      </w:r>
      <w:r w:rsidRPr="00E4405C">
        <w:t xml:space="preserve"> experienced by the participants</w:t>
      </w:r>
      <w:r w:rsidR="00A24830">
        <w:t xml:space="preserve"> during this </w:t>
      </w:r>
      <w:r w:rsidR="00CF7F94">
        <w:t>period.</w:t>
      </w:r>
      <w:r w:rsidRPr="00E4405C">
        <w:t xml:space="preserve"> The last chapter in </w:t>
      </w:r>
      <w:r w:rsidR="007D418D">
        <w:t>P</w:t>
      </w:r>
      <w:r w:rsidRPr="00E4405C">
        <w:t xml:space="preserve">art </w:t>
      </w:r>
      <w:r w:rsidR="007D418D">
        <w:t>T</w:t>
      </w:r>
      <w:r w:rsidR="007D418D" w:rsidRPr="00E4405C">
        <w:t xml:space="preserve">hree </w:t>
      </w:r>
      <w:r w:rsidRPr="00E4405C">
        <w:t xml:space="preserve">presents the intangible aspects of their experience, namely the multitude of feelings </w:t>
      </w:r>
      <w:r w:rsidR="00F45930">
        <w:t xml:space="preserve">evoked during </w:t>
      </w:r>
      <w:r w:rsidRPr="00E4405C">
        <w:t xml:space="preserve">this </w:t>
      </w:r>
      <w:r w:rsidR="00F45930" w:rsidRPr="00E4405C">
        <w:t>period</w:t>
      </w:r>
      <w:r w:rsidR="00CF7F94">
        <w:t>, which was the final question of my study</w:t>
      </w:r>
      <w:r w:rsidRPr="00E4405C">
        <w:t>. The</w:t>
      </w:r>
      <w:r w:rsidR="00A24830">
        <w:t xml:space="preserve"> </w:t>
      </w:r>
      <w:r w:rsidRPr="00E4405C">
        <w:t xml:space="preserve">responses </w:t>
      </w:r>
      <w:r w:rsidR="00A24830">
        <w:t xml:space="preserve">identified in </w:t>
      </w:r>
      <w:r w:rsidR="007850BB" w:rsidRPr="00F45930">
        <w:t>C</w:t>
      </w:r>
      <w:r w:rsidR="00A24830" w:rsidRPr="00F45930">
        <w:t xml:space="preserve">hapter </w:t>
      </w:r>
      <w:r w:rsidR="007850BB" w:rsidRPr="00F45930">
        <w:t>9</w:t>
      </w:r>
      <w:r w:rsidR="007850BB">
        <w:t xml:space="preserve"> </w:t>
      </w:r>
      <w:r w:rsidRPr="00E4405C">
        <w:t xml:space="preserve">relate to the </w:t>
      </w:r>
      <w:r w:rsidR="00F45930">
        <w:t>transformation of their relationships through the application of policy in practice</w:t>
      </w:r>
      <w:r w:rsidRPr="00E4405C">
        <w:t>. Focus on the felt aspects of making this decision rather than the organisational factors, reflected the complexities of th</w:t>
      </w:r>
      <w:r w:rsidR="00A24830">
        <w:t>is</w:t>
      </w:r>
      <w:r w:rsidRPr="00E4405C">
        <w:t xml:space="preserve"> transition in their care pathway. </w:t>
      </w:r>
    </w:p>
    <w:p w14:paraId="2063F53D" w14:textId="163142A7" w:rsidR="00007CFC" w:rsidRDefault="00007CFC">
      <w:r>
        <w:t xml:space="preserve">As the </w:t>
      </w:r>
      <w:r w:rsidR="00F45930">
        <w:t>aim</w:t>
      </w:r>
      <w:r>
        <w:t xml:space="preserve"> of the study was to explore the experiences of young people making </w:t>
      </w:r>
      <w:r w:rsidR="00E33F59">
        <w:t xml:space="preserve">their decision about </w:t>
      </w:r>
      <w:r w:rsidR="00E33F59" w:rsidRPr="00E33F59">
        <w:rPr>
          <w:i/>
          <w:iCs/>
        </w:rPr>
        <w:t>Staying Put</w:t>
      </w:r>
      <w:r>
        <w:t xml:space="preserve">, demographic and historic details were not routinely requested. </w:t>
      </w:r>
      <w:r w:rsidR="00F45930">
        <w:t>During</w:t>
      </w:r>
      <w:r>
        <w:t xml:space="preserve"> the interview, young people were asked </w:t>
      </w:r>
      <w:r w:rsidR="002A740A">
        <w:t>about</w:t>
      </w:r>
      <w:r>
        <w:t xml:space="preserve"> their current circumstances </w:t>
      </w:r>
      <w:r w:rsidR="00F45930">
        <w:t>to</w:t>
      </w:r>
      <w:r>
        <w:t xml:space="preserve"> help shape the questions, and in some cases young people shared details about their history and circumstances. To establish some sense of the participants, </w:t>
      </w:r>
      <w:r w:rsidR="00E33F59">
        <w:t xml:space="preserve">Table </w:t>
      </w:r>
      <w:r w:rsidR="008437DA">
        <w:t>7</w:t>
      </w:r>
      <w:r>
        <w:t xml:space="preserve"> indicates some basic information about each </w:t>
      </w:r>
      <w:r w:rsidR="002A740A">
        <w:t xml:space="preserve">young </w:t>
      </w:r>
      <w:r>
        <w:t>person. Some information has been condensed in order to protect their identities. Discussion points have not been drawn from any patterns in th</w:t>
      </w:r>
      <w:r w:rsidR="00E33F59">
        <w:t>e</w:t>
      </w:r>
      <w:r>
        <w:t xml:space="preserve"> information</w:t>
      </w:r>
      <w:r w:rsidR="00E33F59">
        <w:t xml:space="preserve"> presented </w:t>
      </w:r>
      <w:r w:rsidR="00E33F59" w:rsidRPr="008437DA">
        <w:t xml:space="preserve">in Table </w:t>
      </w:r>
      <w:r w:rsidR="008437DA" w:rsidRPr="008437DA">
        <w:t>7</w:t>
      </w:r>
      <w:r>
        <w:t xml:space="preserve">. </w:t>
      </w:r>
    </w:p>
    <w:tbl>
      <w:tblPr>
        <w:tblStyle w:val="TableGrid"/>
        <w:tblW w:w="0" w:type="auto"/>
        <w:tblLook w:val="04A0" w:firstRow="1" w:lastRow="0" w:firstColumn="1" w:lastColumn="0" w:noHBand="0" w:noVBand="1"/>
      </w:tblPr>
      <w:tblGrid>
        <w:gridCol w:w="1838"/>
        <w:gridCol w:w="992"/>
        <w:gridCol w:w="3119"/>
        <w:gridCol w:w="1559"/>
        <w:gridCol w:w="1418"/>
      </w:tblGrid>
      <w:tr w:rsidR="006E3F89" w14:paraId="42FEF9AA" w14:textId="77777777" w:rsidTr="002A740A">
        <w:tc>
          <w:tcPr>
            <w:tcW w:w="1838" w:type="dxa"/>
            <w:shd w:val="clear" w:color="auto" w:fill="D9D9D9" w:themeFill="background1" w:themeFillShade="D9"/>
            <w:tcMar>
              <w:top w:w="113" w:type="dxa"/>
              <w:bottom w:w="113" w:type="dxa"/>
            </w:tcMar>
          </w:tcPr>
          <w:p w14:paraId="51FBB8AE" w14:textId="17CE0814" w:rsidR="006E3F89" w:rsidRPr="006E3F89" w:rsidRDefault="006E3F89" w:rsidP="006E3485">
            <w:pPr>
              <w:pStyle w:val="Tableheading"/>
            </w:pPr>
            <w:r w:rsidRPr="006E3F89">
              <w:lastRenderedPageBreak/>
              <w:t>Young Person</w:t>
            </w:r>
          </w:p>
        </w:tc>
        <w:tc>
          <w:tcPr>
            <w:tcW w:w="992" w:type="dxa"/>
            <w:shd w:val="clear" w:color="auto" w:fill="D9D9D9" w:themeFill="background1" w:themeFillShade="D9"/>
            <w:tcMar>
              <w:top w:w="113" w:type="dxa"/>
              <w:bottom w:w="113" w:type="dxa"/>
            </w:tcMar>
          </w:tcPr>
          <w:p w14:paraId="40E8C55A" w14:textId="1FCD9D40" w:rsidR="006E3F89" w:rsidRPr="006E3F89" w:rsidRDefault="006E3F89" w:rsidP="006E3485">
            <w:pPr>
              <w:pStyle w:val="Tableheading"/>
            </w:pPr>
            <w:r w:rsidRPr="006E3F89">
              <w:t>Stayed</w:t>
            </w:r>
            <w:r w:rsidR="002516E1">
              <w:t xml:space="preserve"> </w:t>
            </w:r>
            <w:r w:rsidRPr="006E3F89">
              <w:t>Put</w:t>
            </w:r>
            <w:r w:rsidR="002516E1">
              <w:t xml:space="preserve"> (</w:t>
            </w:r>
            <w:r w:rsidRPr="006E3F89">
              <w:t>Y/N</w:t>
            </w:r>
            <w:r w:rsidR="002516E1">
              <w:t>)</w:t>
            </w:r>
          </w:p>
        </w:tc>
        <w:tc>
          <w:tcPr>
            <w:tcW w:w="3119" w:type="dxa"/>
            <w:shd w:val="clear" w:color="auto" w:fill="D9D9D9" w:themeFill="background1" w:themeFillShade="D9"/>
            <w:tcMar>
              <w:top w:w="113" w:type="dxa"/>
              <w:bottom w:w="113" w:type="dxa"/>
            </w:tcMar>
          </w:tcPr>
          <w:p w14:paraId="3CE7D4E1" w14:textId="2E1668A2" w:rsidR="006E3F89" w:rsidRPr="006E3F89" w:rsidRDefault="006E3F89" w:rsidP="006E3485">
            <w:pPr>
              <w:pStyle w:val="Tableheading"/>
            </w:pPr>
            <w:r w:rsidRPr="006E3F89">
              <w:t>Current Situation</w:t>
            </w:r>
          </w:p>
        </w:tc>
        <w:tc>
          <w:tcPr>
            <w:tcW w:w="1559" w:type="dxa"/>
            <w:shd w:val="clear" w:color="auto" w:fill="D9D9D9" w:themeFill="background1" w:themeFillShade="D9"/>
            <w:tcMar>
              <w:top w:w="113" w:type="dxa"/>
              <w:bottom w:w="113" w:type="dxa"/>
            </w:tcMar>
          </w:tcPr>
          <w:p w14:paraId="24DE84A5" w14:textId="74044C71" w:rsidR="006E3F89" w:rsidRPr="006E3F89" w:rsidRDefault="006E3F89" w:rsidP="006E3485">
            <w:pPr>
              <w:pStyle w:val="Tableheading"/>
            </w:pPr>
            <w:r w:rsidRPr="006E3F89">
              <w:t>Age they left their carer(s)</w:t>
            </w:r>
          </w:p>
        </w:tc>
        <w:tc>
          <w:tcPr>
            <w:tcW w:w="1418" w:type="dxa"/>
            <w:shd w:val="clear" w:color="auto" w:fill="D9D9D9" w:themeFill="background1" w:themeFillShade="D9"/>
            <w:tcMar>
              <w:top w:w="113" w:type="dxa"/>
              <w:bottom w:w="113" w:type="dxa"/>
            </w:tcMar>
          </w:tcPr>
          <w:p w14:paraId="07937DAB" w14:textId="35303F17" w:rsidR="006E3F89" w:rsidRPr="006E3F89" w:rsidRDefault="006E3F89" w:rsidP="006E3485">
            <w:pPr>
              <w:pStyle w:val="Tableheading"/>
            </w:pPr>
            <w:r w:rsidRPr="006E3F89">
              <w:t>Time in Placement</w:t>
            </w:r>
          </w:p>
        </w:tc>
      </w:tr>
      <w:tr w:rsidR="006E3F89" w14:paraId="44758D27" w14:textId="77777777" w:rsidTr="002A740A">
        <w:tc>
          <w:tcPr>
            <w:tcW w:w="1838" w:type="dxa"/>
            <w:tcMar>
              <w:top w:w="113" w:type="dxa"/>
              <w:bottom w:w="113" w:type="dxa"/>
            </w:tcMar>
          </w:tcPr>
          <w:p w14:paraId="4ABCD722" w14:textId="773FE8B6" w:rsidR="006E3F89" w:rsidRDefault="006E3F89" w:rsidP="006E3485">
            <w:pPr>
              <w:pStyle w:val="Tablecontent"/>
            </w:pPr>
            <w:r>
              <w:t>Beth</w:t>
            </w:r>
          </w:p>
        </w:tc>
        <w:tc>
          <w:tcPr>
            <w:tcW w:w="992" w:type="dxa"/>
            <w:tcMar>
              <w:top w:w="113" w:type="dxa"/>
              <w:bottom w:w="113" w:type="dxa"/>
            </w:tcMar>
          </w:tcPr>
          <w:p w14:paraId="49960E2A" w14:textId="3091A643" w:rsidR="006E3F89" w:rsidRDefault="006E3F89" w:rsidP="006E3485">
            <w:pPr>
              <w:pStyle w:val="Tablecontent"/>
            </w:pPr>
            <w:r>
              <w:t>Y</w:t>
            </w:r>
          </w:p>
        </w:tc>
        <w:tc>
          <w:tcPr>
            <w:tcW w:w="3119" w:type="dxa"/>
            <w:tcMar>
              <w:top w:w="113" w:type="dxa"/>
              <w:bottom w:w="113" w:type="dxa"/>
            </w:tcMar>
          </w:tcPr>
          <w:p w14:paraId="1CAA40CB" w14:textId="26229DDF" w:rsidR="006E3F89" w:rsidRDefault="006E3F89" w:rsidP="006E3485">
            <w:pPr>
              <w:pStyle w:val="Tablecontent"/>
            </w:pPr>
            <w:r>
              <w:t xml:space="preserve">Independent </w:t>
            </w:r>
            <w:r w:rsidR="006910BD">
              <w:t>h</w:t>
            </w:r>
            <w:r>
              <w:t>ousing</w:t>
            </w:r>
          </w:p>
        </w:tc>
        <w:tc>
          <w:tcPr>
            <w:tcW w:w="1559" w:type="dxa"/>
            <w:tcMar>
              <w:top w:w="113" w:type="dxa"/>
              <w:bottom w:w="113" w:type="dxa"/>
            </w:tcMar>
          </w:tcPr>
          <w:p w14:paraId="4A8475ED" w14:textId="36545F1F" w:rsidR="006E3F89" w:rsidRDefault="006E3F89" w:rsidP="006E3485">
            <w:pPr>
              <w:pStyle w:val="Tablecontent"/>
            </w:pPr>
            <w:r>
              <w:t>18</w:t>
            </w:r>
          </w:p>
        </w:tc>
        <w:tc>
          <w:tcPr>
            <w:tcW w:w="1418" w:type="dxa"/>
            <w:tcMar>
              <w:top w:w="113" w:type="dxa"/>
              <w:bottom w:w="113" w:type="dxa"/>
            </w:tcMar>
          </w:tcPr>
          <w:p w14:paraId="56ACD831" w14:textId="64FF2AF8" w:rsidR="006E3F89" w:rsidRDefault="006E3F89" w:rsidP="006E3485">
            <w:pPr>
              <w:pStyle w:val="Tablecontent"/>
            </w:pPr>
            <w:r>
              <w:t>&lt;10 years</w:t>
            </w:r>
          </w:p>
        </w:tc>
      </w:tr>
      <w:tr w:rsidR="00415F2B" w14:paraId="4BDCF4A6" w14:textId="77777777" w:rsidTr="002A740A">
        <w:tc>
          <w:tcPr>
            <w:tcW w:w="1838" w:type="dxa"/>
            <w:tcMar>
              <w:top w:w="113" w:type="dxa"/>
              <w:bottom w:w="113" w:type="dxa"/>
            </w:tcMar>
          </w:tcPr>
          <w:p w14:paraId="6CB4E409" w14:textId="28296484" w:rsidR="00415F2B" w:rsidRDefault="00415F2B" w:rsidP="00415F2B">
            <w:pPr>
              <w:pStyle w:val="Tablecontent"/>
            </w:pPr>
            <w:r w:rsidRPr="001A350A">
              <w:t>Cain</w:t>
            </w:r>
          </w:p>
        </w:tc>
        <w:tc>
          <w:tcPr>
            <w:tcW w:w="992" w:type="dxa"/>
            <w:tcMar>
              <w:top w:w="113" w:type="dxa"/>
              <w:bottom w:w="113" w:type="dxa"/>
            </w:tcMar>
          </w:tcPr>
          <w:p w14:paraId="729D296C" w14:textId="5701E6E1" w:rsidR="00415F2B" w:rsidRDefault="00415F2B" w:rsidP="00415F2B">
            <w:pPr>
              <w:pStyle w:val="Tablecontent"/>
            </w:pPr>
            <w:r w:rsidRPr="001A350A">
              <w:t>Y</w:t>
            </w:r>
          </w:p>
        </w:tc>
        <w:tc>
          <w:tcPr>
            <w:tcW w:w="3119" w:type="dxa"/>
            <w:tcMar>
              <w:top w:w="113" w:type="dxa"/>
              <w:bottom w:w="113" w:type="dxa"/>
            </w:tcMar>
          </w:tcPr>
          <w:p w14:paraId="124B13B1" w14:textId="7F033826" w:rsidR="00415F2B" w:rsidRDefault="00415F2B" w:rsidP="00415F2B">
            <w:pPr>
              <w:pStyle w:val="Tablecontent"/>
            </w:pPr>
            <w:r w:rsidRPr="001A350A">
              <w:t>Independent housing</w:t>
            </w:r>
          </w:p>
        </w:tc>
        <w:tc>
          <w:tcPr>
            <w:tcW w:w="1559" w:type="dxa"/>
            <w:tcMar>
              <w:top w:w="113" w:type="dxa"/>
              <w:bottom w:w="113" w:type="dxa"/>
            </w:tcMar>
          </w:tcPr>
          <w:p w14:paraId="653F1FBA" w14:textId="398E1805" w:rsidR="00415F2B" w:rsidRDefault="00415F2B" w:rsidP="00415F2B">
            <w:pPr>
              <w:pStyle w:val="Tablecontent"/>
            </w:pPr>
            <w:r w:rsidRPr="001A350A">
              <w:t>18</w:t>
            </w:r>
          </w:p>
        </w:tc>
        <w:tc>
          <w:tcPr>
            <w:tcW w:w="1418" w:type="dxa"/>
            <w:tcMar>
              <w:top w:w="113" w:type="dxa"/>
              <w:bottom w:w="113" w:type="dxa"/>
            </w:tcMar>
          </w:tcPr>
          <w:p w14:paraId="41B105C7" w14:textId="1B3C485E" w:rsidR="00415F2B" w:rsidRDefault="00415F2B" w:rsidP="00415F2B">
            <w:pPr>
              <w:pStyle w:val="Tablecontent"/>
            </w:pPr>
            <w:r w:rsidRPr="001A350A">
              <w:t>4 years</w:t>
            </w:r>
          </w:p>
        </w:tc>
      </w:tr>
      <w:tr w:rsidR="00415F2B" w14:paraId="61FDC35F" w14:textId="77777777" w:rsidTr="002A740A">
        <w:tc>
          <w:tcPr>
            <w:tcW w:w="1838" w:type="dxa"/>
            <w:tcMar>
              <w:top w:w="113" w:type="dxa"/>
              <w:bottom w:w="113" w:type="dxa"/>
            </w:tcMar>
          </w:tcPr>
          <w:p w14:paraId="76A25AFE" w14:textId="72B0FBBD" w:rsidR="00415F2B" w:rsidRDefault="00415F2B" w:rsidP="00415F2B">
            <w:pPr>
              <w:pStyle w:val="Tablecontent"/>
            </w:pPr>
            <w:r w:rsidRPr="001A350A">
              <w:t>Cally</w:t>
            </w:r>
          </w:p>
        </w:tc>
        <w:tc>
          <w:tcPr>
            <w:tcW w:w="992" w:type="dxa"/>
            <w:tcMar>
              <w:top w:w="113" w:type="dxa"/>
              <w:bottom w:w="113" w:type="dxa"/>
            </w:tcMar>
          </w:tcPr>
          <w:p w14:paraId="4D89C88B" w14:textId="0AB66757" w:rsidR="00415F2B" w:rsidRDefault="00415F2B" w:rsidP="00415F2B">
            <w:pPr>
              <w:pStyle w:val="Tablecontent"/>
            </w:pPr>
            <w:r w:rsidRPr="001A350A">
              <w:t>Y</w:t>
            </w:r>
          </w:p>
        </w:tc>
        <w:tc>
          <w:tcPr>
            <w:tcW w:w="3119" w:type="dxa"/>
            <w:tcMar>
              <w:top w:w="113" w:type="dxa"/>
              <w:bottom w:w="113" w:type="dxa"/>
            </w:tcMar>
          </w:tcPr>
          <w:p w14:paraId="39DF6984" w14:textId="12A73AD1" w:rsidR="00415F2B" w:rsidRPr="008F1DD2" w:rsidRDefault="00415F2B" w:rsidP="00415F2B">
            <w:pPr>
              <w:pStyle w:val="Tablecontent"/>
              <w:rPr>
                <w:i/>
                <w:iCs/>
              </w:rPr>
            </w:pPr>
            <w:r w:rsidRPr="008F1DD2">
              <w:rPr>
                <w:i/>
                <w:iCs/>
              </w:rPr>
              <w:t>Staying Put</w:t>
            </w:r>
          </w:p>
        </w:tc>
        <w:tc>
          <w:tcPr>
            <w:tcW w:w="1559" w:type="dxa"/>
            <w:tcMar>
              <w:top w:w="113" w:type="dxa"/>
              <w:bottom w:w="113" w:type="dxa"/>
            </w:tcMar>
          </w:tcPr>
          <w:p w14:paraId="4ADFD1CE" w14:textId="34881EF8" w:rsidR="00415F2B" w:rsidRDefault="00415F2B" w:rsidP="00415F2B">
            <w:pPr>
              <w:pStyle w:val="Tablecontent"/>
            </w:pPr>
            <w:r w:rsidRPr="001A350A">
              <w:t>N/A</w:t>
            </w:r>
          </w:p>
        </w:tc>
        <w:tc>
          <w:tcPr>
            <w:tcW w:w="1418" w:type="dxa"/>
            <w:tcMar>
              <w:top w:w="113" w:type="dxa"/>
              <w:bottom w:w="113" w:type="dxa"/>
            </w:tcMar>
          </w:tcPr>
          <w:p w14:paraId="0780B869" w14:textId="6518EF07" w:rsidR="00415F2B" w:rsidRDefault="00415F2B" w:rsidP="00415F2B">
            <w:pPr>
              <w:pStyle w:val="Tablecontent"/>
            </w:pPr>
            <w:r w:rsidRPr="001A350A">
              <w:t>&lt;10 years</w:t>
            </w:r>
          </w:p>
        </w:tc>
      </w:tr>
      <w:tr w:rsidR="00415F2B" w14:paraId="1F376128" w14:textId="77777777" w:rsidTr="002A740A">
        <w:tc>
          <w:tcPr>
            <w:tcW w:w="1838" w:type="dxa"/>
            <w:tcMar>
              <w:top w:w="113" w:type="dxa"/>
              <w:bottom w:w="113" w:type="dxa"/>
            </w:tcMar>
          </w:tcPr>
          <w:p w14:paraId="5F3CF2BE" w14:textId="0896BEB5" w:rsidR="00415F2B" w:rsidRDefault="00415F2B" w:rsidP="00415F2B">
            <w:pPr>
              <w:pStyle w:val="Tablecontent"/>
            </w:pPr>
            <w:r w:rsidRPr="001A350A">
              <w:t>Carrie</w:t>
            </w:r>
          </w:p>
        </w:tc>
        <w:tc>
          <w:tcPr>
            <w:tcW w:w="992" w:type="dxa"/>
            <w:tcMar>
              <w:top w:w="113" w:type="dxa"/>
              <w:bottom w:w="113" w:type="dxa"/>
            </w:tcMar>
          </w:tcPr>
          <w:p w14:paraId="40395E0E" w14:textId="1A1ECD18" w:rsidR="00415F2B" w:rsidRDefault="00415F2B" w:rsidP="00415F2B">
            <w:pPr>
              <w:pStyle w:val="Tablecontent"/>
            </w:pPr>
            <w:r w:rsidRPr="001A350A">
              <w:t>N</w:t>
            </w:r>
          </w:p>
        </w:tc>
        <w:tc>
          <w:tcPr>
            <w:tcW w:w="3119" w:type="dxa"/>
            <w:tcMar>
              <w:top w:w="113" w:type="dxa"/>
              <w:bottom w:w="113" w:type="dxa"/>
            </w:tcMar>
          </w:tcPr>
          <w:p w14:paraId="73DA22AA" w14:textId="2AAED30F" w:rsidR="00415F2B" w:rsidRDefault="00415F2B" w:rsidP="00415F2B">
            <w:pPr>
              <w:pStyle w:val="Tablecontent"/>
            </w:pPr>
            <w:r w:rsidRPr="001A350A">
              <w:t>Supported accommodation</w:t>
            </w:r>
          </w:p>
        </w:tc>
        <w:tc>
          <w:tcPr>
            <w:tcW w:w="1559" w:type="dxa"/>
            <w:tcMar>
              <w:top w:w="113" w:type="dxa"/>
              <w:bottom w:w="113" w:type="dxa"/>
            </w:tcMar>
          </w:tcPr>
          <w:p w14:paraId="1270BCF6" w14:textId="0FE3A8EA" w:rsidR="00415F2B" w:rsidRDefault="00415F2B" w:rsidP="00415F2B">
            <w:pPr>
              <w:pStyle w:val="Tablecontent"/>
            </w:pPr>
            <w:r w:rsidRPr="001A350A">
              <w:t>18</w:t>
            </w:r>
          </w:p>
        </w:tc>
        <w:tc>
          <w:tcPr>
            <w:tcW w:w="1418" w:type="dxa"/>
            <w:tcMar>
              <w:top w:w="113" w:type="dxa"/>
              <w:bottom w:w="113" w:type="dxa"/>
            </w:tcMar>
          </w:tcPr>
          <w:p w14:paraId="0A0DDDBF" w14:textId="2BD3D0E8" w:rsidR="00415F2B" w:rsidRDefault="00415F2B" w:rsidP="00415F2B">
            <w:pPr>
              <w:pStyle w:val="Tablecontent"/>
            </w:pPr>
            <w:r w:rsidRPr="001A350A">
              <w:t>2 years</w:t>
            </w:r>
          </w:p>
        </w:tc>
      </w:tr>
      <w:tr w:rsidR="00415F2B" w14:paraId="1DA84807" w14:textId="77777777" w:rsidTr="002A740A">
        <w:tc>
          <w:tcPr>
            <w:tcW w:w="1838" w:type="dxa"/>
            <w:tcMar>
              <w:top w:w="113" w:type="dxa"/>
              <w:bottom w:w="113" w:type="dxa"/>
            </w:tcMar>
          </w:tcPr>
          <w:p w14:paraId="2A970E41" w14:textId="78021B16" w:rsidR="00415F2B" w:rsidRDefault="00415F2B" w:rsidP="00415F2B">
            <w:pPr>
              <w:pStyle w:val="Tablecontent"/>
            </w:pPr>
            <w:r w:rsidRPr="001A350A">
              <w:t>Eshal</w:t>
            </w:r>
          </w:p>
        </w:tc>
        <w:tc>
          <w:tcPr>
            <w:tcW w:w="992" w:type="dxa"/>
            <w:tcMar>
              <w:top w:w="113" w:type="dxa"/>
              <w:bottom w:w="113" w:type="dxa"/>
            </w:tcMar>
          </w:tcPr>
          <w:p w14:paraId="000A9B79" w14:textId="03D60DC9" w:rsidR="00415F2B" w:rsidRDefault="00415F2B" w:rsidP="00415F2B">
            <w:pPr>
              <w:pStyle w:val="Tablecontent"/>
            </w:pPr>
            <w:r w:rsidRPr="001A350A">
              <w:t>N</w:t>
            </w:r>
          </w:p>
        </w:tc>
        <w:tc>
          <w:tcPr>
            <w:tcW w:w="3119" w:type="dxa"/>
            <w:tcMar>
              <w:top w:w="113" w:type="dxa"/>
              <w:bottom w:w="113" w:type="dxa"/>
            </w:tcMar>
          </w:tcPr>
          <w:p w14:paraId="31FB2BDA" w14:textId="45DB95FC" w:rsidR="00415F2B" w:rsidRDefault="00415F2B" w:rsidP="00415F2B">
            <w:pPr>
              <w:pStyle w:val="Tablecontent"/>
            </w:pPr>
            <w:r w:rsidRPr="001A350A">
              <w:t>Supported accommodation</w:t>
            </w:r>
          </w:p>
        </w:tc>
        <w:tc>
          <w:tcPr>
            <w:tcW w:w="1559" w:type="dxa"/>
            <w:tcMar>
              <w:top w:w="113" w:type="dxa"/>
              <w:bottom w:w="113" w:type="dxa"/>
            </w:tcMar>
          </w:tcPr>
          <w:p w14:paraId="0BCE1B33" w14:textId="1415C6B5" w:rsidR="00415F2B" w:rsidRDefault="00415F2B" w:rsidP="00415F2B">
            <w:pPr>
              <w:pStyle w:val="Tablecontent"/>
            </w:pPr>
            <w:r w:rsidRPr="001A350A">
              <w:t>17</w:t>
            </w:r>
          </w:p>
        </w:tc>
        <w:tc>
          <w:tcPr>
            <w:tcW w:w="1418" w:type="dxa"/>
            <w:tcMar>
              <w:top w:w="113" w:type="dxa"/>
              <w:bottom w:w="113" w:type="dxa"/>
            </w:tcMar>
          </w:tcPr>
          <w:p w14:paraId="7CF61BD6" w14:textId="2274BF49" w:rsidR="00415F2B" w:rsidRDefault="00415F2B" w:rsidP="00415F2B">
            <w:pPr>
              <w:pStyle w:val="Tablecontent"/>
            </w:pPr>
            <w:r w:rsidRPr="001A350A">
              <w:t>5 years</w:t>
            </w:r>
          </w:p>
        </w:tc>
      </w:tr>
      <w:tr w:rsidR="00415F2B" w14:paraId="5AAB0C24" w14:textId="77777777" w:rsidTr="002A740A">
        <w:tc>
          <w:tcPr>
            <w:tcW w:w="1838" w:type="dxa"/>
            <w:tcMar>
              <w:top w:w="113" w:type="dxa"/>
              <w:bottom w:w="113" w:type="dxa"/>
            </w:tcMar>
          </w:tcPr>
          <w:p w14:paraId="5BDFF847" w14:textId="73DB0977" w:rsidR="00415F2B" w:rsidRDefault="00415F2B" w:rsidP="00415F2B">
            <w:pPr>
              <w:pStyle w:val="Tablecontent"/>
            </w:pPr>
            <w:r w:rsidRPr="001A350A">
              <w:t>Hannah</w:t>
            </w:r>
          </w:p>
        </w:tc>
        <w:tc>
          <w:tcPr>
            <w:tcW w:w="992" w:type="dxa"/>
            <w:tcMar>
              <w:top w:w="113" w:type="dxa"/>
              <w:bottom w:w="113" w:type="dxa"/>
            </w:tcMar>
          </w:tcPr>
          <w:p w14:paraId="3A449D6D" w14:textId="3507120B" w:rsidR="00415F2B" w:rsidRDefault="00415F2B" w:rsidP="00415F2B">
            <w:pPr>
              <w:pStyle w:val="Tablecontent"/>
            </w:pPr>
            <w:r w:rsidRPr="001A350A">
              <w:t>Y</w:t>
            </w:r>
          </w:p>
        </w:tc>
        <w:tc>
          <w:tcPr>
            <w:tcW w:w="3119" w:type="dxa"/>
            <w:tcMar>
              <w:top w:w="113" w:type="dxa"/>
              <w:bottom w:w="113" w:type="dxa"/>
            </w:tcMar>
          </w:tcPr>
          <w:p w14:paraId="75582C12" w14:textId="6B4BF48E" w:rsidR="00415F2B" w:rsidRDefault="00415F2B" w:rsidP="00415F2B">
            <w:pPr>
              <w:pStyle w:val="Tablecontent"/>
            </w:pPr>
            <w:r w:rsidRPr="001A350A">
              <w:t>No fixed address</w:t>
            </w:r>
          </w:p>
        </w:tc>
        <w:tc>
          <w:tcPr>
            <w:tcW w:w="1559" w:type="dxa"/>
            <w:tcMar>
              <w:top w:w="113" w:type="dxa"/>
              <w:bottom w:w="113" w:type="dxa"/>
            </w:tcMar>
          </w:tcPr>
          <w:p w14:paraId="529FA7B3" w14:textId="5BF1CD24" w:rsidR="00415F2B" w:rsidRDefault="00415F2B" w:rsidP="00415F2B">
            <w:pPr>
              <w:pStyle w:val="Tablecontent"/>
            </w:pPr>
            <w:r w:rsidRPr="001A350A">
              <w:t>20</w:t>
            </w:r>
          </w:p>
        </w:tc>
        <w:tc>
          <w:tcPr>
            <w:tcW w:w="1418" w:type="dxa"/>
            <w:tcMar>
              <w:top w:w="113" w:type="dxa"/>
              <w:bottom w:w="113" w:type="dxa"/>
            </w:tcMar>
          </w:tcPr>
          <w:p w14:paraId="51F14CED" w14:textId="6657CB19" w:rsidR="00415F2B" w:rsidRDefault="00415F2B" w:rsidP="00415F2B">
            <w:pPr>
              <w:pStyle w:val="Tablecontent"/>
            </w:pPr>
            <w:r w:rsidRPr="001A350A">
              <w:t>3 years</w:t>
            </w:r>
          </w:p>
        </w:tc>
      </w:tr>
      <w:tr w:rsidR="00415F2B" w14:paraId="2B724609" w14:textId="77777777" w:rsidTr="002A740A">
        <w:tc>
          <w:tcPr>
            <w:tcW w:w="1838" w:type="dxa"/>
            <w:tcMar>
              <w:top w:w="113" w:type="dxa"/>
              <w:bottom w:w="113" w:type="dxa"/>
            </w:tcMar>
          </w:tcPr>
          <w:p w14:paraId="6EFDA554" w14:textId="511762EF" w:rsidR="00415F2B" w:rsidRDefault="00415F2B" w:rsidP="00415F2B">
            <w:pPr>
              <w:pStyle w:val="Tablecontent"/>
            </w:pPr>
            <w:r w:rsidRPr="001A350A">
              <w:t>Jonathan</w:t>
            </w:r>
          </w:p>
        </w:tc>
        <w:tc>
          <w:tcPr>
            <w:tcW w:w="992" w:type="dxa"/>
            <w:tcMar>
              <w:top w:w="113" w:type="dxa"/>
              <w:bottom w:w="113" w:type="dxa"/>
            </w:tcMar>
          </w:tcPr>
          <w:p w14:paraId="13BC8912" w14:textId="093B5766" w:rsidR="00415F2B" w:rsidRDefault="00415F2B" w:rsidP="00415F2B">
            <w:pPr>
              <w:pStyle w:val="Tablecontent"/>
            </w:pPr>
            <w:r w:rsidRPr="001A350A">
              <w:t>Y</w:t>
            </w:r>
          </w:p>
        </w:tc>
        <w:tc>
          <w:tcPr>
            <w:tcW w:w="3119" w:type="dxa"/>
            <w:tcMar>
              <w:top w:w="113" w:type="dxa"/>
              <w:bottom w:w="113" w:type="dxa"/>
            </w:tcMar>
          </w:tcPr>
          <w:p w14:paraId="42E32D43" w14:textId="44949F19" w:rsidR="00415F2B" w:rsidRPr="008F1DD2" w:rsidRDefault="00415F2B" w:rsidP="00415F2B">
            <w:pPr>
              <w:pStyle w:val="Tablecontent"/>
              <w:rPr>
                <w:i/>
                <w:iCs/>
              </w:rPr>
            </w:pPr>
            <w:r w:rsidRPr="008F1DD2">
              <w:rPr>
                <w:i/>
                <w:iCs/>
              </w:rPr>
              <w:t>Staying Put</w:t>
            </w:r>
          </w:p>
        </w:tc>
        <w:tc>
          <w:tcPr>
            <w:tcW w:w="1559" w:type="dxa"/>
            <w:tcMar>
              <w:top w:w="113" w:type="dxa"/>
              <w:bottom w:w="113" w:type="dxa"/>
            </w:tcMar>
          </w:tcPr>
          <w:p w14:paraId="204C463F" w14:textId="14A86105" w:rsidR="00415F2B" w:rsidRDefault="00415F2B" w:rsidP="00415F2B">
            <w:pPr>
              <w:pStyle w:val="Tablecontent"/>
            </w:pPr>
            <w:r w:rsidRPr="001A350A">
              <w:t>N/A</w:t>
            </w:r>
          </w:p>
        </w:tc>
        <w:tc>
          <w:tcPr>
            <w:tcW w:w="1418" w:type="dxa"/>
            <w:tcMar>
              <w:top w:w="113" w:type="dxa"/>
              <w:bottom w:w="113" w:type="dxa"/>
            </w:tcMar>
          </w:tcPr>
          <w:p w14:paraId="292FAFBC" w14:textId="1A9EB59D" w:rsidR="00415F2B" w:rsidRDefault="00415F2B" w:rsidP="00415F2B">
            <w:pPr>
              <w:pStyle w:val="Tablecontent"/>
            </w:pPr>
            <w:r w:rsidRPr="001A350A">
              <w:t>&lt;10 years</w:t>
            </w:r>
          </w:p>
        </w:tc>
      </w:tr>
      <w:tr w:rsidR="00415F2B" w14:paraId="2BBDC2E7" w14:textId="77777777" w:rsidTr="002A740A">
        <w:tc>
          <w:tcPr>
            <w:tcW w:w="1838" w:type="dxa"/>
            <w:tcMar>
              <w:top w:w="113" w:type="dxa"/>
              <w:bottom w:w="113" w:type="dxa"/>
            </w:tcMar>
          </w:tcPr>
          <w:p w14:paraId="3E1D4787" w14:textId="55AA15BC" w:rsidR="00415F2B" w:rsidRDefault="00415F2B" w:rsidP="00415F2B">
            <w:pPr>
              <w:pStyle w:val="Tablecontent"/>
            </w:pPr>
            <w:r w:rsidRPr="001A350A">
              <w:t>Liam</w:t>
            </w:r>
          </w:p>
        </w:tc>
        <w:tc>
          <w:tcPr>
            <w:tcW w:w="992" w:type="dxa"/>
            <w:tcMar>
              <w:top w:w="113" w:type="dxa"/>
              <w:bottom w:w="113" w:type="dxa"/>
            </w:tcMar>
          </w:tcPr>
          <w:p w14:paraId="044DDA57" w14:textId="7910B4FF" w:rsidR="00415F2B" w:rsidRDefault="00415F2B" w:rsidP="00415F2B">
            <w:pPr>
              <w:pStyle w:val="Tablecontent"/>
            </w:pPr>
            <w:r w:rsidRPr="001A350A">
              <w:t>Y</w:t>
            </w:r>
          </w:p>
        </w:tc>
        <w:tc>
          <w:tcPr>
            <w:tcW w:w="3119" w:type="dxa"/>
            <w:tcMar>
              <w:top w:w="113" w:type="dxa"/>
              <w:bottom w:w="113" w:type="dxa"/>
            </w:tcMar>
          </w:tcPr>
          <w:p w14:paraId="39BDFC58" w14:textId="10FC8377" w:rsidR="00415F2B" w:rsidRDefault="00415F2B" w:rsidP="00415F2B">
            <w:pPr>
              <w:pStyle w:val="Tablecontent"/>
            </w:pPr>
            <w:r w:rsidRPr="001A350A">
              <w:t>Temporary accommodation</w:t>
            </w:r>
          </w:p>
        </w:tc>
        <w:tc>
          <w:tcPr>
            <w:tcW w:w="1559" w:type="dxa"/>
            <w:tcMar>
              <w:top w:w="113" w:type="dxa"/>
              <w:bottom w:w="113" w:type="dxa"/>
            </w:tcMar>
          </w:tcPr>
          <w:p w14:paraId="48869369" w14:textId="424C2434" w:rsidR="00415F2B" w:rsidRDefault="00415F2B" w:rsidP="00415F2B">
            <w:pPr>
              <w:pStyle w:val="Tablecontent"/>
            </w:pPr>
            <w:r w:rsidRPr="001A350A">
              <w:t>20</w:t>
            </w:r>
          </w:p>
        </w:tc>
        <w:tc>
          <w:tcPr>
            <w:tcW w:w="1418" w:type="dxa"/>
            <w:tcMar>
              <w:top w:w="113" w:type="dxa"/>
              <w:bottom w:w="113" w:type="dxa"/>
            </w:tcMar>
          </w:tcPr>
          <w:p w14:paraId="6DD1FC02" w14:textId="7E15ACAA" w:rsidR="00415F2B" w:rsidRDefault="00415F2B" w:rsidP="00415F2B">
            <w:pPr>
              <w:pStyle w:val="Tablecontent"/>
            </w:pPr>
            <w:r w:rsidRPr="001A350A">
              <w:t>4 years</w:t>
            </w:r>
          </w:p>
        </w:tc>
      </w:tr>
      <w:tr w:rsidR="00415F2B" w14:paraId="38FCBDAF" w14:textId="77777777" w:rsidTr="002A740A">
        <w:tc>
          <w:tcPr>
            <w:tcW w:w="1838" w:type="dxa"/>
            <w:tcMar>
              <w:top w:w="113" w:type="dxa"/>
              <w:bottom w:w="113" w:type="dxa"/>
            </w:tcMar>
          </w:tcPr>
          <w:p w14:paraId="7BD62CFB" w14:textId="208DE46E" w:rsidR="00415F2B" w:rsidRDefault="00415F2B" w:rsidP="00415F2B">
            <w:pPr>
              <w:pStyle w:val="Tablecontent"/>
            </w:pPr>
            <w:r w:rsidRPr="001A350A">
              <w:t>Tyler</w:t>
            </w:r>
          </w:p>
        </w:tc>
        <w:tc>
          <w:tcPr>
            <w:tcW w:w="992" w:type="dxa"/>
            <w:tcMar>
              <w:top w:w="113" w:type="dxa"/>
              <w:bottom w:w="113" w:type="dxa"/>
            </w:tcMar>
          </w:tcPr>
          <w:p w14:paraId="628893B1" w14:textId="7E810E5F" w:rsidR="00415F2B" w:rsidRDefault="00415F2B" w:rsidP="00415F2B">
            <w:pPr>
              <w:pStyle w:val="Tablecontent"/>
            </w:pPr>
            <w:r w:rsidRPr="001A350A">
              <w:t>Y</w:t>
            </w:r>
          </w:p>
        </w:tc>
        <w:tc>
          <w:tcPr>
            <w:tcW w:w="3119" w:type="dxa"/>
            <w:tcMar>
              <w:top w:w="113" w:type="dxa"/>
              <w:bottom w:w="113" w:type="dxa"/>
            </w:tcMar>
          </w:tcPr>
          <w:p w14:paraId="2C96C68B" w14:textId="38115E7B" w:rsidR="00415F2B" w:rsidRDefault="00415F2B" w:rsidP="00415F2B">
            <w:pPr>
              <w:pStyle w:val="Tablecontent"/>
            </w:pPr>
            <w:r w:rsidRPr="001A350A">
              <w:t>Independent housing</w:t>
            </w:r>
          </w:p>
        </w:tc>
        <w:tc>
          <w:tcPr>
            <w:tcW w:w="1559" w:type="dxa"/>
            <w:tcMar>
              <w:top w:w="113" w:type="dxa"/>
              <w:bottom w:w="113" w:type="dxa"/>
            </w:tcMar>
          </w:tcPr>
          <w:p w14:paraId="2F4B82C9" w14:textId="0D6253DA" w:rsidR="00415F2B" w:rsidRDefault="00415F2B" w:rsidP="00415F2B">
            <w:pPr>
              <w:pStyle w:val="Tablecontent"/>
            </w:pPr>
            <w:r w:rsidRPr="001A350A">
              <w:t>18</w:t>
            </w:r>
          </w:p>
        </w:tc>
        <w:tc>
          <w:tcPr>
            <w:tcW w:w="1418" w:type="dxa"/>
            <w:tcMar>
              <w:top w:w="113" w:type="dxa"/>
              <w:bottom w:w="113" w:type="dxa"/>
            </w:tcMar>
          </w:tcPr>
          <w:p w14:paraId="7EE52D03" w14:textId="10378A65" w:rsidR="00415F2B" w:rsidRDefault="00415F2B" w:rsidP="00415F2B">
            <w:pPr>
              <w:pStyle w:val="Tablecontent"/>
            </w:pPr>
            <w:r w:rsidRPr="001A350A">
              <w:t>2 years</w:t>
            </w:r>
          </w:p>
        </w:tc>
      </w:tr>
      <w:tr w:rsidR="00415F2B" w14:paraId="63C98A79" w14:textId="77777777" w:rsidTr="002A740A">
        <w:tc>
          <w:tcPr>
            <w:tcW w:w="1838" w:type="dxa"/>
            <w:tcMar>
              <w:top w:w="113" w:type="dxa"/>
              <w:bottom w:w="113" w:type="dxa"/>
            </w:tcMar>
          </w:tcPr>
          <w:p w14:paraId="48A88D73" w14:textId="3DC50102" w:rsidR="00415F2B" w:rsidRDefault="00415F2B" w:rsidP="00415F2B">
            <w:pPr>
              <w:pStyle w:val="Tablecontent"/>
            </w:pPr>
            <w:r w:rsidRPr="001A350A">
              <w:t>Yannick</w:t>
            </w:r>
          </w:p>
        </w:tc>
        <w:tc>
          <w:tcPr>
            <w:tcW w:w="992" w:type="dxa"/>
            <w:tcMar>
              <w:top w:w="113" w:type="dxa"/>
              <w:bottom w:w="113" w:type="dxa"/>
            </w:tcMar>
          </w:tcPr>
          <w:p w14:paraId="05475C8F" w14:textId="49C48C08" w:rsidR="00415F2B" w:rsidRDefault="00415F2B" w:rsidP="00415F2B">
            <w:pPr>
              <w:pStyle w:val="Tablecontent"/>
            </w:pPr>
            <w:r w:rsidRPr="001A350A">
              <w:t>N</w:t>
            </w:r>
          </w:p>
        </w:tc>
        <w:tc>
          <w:tcPr>
            <w:tcW w:w="3119" w:type="dxa"/>
            <w:tcMar>
              <w:top w:w="113" w:type="dxa"/>
              <w:bottom w:w="113" w:type="dxa"/>
            </w:tcMar>
          </w:tcPr>
          <w:p w14:paraId="1DB67D05" w14:textId="143CF4BD" w:rsidR="00415F2B" w:rsidRDefault="00415F2B" w:rsidP="00415F2B">
            <w:pPr>
              <w:pStyle w:val="Tablecontent"/>
            </w:pPr>
            <w:r w:rsidRPr="001A350A">
              <w:t>No fixed address</w:t>
            </w:r>
          </w:p>
        </w:tc>
        <w:tc>
          <w:tcPr>
            <w:tcW w:w="1559" w:type="dxa"/>
            <w:tcMar>
              <w:top w:w="113" w:type="dxa"/>
              <w:bottom w:w="113" w:type="dxa"/>
            </w:tcMar>
          </w:tcPr>
          <w:p w14:paraId="7CE6DC97" w14:textId="0185A45F" w:rsidR="00415F2B" w:rsidRDefault="00415F2B" w:rsidP="00415F2B">
            <w:pPr>
              <w:pStyle w:val="Tablecontent"/>
            </w:pPr>
            <w:r w:rsidRPr="001A350A">
              <w:t>17</w:t>
            </w:r>
          </w:p>
        </w:tc>
        <w:tc>
          <w:tcPr>
            <w:tcW w:w="1418" w:type="dxa"/>
            <w:tcMar>
              <w:top w:w="113" w:type="dxa"/>
              <w:bottom w:w="113" w:type="dxa"/>
            </w:tcMar>
          </w:tcPr>
          <w:p w14:paraId="3FA97A67" w14:textId="7EFF7C57" w:rsidR="00415F2B" w:rsidRDefault="00415F2B" w:rsidP="00415F2B">
            <w:pPr>
              <w:pStyle w:val="Tablecontent"/>
            </w:pPr>
            <w:r w:rsidRPr="001A350A">
              <w:t>4 years</w:t>
            </w:r>
          </w:p>
        </w:tc>
      </w:tr>
    </w:tbl>
    <w:p w14:paraId="2B99D236" w14:textId="0FB00200" w:rsidR="00415F2B" w:rsidRDefault="00DD77C8" w:rsidP="00DD77C8">
      <w:pPr>
        <w:pStyle w:val="Caption"/>
      </w:pPr>
      <w:bookmarkStart w:id="63" w:name="_Toc101108562"/>
      <w:r>
        <w:t xml:space="preserve">Table </w:t>
      </w:r>
      <w:fldSimple w:instr=" SEQ Table \* ARABIC ">
        <w:r w:rsidR="00E26E21">
          <w:rPr>
            <w:noProof/>
          </w:rPr>
          <w:t>11</w:t>
        </w:r>
      </w:fldSimple>
      <w:r>
        <w:t xml:space="preserve">: </w:t>
      </w:r>
      <w:r w:rsidRPr="002324E1">
        <w:t>Participant basic information</w:t>
      </w:r>
      <w:bookmarkEnd w:id="63"/>
    </w:p>
    <w:p w14:paraId="45AB9D66" w14:textId="08014858" w:rsidR="00007CFC" w:rsidRDefault="002A740A">
      <w:r w:rsidRPr="008437DA">
        <w:t xml:space="preserve">Table </w:t>
      </w:r>
      <w:r w:rsidR="008437DA" w:rsidRPr="008437DA">
        <w:t>7</w:t>
      </w:r>
      <w:r w:rsidRPr="008437DA">
        <w:t xml:space="preserve"> identifies</w:t>
      </w:r>
      <w:r>
        <w:t xml:space="preserve"> that two of the young people were in </w:t>
      </w:r>
      <w:r w:rsidRPr="002A740A">
        <w:rPr>
          <w:i/>
          <w:iCs/>
        </w:rPr>
        <w:t>Staying Put</w:t>
      </w:r>
      <w:r>
        <w:t xml:space="preserve"> </w:t>
      </w:r>
      <w:r w:rsidRPr="00F45930">
        <w:t xml:space="preserve">arrangements at the time of the interview, however seven young people had previously stayed with their carers before moving to their current situation. </w:t>
      </w:r>
      <w:r w:rsidR="00DA425E">
        <w:t>Y</w:t>
      </w:r>
      <w:r w:rsidR="00007CFC" w:rsidRPr="002C5A99">
        <w:t>oung</w:t>
      </w:r>
      <w:r w:rsidR="00007CFC" w:rsidRPr="00F45930">
        <w:t xml:space="preserve"> people chose their pseudonym </w:t>
      </w:r>
      <w:r w:rsidR="00DA425E" w:rsidRPr="00F45930">
        <w:t>indicated</w:t>
      </w:r>
      <w:r w:rsidR="00DA425E">
        <w:t xml:space="preserve"> in Table 7 </w:t>
      </w:r>
      <w:r w:rsidR="00007CFC" w:rsidRPr="00F45930">
        <w:t>from the list prepared by the advisory group</w:t>
      </w:r>
      <w:r w:rsidR="00995899" w:rsidRPr="00F45930">
        <w:t>,</w:t>
      </w:r>
      <w:r w:rsidR="00DA425E">
        <w:t xml:space="preserve"> a</w:t>
      </w:r>
      <w:r w:rsidR="00DA425E" w:rsidRPr="00F45930">
        <w:t xml:space="preserve">s </w:t>
      </w:r>
      <w:r w:rsidR="00DA425E" w:rsidRPr="002C5A99">
        <w:t>discussed in Chapter 6</w:t>
      </w:r>
      <w:r w:rsidR="00007CFC">
        <w:t>. They did not all select gender or ethnically normative names, sometimes purposely due to concerns about being identified and other times inadvertently because they like</w:t>
      </w:r>
      <w:r w:rsidR="002516E1">
        <w:t>d</w:t>
      </w:r>
      <w:r w:rsidR="00007CFC">
        <w:t xml:space="preserve"> the name. As a result, the pronouns he</w:t>
      </w:r>
      <w:r w:rsidR="00E33F59">
        <w:t>/</w:t>
      </w:r>
      <w:r w:rsidR="00007CFC">
        <w:t>she have been replaced with they/their. In doing this a new identity is not assigned, rather a representative name denotes each participant.</w:t>
      </w:r>
      <w:r w:rsidR="001374E6">
        <w:t xml:space="preserve"> </w:t>
      </w:r>
      <w:r w:rsidR="00007CFC">
        <w:t xml:space="preserve">The young people were also given the option to choose pseudonyms for other people in their lives. Where they did this their names are included, otherwise descriptive terms like </w:t>
      </w:r>
      <w:r w:rsidR="006E3F89">
        <w:t>[</w:t>
      </w:r>
      <w:r w:rsidR="00007CFC">
        <w:t>foster carer</w:t>
      </w:r>
      <w:r w:rsidR="006E3F89">
        <w:t>]</w:t>
      </w:r>
      <w:r w:rsidR="00007CFC">
        <w:t xml:space="preserve"> or </w:t>
      </w:r>
      <w:r w:rsidR="006E3F89">
        <w:t>[</w:t>
      </w:r>
      <w:r w:rsidR="00007CFC">
        <w:t>social worker</w:t>
      </w:r>
      <w:r w:rsidR="006E3F89">
        <w:t>]</w:t>
      </w:r>
      <w:r w:rsidR="00007CFC">
        <w:t xml:space="preserve"> are inserted.</w:t>
      </w:r>
    </w:p>
    <w:p w14:paraId="134A9F0D" w14:textId="7DC6EF12" w:rsidR="0056661A" w:rsidRDefault="002A740A">
      <w:pPr>
        <w:rPr>
          <w:rFonts w:eastAsiaTheme="majorEastAsia"/>
          <w:color w:val="000000" w:themeColor="text1"/>
          <w:sz w:val="28"/>
          <w:szCs w:val="26"/>
          <w:highlight w:val="yellow"/>
        </w:rPr>
      </w:pPr>
      <w:r>
        <w:t xml:space="preserve">I was mindful </w:t>
      </w:r>
      <w:r w:rsidR="00025C55">
        <w:t xml:space="preserve">about balancing the importance of reflecting how young people talked with the risk of caricaturing their voices through the spelling of the words they used. Removal of idiosyncratic language and terms </w:t>
      </w:r>
      <w:r w:rsidR="00826063">
        <w:t xml:space="preserve">can homogenise </w:t>
      </w:r>
      <w:r w:rsidR="00FB2A09">
        <w:t>participants,</w:t>
      </w:r>
      <w:r w:rsidR="00826063">
        <w:t xml:space="preserve"> but naturalised transcription can influence the reader as they may make assumptions about socio-economic or education </w:t>
      </w:r>
      <w:r w:rsidR="00826063">
        <w:lastRenderedPageBreak/>
        <w:t>positions (Mero-Jaffe, 2011)</w:t>
      </w:r>
      <w:r w:rsidR="00FB2A09">
        <w:t xml:space="preserve">. I have </w:t>
      </w:r>
      <w:r w:rsidR="00F45930">
        <w:t xml:space="preserve">chosen to </w:t>
      </w:r>
      <w:r w:rsidR="00FB2A09">
        <w:t>present the young people’s quotes as I heard them and have represented my own contributions in the same way. For clarity I have added some punctuation but left longer pauses indicated by (.) and inserted reference</w:t>
      </w:r>
      <w:r w:rsidR="00F45930">
        <w:t xml:space="preserve"> information</w:t>
      </w:r>
      <w:r w:rsidR="00FB2A09">
        <w:t xml:space="preserve"> using parentheses, for example [</w:t>
      </w:r>
      <w:r w:rsidR="005D0959">
        <w:t>housing organisation</w:t>
      </w:r>
      <w:r w:rsidR="00FB2A09">
        <w:t xml:space="preserve">]. </w:t>
      </w:r>
    </w:p>
    <w:p w14:paraId="5D6D3D45" w14:textId="77777777" w:rsidR="003A7812" w:rsidRDefault="003A7812">
      <w:pPr>
        <w:spacing w:after="0" w:line="240" w:lineRule="auto"/>
        <w:rPr>
          <w:rFonts w:eastAsiaTheme="majorEastAsia"/>
          <w:b/>
          <w:color w:val="000000" w:themeColor="text1"/>
          <w:sz w:val="36"/>
          <w:szCs w:val="32"/>
        </w:rPr>
      </w:pPr>
      <w:r>
        <w:br w:type="page"/>
      </w:r>
    </w:p>
    <w:p w14:paraId="21C9FF47" w14:textId="55F157E9" w:rsidR="004A626F" w:rsidRDefault="004A626F" w:rsidP="00127FD5">
      <w:pPr>
        <w:pStyle w:val="ChapterHeading1"/>
      </w:pPr>
      <w:bookmarkStart w:id="64" w:name="_Toc101108507"/>
      <w:r w:rsidRPr="00FD560D">
        <w:lastRenderedPageBreak/>
        <w:t>Chapter</w:t>
      </w:r>
      <w:r w:rsidR="00FD560D" w:rsidRPr="00FD560D">
        <w:t xml:space="preserve"> </w:t>
      </w:r>
      <w:r w:rsidR="007635BC">
        <w:t>7</w:t>
      </w:r>
      <w:r w:rsidRPr="00FD560D">
        <w:t xml:space="preserve">: </w:t>
      </w:r>
      <w:r w:rsidR="00FD560D" w:rsidRPr="00FD560D">
        <w:t>Situated Agency</w:t>
      </w:r>
      <w:bookmarkEnd w:id="64"/>
    </w:p>
    <w:p w14:paraId="240F1A78" w14:textId="12D61DD3" w:rsidR="005346AE" w:rsidRDefault="00FD560D">
      <w:r w:rsidRPr="00D91090">
        <w:t>The principal theme of this chapter is the question of the young people’s agency within their care experience. In this context agency is understood as being the ability to take an active role in the function o</w:t>
      </w:r>
      <w:r w:rsidR="004743A9">
        <w:t>f</w:t>
      </w:r>
      <w:r w:rsidRPr="00D91090">
        <w:t xml:space="preserve"> their life</w:t>
      </w:r>
      <w:r w:rsidR="007A476F">
        <w:t xml:space="preserve"> </w:t>
      </w:r>
      <w:r w:rsidR="004743A9">
        <w:t>(Wyness, 2000)</w:t>
      </w:r>
      <w:r w:rsidRPr="00D91090">
        <w:t>. As discussed in</w:t>
      </w:r>
      <w:r w:rsidR="00113DFB">
        <w:t xml:space="preserve"> </w:t>
      </w:r>
      <w:r w:rsidR="00113DFB" w:rsidRPr="00113DFB">
        <w:t>C</w:t>
      </w:r>
      <w:r w:rsidRPr="00113DFB">
        <w:t>hapter</w:t>
      </w:r>
      <w:r w:rsidR="00113DFB" w:rsidRPr="00113DFB">
        <w:t xml:space="preserve"> 5</w:t>
      </w:r>
      <w:r w:rsidRPr="00113DFB">
        <w:t>,</w:t>
      </w:r>
      <w:r w:rsidRPr="00D91090">
        <w:t xml:space="preserve"> the question of agency is complex and not something young people have or don’t have, instead it is </w:t>
      </w:r>
      <w:r w:rsidRPr="00FD4953">
        <w:t>contingent on</w:t>
      </w:r>
      <w:r w:rsidR="00C71A83" w:rsidRPr="00FD4953">
        <w:t xml:space="preserve"> or bounded by</w:t>
      </w:r>
      <w:r w:rsidRPr="00FD4953">
        <w:t xml:space="preserve"> the way</w:t>
      </w:r>
      <w:r w:rsidRPr="00D91090">
        <w:t xml:space="preserve"> that they are constructed by carers, professionals and processes and how they see themselves at particular points. Th</w:t>
      </w:r>
      <w:r w:rsidR="003E4872">
        <w:t>at</w:t>
      </w:r>
      <w:r w:rsidR="004743A9">
        <w:t xml:space="preserve"> fluctuating</w:t>
      </w:r>
      <w:r w:rsidRPr="00D91090">
        <w:t xml:space="preserve"> sense of agency is reflected in t</w:t>
      </w:r>
      <w:r w:rsidR="00AD28D1">
        <w:t xml:space="preserve">his chapter, where the </w:t>
      </w:r>
      <w:r w:rsidRPr="00D91090">
        <w:t xml:space="preserve">subthemes </w:t>
      </w:r>
      <w:r w:rsidR="00AD28D1">
        <w:t xml:space="preserve">underline the situated nature of their </w:t>
      </w:r>
      <w:r w:rsidR="003E4872">
        <w:t xml:space="preserve">involvement </w:t>
      </w:r>
      <w:r w:rsidR="004743A9">
        <w:t xml:space="preserve">in </w:t>
      </w:r>
      <w:r w:rsidR="003E4872">
        <w:t>decisions about their lives</w:t>
      </w:r>
      <w:r w:rsidR="00AD28D1">
        <w:t xml:space="preserve">. </w:t>
      </w:r>
      <w:r w:rsidRPr="00D91090">
        <w:t>In this chapter formal and informal decisions have been discussed interchangeabl</w:t>
      </w:r>
      <w:r w:rsidR="00AD28D1">
        <w:t>y</w:t>
      </w:r>
      <w:r w:rsidRPr="00D91090">
        <w:t xml:space="preserve"> because of the way young people merged day</w:t>
      </w:r>
      <w:r w:rsidR="004743A9">
        <w:t>-</w:t>
      </w:r>
      <w:r w:rsidRPr="00D91090">
        <w:t>to</w:t>
      </w:r>
      <w:r w:rsidR="004743A9">
        <w:t>-</w:t>
      </w:r>
      <w:r w:rsidRPr="00D91090">
        <w:t xml:space="preserve">day issues with longer term concerns. Although </w:t>
      </w:r>
      <w:r w:rsidR="003E4872">
        <w:t>I asked some</w:t>
      </w:r>
      <w:r w:rsidRPr="00D91090">
        <w:t xml:space="preserve"> </w:t>
      </w:r>
      <w:r w:rsidR="007850BB">
        <w:t>general</w:t>
      </w:r>
      <w:r w:rsidRPr="00D91090">
        <w:t xml:space="preserve"> questions about what might appear smaller matters, the young people consistently connected </w:t>
      </w:r>
      <w:r w:rsidR="003E4872">
        <w:t xml:space="preserve">all </w:t>
      </w:r>
      <w:r w:rsidRPr="00D91090">
        <w:t>decisions</w:t>
      </w:r>
      <w:r w:rsidR="00AD28D1">
        <w:t>,</w:t>
      </w:r>
      <w:r w:rsidRPr="00D91090">
        <w:t xml:space="preserve"> regardless of their nature. </w:t>
      </w:r>
      <w:r w:rsidR="005D0959" w:rsidRPr="008437DA">
        <w:t>Figure 8</w:t>
      </w:r>
      <w:r w:rsidR="005346AE" w:rsidRPr="008437DA">
        <w:t xml:space="preserve"> shows</w:t>
      </w:r>
      <w:r w:rsidR="005346AE">
        <w:t xml:space="preserve"> how the theme of this chapter is divided into three subthemes.</w:t>
      </w:r>
    </w:p>
    <w:p w14:paraId="4174473C" w14:textId="11BBD6F7" w:rsidR="005346AE" w:rsidRDefault="00E270CA">
      <w:r>
        <w:rPr>
          <w:noProof/>
        </w:rPr>
        <w:drawing>
          <wp:inline distT="0" distB="0" distL="0" distR="0" wp14:anchorId="6E327C8C" wp14:editId="51B7ADF6">
            <wp:extent cx="5794054" cy="2166025"/>
            <wp:effectExtent l="0" t="0" r="0" b="0"/>
            <wp:docPr id="6" name="Picture 6" descr="Diagram,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text&#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5885582" cy="2200241"/>
                    </a:xfrm>
                    <a:prstGeom prst="rect">
                      <a:avLst/>
                    </a:prstGeom>
                  </pic:spPr>
                </pic:pic>
              </a:graphicData>
            </a:graphic>
          </wp:inline>
        </w:drawing>
      </w:r>
    </w:p>
    <w:p w14:paraId="40070846" w14:textId="1D91B42A" w:rsidR="00C5257D" w:rsidRDefault="00C5257D" w:rsidP="00C5257D">
      <w:pPr>
        <w:pStyle w:val="Caption"/>
      </w:pPr>
      <w:bookmarkStart w:id="65" w:name="_Toc101108548"/>
      <w:r>
        <w:t xml:space="preserve">Figure </w:t>
      </w:r>
      <w:fldSimple w:instr=" SEQ Figure \* ARABIC ">
        <w:r w:rsidR="00E26E21">
          <w:rPr>
            <w:noProof/>
          </w:rPr>
          <w:t>8</w:t>
        </w:r>
      </w:fldSimple>
      <w:r>
        <w:t>:</w:t>
      </w:r>
      <w:r w:rsidRPr="00C5257D">
        <w:t xml:space="preserve"> Theme 1</w:t>
      </w:r>
      <w:r>
        <w:t xml:space="preserve"> -</w:t>
      </w:r>
      <w:r w:rsidRPr="00C5257D">
        <w:t xml:space="preserve"> Situated Agency</w:t>
      </w:r>
      <w:bookmarkEnd w:id="65"/>
    </w:p>
    <w:p w14:paraId="05DD0C89" w14:textId="783615A7" w:rsidR="00FD560D" w:rsidRPr="00CF7F94" w:rsidRDefault="00FD560D">
      <w:r w:rsidRPr="00D91090">
        <w:t>The first s</w:t>
      </w:r>
      <w:r w:rsidR="007850BB">
        <w:t>ubtheme</w:t>
      </w:r>
      <w:r w:rsidR="005346AE">
        <w:t>,</w:t>
      </w:r>
      <w:r w:rsidRPr="00D91090">
        <w:t xml:space="preserve"> </w:t>
      </w:r>
      <w:r w:rsidR="005346AE">
        <w:t xml:space="preserve">‘I have my own mind’, is about </w:t>
      </w:r>
      <w:r w:rsidRPr="00D91090">
        <w:t>the participant’s experience</w:t>
      </w:r>
      <w:r w:rsidR="00E33F59">
        <w:t>s</w:t>
      </w:r>
      <w:r w:rsidRPr="00D91090">
        <w:t xml:space="preserve"> of making decisions throughout their care pathway</w:t>
      </w:r>
      <w:r w:rsidR="00AD28D1">
        <w:t xml:space="preserve"> </w:t>
      </w:r>
      <w:r w:rsidR="009E3F24">
        <w:t xml:space="preserve">— </w:t>
      </w:r>
      <w:r w:rsidR="00AD28D1">
        <w:t>showing how agency is situated based on types of decisions</w:t>
      </w:r>
      <w:r w:rsidR="005D0959">
        <w:t xml:space="preserve">, laying </w:t>
      </w:r>
      <w:r w:rsidR="0067448C">
        <w:t xml:space="preserve">the foundation to their decision-making about </w:t>
      </w:r>
      <w:r w:rsidR="0067448C" w:rsidRPr="0067448C">
        <w:rPr>
          <w:i/>
          <w:iCs/>
        </w:rPr>
        <w:t>Staying Put</w:t>
      </w:r>
      <w:r w:rsidRPr="00D91090">
        <w:t>. This is followed by</w:t>
      </w:r>
      <w:r w:rsidR="005346AE">
        <w:t xml:space="preserve"> ‘it’s for paperwork not for real’ which is</w:t>
      </w:r>
      <w:r w:rsidRPr="00D91090">
        <w:t xml:space="preserve"> an exploration of the forums for </w:t>
      </w:r>
      <w:r w:rsidR="00DC59B2">
        <w:t>decision-making</w:t>
      </w:r>
      <w:r w:rsidRPr="00D91090">
        <w:t xml:space="preserve">, primarily the importance placed on the </w:t>
      </w:r>
      <w:r w:rsidR="00291E1D">
        <w:t>s</w:t>
      </w:r>
      <w:r w:rsidRPr="00D91090">
        <w:t xml:space="preserve">tatutory </w:t>
      </w:r>
      <w:r w:rsidR="00291E1D">
        <w:t>r</w:t>
      </w:r>
      <w:r w:rsidRPr="00D91090">
        <w:t xml:space="preserve">eview </w:t>
      </w:r>
      <w:r w:rsidR="00291E1D">
        <w:t>m</w:t>
      </w:r>
      <w:r w:rsidRPr="00D91090">
        <w:t>eeting</w:t>
      </w:r>
      <w:r w:rsidR="00AD28D1">
        <w:t xml:space="preserve"> </w:t>
      </w:r>
      <w:r w:rsidR="00586DAC">
        <w:t>—</w:t>
      </w:r>
      <w:r w:rsidR="00AD28D1">
        <w:t xml:space="preserve"> </w:t>
      </w:r>
      <w:r w:rsidR="007A476F">
        <w:t>illustrating how agency is situated within a designated space</w:t>
      </w:r>
      <w:r w:rsidRPr="00D91090">
        <w:t xml:space="preserve">. The final </w:t>
      </w:r>
      <w:r w:rsidR="007850BB">
        <w:t>subtheme</w:t>
      </w:r>
      <w:r w:rsidRPr="00D91090">
        <w:t xml:space="preserve"> relates to the decision about </w:t>
      </w:r>
      <w:r w:rsidRPr="007A476F">
        <w:rPr>
          <w:i/>
          <w:iCs/>
        </w:rPr>
        <w:t>Staying Put</w:t>
      </w:r>
      <w:r w:rsidRPr="00D91090">
        <w:t xml:space="preserve">, which highlights the nuanced and complex nature of making decisions </w:t>
      </w:r>
      <w:r w:rsidRPr="00D91090">
        <w:lastRenderedPageBreak/>
        <w:t>about significant events and returns to the issue of their</w:t>
      </w:r>
      <w:r w:rsidR="000924FE">
        <w:t xml:space="preserve"> </w:t>
      </w:r>
      <w:r w:rsidRPr="00D91090">
        <w:t>agency and how decisions are viewed by the young people</w:t>
      </w:r>
      <w:r w:rsidR="00CF7F94">
        <w:t xml:space="preserve">. </w:t>
      </w:r>
    </w:p>
    <w:p w14:paraId="7B10D94D" w14:textId="1B089C7B" w:rsidR="00FD560D" w:rsidRPr="00D91090" w:rsidRDefault="00FD560D" w:rsidP="006A75FF">
      <w:pPr>
        <w:pStyle w:val="Heading2"/>
      </w:pPr>
      <w:bookmarkStart w:id="66" w:name="_Toc101108508"/>
      <w:r w:rsidRPr="00D91090">
        <w:t xml:space="preserve">‘I </w:t>
      </w:r>
      <w:r w:rsidR="003E4872">
        <w:t>h</w:t>
      </w:r>
      <w:r w:rsidRPr="00D91090">
        <w:t xml:space="preserve">ave my </w:t>
      </w:r>
      <w:r w:rsidR="003E4872">
        <w:t>o</w:t>
      </w:r>
      <w:r w:rsidRPr="00D91090">
        <w:t xml:space="preserve">wn </w:t>
      </w:r>
      <w:r w:rsidR="003E4872">
        <w:t>m</w:t>
      </w:r>
      <w:r w:rsidRPr="00D91090">
        <w:t>ind’</w:t>
      </w:r>
      <w:bookmarkEnd w:id="66"/>
    </w:p>
    <w:p w14:paraId="10420394" w14:textId="32971680" w:rsidR="00FD560D" w:rsidRDefault="00113DFB">
      <w:r w:rsidRPr="00113DFB">
        <w:t>C</w:t>
      </w:r>
      <w:r w:rsidR="00FD560D" w:rsidRPr="00113DFB">
        <w:t>hapter</w:t>
      </w:r>
      <w:r w:rsidRPr="00113DFB">
        <w:t xml:space="preserve"> 4</w:t>
      </w:r>
      <w:r>
        <w:t xml:space="preserve"> discussed the </w:t>
      </w:r>
      <w:r w:rsidR="00FD560D" w:rsidRPr="00D91090">
        <w:t xml:space="preserve">inconsistent levels of </w:t>
      </w:r>
      <w:r w:rsidR="008636B0">
        <w:t>participation</w:t>
      </w:r>
      <w:r w:rsidR="00FD560D" w:rsidRPr="00D91090">
        <w:t xml:space="preserve"> </w:t>
      </w:r>
      <w:r w:rsidRPr="00D91090">
        <w:t xml:space="preserve">young people have </w:t>
      </w:r>
      <w:r w:rsidR="00FD560D" w:rsidRPr="00D91090">
        <w:t xml:space="preserve">whilst in the care system, and this variability is reflected in the views of young people in </w:t>
      </w:r>
      <w:r w:rsidR="004743A9">
        <w:t>my</w:t>
      </w:r>
      <w:r w:rsidR="00FD560D" w:rsidRPr="00D91090">
        <w:t xml:space="preserve"> study. Each young person provided examples </w:t>
      </w:r>
      <w:r w:rsidR="008636B0">
        <w:t>that illustrated</w:t>
      </w:r>
      <w:r w:rsidR="00FD560D" w:rsidRPr="00D91090">
        <w:t xml:space="preserve"> different degrees of involvement or exclusion in decisions</w:t>
      </w:r>
      <w:r w:rsidR="008636B0">
        <w:t xml:space="preserve"> and the differences in support to participate</w:t>
      </w:r>
      <w:r w:rsidR="00FD560D" w:rsidRPr="00D91090">
        <w:t xml:space="preserve">. Participants described </w:t>
      </w:r>
      <w:r w:rsidR="008636B0">
        <w:t xml:space="preserve">a distinction between </w:t>
      </w:r>
      <w:r w:rsidR="00FD560D" w:rsidRPr="00D91090">
        <w:t xml:space="preserve">foster carers, social workers and personal advisors </w:t>
      </w:r>
      <w:r w:rsidR="008636B0">
        <w:t>in how they facilitated i</w:t>
      </w:r>
      <w:r w:rsidR="00FD560D" w:rsidRPr="00D91090">
        <w:t>nvolv</w:t>
      </w:r>
      <w:r w:rsidR="008636B0">
        <w:t>ement</w:t>
      </w:r>
      <w:r w:rsidR="00FD560D" w:rsidRPr="00D91090">
        <w:t xml:space="preserve"> </w:t>
      </w:r>
      <w:r w:rsidR="004743A9">
        <w:t>in decisions</w:t>
      </w:r>
      <w:r w:rsidR="00FD560D" w:rsidRPr="00D91090">
        <w:t xml:space="preserve">. </w:t>
      </w:r>
      <w:r w:rsidR="00FD560D" w:rsidRPr="00D91090">
        <w:rPr>
          <w:rStyle w:val="bibauth"/>
          <w:bdr w:val="none" w:sz="0" w:space="0" w:color="auto" w:frame="1"/>
          <w:shd w:val="clear" w:color="auto" w:fill="FFFFFF"/>
        </w:rPr>
        <w:t xml:space="preserve">For example, </w:t>
      </w:r>
      <w:r w:rsidR="00FD560D" w:rsidRPr="00D91090">
        <w:t>Liam</w:t>
      </w:r>
      <w:r w:rsidR="004743A9">
        <w:t xml:space="preserve"> described feeling </w:t>
      </w:r>
      <w:r w:rsidR="00FD560D" w:rsidRPr="00D91090">
        <w:t xml:space="preserve">fully in control of their life </w:t>
      </w:r>
      <w:r w:rsidR="004743A9">
        <w:t xml:space="preserve">and attributed this to the support from their carer. </w:t>
      </w:r>
      <w:r>
        <w:t>Conversely,</w:t>
      </w:r>
      <w:r w:rsidR="004743A9">
        <w:t xml:space="preserve"> they described less favourable experiences with </w:t>
      </w:r>
      <w:r w:rsidR="00FD560D" w:rsidRPr="00D91090">
        <w:t>their social worker</w:t>
      </w:r>
      <w:r w:rsidR="004743A9">
        <w:t>s:</w:t>
      </w:r>
    </w:p>
    <w:p w14:paraId="69470237" w14:textId="77777777" w:rsidR="000C16BA" w:rsidRPr="00D91090"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DBB61EC" w14:textId="77777777" w:rsidTr="00ED3D34">
        <w:tc>
          <w:tcPr>
            <w:tcW w:w="1413" w:type="dxa"/>
          </w:tcPr>
          <w:p w14:paraId="4F9002F5" w14:textId="77777777" w:rsidR="00FD560D" w:rsidRPr="00D91090" w:rsidRDefault="00FD560D">
            <w:r w:rsidRPr="00D91090">
              <w:t>Liam:</w:t>
            </w:r>
          </w:p>
        </w:tc>
        <w:tc>
          <w:tcPr>
            <w:tcW w:w="6888" w:type="dxa"/>
          </w:tcPr>
          <w:p w14:paraId="236DD78C" w14:textId="77777777" w:rsidR="00FD560D" w:rsidRDefault="00FD560D" w:rsidP="007B4C41">
            <w:pPr>
              <w:pStyle w:val="tablecontent-singlespaced"/>
            </w:pPr>
            <w:r w:rsidRPr="00D91090">
              <w:t>My carers are great they really respect me (.) I felt like I was in control of everything that was going on</w:t>
            </w:r>
            <w:r w:rsidR="001832D6">
              <w:t xml:space="preserve"> … </w:t>
            </w:r>
            <w:r w:rsidRPr="00D91090">
              <w:t>social workers (.) don’t get me started (.) felt like no one cares and no one’s bothered about asking me.</w:t>
            </w:r>
          </w:p>
          <w:p w14:paraId="62CE41B3" w14:textId="5BBE025F" w:rsidR="00637352" w:rsidRPr="00D91090" w:rsidRDefault="00637352" w:rsidP="007B4C41">
            <w:pPr>
              <w:pStyle w:val="tablecontent-singlespaced"/>
            </w:pPr>
          </w:p>
        </w:tc>
      </w:tr>
    </w:tbl>
    <w:p w14:paraId="38A851CF" w14:textId="77777777" w:rsidR="00FD560D" w:rsidRPr="00D91090" w:rsidRDefault="00FD560D" w:rsidP="008E4AF2"/>
    <w:p w14:paraId="2935AE07" w14:textId="642CF063" w:rsidR="00FD560D" w:rsidRDefault="004743A9">
      <w:r>
        <w:t>In contrast to Liam’s feelings of control</w:t>
      </w:r>
      <w:r w:rsidR="00FD560D" w:rsidRPr="00D91090">
        <w:t xml:space="preserve">, Beth described feelings of exclusion despite having </w:t>
      </w:r>
      <w:r w:rsidR="00DB7494">
        <w:t xml:space="preserve">similar </w:t>
      </w:r>
      <w:r w:rsidR="00FD560D" w:rsidRPr="00D91090">
        <w:t>experience</w:t>
      </w:r>
      <w:r w:rsidR="00DB7494">
        <w:t xml:space="preserve">s to </w:t>
      </w:r>
      <w:r w:rsidR="00FD560D" w:rsidRPr="00D91090">
        <w:t>Liam</w:t>
      </w:r>
      <w:r w:rsidR="0067448C">
        <w:t xml:space="preserve">. Beth felt </w:t>
      </w:r>
      <w:r w:rsidR="00FD560D" w:rsidRPr="00D91090">
        <w:t xml:space="preserve">involved by foster carers and </w:t>
      </w:r>
      <w:r w:rsidR="0067448C">
        <w:t xml:space="preserve">with respect to </w:t>
      </w:r>
      <w:r w:rsidR="00FD560D" w:rsidRPr="00D91090">
        <w:t>social workers</w:t>
      </w:r>
      <w:r w:rsidR="0067448C">
        <w:t xml:space="preserve"> said</w:t>
      </w:r>
      <w:r w:rsidR="00DB7494">
        <w:t>:</w:t>
      </w:r>
      <w:r w:rsidR="00FD560D" w:rsidRPr="00D91090">
        <w:t xml:space="preserve"> </w:t>
      </w:r>
    </w:p>
    <w:p w14:paraId="2B0F0233" w14:textId="77777777" w:rsidR="000C16BA" w:rsidRPr="00D91090"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C7C9081" w14:textId="77777777" w:rsidTr="00ED3D34">
        <w:tc>
          <w:tcPr>
            <w:tcW w:w="1413" w:type="dxa"/>
          </w:tcPr>
          <w:p w14:paraId="0B61FC64" w14:textId="77777777" w:rsidR="00FD560D" w:rsidRPr="00D91090" w:rsidRDefault="00FD560D">
            <w:r w:rsidRPr="00D91090">
              <w:t>Beth:</w:t>
            </w:r>
          </w:p>
        </w:tc>
        <w:tc>
          <w:tcPr>
            <w:tcW w:w="6888" w:type="dxa"/>
          </w:tcPr>
          <w:p w14:paraId="491C447F" w14:textId="29420B5D" w:rsidR="00FD560D" w:rsidRPr="00D91090" w:rsidRDefault="00FD560D" w:rsidP="007B4C41">
            <w:pPr>
              <w:pStyle w:val="tablecontent-singlespaced"/>
            </w:pPr>
            <w:r w:rsidRPr="00D91090">
              <w:t xml:space="preserve"> I’ve never had a say my whole life</w:t>
            </w:r>
            <w:r w:rsidR="005D0959">
              <w:t>.</w:t>
            </w:r>
          </w:p>
        </w:tc>
      </w:tr>
    </w:tbl>
    <w:p w14:paraId="640BC525" w14:textId="77777777" w:rsidR="000C16BA" w:rsidRDefault="000C16BA" w:rsidP="008E4AF2"/>
    <w:p w14:paraId="43D1AE25" w14:textId="6CCBDDE0" w:rsidR="00FD560D" w:rsidRPr="00D91090" w:rsidRDefault="00FD560D" w:rsidP="008E4AF2">
      <w:r w:rsidRPr="00D91090">
        <w:t>For Liam and Beth their descriptions highlight a complex relationship between simultaneous feelings of exclusion and control. Participative actions by one party either offset the other or determined their overall experience. The separation in perception between foster carer and social worker was illustrated by</w:t>
      </w:r>
      <w:r w:rsidR="0067448C">
        <w:t xml:space="preserve"> both</w:t>
      </w:r>
      <w:r w:rsidRPr="00D91090">
        <w:t xml:space="preserve"> Beth and Eshal:</w:t>
      </w:r>
    </w:p>
    <w:p w14:paraId="5E129AAE"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2E5C7F7C" w14:textId="77777777" w:rsidTr="00ED3D34">
        <w:tc>
          <w:tcPr>
            <w:tcW w:w="1413" w:type="dxa"/>
          </w:tcPr>
          <w:p w14:paraId="0AC4EBDE" w14:textId="77777777" w:rsidR="00FD560D" w:rsidRPr="00D91090" w:rsidRDefault="00FD560D">
            <w:r w:rsidRPr="00D91090">
              <w:lastRenderedPageBreak/>
              <w:t>Sally:</w:t>
            </w:r>
          </w:p>
          <w:p w14:paraId="3F995148" w14:textId="77777777" w:rsidR="00FD560D" w:rsidRPr="00D91090" w:rsidRDefault="00FD560D"/>
        </w:tc>
        <w:tc>
          <w:tcPr>
            <w:tcW w:w="6888" w:type="dxa"/>
          </w:tcPr>
          <w:p w14:paraId="77D00262" w14:textId="0047364F" w:rsidR="00FD560D" w:rsidRPr="00D91090" w:rsidRDefault="00FD560D" w:rsidP="007B4C41">
            <w:pPr>
              <w:pStyle w:val="tablecontent-singlespaced"/>
            </w:pPr>
            <w:r w:rsidRPr="00D91090">
              <w:t>Could</w:t>
            </w:r>
            <w:r w:rsidR="00D97400">
              <w:t>’</w:t>
            </w:r>
            <w:r w:rsidR="00FB2A09">
              <w:t>ya</w:t>
            </w:r>
            <w:r w:rsidRPr="00D91090">
              <w:t xml:space="preserve"> tell me a bit about your experience of being involved in making decisions?</w:t>
            </w:r>
          </w:p>
          <w:p w14:paraId="01F85188" w14:textId="77777777" w:rsidR="00FD560D" w:rsidRPr="00D91090" w:rsidRDefault="00FD560D"/>
        </w:tc>
      </w:tr>
      <w:tr w:rsidR="00FD560D" w:rsidRPr="00D91090" w14:paraId="42A2C6D3" w14:textId="77777777" w:rsidTr="00ED3D34">
        <w:tc>
          <w:tcPr>
            <w:tcW w:w="1413" w:type="dxa"/>
          </w:tcPr>
          <w:p w14:paraId="2D9390EA" w14:textId="77777777" w:rsidR="00FD560D" w:rsidRPr="00D91090" w:rsidRDefault="00FD560D" w:rsidP="008E4AF2">
            <w:r w:rsidRPr="00D91090">
              <w:t>Beth:</w:t>
            </w:r>
          </w:p>
        </w:tc>
        <w:tc>
          <w:tcPr>
            <w:tcW w:w="6888" w:type="dxa"/>
          </w:tcPr>
          <w:p w14:paraId="112B3BD3" w14:textId="018B1F40" w:rsidR="00FD560D" w:rsidRPr="00D91090" w:rsidRDefault="008636B0" w:rsidP="007B4C41">
            <w:pPr>
              <w:pStyle w:val="tablecontent-singlespaced"/>
            </w:pPr>
            <w:r>
              <w:t>M</w:t>
            </w:r>
            <w:r w:rsidR="00FD560D" w:rsidRPr="00D91090">
              <w:t>y carer was good at like getting us to say what we wanted (.) the social worker wouldn't, but they'd listen to my carer, so I just told her [foster carer] like what I wanted and then it was ok.</w:t>
            </w:r>
          </w:p>
        </w:tc>
      </w:tr>
    </w:tbl>
    <w:p w14:paraId="49B9FC79" w14:textId="77777777" w:rsidR="00FD560D" w:rsidRPr="00D91090" w:rsidRDefault="00FD560D" w:rsidP="006E3485">
      <w:r w:rsidRPr="00D91090">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3AB61A4" w14:textId="77777777" w:rsidTr="00ED3D34">
        <w:tc>
          <w:tcPr>
            <w:tcW w:w="1413" w:type="dxa"/>
          </w:tcPr>
          <w:p w14:paraId="7F1798BA" w14:textId="77777777" w:rsidR="00FD560D" w:rsidRPr="00D91090" w:rsidRDefault="00FD560D" w:rsidP="008E4AF2">
            <w:r w:rsidRPr="00D91090">
              <w:t>Eshal:</w:t>
            </w:r>
          </w:p>
          <w:p w14:paraId="474B118E" w14:textId="77777777" w:rsidR="00FD560D" w:rsidRPr="00D91090" w:rsidRDefault="00FD560D" w:rsidP="008E4AF2"/>
        </w:tc>
        <w:tc>
          <w:tcPr>
            <w:tcW w:w="6888" w:type="dxa"/>
          </w:tcPr>
          <w:p w14:paraId="25ED4356" w14:textId="1BDF1C96" w:rsidR="00FD560D" w:rsidRPr="00D91090" w:rsidRDefault="00620CF7" w:rsidP="007B4C41">
            <w:pPr>
              <w:pStyle w:val="tablecontent-singlespaced"/>
            </w:pPr>
            <w:r>
              <w:t xml:space="preserve">… </w:t>
            </w:r>
            <w:r w:rsidR="00FD560D" w:rsidRPr="00D91090">
              <w:t xml:space="preserve">they [foster carers] always sat me down and talked to me like urm we was the same (.) like we were equal in like the holidays or like once they asked me what colour the new doors </w:t>
            </w:r>
            <w:r w:rsidR="008636B0">
              <w:t xml:space="preserve">should </w:t>
            </w:r>
            <w:r w:rsidR="00FD560D" w:rsidRPr="00D91090">
              <w:t xml:space="preserve">be (.) </w:t>
            </w:r>
          </w:p>
          <w:p w14:paraId="1A3D106A" w14:textId="77777777" w:rsidR="00FD560D" w:rsidRPr="00D91090" w:rsidRDefault="00FD560D"/>
        </w:tc>
      </w:tr>
      <w:tr w:rsidR="00FD560D" w:rsidRPr="00D91090" w14:paraId="5F9CEDC3" w14:textId="77777777" w:rsidTr="00ED3D34">
        <w:tc>
          <w:tcPr>
            <w:tcW w:w="1413" w:type="dxa"/>
          </w:tcPr>
          <w:p w14:paraId="50CD8DB8" w14:textId="77777777" w:rsidR="00FD560D" w:rsidRPr="00D91090" w:rsidRDefault="00FD560D" w:rsidP="008E4AF2">
            <w:r w:rsidRPr="00D91090">
              <w:t>Sally:</w:t>
            </w:r>
          </w:p>
        </w:tc>
        <w:tc>
          <w:tcPr>
            <w:tcW w:w="6888" w:type="dxa"/>
          </w:tcPr>
          <w:p w14:paraId="1033E915" w14:textId="77777777" w:rsidR="00FD560D" w:rsidRDefault="00FD560D" w:rsidP="007B4C41">
            <w:pPr>
              <w:pStyle w:val="tablecontent-singlespaced"/>
            </w:pPr>
            <w:r w:rsidRPr="00D91090">
              <w:t>What about your social workers?</w:t>
            </w:r>
          </w:p>
          <w:p w14:paraId="78C2AE12" w14:textId="73AEB3C8" w:rsidR="00DB7494" w:rsidRPr="00D91090" w:rsidRDefault="00DB7494"/>
        </w:tc>
      </w:tr>
      <w:tr w:rsidR="00FD560D" w:rsidRPr="00D91090" w14:paraId="5A83C204" w14:textId="77777777" w:rsidTr="00ED3D34">
        <w:tc>
          <w:tcPr>
            <w:tcW w:w="1413" w:type="dxa"/>
          </w:tcPr>
          <w:p w14:paraId="225A2A2F" w14:textId="77777777" w:rsidR="00FD560D" w:rsidRPr="00D91090" w:rsidRDefault="00FD560D" w:rsidP="008E4AF2">
            <w:r w:rsidRPr="00D91090">
              <w:t xml:space="preserve">Eshal: </w:t>
            </w:r>
          </w:p>
        </w:tc>
        <w:tc>
          <w:tcPr>
            <w:tcW w:w="6888" w:type="dxa"/>
          </w:tcPr>
          <w:p w14:paraId="78110677" w14:textId="2DDD728E" w:rsidR="00FD560D" w:rsidRPr="00D91090" w:rsidRDefault="008636B0" w:rsidP="007B4C41">
            <w:pPr>
              <w:pStyle w:val="tablecontent-singlespaced"/>
            </w:pPr>
            <w:r>
              <w:t>W</w:t>
            </w:r>
            <w:r w:rsidR="00FD560D" w:rsidRPr="00D91090">
              <w:t>ell not always urm the one I have now is good [name of personal advisor] (.) she's the best one I've had she is good at asking me and helping an</w:t>
            </w:r>
            <w:r>
              <w:t xml:space="preserve">d </w:t>
            </w:r>
            <w:r w:rsidR="00FD560D" w:rsidRPr="00D91090">
              <w:t xml:space="preserve">that (.) the two I had before were like, sometimes talk to me and ask what I think but </w:t>
            </w:r>
            <w:r w:rsidR="00DB7494">
              <w:t xml:space="preserve">most of the time </w:t>
            </w:r>
            <w:r w:rsidR="00FD560D" w:rsidRPr="00D91090">
              <w:t>they didn’t ask me unless they had to.</w:t>
            </w:r>
          </w:p>
          <w:p w14:paraId="403208AE" w14:textId="77777777" w:rsidR="00FD560D" w:rsidRPr="00D91090" w:rsidRDefault="00FD560D" w:rsidP="008E4AF2"/>
        </w:tc>
      </w:tr>
      <w:tr w:rsidR="00DB7494" w:rsidRPr="00D91090" w14:paraId="5E1EC77C" w14:textId="77777777" w:rsidTr="00ED3D34">
        <w:tc>
          <w:tcPr>
            <w:tcW w:w="1413" w:type="dxa"/>
          </w:tcPr>
          <w:p w14:paraId="7D104725" w14:textId="2A736D9D" w:rsidR="00DB7494" w:rsidRPr="00D91090" w:rsidRDefault="00DB7494" w:rsidP="008E4AF2">
            <w:r>
              <w:t>Sally:</w:t>
            </w:r>
          </w:p>
        </w:tc>
        <w:tc>
          <w:tcPr>
            <w:tcW w:w="6888" w:type="dxa"/>
          </w:tcPr>
          <w:p w14:paraId="74864555" w14:textId="35F2EF73" w:rsidR="00DB7494" w:rsidRPr="00D91090" w:rsidRDefault="008636B0" w:rsidP="007B4C41">
            <w:pPr>
              <w:pStyle w:val="tablecontent-singlespaced"/>
            </w:pPr>
            <w:r>
              <w:t>Could you tell me w</w:t>
            </w:r>
            <w:r w:rsidR="00DB7494">
              <w:t>hat</w:t>
            </w:r>
            <w:r>
              <w:t xml:space="preserve"> </w:t>
            </w:r>
            <w:r w:rsidR="00B941F3">
              <w:t>y</w:t>
            </w:r>
            <w:r w:rsidR="005D0959">
              <w:t>’</w:t>
            </w:r>
            <w:r w:rsidR="00DB7494">
              <w:t>mean?</w:t>
            </w:r>
          </w:p>
        </w:tc>
      </w:tr>
      <w:tr w:rsidR="00DB7494" w:rsidRPr="00D91090" w14:paraId="0A9F97D6" w14:textId="77777777" w:rsidTr="00ED3D34">
        <w:tc>
          <w:tcPr>
            <w:tcW w:w="1413" w:type="dxa"/>
          </w:tcPr>
          <w:p w14:paraId="331E44B2" w14:textId="77777777" w:rsidR="00DB7494" w:rsidRDefault="00DB7494" w:rsidP="008E4AF2"/>
        </w:tc>
        <w:tc>
          <w:tcPr>
            <w:tcW w:w="6888" w:type="dxa"/>
          </w:tcPr>
          <w:p w14:paraId="2B3E285F" w14:textId="77777777" w:rsidR="00DB7494" w:rsidRDefault="00DB7494" w:rsidP="008E4AF2"/>
        </w:tc>
      </w:tr>
      <w:tr w:rsidR="00DB7494" w:rsidRPr="00D91090" w14:paraId="4BD9C956" w14:textId="77777777" w:rsidTr="00ED3D34">
        <w:tc>
          <w:tcPr>
            <w:tcW w:w="1413" w:type="dxa"/>
          </w:tcPr>
          <w:p w14:paraId="5C4061B7" w14:textId="7E051E43" w:rsidR="00DB7494" w:rsidRDefault="00DB7494" w:rsidP="008E4AF2">
            <w:r>
              <w:t>Eshal:</w:t>
            </w:r>
          </w:p>
        </w:tc>
        <w:tc>
          <w:tcPr>
            <w:tcW w:w="6888" w:type="dxa"/>
          </w:tcPr>
          <w:p w14:paraId="2CF19B26" w14:textId="20DF27C9" w:rsidR="00DB7494" w:rsidRDefault="00DB7494" w:rsidP="007B4C41">
            <w:pPr>
              <w:pStyle w:val="tablecontent-singlespaced"/>
            </w:pPr>
            <w:r>
              <w:t>Well like when it was in front of people, like my carer or in the meeting.</w:t>
            </w:r>
          </w:p>
        </w:tc>
      </w:tr>
    </w:tbl>
    <w:p w14:paraId="0BB7063F" w14:textId="77777777" w:rsidR="00FD560D" w:rsidRPr="00D91090" w:rsidRDefault="00FD560D" w:rsidP="006E3485"/>
    <w:p w14:paraId="0931F95B" w14:textId="79E37B55" w:rsidR="00FD560D" w:rsidRPr="00D91090" w:rsidRDefault="00FD560D" w:rsidP="008E4AF2">
      <w:pPr>
        <w:rPr>
          <w:rStyle w:val="bibauth"/>
          <w:bdr w:val="none" w:sz="0" w:space="0" w:color="auto" w:frame="1"/>
          <w:shd w:val="clear" w:color="auto" w:fill="FFFFFF"/>
        </w:rPr>
      </w:pPr>
      <w:r w:rsidRPr="00D91090">
        <w:t>Even if their social worker or personal advisor was seen positively, the young people consistently highlighted contrasting experiences between foster carers and social workers in involving them in decisions.</w:t>
      </w:r>
      <w:r w:rsidRPr="00D91090">
        <w:rPr>
          <w:rStyle w:val="bibauth"/>
          <w:bdr w:val="none" w:sz="0" w:space="0" w:color="auto" w:frame="1"/>
          <w:shd w:val="clear" w:color="auto" w:fill="FFFFFF"/>
        </w:rPr>
        <w:t xml:space="preserve"> This division was also apparent in the way young people talked about social care services. For </w:t>
      </w:r>
      <w:r w:rsidR="00DB7494" w:rsidRPr="00D91090">
        <w:rPr>
          <w:rStyle w:val="bibauth"/>
          <w:bdr w:val="none" w:sz="0" w:space="0" w:color="auto" w:frame="1"/>
          <w:shd w:val="clear" w:color="auto" w:fill="FFFFFF"/>
        </w:rPr>
        <w:t>example,</w:t>
      </w:r>
      <w:r w:rsidRPr="00D91090">
        <w:rPr>
          <w:rStyle w:val="bibauth"/>
          <w:bdr w:val="none" w:sz="0" w:space="0" w:color="auto" w:frame="1"/>
          <w:shd w:val="clear" w:color="auto" w:fill="FFFFFF"/>
        </w:rPr>
        <w:t xml:space="preserve"> Carrie described their historical experience of </w:t>
      </w:r>
      <w:r w:rsidR="00DC59B2">
        <w:rPr>
          <w:rStyle w:val="bibauth"/>
          <w:bdr w:val="none" w:sz="0" w:space="0" w:color="auto" w:frame="1"/>
          <w:shd w:val="clear" w:color="auto" w:fill="FFFFFF"/>
        </w:rPr>
        <w:t>decision-making</w:t>
      </w:r>
      <w:r w:rsidRPr="00D91090">
        <w:rPr>
          <w:rStyle w:val="bibauth"/>
          <w:bdr w:val="none" w:sz="0" w:space="0" w:color="auto" w:frame="1"/>
          <w:shd w:val="clear" w:color="auto" w:fill="FFFFFF"/>
        </w:rPr>
        <w:t xml:space="preserve"> in a negative way and commented on the impact this had on their views of social work</w:t>
      </w:r>
      <w:r w:rsidR="005D0959">
        <w:rPr>
          <w:rStyle w:val="bibauth"/>
          <w:bdr w:val="none" w:sz="0" w:space="0" w:color="auto" w:frame="1"/>
          <w:shd w:val="clear" w:color="auto" w:fill="FFFFFF"/>
        </w:rPr>
        <w:t xml:space="preserve"> services</w:t>
      </w:r>
      <w:r w:rsidRPr="00D91090">
        <w:rPr>
          <w:rStyle w:val="bibauth"/>
          <w:bdr w:val="none" w:sz="0" w:space="0" w:color="auto" w:frame="1"/>
          <w:shd w:val="clear" w:color="auto" w:fill="FFFFFF"/>
        </w:rPr>
        <w:t>:</w:t>
      </w:r>
    </w:p>
    <w:p w14:paraId="5D37C996" w14:textId="77777777" w:rsidR="00FD560D" w:rsidRPr="00D91090" w:rsidRDefault="00FD560D" w:rsidP="008E4AF2">
      <w:pPr>
        <w:rPr>
          <w:rStyle w:val="bibauth"/>
          <w:bdr w:val="none" w:sz="0" w:space="0" w:color="auto" w:frame="1"/>
          <w:shd w:val="clear" w:color="auto" w:fill="FFFFFF"/>
        </w:rPr>
      </w:pP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7721802" w14:textId="77777777" w:rsidTr="00ED3D34">
        <w:tc>
          <w:tcPr>
            <w:tcW w:w="1413" w:type="dxa"/>
          </w:tcPr>
          <w:p w14:paraId="403D5BCE" w14:textId="77777777" w:rsidR="00FD560D" w:rsidRPr="00D91090" w:rsidRDefault="00FD560D">
            <w:r w:rsidRPr="00D91090">
              <w:t>Carrie:</w:t>
            </w:r>
          </w:p>
        </w:tc>
        <w:tc>
          <w:tcPr>
            <w:tcW w:w="6888" w:type="dxa"/>
          </w:tcPr>
          <w:p w14:paraId="0CF7BF49" w14:textId="26FF7646" w:rsidR="00FD560D" w:rsidRPr="00D91090" w:rsidRDefault="00FD560D" w:rsidP="007B4C41">
            <w:pPr>
              <w:pStyle w:val="tablecontent-singlespaced"/>
            </w:pPr>
            <w:r w:rsidRPr="00D91090">
              <w:t>I didn’t really ever feel I had choices which is why I think I became so anti social services</w:t>
            </w:r>
            <w:r w:rsidR="005D0959">
              <w:t>.</w:t>
            </w:r>
          </w:p>
        </w:tc>
      </w:tr>
    </w:tbl>
    <w:p w14:paraId="69373344" w14:textId="77777777" w:rsidR="00FD560D" w:rsidRPr="00D91090" w:rsidRDefault="00FD560D" w:rsidP="008E4AF2">
      <w:pPr>
        <w:rPr>
          <w:rStyle w:val="bibauth"/>
          <w:bdr w:val="none" w:sz="0" w:space="0" w:color="auto" w:frame="1"/>
          <w:shd w:val="clear" w:color="auto" w:fill="FFFFFF"/>
        </w:rPr>
      </w:pPr>
    </w:p>
    <w:p w14:paraId="05B6B49D" w14:textId="0B30CAAA" w:rsidR="00FD560D" w:rsidRPr="00D91090" w:rsidRDefault="00FD560D">
      <w:pPr>
        <w:rPr>
          <w:rStyle w:val="bibauth"/>
          <w:bdr w:val="none" w:sz="0" w:space="0" w:color="auto" w:frame="1"/>
          <w:shd w:val="clear" w:color="auto" w:fill="FFFFFF"/>
        </w:rPr>
      </w:pPr>
      <w:r w:rsidRPr="00D91090">
        <w:rPr>
          <w:rStyle w:val="bibauth"/>
          <w:bdr w:val="none" w:sz="0" w:space="0" w:color="auto" w:frame="1"/>
          <w:shd w:val="clear" w:color="auto" w:fill="FFFFFF"/>
        </w:rPr>
        <w:lastRenderedPageBreak/>
        <w:t xml:space="preserve">However, </w:t>
      </w:r>
      <w:r w:rsidR="00DB7494" w:rsidRPr="00D91090">
        <w:rPr>
          <w:rStyle w:val="bibauth"/>
          <w:bdr w:val="none" w:sz="0" w:space="0" w:color="auto" w:frame="1"/>
          <w:shd w:val="clear" w:color="auto" w:fill="FFFFFF"/>
        </w:rPr>
        <w:t>later</w:t>
      </w:r>
      <w:r w:rsidRPr="00D91090">
        <w:rPr>
          <w:rStyle w:val="bibauth"/>
          <w:bdr w:val="none" w:sz="0" w:space="0" w:color="auto" w:frame="1"/>
          <w:shd w:val="clear" w:color="auto" w:fill="FFFFFF"/>
        </w:rPr>
        <w:t>, Carrie described their carers as integral to their support network, highlighting the disjunction between the two parts of social care services:</w:t>
      </w:r>
    </w:p>
    <w:p w14:paraId="4D3B96A5" w14:textId="77777777" w:rsidR="00FD560D" w:rsidRPr="00D91090" w:rsidRDefault="00FD560D">
      <w:pPr>
        <w:rPr>
          <w:rStyle w:val="bibauth"/>
          <w:bdr w:val="none" w:sz="0" w:space="0" w:color="auto" w:frame="1"/>
          <w:shd w:val="clear" w:color="auto" w:fill="FFFFFF"/>
        </w:rPr>
      </w:pP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BD9C6DF" w14:textId="77777777" w:rsidTr="00ED3D34">
        <w:tc>
          <w:tcPr>
            <w:tcW w:w="1413" w:type="dxa"/>
          </w:tcPr>
          <w:p w14:paraId="020F06D8" w14:textId="77777777" w:rsidR="00FD560D" w:rsidRPr="00D91090" w:rsidRDefault="00FD560D">
            <w:r w:rsidRPr="00D91090">
              <w:t>Carrie:</w:t>
            </w:r>
          </w:p>
        </w:tc>
        <w:tc>
          <w:tcPr>
            <w:tcW w:w="6888" w:type="dxa"/>
          </w:tcPr>
          <w:p w14:paraId="15864A36" w14:textId="316921CA" w:rsidR="00FD560D" w:rsidRPr="00D91090" w:rsidRDefault="008636B0" w:rsidP="007B4C41">
            <w:pPr>
              <w:pStyle w:val="tablecontent-singlespaced"/>
            </w:pPr>
            <w:r>
              <w:t>T</w:t>
            </w:r>
            <w:r w:rsidR="00FD560D" w:rsidRPr="00D91090">
              <w:t>hankfully I</w:t>
            </w:r>
            <w:r w:rsidR="00B941F3">
              <w:t xml:space="preserve">’ve </w:t>
            </w:r>
            <w:r w:rsidR="00FD560D" w:rsidRPr="00D91090">
              <w:t>people to talk to like my carer</w:t>
            </w:r>
            <w:r w:rsidR="005D0959">
              <w:t>.</w:t>
            </w:r>
          </w:p>
        </w:tc>
      </w:tr>
    </w:tbl>
    <w:p w14:paraId="4CAF2DE8" w14:textId="77777777" w:rsidR="00FD560D" w:rsidRPr="00D91090" w:rsidRDefault="00FD560D" w:rsidP="006E3485">
      <w:pPr>
        <w:rPr>
          <w:rStyle w:val="bibauth"/>
          <w:bdr w:val="none" w:sz="0" w:space="0" w:color="auto" w:frame="1"/>
          <w:shd w:val="clear" w:color="auto" w:fill="FFFFFF"/>
        </w:rPr>
      </w:pPr>
    </w:p>
    <w:p w14:paraId="286D1F42" w14:textId="25CC3B3F" w:rsidR="00FD560D" w:rsidRPr="00D91090" w:rsidRDefault="00FD560D" w:rsidP="008E4AF2">
      <w:pPr>
        <w:rPr>
          <w:rStyle w:val="bibauth"/>
          <w:bdr w:val="none" w:sz="0" w:space="0" w:color="auto" w:frame="1"/>
          <w:shd w:val="clear" w:color="auto" w:fill="FFFFFF"/>
        </w:rPr>
      </w:pPr>
      <w:r w:rsidRPr="00D91090">
        <w:rPr>
          <w:rStyle w:val="bibauth"/>
          <w:bdr w:val="none" w:sz="0" w:space="0" w:color="auto" w:frame="1"/>
          <w:shd w:val="clear" w:color="auto" w:fill="FFFFFF"/>
        </w:rPr>
        <w:t xml:space="preserve">Further distinction was made between the role of personal advisor and social worker, with the majority of young people expressing their appreciation for the way that an advisor supported and involved them in decisions. For </w:t>
      </w:r>
      <w:r w:rsidR="00DB7494" w:rsidRPr="00D91090">
        <w:rPr>
          <w:rStyle w:val="bibauth"/>
          <w:bdr w:val="none" w:sz="0" w:space="0" w:color="auto" w:frame="1"/>
          <w:shd w:val="clear" w:color="auto" w:fill="FFFFFF"/>
        </w:rPr>
        <w:t>example,</w:t>
      </w:r>
      <w:r w:rsidRPr="00D91090">
        <w:rPr>
          <w:rStyle w:val="bibauth"/>
          <w:bdr w:val="none" w:sz="0" w:space="0" w:color="auto" w:frame="1"/>
          <w:shd w:val="clear" w:color="auto" w:fill="FFFFFF"/>
        </w:rPr>
        <w:t xml:space="preserve"> Jonathan and Beth recognised the change in approach between the two roles, and Johnathan described the personal advisor as being different due to their separate location in the organisation:</w:t>
      </w:r>
    </w:p>
    <w:p w14:paraId="7D54DC8C" w14:textId="77777777" w:rsidR="00FD560D" w:rsidRPr="00D91090" w:rsidRDefault="00FD560D">
      <w:pPr>
        <w:rPr>
          <w:rStyle w:val="bibauth"/>
          <w:bdr w:val="none" w:sz="0" w:space="0" w:color="auto" w:frame="1"/>
          <w:shd w:val="clear" w:color="auto" w:fill="FFFFFF"/>
        </w:rPr>
      </w:pP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523B584" w14:textId="77777777" w:rsidTr="00ED3D34">
        <w:tc>
          <w:tcPr>
            <w:tcW w:w="1413" w:type="dxa"/>
          </w:tcPr>
          <w:p w14:paraId="32FB4B0B" w14:textId="77777777" w:rsidR="00FD560D" w:rsidRPr="00D91090" w:rsidRDefault="00FD560D">
            <w:r w:rsidRPr="00D91090">
              <w:t>Jonathan:</w:t>
            </w:r>
          </w:p>
        </w:tc>
        <w:tc>
          <w:tcPr>
            <w:tcW w:w="6888" w:type="dxa"/>
          </w:tcPr>
          <w:p w14:paraId="6D7AA548" w14:textId="6BCAF834" w:rsidR="00FD560D" w:rsidRPr="00D91090" w:rsidRDefault="00FD560D" w:rsidP="007B4C41">
            <w:pPr>
              <w:pStyle w:val="tablecontent-singlespaced"/>
            </w:pPr>
            <w:r w:rsidRPr="00D91090">
              <w:t>I have a PA and now my rapport with her is amazing and we get on like we are friends and urm and I think that was really like needed</w:t>
            </w:r>
            <w:r w:rsidR="00846433">
              <w:t xml:space="preserve"> …</w:t>
            </w:r>
          </w:p>
        </w:tc>
      </w:tr>
      <w:tr w:rsidR="00FD560D" w:rsidRPr="00D91090" w14:paraId="59086DD8" w14:textId="77777777" w:rsidTr="00ED3D34">
        <w:tc>
          <w:tcPr>
            <w:tcW w:w="1413" w:type="dxa"/>
          </w:tcPr>
          <w:p w14:paraId="15F75442" w14:textId="77777777" w:rsidR="00FD560D" w:rsidRPr="00D91090" w:rsidRDefault="00FD560D" w:rsidP="008E4AF2"/>
          <w:p w14:paraId="4C683082" w14:textId="77777777" w:rsidR="00FD560D" w:rsidRPr="00D91090" w:rsidRDefault="00FD560D" w:rsidP="008E4AF2">
            <w:r w:rsidRPr="00D91090">
              <w:t>Sally:</w:t>
            </w:r>
          </w:p>
        </w:tc>
        <w:tc>
          <w:tcPr>
            <w:tcW w:w="6888" w:type="dxa"/>
          </w:tcPr>
          <w:p w14:paraId="5419BE79" w14:textId="77777777" w:rsidR="00FD560D" w:rsidRPr="00D91090" w:rsidRDefault="00FD560D"/>
          <w:p w14:paraId="7AACFA3A" w14:textId="6C844318" w:rsidR="00FD560D" w:rsidRPr="00D91090" w:rsidRDefault="00FD560D" w:rsidP="007B4C41">
            <w:pPr>
              <w:pStyle w:val="tablecontent-singlespaced"/>
            </w:pPr>
            <w:r w:rsidRPr="00D91090">
              <w:t>What d</w:t>
            </w:r>
            <w:r w:rsidR="00B941F3">
              <w:t>’y</w:t>
            </w:r>
            <w:r w:rsidR="00AC672D">
              <w:t>ou</w:t>
            </w:r>
            <w:r w:rsidRPr="00D91090">
              <w:t xml:space="preserve"> think the differences are about?</w:t>
            </w:r>
          </w:p>
        </w:tc>
      </w:tr>
      <w:tr w:rsidR="00FD560D" w:rsidRPr="00D91090" w14:paraId="739D4BDD" w14:textId="77777777" w:rsidTr="00ED3D34">
        <w:tc>
          <w:tcPr>
            <w:tcW w:w="1413" w:type="dxa"/>
          </w:tcPr>
          <w:p w14:paraId="336ACB2A" w14:textId="77777777" w:rsidR="00FD560D" w:rsidRPr="00D91090" w:rsidRDefault="00FD560D" w:rsidP="008E4AF2"/>
        </w:tc>
        <w:tc>
          <w:tcPr>
            <w:tcW w:w="6888" w:type="dxa"/>
          </w:tcPr>
          <w:p w14:paraId="2300DFFA" w14:textId="77777777" w:rsidR="00FD560D" w:rsidRPr="00D91090" w:rsidRDefault="00FD560D" w:rsidP="008E4AF2"/>
        </w:tc>
      </w:tr>
      <w:tr w:rsidR="00FD560D" w:rsidRPr="00D91090" w14:paraId="0AEC10A2" w14:textId="77777777" w:rsidTr="00ED3D34">
        <w:tc>
          <w:tcPr>
            <w:tcW w:w="1413" w:type="dxa"/>
          </w:tcPr>
          <w:p w14:paraId="74745983" w14:textId="77777777" w:rsidR="00FD560D" w:rsidRPr="00D91090" w:rsidRDefault="00FD560D" w:rsidP="008E4AF2">
            <w:r w:rsidRPr="00D91090">
              <w:t>Jonathan:</w:t>
            </w:r>
          </w:p>
        </w:tc>
        <w:tc>
          <w:tcPr>
            <w:tcW w:w="6888" w:type="dxa"/>
          </w:tcPr>
          <w:p w14:paraId="2E9AFD16" w14:textId="6A45E04D" w:rsidR="00FD560D" w:rsidRPr="00D91090" w:rsidRDefault="008636B0" w:rsidP="007B4C41">
            <w:pPr>
              <w:pStyle w:val="tablecontent-singlespaced"/>
            </w:pPr>
            <w:r>
              <w:t>I</w:t>
            </w:r>
            <w:r w:rsidR="00FD560D" w:rsidRPr="00D91090">
              <w:t>t's the organisation it's the collaboration between the two organisations because I think they [personal advisors] are separate departments.</w:t>
            </w:r>
          </w:p>
        </w:tc>
      </w:tr>
    </w:tbl>
    <w:p w14:paraId="40A4607D" w14:textId="77777777" w:rsidR="00FD560D" w:rsidRPr="00D91090" w:rsidRDefault="00FD560D" w:rsidP="006E3485">
      <w:pPr>
        <w:rPr>
          <w:rStyle w:val="bibauth"/>
          <w:i/>
          <w:iCs/>
          <w:bdr w:val="none" w:sz="0" w:space="0" w:color="auto" w:frame="1"/>
          <w:shd w:val="clear" w:color="auto" w:fill="FFFFFF"/>
        </w:rPr>
      </w:pP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8266206" w14:textId="77777777" w:rsidTr="00ED3D34">
        <w:tc>
          <w:tcPr>
            <w:tcW w:w="1413" w:type="dxa"/>
          </w:tcPr>
          <w:p w14:paraId="7D1672A0" w14:textId="77777777" w:rsidR="00FD560D" w:rsidRPr="00D91090" w:rsidRDefault="00FD560D" w:rsidP="008E4AF2">
            <w:r w:rsidRPr="00D91090">
              <w:t>Beth:</w:t>
            </w:r>
          </w:p>
        </w:tc>
        <w:tc>
          <w:tcPr>
            <w:tcW w:w="6888" w:type="dxa"/>
          </w:tcPr>
          <w:p w14:paraId="61384E72" w14:textId="3C358EDC" w:rsidR="00FD560D" w:rsidRPr="00D91090" w:rsidRDefault="008636B0" w:rsidP="007B4C41">
            <w:pPr>
              <w:pStyle w:val="tablecontent-singlespaced"/>
            </w:pPr>
            <w:r>
              <w:t>B</w:t>
            </w:r>
            <w:r w:rsidR="00FD560D" w:rsidRPr="00D91090">
              <w:t>ut now it’s fine it’s like they [social workers] tell you do this do that and it shouldn't be like</w:t>
            </w:r>
            <w:r w:rsidR="00CE5E84">
              <w:t xml:space="preserve"> … </w:t>
            </w:r>
            <w:r w:rsidR="00FD560D" w:rsidRPr="00D91090">
              <w:t>it is not like they know you (.) it's ok now I’ve got a PA</w:t>
            </w:r>
            <w:r w:rsidR="00B941F3">
              <w:t>.</w:t>
            </w:r>
          </w:p>
        </w:tc>
      </w:tr>
    </w:tbl>
    <w:p w14:paraId="171FBFED" w14:textId="662F1102" w:rsidR="00FD560D" w:rsidRDefault="00FD560D" w:rsidP="008E4AF2">
      <w:pPr>
        <w:rPr>
          <w:rStyle w:val="bibauth"/>
          <w:bdr w:val="none" w:sz="0" w:space="0" w:color="auto" w:frame="1"/>
          <w:shd w:val="clear" w:color="auto" w:fill="FFFFFF"/>
        </w:rPr>
      </w:pPr>
    </w:p>
    <w:p w14:paraId="3F530D75" w14:textId="163BC29E" w:rsidR="00FD560D" w:rsidRPr="00D91090" w:rsidRDefault="00FD560D">
      <w:pPr>
        <w:rPr>
          <w:rStyle w:val="bibauth"/>
          <w:bdr w:val="none" w:sz="0" w:space="0" w:color="auto" w:frame="1"/>
          <w:shd w:val="clear" w:color="auto" w:fill="FFFFFF"/>
        </w:rPr>
      </w:pPr>
      <w:r w:rsidRPr="00D91090">
        <w:rPr>
          <w:rStyle w:val="bibauth"/>
          <w:bdr w:val="none" w:sz="0" w:space="0" w:color="auto" w:frame="1"/>
          <w:shd w:val="clear" w:color="auto" w:fill="FFFFFF"/>
        </w:rPr>
        <w:t xml:space="preserve">Dissimilarities between different professionals underline the heterogenous nature of support </w:t>
      </w:r>
      <w:r w:rsidR="008636B0">
        <w:rPr>
          <w:rStyle w:val="bibauth"/>
          <w:bdr w:val="none" w:sz="0" w:space="0" w:color="auto" w:frame="1"/>
          <w:shd w:val="clear" w:color="auto" w:fill="FFFFFF"/>
        </w:rPr>
        <w:t>young people</w:t>
      </w:r>
      <w:r w:rsidRPr="00D91090">
        <w:rPr>
          <w:rStyle w:val="bibauth"/>
          <w:bdr w:val="none" w:sz="0" w:space="0" w:color="auto" w:frame="1"/>
          <w:shd w:val="clear" w:color="auto" w:fill="FFFFFF"/>
        </w:rPr>
        <w:t xml:space="preserve"> received. Compartmentalising professionals or parts of a system suggest that even when positive experiences of participation in decisions are recognised, the lack of consistency in approach tended to define an overall sense of involvement. Feeling </w:t>
      </w:r>
      <w:r w:rsidRPr="00D91090">
        <w:t>excluded despite also feeling involved at different levels and at different points in their experience seem</w:t>
      </w:r>
      <w:r w:rsidR="00DB7494">
        <w:t>ed</w:t>
      </w:r>
      <w:r w:rsidRPr="00D91090">
        <w:t xml:space="preserve"> to indicate diverging practices between individuals, roles and young people. This chequered experience indicates that </w:t>
      </w:r>
      <w:r w:rsidR="00DB7494">
        <w:t xml:space="preserve">a </w:t>
      </w:r>
      <w:r w:rsidRPr="00D91090">
        <w:t>worker’s approach carries weight in t</w:t>
      </w:r>
      <w:r w:rsidR="00D42912">
        <w:t xml:space="preserve">he young </w:t>
      </w:r>
      <w:r w:rsidR="00D42912">
        <w:lastRenderedPageBreak/>
        <w:t xml:space="preserve">person’s </w:t>
      </w:r>
      <w:r w:rsidRPr="00D91090">
        <w:t>assessment of how much say they feel they have had. Regardless of whether or not the young person has genuinely participated in decisions that affect them, approaches taken by the worker or foster carer appear to bridge the distinction between being symbolically</w:t>
      </w:r>
      <w:r w:rsidR="0067448C" w:rsidRPr="00D42912">
        <w:t xml:space="preserve"> </w:t>
      </w:r>
      <w:r w:rsidR="00D42912">
        <w:t>and fully involved</w:t>
      </w:r>
      <w:r w:rsidRPr="00D91090">
        <w:t>. Being open and listening</w:t>
      </w:r>
      <w:r w:rsidR="00DB7494">
        <w:t>,</w:t>
      </w:r>
      <w:r w:rsidRPr="00D91090">
        <w:t xml:space="preserve"> as Johnathan noted ‘like a friend’</w:t>
      </w:r>
      <w:r w:rsidR="00A32704">
        <w:t>,</w:t>
      </w:r>
      <w:r w:rsidRPr="00D91090">
        <w:t xml:space="preserve"> may well help the young person feel less emotionally alienated from the process. </w:t>
      </w:r>
    </w:p>
    <w:p w14:paraId="3D70DDDD" w14:textId="58AF376E" w:rsidR="00FD560D" w:rsidRDefault="00112BD6" w:rsidP="000C16BA">
      <w:pPr>
        <w:pStyle w:val="CommentText"/>
        <w:rPr>
          <w:sz w:val="22"/>
          <w:szCs w:val="22"/>
        </w:rPr>
      </w:pPr>
      <w:r w:rsidRPr="00112BD6">
        <w:rPr>
          <w:rStyle w:val="bibauth"/>
          <w:sz w:val="22"/>
          <w:szCs w:val="22"/>
          <w:bdr w:val="none" w:sz="0" w:space="0" w:color="auto" w:frame="1"/>
          <w:shd w:val="clear" w:color="auto" w:fill="FFFFFF"/>
        </w:rPr>
        <w:t>Irrespective</w:t>
      </w:r>
      <w:r w:rsidR="00FD560D" w:rsidRPr="00112BD6">
        <w:rPr>
          <w:rStyle w:val="bibauth"/>
          <w:sz w:val="22"/>
          <w:szCs w:val="22"/>
          <w:bdr w:val="none" w:sz="0" w:space="0" w:color="auto" w:frame="1"/>
          <w:shd w:val="clear" w:color="auto" w:fill="FFFFFF"/>
        </w:rPr>
        <w:t xml:space="preserve"> of the difference in experiences with workers and carers, young </w:t>
      </w:r>
      <w:r w:rsidR="00DB7494" w:rsidRPr="00112BD6">
        <w:rPr>
          <w:rStyle w:val="bibauth"/>
          <w:sz w:val="22"/>
          <w:szCs w:val="22"/>
          <w:bdr w:val="none" w:sz="0" w:space="0" w:color="auto" w:frame="1"/>
          <w:shd w:val="clear" w:color="auto" w:fill="FFFFFF"/>
        </w:rPr>
        <w:t xml:space="preserve">people </w:t>
      </w:r>
      <w:r w:rsidR="00FD560D" w:rsidRPr="00112BD6">
        <w:rPr>
          <w:rStyle w:val="bibauth"/>
          <w:sz w:val="22"/>
          <w:szCs w:val="22"/>
          <w:bdr w:val="none" w:sz="0" w:space="0" w:color="auto" w:frame="1"/>
          <w:shd w:val="clear" w:color="auto" w:fill="FFFFFF"/>
        </w:rPr>
        <w:t xml:space="preserve">highlighted a range of feelings about taking an active role in decisions concerning them. </w:t>
      </w:r>
      <w:r w:rsidR="00FD560D" w:rsidRPr="00112BD6">
        <w:rPr>
          <w:sz w:val="22"/>
          <w:szCs w:val="22"/>
        </w:rPr>
        <w:t>When asked how much say they had in decision</w:t>
      </w:r>
      <w:r w:rsidR="00D42912">
        <w:rPr>
          <w:sz w:val="22"/>
          <w:szCs w:val="22"/>
        </w:rPr>
        <w:t>-making</w:t>
      </w:r>
      <w:r w:rsidR="00FD560D" w:rsidRPr="00112BD6">
        <w:rPr>
          <w:sz w:val="22"/>
          <w:szCs w:val="22"/>
        </w:rPr>
        <w:t>, Tyler did not have a positive experience:</w:t>
      </w:r>
    </w:p>
    <w:p w14:paraId="54EE57B1" w14:textId="77777777" w:rsidR="000C16BA" w:rsidRPr="00D91090" w:rsidRDefault="000C16BA" w:rsidP="000C16BA">
      <w:pPr>
        <w:pStyle w:val="CommentText"/>
      </w:pP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490423B" w14:textId="77777777" w:rsidTr="00ED3D34">
        <w:tc>
          <w:tcPr>
            <w:tcW w:w="1413" w:type="dxa"/>
          </w:tcPr>
          <w:p w14:paraId="2DFC380F" w14:textId="77777777" w:rsidR="00FD560D" w:rsidRPr="00D91090" w:rsidRDefault="00FD560D" w:rsidP="008E4AF2">
            <w:r w:rsidRPr="00D91090">
              <w:t>Tyler:</w:t>
            </w:r>
          </w:p>
        </w:tc>
        <w:tc>
          <w:tcPr>
            <w:tcW w:w="6888" w:type="dxa"/>
          </w:tcPr>
          <w:p w14:paraId="3FFF69F2" w14:textId="77777777" w:rsidR="00FD560D" w:rsidRPr="00D91090" w:rsidRDefault="00FD560D" w:rsidP="007B4C41">
            <w:pPr>
              <w:pStyle w:val="tablecontent-singlespaced"/>
            </w:pPr>
            <w:r w:rsidRPr="00D91090">
              <w:t>I'd have a like thought, but then it would come to my social worker to say yes, or like what they thought about stuff (.) not just a here and now thing, it wasn't really my kinda say.</w:t>
            </w:r>
          </w:p>
        </w:tc>
      </w:tr>
    </w:tbl>
    <w:p w14:paraId="6D4998B0" w14:textId="77777777" w:rsidR="00FD560D" w:rsidRPr="00D91090" w:rsidRDefault="00FD560D" w:rsidP="008E4AF2"/>
    <w:p w14:paraId="5B222019" w14:textId="42EA144D" w:rsidR="00FD560D" w:rsidRPr="00D91090" w:rsidRDefault="00FD560D">
      <w:r w:rsidRPr="00D91090">
        <w:t>Tyler’s description of having a view presented to a social worker for a final say, was used to describe decisions across a range of issues. Examples included whether or not they could dye their hair to more complex matters like seeing family members. For Tyler the feeling of passivity in any type of decision</w:t>
      </w:r>
      <w:r w:rsidR="00D42912">
        <w:t>-making</w:t>
      </w:r>
      <w:r w:rsidRPr="00D91090">
        <w:t xml:space="preserve"> was present throughout their care experience and feeling excluded by social workers was a repeated pattern. For Tyler the acceptance of not being involved had to be weighed up with preserving the relationship with the social worker:</w:t>
      </w:r>
    </w:p>
    <w:p w14:paraId="4736516C"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F72D508" w14:textId="77777777" w:rsidTr="00ED3D34">
        <w:tc>
          <w:tcPr>
            <w:tcW w:w="1413" w:type="dxa"/>
          </w:tcPr>
          <w:p w14:paraId="09DE7D1F" w14:textId="77777777" w:rsidR="00FD560D" w:rsidRPr="00D91090" w:rsidRDefault="00FD560D">
            <w:r w:rsidRPr="00D91090">
              <w:t>Tyler:</w:t>
            </w:r>
          </w:p>
        </w:tc>
        <w:tc>
          <w:tcPr>
            <w:tcW w:w="6888" w:type="dxa"/>
          </w:tcPr>
          <w:p w14:paraId="3772BC6B" w14:textId="586746D0" w:rsidR="00FD560D" w:rsidRPr="00D91090" w:rsidRDefault="00D42912" w:rsidP="007B4C41">
            <w:pPr>
              <w:pStyle w:val="tablecontent-singlespaced"/>
            </w:pPr>
            <w:r>
              <w:t>Y</w:t>
            </w:r>
            <w:r w:rsidR="00FD560D" w:rsidRPr="00D91090">
              <w:t>ou sorta get like used to it (.) I liked [name of social worker] so I kept quiet (.) you don’t want like them to like think that you are difficult (.) they might leave.</w:t>
            </w:r>
          </w:p>
          <w:p w14:paraId="47B32A84" w14:textId="77777777" w:rsidR="00FD560D" w:rsidRPr="00D91090" w:rsidRDefault="00FD560D"/>
        </w:tc>
      </w:tr>
      <w:tr w:rsidR="00FD560D" w:rsidRPr="00D91090" w14:paraId="73E138BC" w14:textId="77777777" w:rsidTr="00ED3D34">
        <w:tc>
          <w:tcPr>
            <w:tcW w:w="1413" w:type="dxa"/>
          </w:tcPr>
          <w:p w14:paraId="33636DE5" w14:textId="77777777" w:rsidR="00FD560D" w:rsidRPr="00D91090" w:rsidRDefault="00FD560D" w:rsidP="008E4AF2">
            <w:r w:rsidRPr="00D91090">
              <w:t xml:space="preserve">Sally: </w:t>
            </w:r>
          </w:p>
        </w:tc>
        <w:tc>
          <w:tcPr>
            <w:tcW w:w="6888" w:type="dxa"/>
          </w:tcPr>
          <w:p w14:paraId="087BC9CE" w14:textId="637F74E4" w:rsidR="00FD560D" w:rsidRPr="00D91090" w:rsidRDefault="00D42912" w:rsidP="007B4C41">
            <w:pPr>
              <w:pStyle w:val="tablecontent-singlespaced"/>
            </w:pPr>
            <w:r>
              <w:t>C</w:t>
            </w:r>
            <w:r w:rsidR="00FD560D" w:rsidRPr="00D91090">
              <w:t>an I check what yo</w:t>
            </w:r>
            <w:r w:rsidR="00B941F3">
              <w:t>u’r</w:t>
            </w:r>
            <w:r w:rsidR="00FD560D" w:rsidRPr="00D91090">
              <w:t xml:space="preserve">e </w:t>
            </w:r>
            <w:r w:rsidR="00B941F3" w:rsidRPr="00D91090">
              <w:t>saying?</w:t>
            </w:r>
            <w:r w:rsidR="00FD560D" w:rsidRPr="00D91090">
              <w:t xml:space="preserve"> I’ve understood that you mean you might go along with the social worker even if it wasn’t what you wanted?</w:t>
            </w:r>
          </w:p>
          <w:p w14:paraId="0FF98EA0" w14:textId="77777777" w:rsidR="00FD560D" w:rsidRPr="00D91090" w:rsidRDefault="00FD560D"/>
        </w:tc>
      </w:tr>
      <w:tr w:rsidR="00FD560D" w:rsidRPr="00D91090" w14:paraId="281B5014" w14:textId="77777777" w:rsidTr="00ED3D34">
        <w:tc>
          <w:tcPr>
            <w:tcW w:w="1413" w:type="dxa"/>
          </w:tcPr>
          <w:p w14:paraId="224A6F5F" w14:textId="77777777" w:rsidR="00FD560D" w:rsidRPr="00D91090" w:rsidRDefault="00FD560D" w:rsidP="008E4AF2">
            <w:r w:rsidRPr="00D91090">
              <w:t>Tyler:</w:t>
            </w:r>
          </w:p>
        </w:tc>
        <w:tc>
          <w:tcPr>
            <w:tcW w:w="6888" w:type="dxa"/>
          </w:tcPr>
          <w:p w14:paraId="1C9F58B8" w14:textId="77777777" w:rsidR="00FD560D" w:rsidRPr="00D91090" w:rsidRDefault="00FD560D" w:rsidP="007B4C41">
            <w:pPr>
              <w:pStyle w:val="tablecontent-singlespaced"/>
            </w:pPr>
            <w:r w:rsidRPr="00D91090">
              <w:t>Yes, it was easier in the long run.</w:t>
            </w:r>
          </w:p>
        </w:tc>
      </w:tr>
    </w:tbl>
    <w:p w14:paraId="3ADBE2D0" w14:textId="77777777" w:rsidR="00FD560D" w:rsidRPr="00D91090" w:rsidRDefault="00FD560D" w:rsidP="008E4AF2"/>
    <w:p w14:paraId="2AA1C342" w14:textId="77777777" w:rsidR="00FD560D" w:rsidRPr="00D91090" w:rsidRDefault="00FD560D">
      <w:r w:rsidRPr="00D91090">
        <w:lastRenderedPageBreak/>
        <w:t>Jonathan’s experience was similar, outlining ongoing feelings of being marginalised in things that were important to them:</w:t>
      </w:r>
    </w:p>
    <w:p w14:paraId="1ACC9019" w14:textId="77777777" w:rsidR="00FD560D" w:rsidRPr="00D91090" w:rsidRDefault="00FD560D"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A44E414" w14:textId="77777777" w:rsidTr="00ED3D34">
        <w:tc>
          <w:tcPr>
            <w:tcW w:w="1413" w:type="dxa"/>
          </w:tcPr>
          <w:p w14:paraId="34C0CFBF" w14:textId="77777777" w:rsidR="00FD560D" w:rsidRPr="00D91090" w:rsidRDefault="00FD560D" w:rsidP="008E4AF2">
            <w:r w:rsidRPr="00D91090">
              <w:t>Sally:</w:t>
            </w:r>
          </w:p>
        </w:tc>
        <w:tc>
          <w:tcPr>
            <w:tcW w:w="6888" w:type="dxa"/>
          </w:tcPr>
          <w:p w14:paraId="63EEA2DC" w14:textId="222723D4" w:rsidR="00FD560D" w:rsidRPr="00D91090" w:rsidRDefault="00D42912" w:rsidP="007B4C41">
            <w:pPr>
              <w:pStyle w:val="tablecontent-singlespaced"/>
            </w:pPr>
            <w:r>
              <w:t>C</w:t>
            </w:r>
            <w:r w:rsidR="00FD560D" w:rsidRPr="00D91090">
              <w:t>ould y</w:t>
            </w:r>
            <w:r w:rsidR="005D0959">
              <w:t>’</w:t>
            </w:r>
            <w:r w:rsidR="00FD560D" w:rsidRPr="00D91090">
              <w:t xml:space="preserve">tell me a bit about how you feel you were involved in decisions </w:t>
            </w:r>
            <w:r>
              <w:t>about</w:t>
            </w:r>
            <w:r w:rsidR="00FD560D" w:rsidRPr="00D91090">
              <w:t xml:space="preserve"> your life?</w:t>
            </w:r>
          </w:p>
          <w:p w14:paraId="54EAAEE8" w14:textId="77777777" w:rsidR="00FD560D" w:rsidRPr="00D91090" w:rsidRDefault="00FD560D"/>
        </w:tc>
      </w:tr>
      <w:tr w:rsidR="00FD560D" w:rsidRPr="00D91090" w14:paraId="17495366" w14:textId="77777777" w:rsidTr="00ED3D34">
        <w:tc>
          <w:tcPr>
            <w:tcW w:w="1413" w:type="dxa"/>
          </w:tcPr>
          <w:p w14:paraId="4FEEBF63" w14:textId="77777777" w:rsidR="00FD560D" w:rsidRPr="00D91090" w:rsidRDefault="00FD560D" w:rsidP="008E4AF2">
            <w:r w:rsidRPr="00D91090">
              <w:t>Jonathan:</w:t>
            </w:r>
          </w:p>
        </w:tc>
        <w:tc>
          <w:tcPr>
            <w:tcW w:w="6888" w:type="dxa"/>
          </w:tcPr>
          <w:p w14:paraId="153116EE" w14:textId="7E20C514" w:rsidR="00FD560D" w:rsidRPr="00D91090" w:rsidRDefault="00FD560D" w:rsidP="007B4C41">
            <w:pPr>
              <w:pStyle w:val="tablecontent-singlespaced"/>
            </w:pPr>
            <w:r w:rsidRPr="00D91090">
              <w:t>I don't think I was</w:t>
            </w:r>
            <w:r w:rsidR="00637B97">
              <w:t xml:space="preserve"> … </w:t>
            </w:r>
            <w:r w:rsidRPr="00D91090">
              <w:t xml:space="preserve">yeah you are not listened to (.) your considerations are not taken into account, um </w:t>
            </w:r>
            <w:r w:rsidR="00DB7494" w:rsidRPr="00D91090">
              <w:t>yes,</w:t>
            </w:r>
            <w:r w:rsidRPr="00D91090">
              <w:t xml:space="preserve"> I've had some helpful social workers with the amount I've ha</w:t>
            </w:r>
            <w:r w:rsidR="00B941F3">
              <w:t>d (.)</w:t>
            </w:r>
            <w:r w:rsidRPr="00D91090">
              <w:t xml:space="preserve"> but mostly your opinions are really sort of dulled and muted as such (.) your um voice isn't heard</w:t>
            </w:r>
            <w:r w:rsidR="00D42912">
              <w:t>.</w:t>
            </w:r>
          </w:p>
        </w:tc>
      </w:tr>
    </w:tbl>
    <w:p w14:paraId="7311269A" w14:textId="77777777" w:rsidR="00FD560D" w:rsidRPr="00D91090" w:rsidRDefault="00FD560D" w:rsidP="006E3485"/>
    <w:p w14:paraId="2943D040" w14:textId="77777777" w:rsidR="00FD560D" w:rsidRPr="00D91090" w:rsidRDefault="00FD560D" w:rsidP="008E4AF2">
      <w:r w:rsidRPr="00D91090">
        <w:t>Cally also described how carers or social workers often made decisions on their behalf. Whilst Cally described this as a frustrating experience, they explained that these decisions often reflected the choices they would have made if they had been asked:</w:t>
      </w:r>
    </w:p>
    <w:p w14:paraId="2998E584" w14:textId="77777777" w:rsidR="00FD560D" w:rsidRPr="00D91090"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4D8DBAF" w14:textId="77777777" w:rsidTr="00ED3D34">
        <w:tc>
          <w:tcPr>
            <w:tcW w:w="1413" w:type="dxa"/>
          </w:tcPr>
          <w:p w14:paraId="32B52B2B" w14:textId="77777777" w:rsidR="00FD560D" w:rsidRPr="00D91090" w:rsidRDefault="00FD560D">
            <w:r w:rsidRPr="00D91090">
              <w:t>Cally:</w:t>
            </w:r>
          </w:p>
        </w:tc>
        <w:tc>
          <w:tcPr>
            <w:tcW w:w="6888" w:type="dxa"/>
          </w:tcPr>
          <w:p w14:paraId="6B45EE6E" w14:textId="77777777" w:rsidR="00FD560D" w:rsidRPr="00D91090" w:rsidRDefault="00FD560D" w:rsidP="007B4C41">
            <w:pPr>
              <w:pStyle w:val="tablecontent-singlespaced"/>
            </w:pPr>
            <w:r w:rsidRPr="00D91090">
              <w:t>I reckon they think I've literally gone along [with them], but erm that's nothing like it (.) if I'd wanted something different that's what would've happened.</w:t>
            </w:r>
          </w:p>
        </w:tc>
      </w:tr>
    </w:tbl>
    <w:p w14:paraId="3E70ADCE" w14:textId="77777777" w:rsidR="00FD560D" w:rsidRPr="00D91090" w:rsidRDefault="00FD560D" w:rsidP="006E3485"/>
    <w:p w14:paraId="3D14135A" w14:textId="5835A914" w:rsidR="00FD560D" w:rsidRPr="00D91090" w:rsidRDefault="00FD560D" w:rsidP="008E4AF2">
      <w:r w:rsidRPr="00D91090">
        <w:t>In one example Cally referred to living with a family member, where the social worker announced the decision once it had been made. Cally felt that the social worker would have the impression that they were fully in control of the situation whereas Cally’s view was that their compliance was on their terms:</w:t>
      </w:r>
    </w:p>
    <w:p w14:paraId="46374062"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6AFA290" w14:textId="77777777" w:rsidTr="00ED3D34">
        <w:tc>
          <w:tcPr>
            <w:tcW w:w="1413" w:type="dxa"/>
          </w:tcPr>
          <w:p w14:paraId="50ADBD87" w14:textId="77777777" w:rsidR="00FD560D" w:rsidRPr="00D91090" w:rsidRDefault="00FD560D">
            <w:r w:rsidRPr="00D91090">
              <w:t>Sally:</w:t>
            </w:r>
          </w:p>
        </w:tc>
        <w:tc>
          <w:tcPr>
            <w:tcW w:w="6888" w:type="dxa"/>
          </w:tcPr>
          <w:p w14:paraId="344CBA49" w14:textId="4070CF5E" w:rsidR="00FD560D" w:rsidRPr="00D91090" w:rsidRDefault="00FD560D" w:rsidP="007B4C41">
            <w:pPr>
              <w:pStyle w:val="tablecontent-singlespaced"/>
            </w:pPr>
            <w:r w:rsidRPr="00D91090">
              <w:t>Can I check what yo</w:t>
            </w:r>
            <w:r w:rsidR="00B941F3">
              <w:t>u’r</w:t>
            </w:r>
            <w:r w:rsidRPr="00D91090">
              <w:t xml:space="preserve">e saying is that </w:t>
            </w:r>
            <w:r w:rsidR="00B941F3">
              <w:t>you’ve</w:t>
            </w:r>
            <w:r w:rsidRPr="00D91090">
              <w:t xml:space="preserve"> made choices, but it hasn’t seemed like your decision because other people have said what</w:t>
            </w:r>
            <w:r w:rsidR="00B941F3">
              <w:t>’</w:t>
            </w:r>
            <w:r w:rsidRPr="00D91090">
              <w:t>s happening?</w:t>
            </w:r>
          </w:p>
          <w:p w14:paraId="7E935EFA" w14:textId="77777777" w:rsidR="00FD560D" w:rsidRPr="00D91090" w:rsidRDefault="00FD560D"/>
        </w:tc>
      </w:tr>
      <w:tr w:rsidR="00FD560D" w:rsidRPr="00D91090" w14:paraId="7092757B" w14:textId="77777777" w:rsidTr="00ED3D34">
        <w:tc>
          <w:tcPr>
            <w:tcW w:w="1413" w:type="dxa"/>
          </w:tcPr>
          <w:p w14:paraId="4AFC775B" w14:textId="77777777" w:rsidR="00FD560D" w:rsidRPr="00D91090" w:rsidRDefault="00FD560D" w:rsidP="008E4AF2">
            <w:r w:rsidRPr="00D91090">
              <w:t>Cally:</w:t>
            </w:r>
          </w:p>
        </w:tc>
        <w:tc>
          <w:tcPr>
            <w:tcW w:w="6888" w:type="dxa"/>
          </w:tcPr>
          <w:p w14:paraId="527BC070" w14:textId="56F2815C" w:rsidR="00FD560D" w:rsidRPr="00D91090" w:rsidRDefault="00BF07E0" w:rsidP="007B4C41">
            <w:pPr>
              <w:pStyle w:val="tablecontent-singlespaced"/>
            </w:pPr>
            <w:r>
              <w:t>T</w:t>
            </w:r>
            <w:r w:rsidR="00FD560D" w:rsidRPr="00D91090">
              <w:t>hat’s it, I have never been asked really, but they think they’re in control.</w:t>
            </w:r>
          </w:p>
        </w:tc>
      </w:tr>
    </w:tbl>
    <w:p w14:paraId="3DB1E5FF" w14:textId="77777777" w:rsidR="00FD560D" w:rsidRPr="00D91090" w:rsidRDefault="00FD560D" w:rsidP="006E3485">
      <w:r w:rsidRPr="00D91090">
        <w:t xml:space="preserve"> </w:t>
      </w:r>
    </w:p>
    <w:p w14:paraId="31B5C369" w14:textId="70365616" w:rsidR="00FD560D" w:rsidRDefault="00FD560D" w:rsidP="00BF07E0">
      <w:r w:rsidRPr="00D91090">
        <w:lastRenderedPageBreak/>
        <w:t xml:space="preserve">Cally’s sense of control appears to be borne out of a coincidental agreement about a series of decisions made. Whilst the lack of involvement was experienced as frustrating and unhelpful, Cally believed that they could alter a decision if it contradicted their own idea. Having an internal trump card to challenge decisions made about them seemed to compensate for the lack of overt participation </w:t>
      </w:r>
      <w:r w:rsidR="00605984">
        <w:t xml:space="preserve">with </w:t>
      </w:r>
      <w:r w:rsidRPr="00D91090">
        <w:t>workers and carers. Feeling denied in making or participating in decision</w:t>
      </w:r>
      <w:r w:rsidR="00D42912">
        <w:t>-</w:t>
      </w:r>
      <w:r w:rsidRPr="00D91090">
        <w:t xml:space="preserve">making processes appeared to leave young people with the impression that either their point of view was unimportant or that they were not permitted to share their perspective. Their experiences suggested a pattern of exclusion from participating in the majority of decisions they described. Although it was unclear if this applied to every type of decision, their descriptions of minor and more significant decisions appeared to co-occur. </w:t>
      </w:r>
      <w:r w:rsidR="00576E46">
        <w:t>C</w:t>
      </w:r>
      <w:r w:rsidRPr="00D91090">
        <w:t xml:space="preserve">onflating questions about </w:t>
      </w:r>
      <w:r w:rsidR="00605984" w:rsidRPr="00D91090">
        <w:t>day-to-day</w:t>
      </w:r>
      <w:r w:rsidRPr="00D91090">
        <w:t xml:space="preserve"> issues </w:t>
      </w:r>
      <w:r w:rsidR="0067448C">
        <w:t>such as</w:t>
      </w:r>
      <w:r w:rsidRPr="00D91090">
        <w:t xml:space="preserve"> meal choices with visits </w:t>
      </w:r>
      <w:r w:rsidR="00605984">
        <w:t>to</w:t>
      </w:r>
      <w:r w:rsidRPr="00D91090">
        <w:t xml:space="preserve"> birth families, indicated that whilst there might be different levels of consequence</w:t>
      </w:r>
      <w:r w:rsidR="0067448C">
        <w:t>,</w:t>
      </w:r>
      <w:r w:rsidRPr="00D91090">
        <w:t xml:space="preserve"> the feelings about being shut out from having a say had a cumulative impact of being out of control. </w:t>
      </w:r>
    </w:p>
    <w:p w14:paraId="25165250" w14:textId="1844ED4D" w:rsidR="00FD560D" w:rsidRPr="00D91090" w:rsidRDefault="00FD560D" w:rsidP="008E4AF2">
      <w:r w:rsidRPr="00D91090">
        <w:t xml:space="preserve">Being in control or recognised as being agentive was seen as an essential part of their care experience, however young people indicated that their voices were routinely stifled when it came to making decisions about their lives. In some </w:t>
      </w:r>
      <w:r w:rsidR="00605984" w:rsidRPr="00D91090">
        <w:t>cases,</w:t>
      </w:r>
      <w:r w:rsidRPr="00D91090">
        <w:t xml:space="preserve"> young people identified the act of being asked for their point of view, however remained unconvinced that they had a genuine stake in the final outcome. This feeling was exemplified by Jonathan’s description that once voiced, their views became ‘dulled and muted’. Whilst young people might have been asked to express a view,</w:t>
      </w:r>
      <w:r w:rsidR="00605984">
        <w:t xml:space="preserve"> airing their opinion did not</w:t>
      </w:r>
      <w:r w:rsidRPr="00D91090">
        <w:t xml:space="preserve"> guarantee their participation in the decision. </w:t>
      </w:r>
    </w:p>
    <w:p w14:paraId="64FEE9A8" w14:textId="0F1D7032" w:rsidR="00FD560D" w:rsidRPr="00D91090" w:rsidRDefault="00FD560D">
      <w:r w:rsidRPr="00D91090">
        <w:t>Issues of control were echoed further in a number of the interviews when decision</w:t>
      </w:r>
      <w:r w:rsidR="00D42912">
        <w:t>-</w:t>
      </w:r>
      <w:r w:rsidRPr="00D91090">
        <w:t>making was discussed. In Beth’s situation they felt that the social worker’s involvement compromised their autonomy. In one example where Beth referred to friendships and romantic relationships, the intervention of a social worker was seen as controlling and unnecessary due to the oversight of the carer:</w:t>
      </w:r>
    </w:p>
    <w:p w14:paraId="2256B457"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9A13605" w14:textId="77777777" w:rsidTr="00ED3D34">
        <w:tc>
          <w:tcPr>
            <w:tcW w:w="1413" w:type="dxa"/>
          </w:tcPr>
          <w:p w14:paraId="73512D11" w14:textId="77777777" w:rsidR="00FD560D" w:rsidRPr="00D91090" w:rsidRDefault="00FD560D">
            <w:r w:rsidRPr="00D91090">
              <w:t>Beth:</w:t>
            </w:r>
          </w:p>
        </w:tc>
        <w:tc>
          <w:tcPr>
            <w:tcW w:w="6888" w:type="dxa"/>
          </w:tcPr>
          <w:p w14:paraId="0C3ADF9D" w14:textId="19A54CBA" w:rsidR="00FD560D" w:rsidRPr="00D91090" w:rsidRDefault="00D42912" w:rsidP="007B4C41">
            <w:pPr>
              <w:pStyle w:val="tablecontent-singlespaced"/>
            </w:pPr>
            <w:r>
              <w:t>I</w:t>
            </w:r>
            <w:r w:rsidR="00FD560D" w:rsidRPr="00D91090">
              <w:t>t’s like how can you come out and control it, how can you all control me when I have a foster carer (.) she's the one. They don’t get it.</w:t>
            </w:r>
          </w:p>
        </w:tc>
      </w:tr>
    </w:tbl>
    <w:p w14:paraId="48A22932" w14:textId="77777777" w:rsidR="00FD560D" w:rsidRPr="00D91090" w:rsidRDefault="00FD560D" w:rsidP="008E4AF2"/>
    <w:p w14:paraId="101332AB" w14:textId="56A70E3F" w:rsidR="00FD560D" w:rsidRDefault="00FD560D" w:rsidP="008E4AF2">
      <w:r w:rsidRPr="00D91090">
        <w:lastRenderedPageBreak/>
        <w:t>Beth’s understanding was that t</w:t>
      </w:r>
      <w:r w:rsidR="00605984">
        <w:t>hey were accountable</w:t>
      </w:r>
      <w:r w:rsidRPr="00D91090">
        <w:t xml:space="preserve"> to the foster carer and not the social worker</w:t>
      </w:r>
      <w:r w:rsidR="00605984">
        <w:t>,</w:t>
      </w:r>
      <w:r w:rsidRPr="00D91090">
        <w:t xml:space="preserve"> and</w:t>
      </w:r>
      <w:r w:rsidR="00A3717C">
        <w:t xml:space="preserve"> they</w:t>
      </w:r>
      <w:r w:rsidRPr="00D91090">
        <w:t xml:space="preserve"> seemed to question why there were two </w:t>
      </w:r>
      <w:r w:rsidR="0067448C">
        <w:t>authority</w:t>
      </w:r>
      <w:r w:rsidRPr="00D91090">
        <w:t xml:space="preserve"> figures in their life. Hannah and Jonathan also talked about the lines of authority between the social workers and their carers: </w:t>
      </w:r>
    </w:p>
    <w:p w14:paraId="61DA64C5" w14:textId="77777777" w:rsidR="000C16BA" w:rsidRPr="00D91090" w:rsidRDefault="000C16BA"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08619D8" w14:textId="77777777" w:rsidTr="00ED3D34">
        <w:tc>
          <w:tcPr>
            <w:tcW w:w="1413" w:type="dxa"/>
          </w:tcPr>
          <w:p w14:paraId="3FC31ABF" w14:textId="77777777" w:rsidR="00FD560D" w:rsidRPr="00D91090" w:rsidRDefault="00FD560D">
            <w:r w:rsidRPr="00D91090">
              <w:t>Hannah:</w:t>
            </w:r>
          </w:p>
        </w:tc>
        <w:tc>
          <w:tcPr>
            <w:tcW w:w="6888" w:type="dxa"/>
          </w:tcPr>
          <w:p w14:paraId="3AE5F8A3" w14:textId="757D4991" w:rsidR="00FD560D" w:rsidRPr="00D91090" w:rsidRDefault="00FD560D" w:rsidP="007B4C41">
            <w:pPr>
              <w:pStyle w:val="tablecontent-singlespaced"/>
            </w:pPr>
            <w:r w:rsidRPr="00D91090">
              <w:t xml:space="preserve">What I didn’t get was that my carer was brilliant and laid the law down when needed (.) but like even she would be worried </w:t>
            </w:r>
            <w:r w:rsidR="00D42912">
              <w:t>a</w:t>
            </w:r>
            <w:r w:rsidRPr="00D91090">
              <w:t>bout which way the social worker’d go. It’s like they were the boss of us all with me at the bottom.</w:t>
            </w:r>
          </w:p>
          <w:p w14:paraId="23806A98" w14:textId="77777777" w:rsidR="00FD560D" w:rsidRPr="00D91090" w:rsidRDefault="00FD560D"/>
        </w:tc>
      </w:tr>
      <w:tr w:rsidR="00FD560D" w:rsidRPr="00D91090" w14:paraId="77E219F3" w14:textId="77777777" w:rsidTr="00ED3D34">
        <w:tc>
          <w:tcPr>
            <w:tcW w:w="1413" w:type="dxa"/>
          </w:tcPr>
          <w:p w14:paraId="039A3808" w14:textId="77777777" w:rsidR="00FD560D" w:rsidRPr="00D91090" w:rsidRDefault="00FD560D" w:rsidP="008E4AF2">
            <w:r w:rsidRPr="00D91090">
              <w:t>Jonathan:</w:t>
            </w:r>
          </w:p>
        </w:tc>
        <w:tc>
          <w:tcPr>
            <w:tcW w:w="6888" w:type="dxa"/>
          </w:tcPr>
          <w:p w14:paraId="4E644619" w14:textId="77777777" w:rsidR="00FD560D" w:rsidRPr="00D91090" w:rsidRDefault="00FD560D" w:rsidP="007B4C41">
            <w:pPr>
              <w:pStyle w:val="tablecontent-singlespaced"/>
            </w:pPr>
            <w:r w:rsidRPr="00D91090">
              <w:t xml:space="preserve">It was always carer first then they would have to check with my social worker (.) I didn’t know who was in charge (.) it wasn’t me that for sure (.) but it wasn’t my foster carers neither. </w:t>
            </w:r>
          </w:p>
        </w:tc>
      </w:tr>
    </w:tbl>
    <w:p w14:paraId="71193F66" w14:textId="1258CA43" w:rsidR="005D0F33" w:rsidRDefault="005D0F33"/>
    <w:p w14:paraId="4D3B51B6" w14:textId="46959F1D" w:rsidR="00FD560D" w:rsidRPr="00D91090" w:rsidRDefault="00FD560D">
      <w:r w:rsidRPr="00D91090">
        <w:t>The points made by Beth, Hannah and Jonathan indicate that the young person understood that they are only one party in the decision</w:t>
      </w:r>
      <w:r w:rsidR="005D0F33">
        <w:t>-</w:t>
      </w:r>
      <w:r w:rsidRPr="00D91090">
        <w:t>making process. The</w:t>
      </w:r>
      <w:r w:rsidR="005D0F33">
        <w:t>y</w:t>
      </w:r>
      <w:r w:rsidRPr="00D91090">
        <w:t xml:space="preserve"> appeared to recognise a hierarchy within their network, where they felt at the ‘bottom’ and least able to determine decision outcomes. Their responses also seem to suggest that their carers were excluded from decision</w:t>
      </w:r>
      <w:r w:rsidR="005D0F33">
        <w:t>-</w:t>
      </w:r>
      <w:r w:rsidRPr="00D91090">
        <w:t xml:space="preserve">making which they felt was unjust and in conflict with the idea of a family placement. Jonathan also wondered how this would impact on </w:t>
      </w:r>
      <w:r w:rsidR="00605984">
        <w:t xml:space="preserve">other </w:t>
      </w:r>
      <w:r w:rsidRPr="00D91090">
        <w:t>young people:</w:t>
      </w:r>
    </w:p>
    <w:p w14:paraId="4C900FB9" w14:textId="77777777" w:rsidR="00FD560D" w:rsidRPr="00D91090" w:rsidRDefault="00FD560D">
      <w:r w:rsidRPr="00D91090">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1403F7F" w14:textId="77777777" w:rsidTr="00ED3D34">
        <w:tc>
          <w:tcPr>
            <w:tcW w:w="1413" w:type="dxa"/>
          </w:tcPr>
          <w:p w14:paraId="4DB81C86" w14:textId="77777777" w:rsidR="00FD560D" w:rsidRPr="00D91090" w:rsidRDefault="00FD560D">
            <w:r w:rsidRPr="00D91090">
              <w:t>Jonathan:</w:t>
            </w:r>
          </w:p>
        </w:tc>
        <w:tc>
          <w:tcPr>
            <w:tcW w:w="6888" w:type="dxa"/>
          </w:tcPr>
          <w:p w14:paraId="2B2B253C" w14:textId="7505E3D7" w:rsidR="00FD560D" w:rsidRPr="00D91090" w:rsidRDefault="00FD560D" w:rsidP="007B4C41">
            <w:pPr>
              <w:pStyle w:val="tablecontent-singlespaced"/>
            </w:pPr>
            <w:r w:rsidRPr="00D91090">
              <w:t>If the carers don’t stand up to them [social workers] and we can</w:t>
            </w:r>
            <w:r w:rsidR="00421F4C">
              <w:t>’</w:t>
            </w:r>
            <w:r w:rsidRPr="00D91090">
              <w:t>t (.) then (.) what hope is there if you are like qui</w:t>
            </w:r>
            <w:r w:rsidR="00605984">
              <w:t>et</w:t>
            </w:r>
            <w:r w:rsidRPr="00D91090">
              <w:t xml:space="preserve"> or only just moved in</w:t>
            </w:r>
            <w:r w:rsidR="005D0F33">
              <w:t>.</w:t>
            </w:r>
          </w:p>
        </w:tc>
      </w:tr>
    </w:tbl>
    <w:p w14:paraId="08D0B6AB" w14:textId="77777777" w:rsidR="00FD560D" w:rsidRPr="00D91090" w:rsidRDefault="00FD560D" w:rsidP="008E4AF2"/>
    <w:p w14:paraId="7528C60B" w14:textId="6D448CF8" w:rsidR="00FD560D" w:rsidRPr="00D91090" w:rsidRDefault="00FD560D">
      <w:r w:rsidRPr="00D91090">
        <w:t xml:space="preserve">Overwhelmingly </w:t>
      </w:r>
      <w:r w:rsidR="00202655">
        <w:t>s</w:t>
      </w:r>
      <w:r w:rsidRPr="00D91090">
        <w:t xml:space="preserve">ocial </w:t>
      </w:r>
      <w:r w:rsidR="00202655">
        <w:t>w</w:t>
      </w:r>
      <w:r w:rsidRPr="00D91090">
        <w:t xml:space="preserve">orkers were seen as obstructive to participant’s feelings of </w:t>
      </w:r>
      <w:r w:rsidR="00782C46">
        <w:t>autonomy</w:t>
      </w:r>
      <w:r w:rsidRPr="00D91090">
        <w:t xml:space="preserve"> and involvement. Conversely foster carers were generally portrayed as being facilitative and able to advocate their views. Examples of feeling heard or involved often seemed reliant on their carer to either speak on their behalf or support them to share their view. Being active in decision</w:t>
      </w:r>
      <w:r w:rsidR="00F943E7">
        <w:t>-</w:t>
      </w:r>
      <w:r w:rsidRPr="00D91090">
        <w:t>making processes did appear to be contingent on the carer’s ability or willingness to facilitate their involvement, however young people indicated that this was not a failsafe situation. Although seen as a positive way to participate in decision</w:t>
      </w:r>
      <w:r w:rsidR="005D0F33">
        <w:t>-</w:t>
      </w:r>
      <w:r w:rsidRPr="00D91090">
        <w:t>making processes, young people were aware of potential shortcomings in this dynamic. Some young people questioned or recognised the complexity of their carers</w:t>
      </w:r>
      <w:r w:rsidR="00112BD6">
        <w:t>’</w:t>
      </w:r>
      <w:r w:rsidRPr="00D91090">
        <w:t xml:space="preserve"> relationships </w:t>
      </w:r>
      <w:r w:rsidRPr="00D91090">
        <w:lastRenderedPageBreak/>
        <w:t>with social care professionals. Their responses indicated a perception that foster carers were also marginalised or excluded, or in some cases wary of repercussions to their relationship with social workers. In these discussions</w:t>
      </w:r>
      <w:r w:rsidR="00392F50">
        <w:t>,</w:t>
      </w:r>
      <w:r w:rsidRPr="00D91090">
        <w:t xml:space="preserve"> young people appeared to be questioning both their agency and the agency of their foster carers. The interplay between young person, carer and social worker when making decisions, indicate</w:t>
      </w:r>
      <w:r w:rsidR="00605984">
        <w:t>d</w:t>
      </w:r>
      <w:r w:rsidRPr="00D91090">
        <w:t xml:space="preserve"> a hierarchy of decision maker, where the young person and the carer’s view were circumscribed by professionals. It was evident that whilst all parties were, to some degree, part of the </w:t>
      </w:r>
      <w:r w:rsidR="00F943E7" w:rsidRPr="00D91090">
        <w:t>decision-making</w:t>
      </w:r>
      <w:r w:rsidRPr="00D91090">
        <w:t xml:space="preserve"> process, not all participants had an equivalent say in deciding </w:t>
      </w:r>
      <w:r w:rsidR="005D0F33">
        <w:t>the outcome</w:t>
      </w:r>
      <w:r w:rsidRPr="00D91090">
        <w:t>. Without the authorising behaviour of a social worker, matters of agency, control and involvement noted by young people</w:t>
      </w:r>
      <w:r w:rsidR="00D742C9">
        <w:t>,</w:t>
      </w:r>
      <w:r w:rsidRPr="00D91090">
        <w:t xml:space="preserve"> were uncertain.</w:t>
      </w:r>
    </w:p>
    <w:p w14:paraId="2EECDD31" w14:textId="4A370519" w:rsidR="00FD560D" w:rsidRPr="00D91090" w:rsidRDefault="00FD560D">
      <w:r w:rsidRPr="00D91090">
        <w:t xml:space="preserve">Where the majority of young people felt they had little say in the choices about events in their life, Cain’s carers and social workers appeared to provide a different balance. Cain felt that both their social workers and carers supported their </w:t>
      </w:r>
      <w:r w:rsidR="00DC59B2">
        <w:t>decision-making</w:t>
      </w:r>
      <w:r w:rsidRPr="00D91090">
        <w:t xml:space="preserve"> and commented on a perceived advantage over other young people in care:</w:t>
      </w:r>
    </w:p>
    <w:p w14:paraId="4FEE710C"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4A9A6D9" w14:textId="77777777" w:rsidTr="00ED3D34">
        <w:tc>
          <w:tcPr>
            <w:tcW w:w="1413" w:type="dxa"/>
          </w:tcPr>
          <w:p w14:paraId="0973C7CF" w14:textId="77777777" w:rsidR="00FD560D" w:rsidRPr="00D91090" w:rsidRDefault="00FD560D">
            <w:r w:rsidRPr="00D91090">
              <w:t>Cain:</w:t>
            </w:r>
          </w:p>
        </w:tc>
        <w:tc>
          <w:tcPr>
            <w:tcW w:w="6888" w:type="dxa"/>
          </w:tcPr>
          <w:p w14:paraId="39C4F9A3" w14:textId="5DD3E0D1" w:rsidR="00FD560D" w:rsidRPr="00D91090" w:rsidRDefault="00FD560D" w:rsidP="007B4C41">
            <w:pPr>
              <w:pStyle w:val="tablecontent-singlespaced"/>
            </w:pPr>
            <w:r w:rsidRPr="00D91090">
              <w:t xml:space="preserve">I never felt that I was made to do anything (.) they </w:t>
            </w:r>
            <w:r w:rsidR="005D0F33">
              <w:t xml:space="preserve">[social worker] </w:t>
            </w:r>
            <w:r w:rsidRPr="00D91090">
              <w:t>would just sit down and listen (.) and I really felt it like they cared about what I wanted and what I said ((pause)) and my foster mum and dad are the same (.) they are brilliant (.) I know it’s not the same for all kids in care.</w:t>
            </w:r>
          </w:p>
        </w:tc>
      </w:tr>
    </w:tbl>
    <w:p w14:paraId="0B72BB5C" w14:textId="77777777" w:rsidR="00FD560D" w:rsidRPr="00D91090" w:rsidRDefault="00FD560D" w:rsidP="008E4AF2"/>
    <w:p w14:paraId="4B8A7ACF" w14:textId="519EB208" w:rsidR="00FD560D" w:rsidRPr="00D91090" w:rsidRDefault="00FD560D" w:rsidP="008E4AF2">
      <w:r w:rsidRPr="00D91090">
        <w:t>In Cain</w:t>
      </w:r>
      <w:r w:rsidR="00112BD6">
        <w:t xml:space="preserve">’s </w:t>
      </w:r>
      <w:r w:rsidRPr="00D91090">
        <w:t>experience the hierarchy described by other young people was not apparent. Cain seemed to recognise that there was potential for this dynamic, and speculated why it was different for their carers:</w:t>
      </w:r>
    </w:p>
    <w:p w14:paraId="1A962E7E"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790C350" w14:textId="77777777" w:rsidTr="00ED3D34">
        <w:tc>
          <w:tcPr>
            <w:tcW w:w="1413" w:type="dxa"/>
          </w:tcPr>
          <w:p w14:paraId="0E8262B4" w14:textId="77777777" w:rsidR="00FD560D" w:rsidRPr="00D91090" w:rsidRDefault="00FD560D">
            <w:r w:rsidRPr="00D91090">
              <w:t>Cain:</w:t>
            </w:r>
          </w:p>
        </w:tc>
        <w:tc>
          <w:tcPr>
            <w:tcW w:w="6888" w:type="dxa"/>
          </w:tcPr>
          <w:p w14:paraId="3B115F72" w14:textId="24649848" w:rsidR="00FD560D" w:rsidRPr="00D91090" w:rsidRDefault="00FD560D" w:rsidP="007B4C41">
            <w:pPr>
              <w:pStyle w:val="tablecontent-singlespaced"/>
            </w:pPr>
            <w:r w:rsidRPr="00D91090">
              <w:t>There’s no way my foster parents would take any shit from them [social worker]</w:t>
            </w:r>
            <w:r w:rsidR="005D0F33">
              <w:t>.</w:t>
            </w:r>
          </w:p>
          <w:p w14:paraId="248759E7" w14:textId="77777777" w:rsidR="00FD560D" w:rsidRPr="00D91090" w:rsidRDefault="00FD560D"/>
        </w:tc>
      </w:tr>
      <w:tr w:rsidR="00FD560D" w:rsidRPr="00D91090" w14:paraId="66038696" w14:textId="77777777" w:rsidTr="00ED3D34">
        <w:tc>
          <w:tcPr>
            <w:tcW w:w="1413" w:type="dxa"/>
          </w:tcPr>
          <w:p w14:paraId="07A1D072" w14:textId="77777777" w:rsidR="00FD560D" w:rsidRPr="00D91090" w:rsidRDefault="00FD560D" w:rsidP="008E4AF2">
            <w:r w:rsidRPr="00D91090">
              <w:t>Sally:</w:t>
            </w:r>
          </w:p>
        </w:tc>
        <w:tc>
          <w:tcPr>
            <w:tcW w:w="6888" w:type="dxa"/>
          </w:tcPr>
          <w:p w14:paraId="65C66CF8" w14:textId="331B3DE4" w:rsidR="00FD560D" w:rsidRPr="00D91090" w:rsidRDefault="00FD560D" w:rsidP="007B4C41">
            <w:pPr>
              <w:pStyle w:val="tablecontent-singlespaced"/>
            </w:pPr>
            <w:r w:rsidRPr="00D91090">
              <w:t>What d</w:t>
            </w:r>
            <w:r w:rsidR="00B941F3">
              <w:t>’y</w:t>
            </w:r>
            <w:r w:rsidR="00AC672D">
              <w:t>ou</w:t>
            </w:r>
            <w:r w:rsidRPr="00D91090">
              <w:t xml:space="preserve"> mean?</w:t>
            </w:r>
          </w:p>
          <w:p w14:paraId="084F51D8" w14:textId="77777777" w:rsidR="00FD560D" w:rsidRPr="00D91090" w:rsidRDefault="00FD560D"/>
        </w:tc>
      </w:tr>
      <w:tr w:rsidR="00FD560D" w:rsidRPr="00D91090" w14:paraId="7C981FE7" w14:textId="77777777" w:rsidTr="00ED3D34">
        <w:tc>
          <w:tcPr>
            <w:tcW w:w="1413" w:type="dxa"/>
          </w:tcPr>
          <w:p w14:paraId="304F0E65" w14:textId="77777777" w:rsidR="00FD560D" w:rsidRPr="00D91090" w:rsidRDefault="00FD560D" w:rsidP="008E4AF2">
            <w:r w:rsidRPr="00D91090">
              <w:t xml:space="preserve">Cain: </w:t>
            </w:r>
          </w:p>
        </w:tc>
        <w:tc>
          <w:tcPr>
            <w:tcW w:w="6888" w:type="dxa"/>
          </w:tcPr>
          <w:p w14:paraId="63E813BA" w14:textId="5E311E7C" w:rsidR="00FD560D" w:rsidRPr="00D91090" w:rsidRDefault="00FD560D" w:rsidP="007B4C41">
            <w:pPr>
              <w:pStyle w:val="tablecontent-singlespaced"/>
            </w:pPr>
            <w:r w:rsidRPr="00D91090">
              <w:t xml:space="preserve">Well like they are just so experienced and most of the people </w:t>
            </w:r>
            <w:r w:rsidR="005D0F33">
              <w:t xml:space="preserve">[social workers] </w:t>
            </w:r>
            <w:r w:rsidRPr="00D91090">
              <w:t xml:space="preserve">that turn up aren’t(.) they are like grateful (.) grateful that they know what they’re doing (.) my last social worker before (.) didn’t have a clue and the minute they started laying the law down </w:t>
            </w:r>
            <w:r w:rsidRPr="00D91090">
              <w:lastRenderedPageBreak/>
              <w:t>(.) my foster mum was like no that’s not going to happen (.) it was alright after that.</w:t>
            </w:r>
          </w:p>
          <w:p w14:paraId="5949BB02" w14:textId="77777777" w:rsidR="00FD560D" w:rsidRPr="00D91090" w:rsidRDefault="00FD560D"/>
        </w:tc>
      </w:tr>
    </w:tbl>
    <w:p w14:paraId="4F4D9DA2" w14:textId="0DCCCF75" w:rsidR="00FD560D" w:rsidRPr="00D91090" w:rsidRDefault="00FD560D" w:rsidP="008E4AF2">
      <w:r w:rsidRPr="00D91090">
        <w:lastRenderedPageBreak/>
        <w:t>Whether or not young people had carers to advocate for them, generally young people seemed to feel outside of decision</w:t>
      </w:r>
      <w:r w:rsidR="005D0F33">
        <w:t>-</w:t>
      </w:r>
      <w:r w:rsidRPr="00D91090">
        <w:t>making. In some cases</w:t>
      </w:r>
      <w:r w:rsidR="00712C4D">
        <w:t>,</w:t>
      </w:r>
      <w:r w:rsidRPr="00D91090">
        <w:t xml:space="preserve"> this was understood as common to the care system, whereas others suggested that they were continually trying to assert their </w:t>
      </w:r>
      <w:r w:rsidR="005D0F33">
        <w:t>views</w:t>
      </w:r>
      <w:r w:rsidRPr="00D91090">
        <w:t xml:space="preserve">. During the interviews young people appeared to be searching for explanations for their exclusion, and in some instances asking questions during the discussion: </w:t>
      </w:r>
    </w:p>
    <w:p w14:paraId="6FA52B7C"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C3293D6" w14:textId="77777777" w:rsidTr="00ED3D34">
        <w:tc>
          <w:tcPr>
            <w:tcW w:w="1413" w:type="dxa"/>
          </w:tcPr>
          <w:p w14:paraId="2E8239DF" w14:textId="77777777" w:rsidR="00FD560D" w:rsidRPr="00D91090" w:rsidRDefault="00FD560D">
            <w:r w:rsidRPr="00D91090">
              <w:t>Cally:</w:t>
            </w:r>
          </w:p>
        </w:tc>
        <w:tc>
          <w:tcPr>
            <w:tcW w:w="6888" w:type="dxa"/>
          </w:tcPr>
          <w:p w14:paraId="54F2E35F" w14:textId="77777777" w:rsidR="00FD560D" w:rsidRPr="00D91090" w:rsidRDefault="00FD560D" w:rsidP="007B4C41">
            <w:pPr>
              <w:pStyle w:val="tablecontent-singlespaced"/>
            </w:pPr>
            <w:r w:rsidRPr="00D91090">
              <w:t>Why didn’t they?</w:t>
            </w:r>
          </w:p>
          <w:p w14:paraId="050998AB" w14:textId="77777777" w:rsidR="00FD560D" w:rsidRPr="00D91090" w:rsidRDefault="00FD560D"/>
        </w:tc>
      </w:tr>
      <w:tr w:rsidR="00FD560D" w:rsidRPr="00D91090" w14:paraId="2C7F6033" w14:textId="77777777" w:rsidTr="00ED3D34">
        <w:tc>
          <w:tcPr>
            <w:tcW w:w="1413" w:type="dxa"/>
          </w:tcPr>
          <w:p w14:paraId="1B5E7008" w14:textId="77777777" w:rsidR="00FD560D" w:rsidRPr="00D91090" w:rsidRDefault="00FD560D" w:rsidP="008E4AF2">
            <w:r w:rsidRPr="00D91090">
              <w:t>Sally:</w:t>
            </w:r>
          </w:p>
        </w:tc>
        <w:tc>
          <w:tcPr>
            <w:tcW w:w="6888" w:type="dxa"/>
          </w:tcPr>
          <w:p w14:paraId="10FC9CFB" w14:textId="77777777" w:rsidR="00FD560D" w:rsidRPr="00D91090" w:rsidRDefault="00FD560D" w:rsidP="007B4C41">
            <w:pPr>
              <w:pStyle w:val="tablecontent-singlespaced"/>
            </w:pPr>
            <w:r w:rsidRPr="00D91090">
              <w:t>Why didn’t they ask you?</w:t>
            </w:r>
          </w:p>
          <w:p w14:paraId="461EF3E5" w14:textId="77777777" w:rsidR="00FD560D" w:rsidRPr="00D91090" w:rsidRDefault="00FD560D"/>
        </w:tc>
      </w:tr>
      <w:tr w:rsidR="00FD560D" w:rsidRPr="00D91090" w14:paraId="11662580" w14:textId="77777777" w:rsidTr="00ED3D34">
        <w:tc>
          <w:tcPr>
            <w:tcW w:w="1413" w:type="dxa"/>
          </w:tcPr>
          <w:p w14:paraId="2D9A4D5C" w14:textId="77777777" w:rsidR="00FD560D" w:rsidRPr="00D91090" w:rsidRDefault="00FD560D" w:rsidP="008E4AF2">
            <w:r w:rsidRPr="00D91090">
              <w:t xml:space="preserve">Cally: </w:t>
            </w:r>
          </w:p>
        </w:tc>
        <w:tc>
          <w:tcPr>
            <w:tcW w:w="6888" w:type="dxa"/>
          </w:tcPr>
          <w:p w14:paraId="13968B2E" w14:textId="47DE3251" w:rsidR="00FD560D" w:rsidRPr="00D91090" w:rsidRDefault="00FD560D" w:rsidP="007B4C41">
            <w:pPr>
              <w:pStyle w:val="tablecontent-singlespaced"/>
            </w:pPr>
            <w:r w:rsidRPr="00D91090">
              <w:t>Yeah</w:t>
            </w:r>
            <w:r w:rsidR="001A558F">
              <w:t xml:space="preserve"> …</w:t>
            </w:r>
          </w:p>
        </w:tc>
      </w:tr>
    </w:tbl>
    <w:p w14:paraId="16B96569" w14:textId="77777777" w:rsidR="00FD560D" w:rsidRPr="00D91090" w:rsidRDefault="00FD560D" w:rsidP="008E4AF2"/>
    <w:p w14:paraId="617432AD" w14:textId="29BCF0E9" w:rsidR="00FD560D" w:rsidRPr="00D91090" w:rsidRDefault="00FD560D" w:rsidP="008E4AF2">
      <w:r w:rsidRPr="00D91090">
        <w:t>Cally decided to talk to their</w:t>
      </w:r>
      <w:r w:rsidR="00605984">
        <w:t xml:space="preserve"> personal advisor</w:t>
      </w:r>
      <w:r w:rsidRPr="00D91090">
        <w:t xml:space="preserve"> and foster carers after the interview, as the conversation had prompted questions about aspects of their care experience. Jonathan also appeared to have reflected on their experience and concluded that: </w:t>
      </w:r>
    </w:p>
    <w:p w14:paraId="41C90644" w14:textId="77777777" w:rsidR="00FD560D" w:rsidRPr="00D91090"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20DA96E" w14:textId="77777777" w:rsidTr="00ED3D34">
        <w:tc>
          <w:tcPr>
            <w:tcW w:w="1413" w:type="dxa"/>
          </w:tcPr>
          <w:p w14:paraId="58023C5D" w14:textId="77777777" w:rsidR="00FD560D" w:rsidRPr="00D91090" w:rsidRDefault="00FD560D">
            <w:r w:rsidRPr="00D91090">
              <w:t>Jonathan:</w:t>
            </w:r>
          </w:p>
        </w:tc>
        <w:tc>
          <w:tcPr>
            <w:tcW w:w="6888" w:type="dxa"/>
          </w:tcPr>
          <w:p w14:paraId="68D29792" w14:textId="700128CA" w:rsidR="00FD560D" w:rsidRPr="00D91090" w:rsidRDefault="005D0F33" w:rsidP="007B4C41">
            <w:pPr>
              <w:pStyle w:val="tablecontent-singlespaced"/>
            </w:pPr>
            <w:r>
              <w:t>U</w:t>
            </w:r>
            <w:r w:rsidR="00FD560D" w:rsidRPr="00D91090">
              <w:t>rm I've had it where social workers don’t ask me something about what’s going to happen even though I have my own mind (.) that’s what I'm talking about they don’t think we are capable.</w:t>
            </w:r>
          </w:p>
        </w:tc>
      </w:tr>
    </w:tbl>
    <w:p w14:paraId="1129E8A9" w14:textId="77777777" w:rsidR="00FD560D" w:rsidRPr="00D91090" w:rsidRDefault="00FD560D" w:rsidP="008E4AF2"/>
    <w:p w14:paraId="0FCF4D13" w14:textId="568EA708" w:rsidR="00FD560D" w:rsidRDefault="00FD560D" w:rsidP="00210F3A">
      <w:r w:rsidRPr="00D91090">
        <w:t xml:space="preserve">Questions about capability raised by Jonathan were reflected in other accounts, where young people assumed that social workers had determined not to ask or follow up their point of view. </w:t>
      </w:r>
    </w:p>
    <w:p w14:paraId="39AABDAA" w14:textId="77777777" w:rsidR="00210F3A" w:rsidRPr="00D91090" w:rsidRDefault="00210F3A"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17D7917" w14:textId="77777777" w:rsidTr="00ED3D34">
        <w:tc>
          <w:tcPr>
            <w:tcW w:w="1413" w:type="dxa"/>
          </w:tcPr>
          <w:p w14:paraId="1ECC95CA" w14:textId="77777777" w:rsidR="00FD560D" w:rsidRPr="00D91090" w:rsidRDefault="00FD560D">
            <w:r w:rsidRPr="00D91090">
              <w:t>Eshal:</w:t>
            </w:r>
          </w:p>
        </w:tc>
        <w:tc>
          <w:tcPr>
            <w:tcW w:w="6888" w:type="dxa"/>
          </w:tcPr>
          <w:p w14:paraId="299B2F97" w14:textId="7430A7B5" w:rsidR="00FD560D" w:rsidRPr="00D91090" w:rsidRDefault="00B941F3" w:rsidP="007B4C41">
            <w:pPr>
              <w:pStyle w:val="tablecontent-singlespaced"/>
            </w:pPr>
            <w:r w:rsidRPr="00D91090">
              <w:t>Suppose</w:t>
            </w:r>
            <w:r w:rsidR="00FD560D" w:rsidRPr="00D91090">
              <w:t xml:space="preserve"> that they [social workers] think I’m thi</w:t>
            </w:r>
            <w:r w:rsidR="00605984">
              <w:t>c</w:t>
            </w:r>
            <w:r w:rsidR="00FD560D" w:rsidRPr="00D91090">
              <w:t xml:space="preserve">k (.) that’s it (.) that’s why they never asked me. </w:t>
            </w:r>
          </w:p>
        </w:tc>
      </w:tr>
      <w:tr w:rsidR="00FD560D" w:rsidRPr="00D91090" w14:paraId="6DC8FB85" w14:textId="77777777" w:rsidTr="00ED3D34">
        <w:tc>
          <w:tcPr>
            <w:tcW w:w="1413" w:type="dxa"/>
          </w:tcPr>
          <w:p w14:paraId="059B3AE8" w14:textId="77777777" w:rsidR="00FD560D" w:rsidRPr="00D91090" w:rsidRDefault="00FD560D" w:rsidP="008E4AF2"/>
          <w:p w14:paraId="2F2F77B3" w14:textId="77777777" w:rsidR="00FD560D" w:rsidRPr="00D91090" w:rsidRDefault="00FD560D" w:rsidP="008E4AF2">
            <w:r w:rsidRPr="00D91090">
              <w:t>Carrie:</w:t>
            </w:r>
          </w:p>
        </w:tc>
        <w:tc>
          <w:tcPr>
            <w:tcW w:w="6888" w:type="dxa"/>
          </w:tcPr>
          <w:p w14:paraId="4B0FE851" w14:textId="77777777" w:rsidR="00FD560D" w:rsidRPr="00D91090" w:rsidRDefault="00FD560D"/>
          <w:p w14:paraId="3C50408B" w14:textId="2F0DBAB9" w:rsidR="00FD560D" w:rsidRPr="00D91090" w:rsidRDefault="005D0F33" w:rsidP="007B4C41">
            <w:pPr>
              <w:pStyle w:val="tablecontent-singlespaced"/>
            </w:pPr>
            <w:r>
              <w:t xml:space="preserve">They </w:t>
            </w:r>
            <w:r w:rsidR="00FD560D" w:rsidRPr="00D91090">
              <w:t>[social worker] took one look at me and thought (.) no not gonna bother askin</w:t>
            </w:r>
            <w:r w:rsidR="00B941F3">
              <w:t>g</w:t>
            </w:r>
            <w:r w:rsidR="00FD560D" w:rsidRPr="00D91090">
              <w:t xml:space="preserve"> that one.</w:t>
            </w:r>
          </w:p>
        </w:tc>
      </w:tr>
    </w:tbl>
    <w:p w14:paraId="52661427" w14:textId="77777777" w:rsidR="00FD560D" w:rsidRPr="00D91090" w:rsidRDefault="00FD560D" w:rsidP="006E3485"/>
    <w:p w14:paraId="311FF94E" w14:textId="323D1A9A" w:rsidR="00FD560D" w:rsidRDefault="00FD560D" w:rsidP="00B21BDA">
      <w:r w:rsidRPr="00D91090">
        <w:t>Being excluded appeared to be associated with impressions of disrespect and inferiority, and not being asked, seen as a marker of unworthiness. On the basis of their accounts, young people seemed to present an internal conflict between knowing what they wanted to say and an incapacity to express their point of view. Wrangling with this situation was accompanied by a sense of indignation and resignation about not having the opportunity to speak out. Despite the opinions expressed about social workers, young people still expressed frustration about their worker’s approach and desire for them to change. This may well be because they position their social worker as an advocate or enabler, and consequently measure what they want their worker to be against their lived experience.</w:t>
      </w:r>
    </w:p>
    <w:p w14:paraId="32ABF6B6" w14:textId="1421EF0A" w:rsidR="00FD560D" w:rsidRPr="00D91090" w:rsidRDefault="00FD560D" w:rsidP="006E3485">
      <w:r w:rsidRPr="00D91090">
        <w:t>Young people’s expectations of social workers tended to stem from shared knowledge from other young people or foster carers. Expectations such as being involved and respected may well seem nebulous</w:t>
      </w:r>
      <w:r w:rsidR="00066281">
        <w:t xml:space="preserve">, </w:t>
      </w:r>
      <w:r w:rsidRPr="00D91090">
        <w:t xml:space="preserve">however as </w:t>
      </w:r>
      <w:r w:rsidRPr="00113DFB">
        <w:t xml:space="preserve">described in </w:t>
      </w:r>
      <w:r w:rsidR="00113DFB" w:rsidRPr="00113DFB">
        <w:t>C</w:t>
      </w:r>
      <w:r w:rsidRPr="00113DFB">
        <w:t>hapter</w:t>
      </w:r>
      <w:r w:rsidR="00113DFB" w:rsidRPr="00113DFB">
        <w:t xml:space="preserve"> 5</w:t>
      </w:r>
      <w:r w:rsidRPr="00113DFB">
        <w:t xml:space="preserve">, all </w:t>
      </w:r>
      <w:r w:rsidR="00066281">
        <w:t xml:space="preserve">social work </w:t>
      </w:r>
      <w:r w:rsidRPr="00113DFB">
        <w:t>practice</w:t>
      </w:r>
      <w:r w:rsidRPr="00D91090">
        <w:t xml:space="preserve"> is imbued with the rhetoric of rights and participation. Professional social work practice guidance, as well as relevant legislation, talks about the need for social workers to take the wishes and feelings of young people into account. Even if this is not the experience of young people</w:t>
      </w:r>
      <w:r w:rsidR="001B5C42">
        <w:t>,</w:t>
      </w:r>
      <w:r w:rsidRPr="00D91090">
        <w:t xml:space="preserve"> the language of involvement is likely to have filtered into everyday conversations between young people and their workers. Consequently, young people, on some level, expect to be involved. The discrepancies identified by the young people about what they felt should happen and what did happen in practice may well be exacerbated by having this knowledge.</w:t>
      </w:r>
    </w:p>
    <w:p w14:paraId="2C4BF891" w14:textId="7A3DD4D7" w:rsidR="00FD560D" w:rsidRPr="00D91090" w:rsidRDefault="00FD560D" w:rsidP="006A75FF">
      <w:pPr>
        <w:pStyle w:val="Heading2"/>
      </w:pPr>
      <w:bookmarkStart w:id="67" w:name="_Toc101108509"/>
      <w:r w:rsidRPr="00D91090">
        <w:t xml:space="preserve">‘It’s for </w:t>
      </w:r>
      <w:r w:rsidR="005D0F33">
        <w:t>p</w:t>
      </w:r>
      <w:r w:rsidRPr="00D91090">
        <w:t xml:space="preserve">aperwork </w:t>
      </w:r>
      <w:r w:rsidR="005D0F33">
        <w:t>n</w:t>
      </w:r>
      <w:r w:rsidRPr="00D91090">
        <w:t xml:space="preserve">ot for </w:t>
      </w:r>
      <w:r w:rsidR="005D0F33">
        <w:t>r</w:t>
      </w:r>
      <w:r w:rsidRPr="00D91090">
        <w:t>eal’</w:t>
      </w:r>
      <w:bookmarkEnd w:id="67"/>
    </w:p>
    <w:p w14:paraId="798BACBD" w14:textId="01542BF2" w:rsidR="00FD560D" w:rsidRDefault="00FD560D" w:rsidP="006E3485">
      <w:r w:rsidRPr="00D91090">
        <w:t>When talking about decision</w:t>
      </w:r>
      <w:r w:rsidR="005D0F33">
        <w:t>-</w:t>
      </w:r>
      <w:r w:rsidRPr="00D91090">
        <w:t>making, young people described the environment</w:t>
      </w:r>
      <w:r>
        <w:t>s</w:t>
      </w:r>
      <w:r w:rsidRPr="00D91090">
        <w:t xml:space="preserve"> in which </w:t>
      </w:r>
      <w:r>
        <w:t xml:space="preserve">their </w:t>
      </w:r>
      <w:r w:rsidRPr="00D91090">
        <w:t>choices were being discussed. In some circumstances young people talked about informal discussions with carers and other professionals where they felt that their views were welcomed and valued. For example, Liam talked about sitting with carers over a meal to talk through different options</w:t>
      </w:r>
      <w:r>
        <w:t xml:space="preserve"> or ideas</w:t>
      </w:r>
      <w:r w:rsidRPr="00D91090">
        <w:t>:</w:t>
      </w:r>
    </w:p>
    <w:p w14:paraId="7E6EB53C" w14:textId="77777777" w:rsidR="00FD560D" w:rsidRDefault="00FD560D"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2711268" w14:textId="77777777" w:rsidTr="00ED3D34">
        <w:tc>
          <w:tcPr>
            <w:tcW w:w="1413" w:type="dxa"/>
          </w:tcPr>
          <w:p w14:paraId="782BB242" w14:textId="77777777" w:rsidR="00FD560D" w:rsidRPr="00D91090" w:rsidRDefault="00FD560D" w:rsidP="008E4AF2">
            <w:r>
              <w:lastRenderedPageBreak/>
              <w:t>Liam</w:t>
            </w:r>
            <w:r w:rsidRPr="00D91090">
              <w:t>:</w:t>
            </w:r>
          </w:p>
        </w:tc>
        <w:tc>
          <w:tcPr>
            <w:tcW w:w="6888" w:type="dxa"/>
          </w:tcPr>
          <w:p w14:paraId="3F628ABC" w14:textId="465A022A" w:rsidR="00FD560D" w:rsidRPr="00D91090" w:rsidRDefault="00FD560D" w:rsidP="007B4C41">
            <w:pPr>
              <w:pStyle w:val="tablecontent-singlespaced"/>
            </w:pPr>
            <w:r w:rsidRPr="00D91090">
              <w:t xml:space="preserve">When there was something to like go </w:t>
            </w:r>
            <w:r w:rsidR="00585300" w:rsidRPr="00D91090">
              <w:t>through,</w:t>
            </w:r>
            <w:r w:rsidRPr="00D91090">
              <w:t xml:space="preserve"> we’d all be together working it out</w:t>
            </w:r>
            <w:r>
              <w:t>.</w:t>
            </w:r>
          </w:p>
        </w:tc>
      </w:tr>
    </w:tbl>
    <w:p w14:paraId="06DBFDE5" w14:textId="77777777" w:rsidR="00FD560D" w:rsidRPr="00D91090" w:rsidRDefault="00FD560D" w:rsidP="006E3485"/>
    <w:p w14:paraId="0624817C" w14:textId="476F17F3" w:rsidR="00FD560D" w:rsidRDefault="00FD560D" w:rsidP="008E4AF2">
      <w:r>
        <w:t>However</w:t>
      </w:r>
      <w:r w:rsidRPr="00D91090">
        <w:t xml:space="preserve">, the majority of young people referred to their </w:t>
      </w:r>
      <w:r w:rsidR="00291E1D">
        <w:t>s</w:t>
      </w:r>
      <w:r w:rsidRPr="00D91090">
        <w:t xml:space="preserve">tatutory </w:t>
      </w:r>
      <w:r w:rsidR="00291E1D">
        <w:t>r</w:t>
      </w:r>
      <w:r w:rsidRPr="00D91090">
        <w:t xml:space="preserve">eview meeting as </w:t>
      </w:r>
      <w:r w:rsidRPr="00A77E96">
        <w:rPr>
          <w:i/>
          <w:iCs/>
        </w:rPr>
        <w:t>the</w:t>
      </w:r>
      <w:r>
        <w:t xml:space="preserve"> </w:t>
      </w:r>
      <w:r w:rsidRPr="00D91090">
        <w:t xml:space="preserve">place where decisions were made or discussed. As outlined </w:t>
      </w:r>
      <w:r w:rsidR="00113DFB">
        <w:t xml:space="preserve">in the </w:t>
      </w:r>
      <w:r w:rsidR="00AD5189">
        <w:t>Glossary</w:t>
      </w:r>
      <w:r w:rsidRPr="00D91090">
        <w:t>, this meeting, chaired by a</w:t>
      </w:r>
      <w:r w:rsidR="006B0ECD">
        <w:t>n Independent Revi</w:t>
      </w:r>
      <w:r w:rsidR="00291E1D">
        <w:t>ewing Officer also known as a</w:t>
      </w:r>
      <w:r w:rsidRPr="00D91090">
        <w:t xml:space="preserve"> </w:t>
      </w:r>
      <w:r w:rsidR="00291E1D">
        <w:t>r</w:t>
      </w:r>
      <w:r w:rsidRPr="00D91090">
        <w:t xml:space="preserve">eview </w:t>
      </w:r>
      <w:r w:rsidR="00291E1D">
        <w:t>m</w:t>
      </w:r>
      <w:r w:rsidRPr="00D91090">
        <w:t>anager, is a regular forum where young people come together with professionals to review their plans. Participants consistently referred to t</w:t>
      </w:r>
      <w:r>
        <w:t>he</w:t>
      </w:r>
      <w:r w:rsidRPr="00D91090">
        <w:t xml:space="preserve"> meeting</w:t>
      </w:r>
      <w:r>
        <w:t xml:space="preserve"> as the primary site of decisions and </w:t>
      </w:r>
      <w:r w:rsidR="001B5C42">
        <w:t xml:space="preserve">for </w:t>
      </w:r>
      <w:r>
        <w:t>sharing information about their lives.</w:t>
      </w:r>
      <w:r w:rsidRPr="00B4395C">
        <w:t xml:space="preserve"> </w:t>
      </w:r>
      <w:r>
        <w:t xml:space="preserve">Young people indicated that the meeting became a focal point for significant moments in their life, rather than a forum to acknowledge events or decisions made elsewhere. </w:t>
      </w:r>
      <w:r w:rsidRPr="00D91090">
        <w:t xml:space="preserve">Beth </w:t>
      </w:r>
      <w:r>
        <w:t xml:space="preserve">saw this as the only opportunity </w:t>
      </w:r>
      <w:r w:rsidRPr="00D91090">
        <w:t>to engage in discussions about the future</w:t>
      </w:r>
      <w:r>
        <w:t>:</w:t>
      </w:r>
    </w:p>
    <w:p w14:paraId="41882F43" w14:textId="77777777" w:rsidR="00FD560D"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D596193" w14:textId="77777777" w:rsidTr="00ED3D34">
        <w:tc>
          <w:tcPr>
            <w:tcW w:w="1413" w:type="dxa"/>
          </w:tcPr>
          <w:p w14:paraId="208A068B" w14:textId="77777777" w:rsidR="00FD560D" w:rsidRPr="00D91090" w:rsidRDefault="00FD560D">
            <w:r>
              <w:t>Beth</w:t>
            </w:r>
            <w:r w:rsidRPr="00D91090">
              <w:t>:</w:t>
            </w:r>
          </w:p>
        </w:tc>
        <w:tc>
          <w:tcPr>
            <w:tcW w:w="6888" w:type="dxa"/>
          </w:tcPr>
          <w:p w14:paraId="6A29B6DE" w14:textId="049DE5DE" w:rsidR="00FD560D" w:rsidRPr="00D91090" w:rsidRDefault="00FD560D" w:rsidP="007B4C41">
            <w:pPr>
              <w:pStyle w:val="tablecontent-singlespaced"/>
            </w:pPr>
            <w:r>
              <w:t xml:space="preserve">I only saw </w:t>
            </w:r>
            <w:r w:rsidR="00B941F3">
              <w:t>th</w:t>
            </w:r>
            <w:r>
              <w:t xml:space="preserve">em [social worker and other professionals] at the review so I had to take my chance. </w:t>
            </w:r>
          </w:p>
        </w:tc>
      </w:tr>
    </w:tbl>
    <w:p w14:paraId="49013911" w14:textId="77777777" w:rsidR="00FD560D" w:rsidRDefault="00FD560D" w:rsidP="008E4AF2"/>
    <w:p w14:paraId="77C32668" w14:textId="77777777" w:rsidR="00FD560D" w:rsidRPr="00D91090" w:rsidRDefault="00FD560D">
      <w:r w:rsidRPr="00D91090">
        <w:t xml:space="preserve">For other young people the meeting </w:t>
      </w:r>
      <w:r>
        <w:t xml:space="preserve">was also seen as important but </w:t>
      </w:r>
      <w:r w:rsidRPr="00D91090">
        <w:t>did not feel like an appropriate venue for dialogue. For Cally, raising issues at the meeting was unhelpful:</w:t>
      </w:r>
    </w:p>
    <w:p w14:paraId="14A56B68"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F48E760" w14:textId="77777777" w:rsidTr="00ED3D34">
        <w:tc>
          <w:tcPr>
            <w:tcW w:w="1413" w:type="dxa"/>
          </w:tcPr>
          <w:p w14:paraId="29161F91" w14:textId="77777777" w:rsidR="00FD560D" w:rsidRPr="00D91090" w:rsidRDefault="00FD560D">
            <w:r w:rsidRPr="00D91090">
              <w:t>Cally:</w:t>
            </w:r>
          </w:p>
        </w:tc>
        <w:tc>
          <w:tcPr>
            <w:tcW w:w="6888" w:type="dxa"/>
          </w:tcPr>
          <w:p w14:paraId="50C5CCA6" w14:textId="7D8F35F2" w:rsidR="00FD560D" w:rsidRPr="00D91090" w:rsidRDefault="005D0F33" w:rsidP="007B4C41">
            <w:pPr>
              <w:pStyle w:val="tablecontent-singlespaced"/>
            </w:pPr>
            <w:r>
              <w:t>I</w:t>
            </w:r>
            <w:r w:rsidR="00FD560D" w:rsidRPr="00D91090">
              <w:t>f it was something big they'd tell it there</w:t>
            </w:r>
            <w:r>
              <w:t xml:space="preserve"> [the review meeting]</w:t>
            </w:r>
            <w:r w:rsidR="00FD560D" w:rsidRPr="00D91090">
              <w:t xml:space="preserve">, erm not wait </w:t>
            </w:r>
            <w:r w:rsidR="00FD560D">
              <w:t>‘</w:t>
            </w:r>
            <w:r w:rsidR="00FD560D" w:rsidRPr="00D91090">
              <w:t>til it was nice and quiet and we had space (.) no (.) literally air the shit in front of any old person ((pause))</w:t>
            </w:r>
            <w:r w:rsidR="00382B73">
              <w:t xml:space="preserve"> …</w:t>
            </w:r>
            <w:r w:rsidR="00FD560D" w:rsidRPr="00D91090">
              <w:t xml:space="preserve"> don’t tell me things at a meetin</w:t>
            </w:r>
            <w:r w:rsidR="00B941F3">
              <w:t>g</w:t>
            </w:r>
            <w:r w:rsidR="00FD560D" w:rsidRPr="00D91090">
              <w:t xml:space="preserve"> (.) I can't listen, erm I mean what the hell would you do? erm literally askin</w:t>
            </w:r>
            <w:r w:rsidR="00B941F3">
              <w:t>g</w:t>
            </w:r>
            <w:r w:rsidR="00FD560D" w:rsidRPr="00D91090">
              <w:t xml:space="preserve"> me in front of Jenna, [foster carer] </w:t>
            </w:r>
            <w:r w:rsidR="00FD560D">
              <w:t xml:space="preserve">and </w:t>
            </w:r>
            <w:r w:rsidR="00FD560D" w:rsidRPr="00D91090">
              <w:t>dad</w:t>
            </w:r>
            <w:r w:rsidR="00FD560D">
              <w:t xml:space="preserve"> (.) what choice do I have? (.) it’s this or nothing.</w:t>
            </w:r>
          </w:p>
        </w:tc>
      </w:tr>
    </w:tbl>
    <w:p w14:paraId="3AE13D5E" w14:textId="77777777" w:rsidR="00FD560D" w:rsidRPr="00D91090" w:rsidRDefault="00FD560D" w:rsidP="008E4AF2"/>
    <w:p w14:paraId="6DFC23C6" w14:textId="77777777" w:rsidR="00FD560D" w:rsidRPr="00D91090" w:rsidRDefault="00FD560D" w:rsidP="008E4AF2">
      <w:r w:rsidRPr="00D91090">
        <w:t xml:space="preserve">Hannah also described discomfort at talking about personal issues at their meeting: </w:t>
      </w:r>
    </w:p>
    <w:p w14:paraId="6C9584EC"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9766FEC" w14:textId="77777777" w:rsidTr="00ED3D34">
        <w:tc>
          <w:tcPr>
            <w:tcW w:w="1413" w:type="dxa"/>
          </w:tcPr>
          <w:p w14:paraId="3F193D8E" w14:textId="77777777" w:rsidR="00FD560D" w:rsidRPr="00D91090" w:rsidRDefault="00FD560D">
            <w:r w:rsidRPr="00D91090">
              <w:t>Hannah:</w:t>
            </w:r>
          </w:p>
        </w:tc>
        <w:tc>
          <w:tcPr>
            <w:tcW w:w="6888" w:type="dxa"/>
          </w:tcPr>
          <w:p w14:paraId="465B591C" w14:textId="294D3D76" w:rsidR="00FD560D" w:rsidRPr="00D91090" w:rsidRDefault="00401CE6" w:rsidP="007B4C41">
            <w:pPr>
              <w:pStyle w:val="tablecontent-singlespaced"/>
            </w:pPr>
            <w:r>
              <w:t>T</w:t>
            </w:r>
            <w:r w:rsidR="00FD560D" w:rsidRPr="00D91090">
              <w:t>here was this woman who worked at the school for [name of service] and she used to turn up and I'd think why is she there?</w:t>
            </w:r>
            <w:r w:rsidR="00FD560D">
              <w:t xml:space="preserve"> (.) I don’t want to say stuff in front of her.</w:t>
            </w:r>
          </w:p>
        </w:tc>
      </w:tr>
    </w:tbl>
    <w:p w14:paraId="0FB08807" w14:textId="77777777" w:rsidR="00FD560D" w:rsidRPr="00D91090" w:rsidRDefault="00FD560D" w:rsidP="008E4AF2"/>
    <w:p w14:paraId="025F3F7A" w14:textId="77777777" w:rsidR="00FD560D" w:rsidRPr="00D91090" w:rsidRDefault="00FD560D" w:rsidP="008E4AF2">
      <w:r w:rsidRPr="00D91090">
        <w:lastRenderedPageBreak/>
        <w:t>Hannah</w:t>
      </w:r>
      <w:r>
        <w:t xml:space="preserve"> went on to </w:t>
      </w:r>
      <w:r w:rsidRPr="00D91090">
        <w:t>talk about the lack of choice in who attended</w:t>
      </w:r>
      <w:r>
        <w:t xml:space="preserve"> t</w:t>
      </w:r>
      <w:r w:rsidRPr="00D91090">
        <w:t>he meeting</w:t>
      </w:r>
      <w:r>
        <w:t>. They saw this</w:t>
      </w:r>
      <w:r w:rsidRPr="00D91090">
        <w:t xml:space="preserve"> as emblematic of </w:t>
      </w:r>
      <w:r>
        <w:t xml:space="preserve">an ongoing pattern of their exclusion </w:t>
      </w:r>
      <w:r w:rsidRPr="00D91090">
        <w:t>by social care</w:t>
      </w:r>
      <w:r>
        <w:t>. Hannah</w:t>
      </w:r>
      <w:r w:rsidRPr="00D91090">
        <w:t xml:space="preserve"> also reflected on an absence of involvement in the discussion itself, despite wanting to contribute:</w:t>
      </w:r>
    </w:p>
    <w:p w14:paraId="1B12D103"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257C892" w14:textId="77777777" w:rsidTr="00ED3D34">
        <w:tc>
          <w:tcPr>
            <w:tcW w:w="1413" w:type="dxa"/>
          </w:tcPr>
          <w:p w14:paraId="3BE92195" w14:textId="77777777" w:rsidR="00FD560D" w:rsidRPr="00D91090" w:rsidRDefault="00FD560D">
            <w:r w:rsidRPr="00D91090">
              <w:t>Hannah:</w:t>
            </w:r>
          </w:p>
        </w:tc>
        <w:tc>
          <w:tcPr>
            <w:tcW w:w="6888" w:type="dxa"/>
          </w:tcPr>
          <w:p w14:paraId="79BA122A" w14:textId="77777777" w:rsidR="00FD560D" w:rsidRPr="00D91090" w:rsidRDefault="00FD560D" w:rsidP="007B4C41">
            <w:pPr>
              <w:pStyle w:val="tablecontent-singlespaced"/>
            </w:pPr>
            <w:r w:rsidRPr="00D91090">
              <w:t>I don't feel like there was a lot of say in that it was kinda like we turn up (.) everyone talks around us and there we sat there (.) I nodded occasionally.</w:t>
            </w:r>
          </w:p>
        </w:tc>
      </w:tr>
    </w:tbl>
    <w:p w14:paraId="2CB677DC" w14:textId="77777777" w:rsidR="00FD560D" w:rsidRDefault="00FD560D" w:rsidP="008E4AF2"/>
    <w:p w14:paraId="5FEDFDCA" w14:textId="27505241" w:rsidR="00FD560D" w:rsidRDefault="00FD560D" w:rsidP="008E4AF2">
      <w:r w:rsidRPr="00D91090">
        <w:t xml:space="preserve">Other young people also viewed the meetings with scepticism and, in some cases, chose not to attend. Jonathan recognised that it was significant in gathering relevant people together, but felt that their own involvement </w:t>
      </w:r>
      <w:r>
        <w:t xml:space="preserve">in this decision </w:t>
      </w:r>
      <w:r w:rsidRPr="00D91090">
        <w:t xml:space="preserve">was superficial: </w:t>
      </w:r>
    </w:p>
    <w:p w14:paraId="2AE12EA7" w14:textId="77777777" w:rsidR="00FD560D" w:rsidRPr="00D91090" w:rsidRDefault="00FD560D"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0DD560F" w14:textId="77777777" w:rsidTr="00ED3D34">
        <w:tc>
          <w:tcPr>
            <w:tcW w:w="1413" w:type="dxa"/>
          </w:tcPr>
          <w:p w14:paraId="1BC79443" w14:textId="77777777" w:rsidR="00FD560D" w:rsidRPr="00D91090" w:rsidRDefault="00FD560D" w:rsidP="008E4AF2">
            <w:r w:rsidRPr="00D91090">
              <w:t>Jonathan:</w:t>
            </w:r>
          </w:p>
        </w:tc>
        <w:tc>
          <w:tcPr>
            <w:tcW w:w="6888" w:type="dxa"/>
          </w:tcPr>
          <w:p w14:paraId="528F8EC7" w14:textId="661BAB9B" w:rsidR="00FD560D" w:rsidRPr="00D91090" w:rsidRDefault="00401CE6" w:rsidP="007B4C41">
            <w:pPr>
              <w:pStyle w:val="tablecontent-singlespaced"/>
            </w:pPr>
            <w:r>
              <w:t>T</w:t>
            </w:r>
            <w:r w:rsidR="00FD560D" w:rsidRPr="00D91090">
              <w:t>he room was packed with people even though I told them I didn’t like it (.) so I was asked but then when it came to it, it was forgotten</w:t>
            </w:r>
            <w:r>
              <w:t>.</w:t>
            </w:r>
          </w:p>
          <w:p w14:paraId="68654A39" w14:textId="77777777" w:rsidR="00FD560D" w:rsidRPr="00D91090" w:rsidRDefault="00FD560D"/>
        </w:tc>
      </w:tr>
    </w:tbl>
    <w:p w14:paraId="7A09EC29" w14:textId="7964FDE3" w:rsidR="00FD560D" w:rsidRPr="00D91090" w:rsidRDefault="00FD560D" w:rsidP="006E3485">
      <w:r w:rsidRPr="00D91090">
        <w:t xml:space="preserve"> </w:t>
      </w:r>
    </w:p>
    <w:p w14:paraId="69B5D64E" w14:textId="77777777" w:rsidR="00FD560D" w:rsidRPr="00D91090" w:rsidRDefault="00FD560D" w:rsidP="008E4AF2">
      <w:r w:rsidRPr="00D91090">
        <w:t>Yannick’s view was although the</w:t>
      </w:r>
      <w:r>
        <w:t xml:space="preserve"> m</w:t>
      </w:r>
      <w:r w:rsidRPr="00D91090">
        <w:t xml:space="preserve">eeting felt awkward, it was important to attend: </w:t>
      </w:r>
    </w:p>
    <w:p w14:paraId="03E00E1F"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DB1BDC6" w14:textId="77777777" w:rsidTr="00ED3D34">
        <w:tc>
          <w:tcPr>
            <w:tcW w:w="1413" w:type="dxa"/>
          </w:tcPr>
          <w:p w14:paraId="458A75EE" w14:textId="77777777" w:rsidR="00FD560D" w:rsidRPr="00D91090" w:rsidRDefault="00FD560D">
            <w:r w:rsidRPr="00D91090">
              <w:t>Yannick:</w:t>
            </w:r>
          </w:p>
        </w:tc>
        <w:tc>
          <w:tcPr>
            <w:tcW w:w="6888" w:type="dxa"/>
          </w:tcPr>
          <w:p w14:paraId="6BDB0DEA" w14:textId="43E505FE" w:rsidR="00FD560D" w:rsidRPr="00D91090" w:rsidRDefault="00FD560D" w:rsidP="007B4C41">
            <w:pPr>
              <w:pStyle w:val="tablecontent-singlespaced"/>
            </w:pPr>
            <w:r w:rsidRPr="00D91090">
              <w:t>those meetings mate (.) they are the pits</w:t>
            </w:r>
            <w:r w:rsidR="00656C8A">
              <w:t xml:space="preserve"> …</w:t>
            </w:r>
            <w:r w:rsidRPr="00D91090">
              <w:t xml:space="preserve"> I hated </w:t>
            </w:r>
            <w:r w:rsidR="0018772B">
              <w:t>th</w:t>
            </w:r>
            <w:r w:rsidRPr="00D91090">
              <w:t>em (.) but there was no way I'd not go to it like, I weren't gonna let them think I had nothing to hide (.)</w:t>
            </w:r>
            <w:r>
              <w:t xml:space="preserve"> I wan</w:t>
            </w:r>
            <w:r w:rsidR="00B941F3">
              <w:t>ted</w:t>
            </w:r>
            <w:r>
              <w:t xml:space="preserve"> to have my say.</w:t>
            </w:r>
          </w:p>
        </w:tc>
      </w:tr>
    </w:tbl>
    <w:p w14:paraId="36CA20D5" w14:textId="77777777" w:rsidR="00FD560D" w:rsidRPr="00D91090" w:rsidRDefault="00FD560D" w:rsidP="008E4AF2"/>
    <w:p w14:paraId="3DECC6E3" w14:textId="4F7052B1" w:rsidR="00FD560D" w:rsidRDefault="00FD560D">
      <w:r>
        <w:t xml:space="preserve">Young people tended to cite the </w:t>
      </w:r>
      <w:r w:rsidR="00291E1D">
        <w:t>s</w:t>
      </w:r>
      <w:r>
        <w:t xml:space="preserve">tatutory </w:t>
      </w:r>
      <w:r w:rsidR="00291E1D">
        <w:t>r</w:t>
      </w:r>
      <w:r>
        <w:t xml:space="preserve">eview </w:t>
      </w:r>
      <w:r w:rsidR="00291E1D">
        <w:t>m</w:t>
      </w:r>
      <w:r>
        <w:t xml:space="preserve">eeting as </w:t>
      </w:r>
      <w:r w:rsidR="001B5C42">
        <w:t xml:space="preserve">the </w:t>
      </w:r>
      <w:r>
        <w:t>singular opportunity for their participation. The consistent association between articulating their views and the meeting, suggested that they saw it as an official delineated space for decision</w:t>
      </w:r>
      <w:r w:rsidR="00401CE6">
        <w:t>-</w:t>
      </w:r>
      <w:r>
        <w:t>making. Characterising a meeting in this way meant that some young people felt that other opportunities to be involved were unavailable to them. As a result, it appeared that young people felt both compelled to attend but also fearful of expectations on them within this forum.</w:t>
      </w:r>
      <w:r w:rsidRPr="009E375F">
        <w:t xml:space="preserve"> </w:t>
      </w:r>
      <w:r>
        <w:t xml:space="preserve">A young person’s ability to express a view within the meeting may have felt compromised by the presence of different professionals, family members and carers. </w:t>
      </w:r>
      <w:r w:rsidR="0067448C">
        <w:t>This suggests</w:t>
      </w:r>
      <w:r>
        <w:t xml:space="preserve"> that young people were having to assess which information to volunteer depending </w:t>
      </w:r>
      <w:r>
        <w:lastRenderedPageBreak/>
        <w:t xml:space="preserve">on who was present. Having to make this calculation whilst simultaneously contributing to a discussion could explain why the meeting felt overwhelming. Even if the young person was keen to have their say, speaking out whilst weighing up any potential consequences may prevent their contribution to the discussion. </w:t>
      </w:r>
    </w:p>
    <w:p w14:paraId="167945E6" w14:textId="05C48D93" w:rsidR="00FD560D" w:rsidRDefault="00FD560D">
      <w:r>
        <w:t xml:space="preserve">As young people shared how difficult they found participating in the meeting, </w:t>
      </w:r>
      <w:r w:rsidR="00417344">
        <w:t>they</w:t>
      </w:r>
      <w:r>
        <w:t xml:space="preserve"> looked to the professionals to support them. Review </w:t>
      </w:r>
      <w:r w:rsidR="00291E1D">
        <w:t>m</w:t>
      </w:r>
      <w:r>
        <w:t xml:space="preserve">anagers were often marked as important to the young people. Beth had a positive relationship with their </w:t>
      </w:r>
      <w:r w:rsidR="00291E1D">
        <w:t>r</w:t>
      </w:r>
      <w:r>
        <w:t xml:space="preserve">eview </w:t>
      </w:r>
      <w:r w:rsidR="00291E1D">
        <w:t>m</w:t>
      </w:r>
      <w:r>
        <w:t>anager and appreciated the</w:t>
      </w:r>
      <w:r w:rsidR="00401CE6">
        <w:t>ir</w:t>
      </w:r>
      <w:r>
        <w:t xml:space="preserve"> knowledge of their family situation</w:t>
      </w:r>
      <w:r w:rsidRPr="005E645F">
        <w:t xml:space="preserve"> </w:t>
      </w:r>
      <w:r w:rsidRPr="00D91090">
        <w:t xml:space="preserve">and </w:t>
      </w:r>
      <w:r>
        <w:t xml:space="preserve">saw them as </w:t>
      </w:r>
      <w:r w:rsidRPr="00D91090">
        <w:t>an even handed professional who was a trusted advocate</w:t>
      </w:r>
      <w:r>
        <w:t>:</w:t>
      </w:r>
    </w:p>
    <w:p w14:paraId="457B50C9" w14:textId="77777777" w:rsidR="00FD560D"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64A66FEC" w14:textId="77777777" w:rsidTr="00ED3D34">
        <w:tc>
          <w:tcPr>
            <w:tcW w:w="1413" w:type="dxa"/>
          </w:tcPr>
          <w:p w14:paraId="26D70CC2" w14:textId="77777777" w:rsidR="00FD560D" w:rsidRPr="00D91090" w:rsidRDefault="00FD560D">
            <w:r w:rsidRPr="00D91090">
              <w:t>Beth:</w:t>
            </w:r>
          </w:p>
        </w:tc>
        <w:tc>
          <w:tcPr>
            <w:tcW w:w="6888" w:type="dxa"/>
          </w:tcPr>
          <w:p w14:paraId="23112ADF" w14:textId="2D460DEA" w:rsidR="00FD560D" w:rsidRPr="00D91090" w:rsidRDefault="00FD560D" w:rsidP="007B4C41">
            <w:pPr>
              <w:pStyle w:val="tablecontent-singlespaced"/>
            </w:pPr>
            <w:r>
              <w:t>She was great (.) I had her from the start</w:t>
            </w:r>
            <w:r w:rsidR="003348CD">
              <w:t xml:space="preserve"> … </w:t>
            </w:r>
            <w:r w:rsidRPr="00D91090">
              <w:t>she knew what was right and what wasn’t (.) she could look stuff up (.) about what we needed</w:t>
            </w:r>
            <w:r>
              <w:t xml:space="preserve"> (.) thank god because the social worker didn’t.</w:t>
            </w:r>
          </w:p>
        </w:tc>
      </w:tr>
    </w:tbl>
    <w:p w14:paraId="4F6EFDB6" w14:textId="77777777" w:rsidR="001B5C42" w:rsidRDefault="001B5C42" w:rsidP="008E4AF2"/>
    <w:p w14:paraId="60209270" w14:textId="225D9739" w:rsidR="00FD560D" w:rsidRPr="00D91090" w:rsidRDefault="00FD560D" w:rsidP="008E4AF2">
      <w:r w:rsidRPr="00D91090">
        <w:t>Although Cally described a positive relationship with the</w:t>
      </w:r>
      <w:r>
        <w:t>ir</w:t>
      </w:r>
      <w:r w:rsidRPr="00D91090">
        <w:t xml:space="preserve"> </w:t>
      </w:r>
      <w:r w:rsidR="00401CE6">
        <w:t>r</w:t>
      </w:r>
      <w:r w:rsidR="00291E1D">
        <w:t>eview manager</w:t>
      </w:r>
      <w:r w:rsidRPr="00D91090">
        <w:t xml:space="preserve">, they were not seen as an advocate in this meeting: </w:t>
      </w:r>
    </w:p>
    <w:p w14:paraId="5C9ECD7E"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E7EEB74" w14:textId="77777777" w:rsidTr="00ED3D34">
        <w:tc>
          <w:tcPr>
            <w:tcW w:w="1413" w:type="dxa"/>
          </w:tcPr>
          <w:p w14:paraId="533E4FD0" w14:textId="77777777" w:rsidR="00FD560D" w:rsidRPr="00D91090" w:rsidRDefault="00FD560D">
            <w:r w:rsidRPr="00D91090">
              <w:t>Cally:</w:t>
            </w:r>
          </w:p>
        </w:tc>
        <w:tc>
          <w:tcPr>
            <w:tcW w:w="6888" w:type="dxa"/>
          </w:tcPr>
          <w:p w14:paraId="1888ADC4" w14:textId="2ACDEDB3" w:rsidR="00FD560D" w:rsidRPr="00D91090" w:rsidRDefault="00FD560D" w:rsidP="007B4C41">
            <w:pPr>
              <w:pStyle w:val="tablecontent-singlespaced"/>
            </w:pPr>
            <w:r>
              <w:t xml:space="preserve">I like her but (.) she’s </w:t>
            </w:r>
            <w:r w:rsidRPr="00D91090">
              <w:t xml:space="preserve">just like the rest of </w:t>
            </w:r>
            <w:r w:rsidR="0018772B">
              <w:t>th</w:t>
            </w:r>
            <w:r w:rsidRPr="00D91090">
              <w:t xml:space="preserve">em, erm talked </w:t>
            </w:r>
            <w:r>
              <w:t>an</w:t>
            </w:r>
            <w:r w:rsidR="00B941F3">
              <w:t>d</w:t>
            </w:r>
            <w:r>
              <w:t xml:space="preserve"> </w:t>
            </w:r>
            <w:r w:rsidRPr="00D91090">
              <w:t xml:space="preserve">talked </w:t>
            </w:r>
            <w:r>
              <w:t>an</w:t>
            </w:r>
            <w:r w:rsidR="00B941F3">
              <w:t>d</w:t>
            </w:r>
            <w:r>
              <w:t xml:space="preserve"> </w:t>
            </w:r>
            <w:r w:rsidRPr="00D91090">
              <w:t xml:space="preserve">talked but not thinking </w:t>
            </w:r>
            <w:r w:rsidR="00401CE6">
              <w:t>a</w:t>
            </w:r>
            <w:r w:rsidRPr="00D91090">
              <w:t>bout me</w:t>
            </w:r>
            <w:r w:rsidR="003348CD">
              <w:t xml:space="preserve"> … </w:t>
            </w:r>
            <w:r w:rsidRPr="00D91090">
              <w:t>didn’t ask, didn’t wanna hear it.</w:t>
            </w:r>
          </w:p>
        </w:tc>
      </w:tr>
    </w:tbl>
    <w:p w14:paraId="761BA445" w14:textId="77777777" w:rsidR="00FD560D" w:rsidRDefault="00FD560D" w:rsidP="008E4AF2"/>
    <w:p w14:paraId="654CD58A" w14:textId="1D833E2A" w:rsidR="00FD560D" w:rsidRDefault="00FD560D">
      <w:r>
        <w:t xml:space="preserve">The </w:t>
      </w:r>
      <w:r w:rsidR="00401CE6">
        <w:t>r</w:t>
      </w:r>
      <w:r w:rsidR="00291E1D">
        <w:t>eview manager</w:t>
      </w:r>
      <w:r>
        <w:t xml:space="preserve"> represented a consistent person who held an understanding of their lives. </w:t>
      </w:r>
      <w:r w:rsidR="001B5C42">
        <w:t>However,</w:t>
      </w:r>
      <w:r>
        <w:t xml:space="preserve"> they were not seen as responsible for the difficulties they expected in contributing to the meeting. Young </w:t>
      </w:r>
      <w:r w:rsidR="001B5C42">
        <w:t>p</w:t>
      </w:r>
      <w:r>
        <w:t>eople appeared to place this responsibility squarely with the social worker. Hannah gave an example of a meeting where a visit with their sister was discussed:</w:t>
      </w:r>
    </w:p>
    <w:p w14:paraId="4FA8F363" w14:textId="77777777" w:rsidR="00FD560D"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626DCA6" w14:textId="77777777" w:rsidTr="00ED3D34">
        <w:tc>
          <w:tcPr>
            <w:tcW w:w="1413" w:type="dxa"/>
          </w:tcPr>
          <w:p w14:paraId="1F8DF828" w14:textId="77777777" w:rsidR="00FD560D" w:rsidRPr="00D91090" w:rsidRDefault="00FD560D">
            <w:r>
              <w:t>Hannah</w:t>
            </w:r>
            <w:r w:rsidRPr="00D91090">
              <w:t>:</w:t>
            </w:r>
          </w:p>
        </w:tc>
        <w:tc>
          <w:tcPr>
            <w:tcW w:w="6888" w:type="dxa"/>
          </w:tcPr>
          <w:p w14:paraId="2475CC2F" w14:textId="17E13AD5" w:rsidR="00FD560D" w:rsidRPr="00D91090" w:rsidRDefault="00FD560D" w:rsidP="007B4C41">
            <w:pPr>
              <w:pStyle w:val="tablecontent-singlespaced"/>
            </w:pPr>
            <w:r>
              <w:t>He knew I wanted to see her (.) but he sat there and said nothing about what we’d said</w:t>
            </w:r>
            <w:r w:rsidR="003348CD">
              <w:t xml:space="preserve"> … </w:t>
            </w:r>
            <w:r>
              <w:t>I looked at him an</w:t>
            </w:r>
            <w:r w:rsidR="00B941F3">
              <w:t>d</w:t>
            </w:r>
            <w:r>
              <w:t xml:space="preserve"> thought (.) what’s the point of you?</w:t>
            </w:r>
          </w:p>
        </w:tc>
      </w:tr>
    </w:tbl>
    <w:p w14:paraId="2BEBA146" w14:textId="77777777" w:rsidR="00FD560D" w:rsidRDefault="00FD560D" w:rsidP="008E4AF2"/>
    <w:p w14:paraId="0996D386" w14:textId="77777777" w:rsidR="00FD560D" w:rsidRDefault="00FD560D" w:rsidP="008E4AF2">
      <w:r>
        <w:lastRenderedPageBreak/>
        <w:t>Hannah felt unable to talk about this visit due to the presence of their birth parents but expected the social worker to represent the issue they had previously discussed. Eshal and Liam also understood the role of their worker to be able to help them either before or during the meetings:</w:t>
      </w:r>
    </w:p>
    <w:p w14:paraId="7A3D6E07" w14:textId="77777777" w:rsidR="00FD560D"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680EF1DC" w14:textId="77777777" w:rsidTr="00ED3D34">
        <w:tc>
          <w:tcPr>
            <w:tcW w:w="1413" w:type="dxa"/>
          </w:tcPr>
          <w:p w14:paraId="6BD926FE" w14:textId="77777777" w:rsidR="00FD560D" w:rsidRPr="00D91090" w:rsidRDefault="00FD560D">
            <w:r>
              <w:t>Eshal</w:t>
            </w:r>
            <w:r w:rsidRPr="00D91090">
              <w:t>:</w:t>
            </w:r>
          </w:p>
        </w:tc>
        <w:tc>
          <w:tcPr>
            <w:tcW w:w="6888" w:type="dxa"/>
          </w:tcPr>
          <w:p w14:paraId="04B9D437" w14:textId="7269CC36" w:rsidR="00FD560D" w:rsidRPr="00D91090" w:rsidRDefault="00FD560D" w:rsidP="007B4C41">
            <w:pPr>
              <w:pStyle w:val="tablecontent-singlespaced"/>
            </w:pPr>
            <w:r>
              <w:t xml:space="preserve">I </w:t>
            </w:r>
            <w:r w:rsidR="00401CE6">
              <w:t>h</w:t>
            </w:r>
            <w:r>
              <w:t>ad no idea what I was walkin</w:t>
            </w:r>
            <w:r w:rsidR="00B941F3">
              <w:t>g</w:t>
            </w:r>
            <w:r>
              <w:t xml:space="preserve"> into (.) she [the social worker] never said anythin</w:t>
            </w:r>
            <w:r w:rsidR="00B941F3">
              <w:t>g</w:t>
            </w:r>
            <w:r>
              <w:t xml:space="preserve"> about what it’d be like (.) you’d think she’d warn me</w:t>
            </w:r>
            <w:r w:rsidR="00401CE6">
              <w:t>.</w:t>
            </w:r>
          </w:p>
        </w:tc>
      </w:tr>
    </w:tbl>
    <w:p w14:paraId="20616163" w14:textId="77777777" w:rsidR="00FD560D"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C446482" w14:textId="77777777" w:rsidTr="00ED3D34">
        <w:tc>
          <w:tcPr>
            <w:tcW w:w="1413" w:type="dxa"/>
          </w:tcPr>
          <w:p w14:paraId="52E1CBFC" w14:textId="77777777" w:rsidR="00FD560D" w:rsidRPr="00D91090" w:rsidRDefault="00FD560D" w:rsidP="008E4AF2">
            <w:r>
              <w:t>Liam</w:t>
            </w:r>
            <w:r w:rsidRPr="00D91090">
              <w:t>:</w:t>
            </w:r>
          </w:p>
        </w:tc>
        <w:tc>
          <w:tcPr>
            <w:tcW w:w="6888" w:type="dxa"/>
          </w:tcPr>
          <w:p w14:paraId="3B5B6527" w14:textId="77777777" w:rsidR="00FD560D" w:rsidRPr="00D91090" w:rsidRDefault="00FD560D" w:rsidP="007B4C41">
            <w:pPr>
              <w:pStyle w:val="tablecontent-singlespaced"/>
            </w:pPr>
            <w:r>
              <w:t>It’s like they forget you’re there (.) I expected her to stand up for me and see that I wasn’t able to be honest (.) what’s her job in the review if it isn’t to help me?</w:t>
            </w:r>
          </w:p>
        </w:tc>
      </w:tr>
    </w:tbl>
    <w:p w14:paraId="26D092D0" w14:textId="77777777" w:rsidR="00FD560D" w:rsidRDefault="00FD560D" w:rsidP="008E4AF2"/>
    <w:p w14:paraId="6578FEB1" w14:textId="23212A4B" w:rsidR="00FD560D" w:rsidRDefault="00FD560D">
      <w:r>
        <w:t xml:space="preserve">The same expectations of support were not extended to their foster carers. In some </w:t>
      </w:r>
      <w:r w:rsidR="001B5C42">
        <w:t>cases,</w:t>
      </w:r>
      <w:r>
        <w:t xml:space="preserve"> the participants understood carers to be in a position similar to theirs: </w:t>
      </w:r>
    </w:p>
    <w:p w14:paraId="6DCFC4B5" w14:textId="77777777" w:rsidR="00FD560D"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6592CC7" w14:textId="77777777" w:rsidTr="00ED3D34">
        <w:tc>
          <w:tcPr>
            <w:tcW w:w="1413" w:type="dxa"/>
          </w:tcPr>
          <w:p w14:paraId="56BA4FFC" w14:textId="77777777" w:rsidR="00FD560D" w:rsidRPr="00D91090" w:rsidRDefault="00FD560D">
            <w:r>
              <w:t>Beth</w:t>
            </w:r>
            <w:r w:rsidRPr="00D91090">
              <w:t>:</w:t>
            </w:r>
          </w:p>
        </w:tc>
        <w:tc>
          <w:tcPr>
            <w:tcW w:w="6888" w:type="dxa"/>
          </w:tcPr>
          <w:p w14:paraId="449B56AE" w14:textId="2A61F498" w:rsidR="00FD560D" w:rsidRPr="00D91090" w:rsidRDefault="00FD560D" w:rsidP="007B4C41">
            <w:pPr>
              <w:pStyle w:val="tablecontent-singlespaced"/>
            </w:pPr>
            <w:r>
              <w:t xml:space="preserve">I felt sorry for her (.) this was in her own </w:t>
            </w:r>
            <w:r w:rsidR="00401CE6">
              <w:t>home,</w:t>
            </w:r>
            <w:r>
              <w:t xml:space="preserve"> and she had all them telling her what to do.</w:t>
            </w:r>
          </w:p>
        </w:tc>
      </w:tr>
    </w:tbl>
    <w:p w14:paraId="7617806B" w14:textId="77777777" w:rsidR="00FD560D"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80608DF" w14:textId="77777777" w:rsidTr="00ED3D34">
        <w:tc>
          <w:tcPr>
            <w:tcW w:w="1413" w:type="dxa"/>
          </w:tcPr>
          <w:p w14:paraId="7EA67690" w14:textId="77777777" w:rsidR="00FD560D" w:rsidRPr="00D91090" w:rsidRDefault="00FD560D" w:rsidP="008E4AF2">
            <w:r>
              <w:t>Yannick</w:t>
            </w:r>
            <w:r w:rsidRPr="00D91090">
              <w:t>:</w:t>
            </w:r>
          </w:p>
        </w:tc>
        <w:tc>
          <w:tcPr>
            <w:tcW w:w="6888" w:type="dxa"/>
          </w:tcPr>
          <w:p w14:paraId="531F6F84" w14:textId="0BB1ACBC" w:rsidR="00FD560D" w:rsidRPr="00D91090" w:rsidRDefault="00FD560D" w:rsidP="007B4C41">
            <w:pPr>
              <w:pStyle w:val="tablecontent-singlespaced"/>
            </w:pPr>
            <w:r>
              <w:t xml:space="preserve">Val [foster carer] wouldn’t take no shit from </w:t>
            </w:r>
            <w:r w:rsidR="00401CE6">
              <w:t>them</w:t>
            </w:r>
            <w:r>
              <w:t xml:space="preserve"> but like she kept qui</w:t>
            </w:r>
            <w:r w:rsidR="001B5C42">
              <w:t>e</w:t>
            </w:r>
            <w:r>
              <w:t>t to keep the peace.</w:t>
            </w:r>
          </w:p>
        </w:tc>
      </w:tr>
    </w:tbl>
    <w:p w14:paraId="1A8F3EC3" w14:textId="77777777" w:rsidR="00FD560D" w:rsidRDefault="00FD560D" w:rsidP="008E4AF2"/>
    <w:p w14:paraId="10C451A7" w14:textId="4A60387E" w:rsidR="00FD560D" w:rsidRDefault="00FD560D">
      <w:r>
        <w:t xml:space="preserve">Using a formal meeting to discuss milestones was generally accepted by the participants, however methods of participation and information sharing in front of multiple attendees were seen as problematic. Recognising their own difficulties in taking part in the meetings, young people seemed confused about the lack of intervention or support by their social worker above any other professional in attendance. This dereliction was not understood and the indisposition to facilitate their involvement was explained as workers being uncaring, incompetent or lacking insight into their experience. Having different expectations of the foster carers about their role in supporting their involvement indicates the way carers are positioned. The distinction drawn by young people seems to suggest that hierarchy of authority discussed in the previous section. </w:t>
      </w:r>
    </w:p>
    <w:p w14:paraId="13BEB835" w14:textId="23157813" w:rsidR="00FD560D" w:rsidRPr="00D91090" w:rsidRDefault="00FD560D">
      <w:r>
        <w:lastRenderedPageBreak/>
        <w:t xml:space="preserve">Other concerns were raised about the experiences of making decisions in a meeting setting. </w:t>
      </w:r>
      <w:r w:rsidRPr="00D91090">
        <w:t>Yannick suggest</w:t>
      </w:r>
      <w:r>
        <w:t>ed</w:t>
      </w:r>
      <w:r w:rsidRPr="00D91090">
        <w:t xml:space="preserve"> that difficult discussions were held </w:t>
      </w:r>
      <w:r>
        <w:t>at</w:t>
      </w:r>
      <w:r w:rsidRPr="00D91090">
        <w:t xml:space="preserve"> the </w:t>
      </w:r>
      <w:r w:rsidR="00401CE6">
        <w:t>r</w:t>
      </w:r>
      <w:r w:rsidRPr="00D91090">
        <w:t xml:space="preserve">eview </w:t>
      </w:r>
      <w:r w:rsidR="00401CE6">
        <w:t>m</w:t>
      </w:r>
      <w:r w:rsidRPr="00D91090">
        <w:t xml:space="preserve">eeting as a buffer for the </w:t>
      </w:r>
      <w:r>
        <w:t>s</w:t>
      </w:r>
      <w:r w:rsidRPr="00D91090">
        <w:t xml:space="preserve">ocial </w:t>
      </w:r>
      <w:r>
        <w:t>w</w:t>
      </w:r>
      <w:r w:rsidRPr="00D91090">
        <w:t>orker:</w:t>
      </w:r>
    </w:p>
    <w:p w14:paraId="16AD7444"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6E745C56" w14:textId="77777777" w:rsidTr="00ED3D34">
        <w:tc>
          <w:tcPr>
            <w:tcW w:w="1413" w:type="dxa"/>
          </w:tcPr>
          <w:p w14:paraId="17521239" w14:textId="77777777" w:rsidR="00FD560D" w:rsidRPr="00D91090" w:rsidRDefault="00FD560D">
            <w:r w:rsidRPr="00D91090">
              <w:t>Yannick:</w:t>
            </w:r>
          </w:p>
        </w:tc>
        <w:tc>
          <w:tcPr>
            <w:tcW w:w="6888" w:type="dxa"/>
          </w:tcPr>
          <w:p w14:paraId="4291CD0E" w14:textId="5E20FE9A" w:rsidR="00FD560D" w:rsidRPr="00D91090" w:rsidRDefault="00401CE6" w:rsidP="007B4C41">
            <w:pPr>
              <w:pStyle w:val="tablecontent-singlespaced"/>
            </w:pPr>
            <w:r>
              <w:t>I</w:t>
            </w:r>
            <w:r w:rsidR="00FD560D" w:rsidRPr="00D91090">
              <w:t xml:space="preserve">t was like a well off set up (.) bring it on [raise an issue] then run to the hills (.) that was like how it was with the social workers (.) </w:t>
            </w:r>
            <w:r>
              <w:t xml:space="preserve">It </w:t>
            </w:r>
            <w:r w:rsidR="00FD560D" w:rsidRPr="00D91090">
              <w:t>was like she seemed to be scared so it was like safety in numbers for her at the review.</w:t>
            </w:r>
          </w:p>
        </w:tc>
      </w:tr>
    </w:tbl>
    <w:p w14:paraId="01074FAC" w14:textId="77777777" w:rsidR="00FD560D" w:rsidRPr="00D91090" w:rsidRDefault="00FD560D" w:rsidP="008E4AF2"/>
    <w:p w14:paraId="552014CC" w14:textId="7AA99BDC" w:rsidR="00FD560D" w:rsidRDefault="00FD560D">
      <w:r>
        <w:t>There also seemed to be confusion about why this was the only forum for decision</w:t>
      </w:r>
      <w:r w:rsidR="00401CE6">
        <w:t>-</w:t>
      </w:r>
      <w:r>
        <w:t xml:space="preserve">making and the appropriateness as a setting for important conversations. Young people all referred to their meeting as a space where professionals presented significant questions or new information, often without introduction or </w:t>
      </w:r>
      <w:r w:rsidRPr="00B4395C">
        <w:t>context.</w:t>
      </w:r>
      <w:r>
        <w:t xml:space="preserve"> Tyler and Cally described the use of the meeting in this way as an ongoing pattern: </w:t>
      </w:r>
    </w:p>
    <w:p w14:paraId="5BB76B77" w14:textId="77777777" w:rsidR="00FD560D"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E7DB214" w14:textId="77777777" w:rsidTr="00ED3D34">
        <w:tc>
          <w:tcPr>
            <w:tcW w:w="1413" w:type="dxa"/>
          </w:tcPr>
          <w:p w14:paraId="26A29F28" w14:textId="77777777" w:rsidR="00FD560D" w:rsidRPr="00D91090" w:rsidRDefault="00FD560D">
            <w:r>
              <w:t>Tyler</w:t>
            </w:r>
            <w:r w:rsidRPr="00D91090">
              <w:t>:</w:t>
            </w:r>
          </w:p>
        </w:tc>
        <w:tc>
          <w:tcPr>
            <w:tcW w:w="6888" w:type="dxa"/>
          </w:tcPr>
          <w:p w14:paraId="47C07CB9" w14:textId="75D00F2B" w:rsidR="00FD560D" w:rsidRPr="00D91090" w:rsidRDefault="00FD560D" w:rsidP="007B4C41">
            <w:pPr>
              <w:pStyle w:val="tablecontent-singlespaced"/>
            </w:pPr>
            <w:r>
              <w:t>It was sorta like expect the unexpected (.) like you’d turn up and a whole new problem would like be put on you (</w:t>
            </w:r>
            <w:r w:rsidRPr="00D91090">
              <w:t>.</w:t>
            </w:r>
            <w:r>
              <w:t>) like why do it here?</w:t>
            </w:r>
          </w:p>
        </w:tc>
      </w:tr>
    </w:tbl>
    <w:p w14:paraId="74B35985" w14:textId="77777777" w:rsidR="00FD560D"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625CAF1C" w14:textId="77777777" w:rsidTr="00ED3D34">
        <w:tc>
          <w:tcPr>
            <w:tcW w:w="1413" w:type="dxa"/>
          </w:tcPr>
          <w:p w14:paraId="1F7E4A6A" w14:textId="77777777" w:rsidR="00FD560D" w:rsidRPr="00D91090" w:rsidRDefault="00FD560D">
            <w:r>
              <w:t>Cally</w:t>
            </w:r>
            <w:r w:rsidRPr="00D91090">
              <w:t>:</w:t>
            </w:r>
          </w:p>
        </w:tc>
        <w:tc>
          <w:tcPr>
            <w:tcW w:w="6888" w:type="dxa"/>
          </w:tcPr>
          <w:p w14:paraId="4AF98B2A" w14:textId="1CF90C70" w:rsidR="00FD560D" w:rsidRPr="00D91090" w:rsidRDefault="00401CE6" w:rsidP="007B4C41">
            <w:pPr>
              <w:pStyle w:val="tablecontent-singlespaced"/>
            </w:pPr>
            <w:r>
              <w:t>B</w:t>
            </w:r>
            <w:r w:rsidR="00FD560D" w:rsidRPr="00420DFB">
              <w:t>et it come up at me review (.) everything else did (.)</w:t>
            </w:r>
          </w:p>
        </w:tc>
      </w:tr>
    </w:tbl>
    <w:p w14:paraId="18B6B1BF" w14:textId="77777777" w:rsidR="00FD560D" w:rsidRDefault="00FD560D" w:rsidP="008E4AF2"/>
    <w:p w14:paraId="739D05E4" w14:textId="77777777" w:rsidR="00FD560D" w:rsidRPr="00D91090" w:rsidRDefault="00FD560D">
      <w:r>
        <w:t>Sometimes young people had notice of an issue being raised at the meeting, however this did not seem to help the young person prepare or be involved in the discussion.</w:t>
      </w:r>
      <w:r w:rsidRPr="00D91090">
        <w:t xml:space="preserve"> On the whole Liam did not attend their meetings, but recalled a specific situation where they wanted to be represented and chose to attend:</w:t>
      </w:r>
    </w:p>
    <w:p w14:paraId="69F80159"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063A79F0" w14:textId="77777777" w:rsidTr="00ED3D34">
        <w:tc>
          <w:tcPr>
            <w:tcW w:w="1413" w:type="dxa"/>
          </w:tcPr>
          <w:p w14:paraId="6A58A78B" w14:textId="77777777" w:rsidR="00FD560D" w:rsidRPr="00D91090" w:rsidRDefault="00FD560D">
            <w:r w:rsidRPr="00D91090">
              <w:t>Liam:</w:t>
            </w:r>
          </w:p>
        </w:tc>
        <w:tc>
          <w:tcPr>
            <w:tcW w:w="6888" w:type="dxa"/>
          </w:tcPr>
          <w:p w14:paraId="66207522" w14:textId="50825465" w:rsidR="00FD560D" w:rsidRPr="00D91090" w:rsidRDefault="00401CE6" w:rsidP="007B4C41">
            <w:pPr>
              <w:pStyle w:val="tablecontent-singlespaced"/>
            </w:pPr>
            <w:r>
              <w:t>I</w:t>
            </w:r>
            <w:r w:rsidR="00FD560D" w:rsidRPr="00D91090">
              <w:t xml:space="preserve">t was like </w:t>
            </w:r>
            <w:r>
              <w:t xml:space="preserve">a </w:t>
            </w:r>
            <w:r w:rsidR="00FD560D" w:rsidRPr="00D91090">
              <w:t>serious one that I had to be at (.) that was like quite a big deal I didn’t say anything for the whole time (.) sat there like looking at my hands rather than take part in the discussion (.) how are you like meant to answer a question when everyone's staring at you?</w:t>
            </w:r>
          </w:p>
        </w:tc>
      </w:tr>
    </w:tbl>
    <w:p w14:paraId="0C64A4D6" w14:textId="77777777" w:rsidR="00FD560D" w:rsidRDefault="00FD560D" w:rsidP="008E4AF2"/>
    <w:p w14:paraId="0586F5CF" w14:textId="17892B09" w:rsidR="00FD560D" w:rsidRDefault="00FD560D">
      <w:r>
        <w:lastRenderedPageBreak/>
        <w:t>Viewing the meeting as a demarcated space for their involvement may indicate how young people and their supporting professionals see or frame decision</w:t>
      </w:r>
      <w:r w:rsidR="00401CE6">
        <w:t>-</w:t>
      </w:r>
      <w:r>
        <w:t xml:space="preserve">making. The issues that young people described were generally intricate matters involving planning and decisions that had emotional as well as practical implications. Their accounts seem to evidence </w:t>
      </w:r>
      <w:r w:rsidR="004A511E">
        <w:t>that complex</w:t>
      </w:r>
      <w:r>
        <w:t xml:space="preserve"> </w:t>
      </w:r>
      <w:r w:rsidR="004A511E">
        <w:t>issues</w:t>
      </w:r>
      <w:r>
        <w:t xml:space="preserve"> </w:t>
      </w:r>
      <w:r w:rsidR="00401CE6">
        <w:t>we</w:t>
      </w:r>
      <w:r>
        <w:t xml:space="preserve">re often simplified to bitesize pieces of information which </w:t>
      </w:r>
      <w:r w:rsidR="00401CE6">
        <w:t>we</w:t>
      </w:r>
      <w:r>
        <w:t>re then shared in meetings. In principle</w:t>
      </w:r>
      <w:r w:rsidR="00024897">
        <w:t>,</w:t>
      </w:r>
      <w:r>
        <w:t xml:space="preserve"> this could truncate unwieldy and often sensitive choices in a more manageable way. </w:t>
      </w:r>
      <w:r w:rsidR="004A511E">
        <w:t>However,</w:t>
      </w:r>
      <w:r>
        <w:t xml:space="preserve"> in doing so it seems that using the review to parachute in difficult ideas or subjects may mean that young people’s need and ability to discuss and consider options is limited due to the format of and reliance on the meeting. Liam’s experience of talking and receiving information at a meeting suggested that </w:t>
      </w:r>
      <w:r w:rsidR="0067448C">
        <w:t>a s</w:t>
      </w:r>
      <w:r>
        <w:t xml:space="preserve">tatutory </w:t>
      </w:r>
      <w:r w:rsidR="00291E1D">
        <w:t>r</w:t>
      </w:r>
      <w:r>
        <w:t xml:space="preserve">eview meeting is not a suitable vehicle to share new information nor facilitate participation in important decisions. In </w:t>
      </w:r>
      <w:r w:rsidR="004A511E">
        <w:t>addition,</w:t>
      </w:r>
      <w:r>
        <w:t xml:space="preserve"> the consequence of not feeling able to participate may well lead to young people </w:t>
      </w:r>
      <w:r w:rsidR="004A511E">
        <w:t>feeling</w:t>
      </w:r>
      <w:r>
        <w:t xml:space="preserve"> that their inability to speak out is about their competence. </w:t>
      </w:r>
      <w:r w:rsidR="0067448C">
        <w:t>Young people appeared to feel</w:t>
      </w:r>
      <w:r>
        <w:t xml:space="preserve"> exposed and unclear about the parameters of the discussion. The language they used to describe their meetings seemed to evidence personal feelings of ineptitude or uncertainty. </w:t>
      </w:r>
    </w:p>
    <w:p w14:paraId="3E521AF3" w14:textId="5AA5A2BD" w:rsidR="00FD560D" w:rsidRPr="00D91090" w:rsidRDefault="00FD560D">
      <w:r>
        <w:t>Within this section</w:t>
      </w:r>
      <w:r w:rsidR="00BE5B94">
        <w:t>,</w:t>
      </w:r>
      <w:r>
        <w:t xml:space="preserve"> young people’s accounts have demonstrated both the importance they have placed on the </w:t>
      </w:r>
      <w:r w:rsidR="00291E1D">
        <w:t>s</w:t>
      </w:r>
      <w:r>
        <w:t xml:space="preserve">tatutory </w:t>
      </w:r>
      <w:r w:rsidR="00291E1D">
        <w:t>r</w:t>
      </w:r>
      <w:r>
        <w:t xml:space="preserve">eview </w:t>
      </w:r>
      <w:r w:rsidR="00291E1D">
        <w:t>m</w:t>
      </w:r>
      <w:r>
        <w:t>eeting, but also their feelings about its suitability as a place for decision</w:t>
      </w:r>
      <w:r w:rsidR="00401CE6">
        <w:t>-</w:t>
      </w:r>
      <w:r>
        <w:t>making. Many of the young people including Jonathan and Cain questioned why the meeting operated in this way, and concluded that it was not for their benefit:</w:t>
      </w:r>
    </w:p>
    <w:p w14:paraId="6EE0A5EE"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5FD6C364" w14:textId="77777777" w:rsidTr="00ED3D34">
        <w:tc>
          <w:tcPr>
            <w:tcW w:w="1413" w:type="dxa"/>
          </w:tcPr>
          <w:p w14:paraId="49344E21" w14:textId="77777777" w:rsidR="00FD560D" w:rsidRPr="00D91090" w:rsidRDefault="00FD560D">
            <w:r w:rsidRPr="00D91090">
              <w:t xml:space="preserve">Jonathan: </w:t>
            </w:r>
          </w:p>
        </w:tc>
        <w:tc>
          <w:tcPr>
            <w:tcW w:w="6888" w:type="dxa"/>
          </w:tcPr>
          <w:p w14:paraId="76A62B44" w14:textId="67D31337" w:rsidR="00FD560D" w:rsidRPr="00D91090" w:rsidRDefault="00401CE6" w:rsidP="007B4C41">
            <w:pPr>
              <w:pStyle w:val="tablecontent-singlespaced"/>
            </w:pPr>
            <w:r>
              <w:t>I</w:t>
            </w:r>
            <w:r w:rsidR="00FD560D" w:rsidRPr="00D91090">
              <w:t xml:space="preserve">t’s like </w:t>
            </w:r>
            <w:r w:rsidR="00FD560D">
              <w:t xml:space="preserve">we’re </w:t>
            </w:r>
            <w:r w:rsidR="00FD560D" w:rsidRPr="00D91090">
              <w:t xml:space="preserve">being asked because </w:t>
            </w:r>
            <w:r w:rsidR="00FD560D">
              <w:t>we</w:t>
            </w:r>
            <w:r w:rsidR="00FD560D" w:rsidRPr="00D91090">
              <w:t xml:space="preserve"> have to be (.) </w:t>
            </w:r>
            <w:r w:rsidR="00FD560D">
              <w:t>it’s not about us really</w:t>
            </w:r>
            <w:r w:rsidR="003348CD">
              <w:t xml:space="preserve"> … </w:t>
            </w:r>
            <w:r w:rsidR="00FD560D" w:rsidRPr="00D91090">
              <w:t>it’s for paperwork not for real</w:t>
            </w:r>
            <w:r w:rsidR="00FD560D">
              <w:t>.</w:t>
            </w:r>
          </w:p>
        </w:tc>
      </w:tr>
      <w:tr w:rsidR="00FD560D" w:rsidRPr="00D91090" w14:paraId="2A6DE47C" w14:textId="77777777" w:rsidTr="00ED3D34">
        <w:tc>
          <w:tcPr>
            <w:tcW w:w="1413" w:type="dxa"/>
          </w:tcPr>
          <w:p w14:paraId="4D12BE8D" w14:textId="77777777" w:rsidR="00FD560D" w:rsidRPr="00D91090" w:rsidRDefault="00FD560D" w:rsidP="008E4AF2"/>
        </w:tc>
        <w:tc>
          <w:tcPr>
            <w:tcW w:w="6888" w:type="dxa"/>
          </w:tcPr>
          <w:p w14:paraId="6324FE4A" w14:textId="77777777" w:rsidR="00FD560D" w:rsidRDefault="00FD560D" w:rsidP="008E4AF2"/>
          <w:p w14:paraId="1D3C3946" w14:textId="326CF875" w:rsidR="007B4C41" w:rsidRPr="00D91090" w:rsidRDefault="007B4C41"/>
        </w:tc>
      </w:tr>
      <w:tr w:rsidR="00FD560D" w:rsidRPr="00D91090" w14:paraId="257E0548" w14:textId="77777777" w:rsidTr="00ED3D34">
        <w:tc>
          <w:tcPr>
            <w:tcW w:w="1413" w:type="dxa"/>
          </w:tcPr>
          <w:p w14:paraId="54E32969" w14:textId="77777777" w:rsidR="00FD560D" w:rsidRPr="00D91090" w:rsidRDefault="00FD560D" w:rsidP="008E4AF2">
            <w:r>
              <w:t>Cain:</w:t>
            </w:r>
          </w:p>
        </w:tc>
        <w:tc>
          <w:tcPr>
            <w:tcW w:w="6888" w:type="dxa"/>
          </w:tcPr>
          <w:p w14:paraId="29B87C1C" w14:textId="77777777" w:rsidR="00FD560D" w:rsidRPr="00D91090" w:rsidRDefault="00FD560D" w:rsidP="007B4C41">
            <w:pPr>
              <w:pStyle w:val="tablecontent-singlespaced"/>
            </w:pPr>
            <w:r>
              <w:t>You have to ask yourself why are they doing this?</w:t>
            </w:r>
          </w:p>
        </w:tc>
      </w:tr>
      <w:tr w:rsidR="00FD560D" w:rsidRPr="00D91090" w14:paraId="4A58B90B" w14:textId="77777777" w:rsidTr="00ED3D34">
        <w:tc>
          <w:tcPr>
            <w:tcW w:w="1413" w:type="dxa"/>
          </w:tcPr>
          <w:p w14:paraId="6E9D5D17" w14:textId="77777777" w:rsidR="00FD560D" w:rsidRDefault="00FD560D" w:rsidP="008E4AF2"/>
        </w:tc>
        <w:tc>
          <w:tcPr>
            <w:tcW w:w="6888" w:type="dxa"/>
          </w:tcPr>
          <w:p w14:paraId="26093591" w14:textId="77777777" w:rsidR="00FD560D" w:rsidRDefault="00FD560D" w:rsidP="008E4AF2"/>
        </w:tc>
      </w:tr>
      <w:tr w:rsidR="00FD560D" w:rsidRPr="00D91090" w14:paraId="773D7A20" w14:textId="77777777" w:rsidTr="00ED3D34">
        <w:tc>
          <w:tcPr>
            <w:tcW w:w="1413" w:type="dxa"/>
          </w:tcPr>
          <w:p w14:paraId="48BFABC5" w14:textId="77777777" w:rsidR="00FD560D" w:rsidRDefault="00FD560D" w:rsidP="008E4AF2">
            <w:r>
              <w:t>Sally:</w:t>
            </w:r>
          </w:p>
        </w:tc>
        <w:tc>
          <w:tcPr>
            <w:tcW w:w="6888" w:type="dxa"/>
          </w:tcPr>
          <w:p w14:paraId="7C2D770F" w14:textId="2551430C" w:rsidR="00FD560D" w:rsidRDefault="00B941F3" w:rsidP="007B4C41">
            <w:pPr>
              <w:pStyle w:val="tablecontent-singlespaced"/>
            </w:pPr>
            <w:r>
              <w:t>D’y</w:t>
            </w:r>
            <w:r w:rsidR="00AC672D">
              <w:t>ou</w:t>
            </w:r>
            <w:r w:rsidR="00FD560D">
              <w:t xml:space="preserve"> mean (.) the review?</w:t>
            </w:r>
          </w:p>
        </w:tc>
      </w:tr>
      <w:tr w:rsidR="00FD560D" w:rsidRPr="00D91090" w14:paraId="06C4C751" w14:textId="77777777" w:rsidTr="00ED3D34">
        <w:tc>
          <w:tcPr>
            <w:tcW w:w="1413" w:type="dxa"/>
          </w:tcPr>
          <w:p w14:paraId="0C830B40" w14:textId="77777777" w:rsidR="00FD560D" w:rsidRDefault="00FD560D" w:rsidP="008E4AF2"/>
        </w:tc>
        <w:tc>
          <w:tcPr>
            <w:tcW w:w="6888" w:type="dxa"/>
          </w:tcPr>
          <w:p w14:paraId="1A533FD6" w14:textId="77777777" w:rsidR="00FD560D" w:rsidRDefault="00FD560D" w:rsidP="008E4AF2"/>
        </w:tc>
      </w:tr>
      <w:tr w:rsidR="00FD560D" w:rsidRPr="00D91090" w14:paraId="3A4E48D8" w14:textId="77777777" w:rsidTr="00ED3D34">
        <w:tc>
          <w:tcPr>
            <w:tcW w:w="1413" w:type="dxa"/>
          </w:tcPr>
          <w:p w14:paraId="461F2858" w14:textId="77777777" w:rsidR="00FD560D" w:rsidRDefault="00FD560D" w:rsidP="008E4AF2">
            <w:r>
              <w:t>Cain:</w:t>
            </w:r>
          </w:p>
        </w:tc>
        <w:tc>
          <w:tcPr>
            <w:tcW w:w="6888" w:type="dxa"/>
          </w:tcPr>
          <w:p w14:paraId="345BA178" w14:textId="77777777" w:rsidR="00FD560D" w:rsidRDefault="00FD560D" w:rsidP="007B4C41">
            <w:pPr>
              <w:pStyle w:val="tablecontent-singlespaced"/>
            </w:pPr>
            <w:r>
              <w:t>Yeah (.) who would put a teenager in a room full of social workers unless there is something in it for them (.) it’s all a show they don’t mean any of it.</w:t>
            </w:r>
          </w:p>
        </w:tc>
      </w:tr>
    </w:tbl>
    <w:p w14:paraId="684D4E8C" w14:textId="77777777" w:rsidR="00FD560D" w:rsidRDefault="00FD560D" w:rsidP="008E4AF2"/>
    <w:p w14:paraId="297075D1" w14:textId="0729A336" w:rsidR="00FD560D" w:rsidRDefault="00FD560D">
      <w:r>
        <w:t xml:space="preserve">The </w:t>
      </w:r>
      <w:r w:rsidR="00291E1D">
        <w:t>s</w:t>
      </w:r>
      <w:r>
        <w:t xml:space="preserve">tatutory </w:t>
      </w:r>
      <w:r w:rsidR="00291E1D">
        <w:t>r</w:t>
      </w:r>
      <w:r>
        <w:t xml:space="preserve">eview meeting as a </w:t>
      </w:r>
      <w:r w:rsidR="00D53C94">
        <w:t>decision-making</w:t>
      </w:r>
      <w:r>
        <w:t xml:space="preserve"> space did not appear to reflect the level of involvement young people felt they needed. In the context of their care experience the review meeting seemed to represent a theatre where </w:t>
      </w:r>
      <w:r w:rsidR="00DC59B2">
        <w:t>decision-making</w:t>
      </w:r>
      <w:r>
        <w:t xml:space="preserve"> was played </w:t>
      </w:r>
      <w:r w:rsidR="00401CE6">
        <w:t>out rather</w:t>
      </w:r>
      <w:r>
        <w:t xml:space="preserve"> than a participative or facilitating environment. </w:t>
      </w:r>
      <w:r w:rsidRPr="006420EF">
        <w:t>Regardless of the issue discussed, participants referred to a veneer of involvement</w:t>
      </w:r>
      <w:r>
        <w:t xml:space="preserve"> by being at the meeting, suggesting that attendance gave the impression of engagement in any decisions made. How the meeting was presented by young people suggested an element of compliance with a system they disputed. They appeared distrustful of the authenticity of the meeting and saw the format of publicly posed questions or information being for the benefit of the organisation rather than a way to seek their views. In summary, the young people’s relationship with the review meeting seemed conflicted due to the perception of curtailed opportunity and feelings that once at the meeting, decision</w:t>
      </w:r>
      <w:r w:rsidR="00401CE6">
        <w:t>-</w:t>
      </w:r>
      <w:r>
        <w:t xml:space="preserve">making was performative and not a meaningful activity. </w:t>
      </w:r>
    </w:p>
    <w:p w14:paraId="4476BB5B" w14:textId="21FFB7D0" w:rsidR="00FD560D" w:rsidRPr="00D91090" w:rsidRDefault="00FD560D" w:rsidP="006A75FF">
      <w:pPr>
        <w:pStyle w:val="Heading2"/>
        <w:rPr>
          <w:highlight w:val="yellow"/>
        </w:rPr>
      </w:pPr>
      <w:bookmarkStart w:id="68" w:name="_Toc101108510"/>
      <w:r w:rsidRPr="00C91A1A">
        <w:t xml:space="preserve">‘There’s no </w:t>
      </w:r>
      <w:r w:rsidR="00112BD6">
        <w:t>t</w:t>
      </w:r>
      <w:r w:rsidRPr="00C91A1A">
        <w:t>urning back’</w:t>
      </w:r>
      <w:bookmarkEnd w:id="68"/>
      <w:r w:rsidRPr="00C91A1A">
        <w:t xml:space="preserve"> </w:t>
      </w:r>
    </w:p>
    <w:p w14:paraId="4E6D4006" w14:textId="43319E4D" w:rsidR="00FD560D" w:rsidRDefault="00FD560D">
      <w:r w:rsidRPr="00D91090">
        <w:t xml:space="preserve">The next </w:t>
      </w:r>
      <w:r w:rsidR="00112BD6">
        <w:t>section</w:t>
      </w:r>
      <w:r w:rsidRPr="00D91090">
        <w:t xml:space="preserve"> centres around decision</w:t>
      </w:r>
      <w:r w:rsidR="00401CE6">
        <w:t>-</w:t>
      </w:r>
      <w:r w:rsidRPr="00D91090">
        <w:t xml:space="preserve">making about </w:t>
      </w:r>
      <w:r w:rsidR="00C044A0" w:rsidRPr="00C044A0">
        <w:rPr>
          <w:i/>
          <w:iCs/>
        </w:rPr>
        <w:t>Staying Put</w:t>
      </w:r>
      <w:r w:rsidRPr="00D91090">
        <w:t>. Throughout</w:t>
      </w:r>
      <w:r w:rsidR="00991685">
        <w:t xml:space="preserve"> this</w:t>
      </w:r>
      <w:r w:rsidRPr="00D91090">
        <w:t xml:space="preserve"> </w:t>
      </w:r>
      <w:r w:rsidR="00112BD6">
        <w:t>thesis</w:t>
      </w:r>
      <w:r w:rsidRPr="00D91090">
        <w:t xml:space="preserve"> the plan to remain with foster carers has been presented as a decision to reflect the terminology within local authority policies and the guidance issued by the Fostering Network</w:t>
      </w:r>
      <w:r w:rsidR="00113DFB">
        <w:t xml:space="preserve">, set out in Chapter 1, </w:t>
      </w:r>
      <w:r w:rsidRPr="00D91090">
        <w:t>where emphasis is placed on involvement and choice</w:t>
      </w:r>
      <w:r w:rsidR="00113DFB">
        <w:t xml:space="preserve">. </w:t>
      </w:r>
      <w:r w:rsidRPr="00D91090">
        <w:t xml:space="preserve">The young people in </w:t>
      </w:r>
      <w:r w:rsidR="004A511E">
        <w:t xml:space="preserve">my </w:t>
      </w:r>
      <w:r w:rsidRPr="00D91090">
        <w:t xml:space="preserve">study also recognised that it was a choice to make and highlighted the importance </w:t>
      </w:r>
      <w:r w:rsidR="004A511E">
        <w:t>of</w:t>
      </w:r>
      <w:r w:rsidRPr="00D91090">
        <w:t xml:space="preserve"> their role. For </w:t>
      </w:r>
      <w:r w:rsidR="004A511E" w:rsidRPr="00D91090">
        <w:t>example,</w:t>
      </w:r>
      <w:r w:rsidRPr="00D91090">
        <w:t xml:space="preserve"> Beth said that young people:</w:t>
      </w:r>
    </w:p>
    <w:p w14:paraId="742961C8" w14:textId="77777777" w:rsidR="00FD560D" w:rsidRPr="00D91090" w:rsidRDefault="00FD560D"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4CED353B" w14:textId="77777777" w:rsidTr="00ED3D34">
        <w:tc>
          <w:tcPr>
            <w:tcW w:w="1413" w:type="dxa"/>
          </w:tcPr>
          <w:p w14:paraId="72992393" w14:textId="77777777" w:rsidR="00FD560D" w:rsidRPr="00D91090" w:rsidRDefault="00FD560D" w:rsidP="008E4AF2">
            <w:r w:rsidRPr="00D91090">
              <w:t>Beth:</w:t>
            </w:r>
          </w:p>
        </w:tc>
        <w:tc>
          <w:tcPr>
            <w:tcW w:w="6888" w:type="dxa"/>
          </w:tcPr>
          <w:p w14:paraId="77F6AA39" w14:textId="0AD3207B" w:rsidR="00FD560D" w:rsidRPr="00D91090" w:rsidRDefault="00401CE6" w:rsidP="007B4C41">
            <w:pPr>
              <w:pStyle w:val="tablecontent-singlespaced"/>
            </w:pPr>
            <w:r>
              <w:t>N</w:t>
            </w:r>
            <w:r w:rsidR="00FD560D" w:rsidRPr="00D91090">
              <w:t>eed some help making that decision but not be told.</w:t>
            </w:r>
          </w:p>
        </w:tc>
      </w:tr>
    </w:tbl>
    <w:p w14:paraId="43200142" w14:textId="77777777" w:rsidR="00FD560D" w:rsidRPr="00D91090" w:rsidRDefault="00FD560D" w:rsidP="008E4AF2"/>
    <w:p w14:paraId="67042DF7" w14:textId="674A7825" w:rsidR="00FD560D" w:rsidRDefault="00FD560D" w:rsidP="008E4AF2">
      <w:r w:rsidRPr="00D91090">
        <w:t xml:space="preserve">The question of </w:t>
      </w:r>
      <w:r w:rsidRPr="004A511E">
        <w:rPr>
          <w:i/>
          <w:iCs/>
        </w:rPr>
        <w:t>Staying Put</w:t>
      </w:r>
      <w:r w:rsidRPr="00D91090">
        <w:t xml:space="preserve"> as a decision was questioned by some of the young people. In some </w:t>
      </w:r>
      <w:r w:rsidR="004A511E" w:rsidRPr="00D91090">
        <w:t>instances,</w:t>
      </w:r>
      <w:r w:rsidRPr="00D91090">
        <w:t xml:space="preserve"> this was because they did not recognise the need to make a </w:t>
      </w:r>
      <w:r>
        <w:t>decision</w:t>
      </w:r>
      <w:r w:rsidRPr="00D91090">
        <w:t xml:space="preserve"> as they had made a mutual choice with their carers based on a longstanding understanding. For </w:t>
      </w:r>
      <w:r w:rsidR="004A511E" w:rsidRPr="00D91090">
        <w:t>example,</w:t>
      </w:r>
      <w:r w:rsidRPr="00D91090">
        <w:t xml:space="preserve"> Hannah’s carers talked about </w:t>
      </w:r>
      <w:r w:rsidRPr="004A511E">
        <w:rPr>
          <w:i/>
          <w:iCs/>
        </w:rPr>
        <w:t>Staying Put</w:t>
      </w:r>
      <w:r w:rsidRPr="00D91090">
        <w:t xml:space="preserve"> throughout their time in placement:</w:t>
      </w:r>
    </w:p>
    <w:p w14:paraId="26644F86"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4977F96" w14:textId="77777777" w:rsidTr="00ED3D34">
        <w:tc>
          <w:tcPr>
            <w:tcW w:w="1413" w:type="dxa"/>
          </w:tcPr>
          <w:p w14:paraId="7952ED18" w14:textId="77777777" w:rsidR="00FD560D" w:rsidRPr="00D91090" w:rsidRDefault="00FD560D">
            <w:r w:rsidRPr="00D91090">
              <w:t>Hannah:</w:t>
            </w:r>
          </w:p>
        </w:tc>
        <w:tc>
          <w:tcPr>
            <w:tcW w:w="6888" w:type="dxa"/>
          </w:tcPr>
          <w:p w14:paraId="7D5EB01F" w14:textId="6FC5C439" w:rsidR="00FD560D" w:rsidRPr="00D91090" w:rsidRDefault="00FD560D" w:rsidP="007B4C41">
            <w:pPr>
              <w:pStyle w:val="tablecontent-singlespaced"/>
            </w:pPr>
            <w:r w:rsidRPr="00D91090">
              <w:t xml:space="preserve">I think it was almost a given like at 17 (.) because I had such a good relationship with my carer, that everyone assumed that I was going to stay </w:t>
            </w:r>
            <w:r w:rsidR="00585300" w:rsidRPr="00D91090">
              <w:t>there,</w:t>
            </w:r>
            <w:r w:rsidRPr="00D91090">
              <w:t xml:space="preserve"> and I'd already spoken about it with my carer.</w:t>
            </w:r>
          </w:p>
        </w:tc>
      </w:tr>
    </w:tbl>
    <w:p w14:paraId="33066DBE" w14:textId="77777777" w:rsidR="00FD560D" w:rsidRPr="00D91090" w:rsidRDefault="00FD560D" w:rsidP="006E3485">
      <w:r w:rsidRPr="00D91090">
        <w:t xml:space="preserve"> </w:t>
      </w:r>
    </w:p>
    <w:p w14:paraId="3A380D9C" w14:textId="453C6EE5" w:rsidR="00FD560D" w:rsidRPr="00D91090" w:rsidRDefault="00FD560D" w:rsidP="008E4AF2">
      <w:r w:rsidRPr="00D91090">
        <w:t xml:space="preserve">Liam had a similar experience, explaining that the foster carers raised the scheme early on in their placement: </w:t>
      </w:r>
    </w:p>
    <w:p w14:paraId="136EDE4F" w14:textId="77777777" w:rsidR="00FD560D" w:rsidRPr="00D91090"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932ABC7" w14:textId="77777777" w:rsidTr="00ED3D34">
        <w:tc>
          <w:tcPr>
            <w:tcW w:w="1413" w:type="dxa"/>
          </w:tcPr>
          <w:p w14:paraId="1F533EDD" w14:textId="77777777" w:rsidR="00FD560D" w:rsidRPr="00D91090" w:rsidRDefault="00FD560D">
            <w:r w:rsidRPr="00D91090">
              <w:t>Liam:</w:t>
            </w:r>
          </w:p>
        </w:tc>
        <w:tc>
          <w:tcPr>
            <w:tcW w:w="6888" w:type="dxa"/>
          </w:tcPr>
          <w:p w14:paraId="579F66AC" w14:textId="77777777" w:rsidR="00FD560D" w:rsidRPr="00D91090" w:rsidRDefault="00FD560D" w:rsidP="007B4C41">
            <w:pPr>
              <w:pStyle w:val="tablecontent-singlespaced"/>
            </w:pPr>
            <w:r w:rsidRPr="00D91090">
              <w:t>It was always on the table.</w:t>
            </w:r>
          </w:p>
        </w:tc>
      </w:tr>
    </w:tbl>
    <w:p w14:paraId="47F4BC39" w14:textId="77777777" w:rsidR="00FD560D" w:rsidRPr="00D91090" w:rsidRDefault="00FD560D" w:rsidP="006E3485"/>
    <w:p w14:paraId="0EA1D455" w14:textId="1BA70E25" w:rsidR="00FD560D" w:rsidRDefault="00FD560D" w:rsidP="008E4AF2">
      <w:r w:rsidRPr="00D91090">
        <w:t xml:space="preserve">For both Hannah and Liam their hopes of staying were aligned with their foster carer’s thinking, and consequently alternative options were not considered. For other young people, the issue of choice was questioned for other reasons. In Yannick and Eshal’s case the premise of </w:t>
      </w:r>
      <w:r w:rsidRPr="004A511E">
        <w:rPr>
          <w:i/>
          <w:iCs/>
        </w:rPr>
        <w:t>Staying Put</w:t>
      </w:r>
      <w:r w:rsidRPr="00D91090">
        <w:t xml:space="preserve"> being a </w:t>
      </w:r>
      <w:r w:rsidR="00C044A0">
        <w:t>decision</w:t>
      </w:r>
      <w:r w:rsidRPr="00D91090">
        <w:t xml:space="preserve"> was </w:t>
      </w:r>
      <w:r w:rsidR="00C044A0">
        <w:t>disputed</w:t>
      </w:r>
      <w:r w:rsidRPr="00D91090">
        <w:t>:</w:t>
      </w:r>
    </w:p>
    <w:p w14:paraId="715B6AE9"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06FE930B" w14:textId="77777777" w:rsidTr="00ED3D34">
        <w:tc>
          <w:tcPr>
            <w:tcW w:w="1413" w:type="dxa"/>
          </w:tcPr>
          <w:p w14:paraId="2BC6F91A" w14:textId="77777777" w:rsidR="00FD560D" w:rsidRPr="00D91090" w:rsidRDefault="00FD560D">
            <w:r w:rsidRPr="00D91090">
              <w:t>Yannick:</w:t>
            </w:r>
          </w:p>
        </w:tc>
        <w:tc>
          <w:tcPr>
            <w:tcW w:w="6888" w:type="dxa"/>
          </w:tcPr>
          <w:p w14:paraId="0B4F1FD5" w14:textId="53C6C593" w:rsidR="00FD560D" w:rsidRDefault="00401CE6" w:rsidP="007B4C41">
            <w:pPr>
              <w:pStyle w:val="tablecontent-singlespaced"/>
            </w:pPr>
            <w:r>
              <w:t>W</w:t>
            </w:r>
            <w:r w:rsidR="00FD560D" w:rsidRPr="00D91090">
              <w:t>ell to be fair you said like a decision, it weren't no decision it was like, it’s gonna happen.</w:t>
            </w:r>
          </w:p>
          <w:p w14:paraId="7584E97F" w14:textId="77777777" w:rsidR="00FD560D" w:rsidRPr="00D91090" w:rsidRDefault="00FD560D"/>
        </w:tc>
      </w:tr>
      <w:tr w:rsidR="00FD560D" w:rsidRPr="00D91090" w14:paraId="5DA59F47" w14:textId="77777777" w:rsidTr="00ED3D34">
        <w:tc>
          <w:tcPr>
            <w:tcW w:w="1413" w:type="dxa"/>
          </w:tcPr>
          <w:p w14:paraId="6F5BC1AB" w14:textId="77777777" w:rsidR="00FD560D" w:rsidRPr="00D91090" w:rsidRDefault="00FD560D" w:rsidP="008E4AF2"/>
        </w:tc>
        <w:tc>
          <w:tcPr>
            <w:tcW w:w="6888" w:type="dxa"/>
          </w:tcPr>
          <w:p w14:paraId="2E21B190" w14:textId="77777777" w:rsidR="00FD560D" w:rsidRPr="00D91090" w:rsidRDefault="00FD560D" w:rsidP="008E4AF2"/>
        </w:tc>
      </w:tr>
      <w:tr w:rsidR="00FD560D" w:rsidRPr="00D91090" w14:paraId="6EE0CFEE" w14:textId="77777777" w:rsidTr="00ED3D34">
        <w:tc>
          <w:tcPr>
            <w:tcW w:w="1413" w:type="dxa"/>
          </w:tcPr>
          <w:p w14:paraId="35DC48F3" w14:textId="77777777" w:rsidR="00FD560D" w:rsidRPr="00D91090" w:rsidRDefault="00FD560D" w:rsidP="008E4AF2">
            <w:r w:rsidRPr="00D91090">
              <w:t>Eshal:</w:t>
            </w:r>
          </w:p>
        </w:tc>
        <w:tc>
          <w:tcPr>
            <w:tcW w:w="6888" w:type="dxa"/>
          </w:tcPr>
          <w:p w14:paraId="5EE76A2B" w14:textId="482B681E" w:rsidR="00FD560D" w:rsidRPr="00D91090" w:rsidRDefault="00005283" w:rsidP="007B4C41">
            <w:pPr>
              <w:pStyle w:val="tablecontent-singlespaced"/>
            </w:pPr>
            <w:r>
              <w:t>L</w:t>
            </w:r>
            <w:r w:rsidR="00FD560D" w:rsidRPr="00D91090">
              <w:t>ike I said it came out of the blue (.) I knew it was odd as my social worker came when she didn’t need to, she said that she'd found me somewhere to go when I was ready and to let her know when that was going to be.</w:t>
            </w:r>
          </w:p>
        </w:tc>
      </w:tr>
    </w:tbl>
    <w:p w14:paraId="4195D546" w14:textId="77777777" w:rsidR="00FD560D" w:rsidRPr="00D91090" w:rsidRDefault="00FD560D" w:rsidP="006E3485">
      <w:r w:rsidRPr="00D91090">
        <w:t xml:space="preserve"> </w:t>
      </w:r>
    </w:p>
    <w:p w14:paraId="5B48B31A" w14:textId="77777777" w:rsidR="00FD560D" w:rsidRDefault="00FD560D" w:rsidP="008E4AF2">
      <w:r w:rsidRPr="00D91090">
        <w:t>Yannick and Eshal’s experience of being told they would not be staying echoed Cally’s recollection of being told that they would be remaining with their carers. Unlike Hannah and Liam, they did not feel part of the process or reassured by being told what to do:</w:t>
      </w:r>
    </w:p>
    <w:p w14:paraId="0F0BC371" w14:textId="77777777" w:rsidR="00FD560D" w:rsidRPr="00D91090"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6F789745" w14:textId="77777777" w:rsidTr="00ED3D34">
        <w:tc>
          <w:tcPr>
            <w:tcW w:w="1413" w:type="dxa"/>
          </w:tcPr>
          <w:p w14:paraId="567A6958" w14:textId="77777777" w:rsidR="00FD560D" w:rsidRPr="00D91090" w:rsidRDefault="00FD560D" w:rsidP="008E4AF2">
            <w:r w:rsidRPr="00D91090">
              <w:t>Cally:</w:t>
            </w:r>
          </w:p>
        </w:tc>
        <w:tc>
          <w:tcPr>
            <w:tcW w:w="6888" w:type="dxa"/>
          </w:tcPr>
          <w:p w14:paraId="31283B52" w14:textId="77777777" w:rsidR="00FD560D" w:rsidRPr="00D91090" w:rsidRDefault="00FD560D" w:rsidP="00F84237">
            <w:pPr>
              <w:pStyle w:val="tablecontent-singlespaced"/>
            </w:pPr>
            <w:r w:rsidRPr="00D91090">
              <w:t>I had no idea what to do so I went along with it.</w:t>
            </w:r>
          </w:p>
        </w:tc>
      </w:tr>
    </w:tbl>
    <w:p w14:paraId="00503425" w14:textId="77777777" w:rsidR="00FD560D" w:rsidRPr="00D91090" w:rsidRDefault="00FD560D" w:rsidP="006E3485">
      <w:r w:rsidRPr="00D91090">
        <w:lastRenderedPageBreak/>
        <w:t xml:space="preserve"> </w:t>
      </w:r>
    </w:p>
    <w:p w14:paraId="7C570266" w14:textId="2BA780C4" w:rsidR="00FD560D" w:rsidRDefault="00FD560D">
      <w:r w:rsidRPr="00D91090">
        <w:t xml:space="preserve">The question of </w:t>
      </w:r>
      <w:r w:rsidRPr="004A511E">
        <w:rPr>
          <w:i/>
          <w:iCs/>
        </w:rPr>
        <w:t>Staying Put</w:t>
      </w:r>
      <w:r w:rsidRPr="00D91090">
        <w:t xml:space="preserve"> </w:t>
      </w:r>
      <w:r w:rsidR="00F943E7" w:rsidRPr="00D91090">
        <w:t>being</w:t>
      </w:r>
      <w:r w:rsidRPr="00D91090">
        <w:t xml:space="preserve"> a meaningfu</w:t>
      </w:r>
      <w:r>
        <w:t>l</w:t>
      </w:r>
      <w:r w:rsidRPr="00D91090">
        <w:t xml:space="preserve"> decision was important to the young people. Some expressed feelings of resignation that this decision was like many others they had experienced, whereas others felt that there was some level of involvement in what they wanted to do. Beth’s experience of feeling involved was not always positive, but they described their decision to stay with the foster carers </w:t>
      </w:r>
      <w:r w:rsidR="004A511E">
        <w:t xml:space="preserve">as </w:t>
      </w:r>
      <w:r w:rsidRPr="00D91090">
        <w:t>surprisingly inclusive:</w:t>
      </w:r>
    </w:p>
    <w:p w14:paraId="31040B6D"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00506636" w14:textId="77777777" w:rsidTr="00ED3D34">
        <w:tc>
          <w:tcPr>
            <w:tcW w:w="1413" w:type="dxa"/>
          </w:tcPr>
          <w:p w14:paraId="749BEBC6" w14:textId="77777777" w:rsidR="00FD560D" w:rsidRDefault="00FD560D" w:rsidP="008E4AF2">
            <w:r>
              <w:t xml:space="preserve">Sally: </w:t>
            </w:r>
          </w:p>
        </w:tc>
        <w:tc>
          <w:tcPr>
            <w:tcW w:w="6888" w:type="dxa"/>
          </w:tcPr>
          <w:p w14:paraId="1CB101FF" w14:textId="4FBB5FE5" w:rsidR="00FD560D" w:rsidRPr="00D91090" w:rsidRDefault="00585300" w:rsidP="00F84237">
            <w:pPr>
              <w:pStyle w:val="tablecontent-singlespaced"/>
            </w:pPr>
            <w:r>
              <w:t>S</w:t>
            </w:r>
            <w:r w:rsidRPr="00D91090">
              <w:t>o,</w:t>
            </w:r>
            <w:r w:rsidR="00FD560D" w:rsidRPr="00D91090">
              <w:t xml:space="preserve"> </w:t>
            </w:r>
            <w:r w:rsidR="00005283">
              <w:t xml:space="preserve">from what you’ve said, </w:t>
            </w:r>
            <w:r w:rsidR="00FD560D" w:rsidRPr="00D91090">
              <w:t>the decision to s</w:t>
            </w:r>
            <w:r w:rsidR="004A511E">
              <w:t>t</w:t>
            </w:r>
            <w:r w:rsidR="00FD560D" w:rsidRPr="00D91090">
              <w:t xml:space="preserve">ay with your carer did feel like your decision? </w:t>
            </w:r>
          </w:p>
          <w:p w14:paraId="4DA64FCE" w14:textId="77777777" w:rsidR="00FD560D" w:rsidRPr="00D91090" w:rsidRDefault="00FD560D"/>
        </w:tc>
      </w:tr>
      <w:tr w:rsidR="00FD560D" w:rsidRPr="00D91090" w14:paraId="16B2AD91" w14:textId="77777777" w:rsidTr="00ED3D34">
        <w:tc>
          <w:tcPr>
            <w:tcW w:w="1413" w:type="dxa"/>
          </w:tcPr>
          <w:p w14:paraId="276DC6F6" w14:textId="77777777" w:rsidR="00FD560D" w:rsidRPr="00D91090" w:rsidRDefault="00FD560D" w:rsidP="008E4AF2">
            <w:r>
              <w:t>Beth</w:t>
            </w:r>
            <w:r w:rsidRPr="00D91090">
              <w:t>:</w:t>
            </w:r>
          </w:p>
        </w:tc>
        <w:tc>
          <w:tcPr>
            <w:tcW w:w="6888" w:type="dxa"/>
          </w:tcPr>
          <w:p w14:paraId="39769EB1" w14:textId="37B0FD99" w:rsidR="00FD560D" w:rsidRPr="00D91090" w:rsidRDefault="00005283" w:rsidP="00F84237">
            <w:pPr>
              <w:pStyle w:val="tablecontent-singlespaced"/>
            </w:pPr>
            <w:r>
              <w:t>Y</w:t>
            </w:r>
            <w:r w:rsidR="00FD560D" w:rsidRPr="00D91090">
              <w:t>eah, for once it was.</w:t>
            </w:r>
          </w:p>
        </w:tc>
      </w:tr>
    </w:tbl>
    <w:p w14:paraId="5FB94F2B" w14:textId="77777777" w:rsidR="00FD560D" w:rsidRPr="00D91090" w:rsidRDefault="00FD560D" w:rsidP="006E3485"/>
    <w:p w14:paraId="37D21B05" w14:textId="6D7B5F5D" w:rsidR="00FD560D" w:rsidRPr="00D91090" w:rsidRDefault="00FD560D">
      <w:r w:rsidRPr="00D91090">
        <w:t xml:space="preserve">Beth went on to talk about </w:t>
      </w:r>
      <w:r>
        <w:t xml:space="preserve">the </w:t>
      </w:r>
      <w:r w:rsidRPr="00D91090">
        <w:t xml:space="preserve">significance of making this decision, and was relieved that they were able to determine what they would </w:t>
      </w:r>
      <w:r>
        <w:t>d</w:t>
      </w:r>
      <w:r w:rsidRPr="00D91090">
        <w:t xml:space="preserve">o </w:t>
      </w:r>
      <w:r>
        <w:t>after their 18</w:t>
      </w:r>
      <w:r w:rsidRPr="00996C3F">
        <w:rPr>
          <w:vertAlign w:val="superscript"/>
        </w:rPr>
        <w:t>th</w:t>
      </w:r>
      <w:r>
        <w:t xml:space="preserve"> birthday</w:t>
      </w:r>
      <w:r w:rsidRPr="00D91090">
        <w:t>:</w:t>
      </w:r>
    </w:p>
    <w:p w14:paraId="12636F1A"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9FC7852" w14:textId="77777777" w:rsidTr="00ED3D34">
        <w:tc>
          <w:tcPr>
            <w:tcW w:w="1413" w:type="dxa"/>
          </w:tcPr>
          <w:p w14:paraId="0BA9FB96" w14:textId="77777777" w:rsidR="00FD560D" w:rsidRPr="00D91090" w:rsidRDefault="00FD560D">
            <w:r w:rsidRPr="00D91090">
              <w:t>Beth:</w:t>
            </w:r>
          </w:p>
        </w:tc>
        <w:tc>
          <w:tcPr>
            <w:tcW w:w="6888" w:type="dxa"/>
          </w:tcPr>
          <w:p w14:paraId="13255361" w14:textId="30AEF8C9" w:rsidR="00FD560D" w:rsidRPr="00D91090" w:rsidRDefault="00005283" w:rsidP="00F84237">
            <w:pPr>
              <w:pStyle w:val="tablecontent-singlespaced"/>
            </w:pPr>
            <w:r>
              <w:t>T</w:t>
            </w:r>
            <w:r w:rsidR="00FD560D" w:rsidRPr="00D91090">
              <w:t>hat was like the decision about the next few years of my life, it was completely different (.) I had to think that through.</w:t>
            </w:r>
          </w:p>
        </w:tc>
      </w:tr>
    </w:tbl>
    <w:p w14:paraId="05A0B197" w14:textId="77777777" w:rsidR="00FD560D" w:rsidRPr="00D91090" w:rsidRDefault="00FD560D" w:rsidP="008E4AF2"/>
    <w:p w14:paraId="54D14DEF" w14:textId="7E01B0F0" w:rsidR="00FD560D" w:rsidRDefault="00FD560D">
      <w:r w:rsidRPr="00D91090">
        <w:t xml:space="preserve">The weight of this decision was also felt by Yannick, who felt frustrated by being unable to have a say, despite feeling that it was </w:t>
      </w:r>
      <w:r w:rsidR="00EC55CF" w:rsidRPr="00D91090">
        <w:t>significant</w:t>
      </w:r>
      <w:r w:rsidRPr="00D91090">
        <w:t xml:space="preserve">: </w:t>
      </w:r>
    </w:p>
    <w:p w14:paraId="7CA7B292"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0E7A7FBA" w14:textId="77777777" w:rsidTr="00ED3D34">
        <w:tc>
          <w:tcPr>
            <w:tcW w:w="1413" w:type="dxa"/>
          </w:tcPr>
          <w:p w14:paraId="2192ABF5" w14:textId="77777777" w:rsidR="00FD560D" w:rsidRPr="00D91090" w:rsidRDefault="00FD560D">
            <w:r w:rsidRPr="00D91090">
              <w:t>Yannick:</w:t>
            </w:r>
          </w:p>
        </w:tc>
        <w:tc>
          <w:tcPr>
            <w:tcW w:w="6888" w:type="dxa"/>
          </w:tcPr>
          <w:p w14:paraId="12DB9F49" w14:textId="487D2052" w:rsidR="00FD560D" w:rsidRPr="00D91090" w:rsidRDefault="00005283" w:rsidP="00F84237">
            <w:pPr>
              <w:pStyle w:val="tablecontent-singlespaced"/>
            </w:pPr>
            <w:r>
              <w:t>W</w:t>
            </w:r>
            <w:r w:rsidR="00FD560D" w:rsidRPr="00D91090">
              <w:t xml:space="preserve">hat do you say when you're being asked (.) so what do you want to do with the rest of your life? I dunno </w:t>
            </w:r>
            <w:r w:rsidR="00B941F3">
              <w:t>be</w:t>
            </w:r>
            <w:r w:rsidR="00FD560D" w:rsidRPr="00D91090">
              <w:t>cause no one asked me.</w:t>
            </w:r>
          </w:p>
        </w:tc>
      </w:tr>
    </w:tbl>
    <w:p w14:paraId="0C82ABA2" w14:textId="77777777" w:rsidR="00FD560D" w:rsidRPr="00D91090" w:rsidRDefault="00FD560D" w:rsidP="006E3485">
      <w:r w:rsidRPr="00D91090">
        <w:t xml:space="preserve"> </w:t>
      </w:r>
    </w:p>
    <w:p w14:paraId="5794D97E" w14:textId="77777777" w:rsidR="00FD560D" w:rsidRDefault="00FD560D" w:rsidP="008E4AF2">
      <w:r w:rsidRPr="00D91090">
        <w:t xml:space="preserve">Cain and Jonathan </w:t>
      </w:r>
      <w:r>
        <w:t xml:space="preserve">also </w:t>
      </w:r>
      <w:r w:rsidRPr="00D91090">
        <w:t>shared the view</w:t>
      </w:r>
      <w:r>
        <w:t>,</w:t>
      </w:r>
      <w:r w:rsidRPr="00D91090">
        <w:t xml:space="preserve"> that deciding to stay was far reaching:</w:t>
      </w:r>
    </w:p>
    <w:p w14:paraId="04689DA7" w14:textId="77777777" w:rsidR="00FD560D" w:rsidRPr="00D91090"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19949C13" w14:textId="77777777" w:rsidTr="00ED3D34">
        <w:tc>
          <w:tcPr>
            <w:tcW w:w="1413" w:type="dxa"/>
          </w:tcPr>
          <w:p w14:paraId="68B0FA1E" w14:textId="77777777" w:rsidR="00FD560D" w:rsidRPr="00D91090" w:rsidRDefault="00FD560D">
            <w:r w:rsidRPr="00D91090">
              <w:lastRenderedPageBreak/>
              <w:t>Cain:</w:t>
            </w:r>
          </w:p>
        </w:tc>
        <w:tc>
          <w:tcPr>
            <w:tcW w:w="6888" w:type="dxa"/>
          </w:tcPr>
          <w:p w14:paraId="687839F2" w14:textId="56E4255A" w:rsidR="00FD560D" w:rsidRDefault="00005283" w:rsidP="00F84237">
            <w:pPr>
              <w:pStyle w:val="tablecontent-singlespaced"/>
            </w:pPr>
            <w:r>
              <w:t>I</w:t>
            </w:r>
            <w:r w:rsidR="00FD560D" w:rsidRPr="00D91090">
              <w:t>t was such a relief (.) urm I suppose because it was like the rest of my life stuff (.) I was ok with it though (.) I knew that my foster parents were right behind me.</w:t>
            </w:r>
          </w:p>
          <w:p w14:paraId="6753EC14" w14:textId="77777777" w:rsidR="00FD560D" w:rsidRPr="00D91090" w:rsidRDefault="00FD560D"/>
        </w:tc>
      </w:tr>
      <w:tr w:rsidR="00FD560D" w:rsidRPr="00D91090" w14:paraId="468B6022" w14:textId="77777777" w:rsidTr="00ED3D34">
        <w:tc>
          <w:tcPr>
            <w:tcW w:w="1413" w:type="dxa"/>
          </w:tcPr>
          <w:p w14:paraId="75345273" w14:textId="77777777" w:rsidR="00FD560D" w:rsidRPr="00D91090" w:rsidRDefault="00FD560D" w:rsidP="008E4AF2"/>
        </w:tc>
        <w:tc>
          <w:tcPr>
            <w:tcW w:w="6888" w:type="dxa"/>
          </w:tcPr>
          <w:p w14:paraId="734C05E7" w14:textId="77777777" w:rsidR="00FD560D" w:rsidRPr="00D91090" w:rsidRDefault="00FD560D" w:rsidP="008E4AF2"/>
        </w:tc>
      </w:tr>
      <w:tr w:rsidR="00FD560D" w:rsidRPr="00D91090" w14:paraId="02E94E28" w14:textId="77777777" w:rsidTr="00ED3D34">
        <w:tc>
          <w:tcPr>
            <w:tcW w:w="1413" w:type="dxa"/>
          </w:tcPr>
          <w:p w14:paraId="6BF3E3DF" w14:textId="77777777" w:rsidR="00FD560D" w:rsidRPr="00D91090" w:rsidRDefault="00FD560D" w:rsidP="008E4AF2">
            <w:r w:rsidRPr="00D91090">
              <w:t>Jonathan:</w:t>
            </w:r>
          </w:p>
        </w:tc>
        <w:tc>
          <w:tcPr>
            <w:tcW w:w="6888" w:type="dxa"/>
          </w:tcPr>
          <w:p w14:paraId="0679D4F5" w14:textId="0979D720" w:rsidR="00FD560D" w:rsidRPr="00D91090" w:rsidRDefault="00FD560D" w:rsidP="00F84237">
            <w:pPr>
              <w:pStyle w:val="tablecontent-singlespaced"/>
            </w:pPr>
            <w:r w:rsidRPr="00D91090">
              <w:t>It’s a big decision</w:t>
            </w:r>
            <w:r w:rsidR="00005283">
              <w:t>.</w:t>
            </w:r>
          </w:p>
          <w:p w14:paraId="0AEB60B2" w14:textId="77777777" w:rsidR="00FD560D" w:rsidRPr="00D91090" w:rsidRDefault="00FD560D" w:rsidP="008E4AF2"/>
        </w:tc>
      </w:tr>
    </w:tbl>
    <w:p w14:paraId="4B67FE91" w14:textId="77777777" w:rsidR="00FD560D" w:rsidRPr="00D91090" w:rsidRDefault="00FD560D" w:rsidP="006E3485">
      <w:r w:rsidRPr="00D91090">
        <w:t xml:space="preserve"> </w:t>
      </w:r>
    </w:p>
    <w:p w14:paraId="1542493A" w14:textId="77777777" w:rsidR="00FD560D" w:rsidRPr="00D91090" w:rsidRDefault="00FD560D" w:rsidP="008E4AF2">
      <w:r w:rsidRPr="00D91090">
        <w:t xml:space="preserve">The relief of making the decision reflected an uncertainty resulting from this period in their lives. Despite knowing that they would be staying with their carers Liam was concerned about the ramifications of their decision: </w:t>
      </w:r>
    </w:p>
    <w:p w14:paraId="2AFFF28A" w14:textId="77777777" w:rsidR="00FD560D" w:rsidRPr="00D91090" w:rsidRDefault="00FD560D"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5CBC3AB" w14:textId="77777777" w:rsidTr="00ED3D34">
        <w:tc>
          <w:tcPr>
            <w:tcW w:w="1413" w:type="dxa"/>
          </w:tcPr>
          <w:p w14:paraId="38086203" w14:textId="77777777" w:rsidR="00FD560D" w:rsidRPr="00D91090" w:rsidRDefault="00FD560D">
            <w:r w:rsidRPr="00D91090">
              <w:t>Liam:</w:t>
            </w:r>
          </w:p>
        </w:tc>
        <w:tc>
          <w:tcPr>
            <w:tcW w:w="6888" w:type="dxa"/>
          </w:tcPr>
          <w:p w14:paraId="34A4EAAD" w14:textId="77777777" w:rsidR="00FD560D" w:rsidRPr="00D91090" w:rsidRDefault="00FD560D" w:rsidP="00F84237">
            <w:pPr>
              <w:pStyle w:val="tablecontent-singlespaced"/>
            </w:pPr>
            <w:r w:rsidRPr="00D91090">
              <w:t>I remember I was like, really freaked out.</w:t>
            </w:r>
          </w:p>
        </w:tc>
      </w:tr>
    </w:tbl>
    <w:p w14:paraId="651E4246" w14:textId="77777777" w:rsidR="00FD560D" w:rsidRPr="00D91090" w:rsidRDefault="00FD560D" w:rsidP="006E3485">
      <w:r w:rsidRPr="00D91090">
        <w:t xml:space="preserve"> </w:t>
      </w:r>
    </w:p>
    <w:p w14:paraId="6408A973" w14:textId="7E695A2E" w:rsidR="00FD560D" w:rsidRDefault="00FD560D" w:rsidP="008E4AF2">
      <w:r w:rsidRPr="00D91090">
        <w:t xml:space="preserve">Beth suggested that the apprehension brought about by making this decision was due to the timing of the choice: </w:t>
      </w:r>
    </w:p>
    <w:p w14:paraId="2AB58AA0" w14:textId="77777777" w:rsidR="000C16BA" w:rsidRDefault="000C16BA"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3F5E228B" w14:textId="77777777" w:rsidTr="00ED3D34">
        <w:tc>
          <w:tcPr>
            <w:tcW w:w="1413" w:type="dxa"/>
          </w:tcPr>
          <w:p w14:paraId="4CCA5716" w14:textId="77777777" w:rsidR="00FD560D" w:rsidRPr="00D91090" w:rsidRDefault="00FD560D">
            <w:r w:rsidRPr="00D91090">
              <w:t>Beth:</w:t>
            </w:r>
          </w:p>
        </w:tc>
        <w:tc>
          <w:tcPr>
            <w:tcW w:w="6888" w:type="dxa"/>
          </w:tcPr>
          <w:p w14:paraId="097BB226" w14:textId="3FB8EDCF" w:rsidR="00FD560D" w:rsidRPr="00D91090" w:rsidRDefault="00005283" w:rsidP="00F84237">
            <w:pPr>
              <w:pStyle w:val="tablecontent-singlespaced"/>
            </w:pPr>
            <w:r>
              <w:t>I</w:t>
            </w:r>
            <w:r w:rsidR="00FD560D" w:rsidRPr="00D91090">
              <w:t>t was like well dramatic (.) about a month before my 18</w:t>
            </w:r>
            <w:r w:rsidR="00FD560D" w:rsidRPr="00005283">
              <w:rPr>
                <w:vertAlign w:val="superscript"/>
              </w:rPr>
              <w:t>th</w:t>
            </w:r>
            <w:r w:rsidR="00FD560D" w:rsidRPr="00D91090">
              <w:t xml:space="preserve"> and you have to make the decision (.) because if you decide that your gonna move out then they have to find you accommodation somewhere.</w:t>
            </w:r>
          </w:p>
          <w:p w14:paraId="696E1665" w14:textId="77777777" w:rsidR="00FD560D" w:rsidRPr="00D91090" w:rsidRDefault="00FD560D"/>
        </w:tc>
      </w:tr>
    </w:tbl>
    <w:p w14:paraId="19600005" w14:textId="77777777" w:rsidR="00FD560D" w:rsidRPr="00D91090" w:rsidRDefault="00FD560D" w:rsidP="008E4AF2"/>
    <w:p w14:paraId="12ED8B46" w14:textId="21EDD303" w:rsidR="00FD560D" w:rsidRDefault="00FD560D" w:rsidP="008E4AF2">
      <w:r w:rsidRPr="00D91090">
        <w:t>Later in the interview Beth reflected on the uniqueness of this period and described the decision at this point in their life:</w:t>
      </w:r>
    </w:p>
    <w:p w14:paraId="3E04AC89" w14:textId="77777777" w:rsidR="00FD560D" w:rsidRPr="00D91090" w:rsidRDefault="00FD560D"/>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FD560D" w:rsidRPr="00D91090" w14:paraId="76976C25" w14:textId="77777777" w:rsidTr="00ED3D34">
        <w:tc>
          <w:tcPr>
            <w:tcW w:w="1413" w:type="dxa"/>
          </w:tcPr>
          <w:p w14:paraId="611854F3" w14:textId="77777777" w:rsidR="00FD560D" w:rsidRPr="00D91090" w:rsidRDefault="00FD560D" w:rsidP="008E4AF2">
            <w:r w:rsidRPr="00D91090">
              <w:t>Beth:</w:t>
            </w:r>
          </w:p>
        </w:tc>
        <w:tc>
          <w:tcPr>
            <w:tcW w:w="6888" w:type="dxa"/>
          </w:tcPr>
          <w:p w14:paraId="7D7FD201" w14:textId="3487F0C5" w:rsidR="00FD560D" w:rsidRPr="00D91090" w:rsidRDefault="00FD560D" w:rsidP="00F84237">
            <w:pPr>
              <w:pStyle w:val="tablecontent-singlespaced"/>
            </w:pPr>
            <w:r w:rsidRPr="00D91090">
              <w:t>It’s like once you have said, that’s it, no turning back</w:t>
            </w:r>
            <w:r w:rsidR="00005283">
              <w:t>.</w:t>
            </w:r>
          </w:p>
          <w:p w14:paraId="2BA86780" w14:textId="77777777" w:rsidR="00FD560D" w:rsidRPr="00D91090" w:rsidRDefault="00FD560D"/>
        </w:tc>
      </w:tr>
    </w:tbl>
    <w:p w14:paraId="2A1CAEB2" w14:textId="77777777" w:rsidR="00FD560D" w:rsidRPr="00D91090" w:rsidRDefault="00FD560D" w:rsidP="008E4AF2"/>
    <w:p w14:paraId="7FFD8A14" w14:textId="68640AEB" w:rsidR="00FD560D" w:rsidRPr="00D91090" w:rsidRDefault="00FD560D">
      <w:r w:rsidRPr="00D91090">
        <w:lastRenderedPageBreak/>
        <w:t xml:space="preserve">On the basis of the young people interviewed for </w:t>
      </w:r>
      <w:r w:rsidR="003514F4">
        <w:t>my</w:t>
      </w:r>
      <w:r w:rsidRPr="00D91090">
        <w:t xml:space="preserve"> study, the choice to stay with their foster carers felt life changing. Regardless of whether </w:t>
      </w:r>
      <w:r w:rsidR="0067448C">
        <w:t xml:space="preserve">or not </w:t>
      </w:r>
      <w:r w:rsidRPr="00D91090">
        <w:t xml:space="preserve">young people remained with their carer, there was consensus that the implications were long lasting and that it was an irreversible decision. Although their descriptions of this period relayed feelings of fear and trepidation, young people appeared to accept that this was part of their care experience. Some young people related this decision to coming into care or other significant events in their lives. The accepting </w:t>
      </w:r>
      <w:r w:rsidR="00EC55CF" w:rsidRPr="00D91090">
        <w:t>attitude</w:t>
      </w:r>
      <w:r w:rsidRPr="00D91090">
        <w:t xml:space="preserve"> of young people suggests a tolerance threshold for tumult and uncertainty as a result of their care experience. </w:t>
      </w:r>
      <w:r w:rsidRPr="00363ABB">
        <w:t xml:space="preserve">As set out in </w:t>
      </w:r>
      <w:r w:rsidR="00113DFB" w:rsidRPr="00363ABB">
        <w:t>C</w:t>
      </w:r>
      <w:r w:rsidRPr="00363ABB">
        <w:t>hapter</w:t>
      </w:r>
      <w:r w:rsidR="00113DFB" w:rsidRPr="00363ABB">
        <w:t xml:space="preserve"> 4</w:t>
      </w:r>
      <w:r w:rsidRPr="00363ABB">
        <w:t>, the care system</w:t>
      </w:r>
      <w:r w:rsidRPr="00D91090">
        <w:t xml:space="preserve"> does not always provide a stable and nurturing environment for children and young people with many experiencing multiple changes and transitions. Although </w:t>
      </w:r>
      <w:r w:rsidRPr="00EC55CF">
        <w:rPr>
          <w:i/>
          <w:iCs/>
        </w:rPr>
        <w:t>Staying Put</w:t>
      </w:r>
      <w:r w:rsidRPr="00D91090">
        <w:t xml:space="preserve"> was introduced to provide continuity, the experience of young people indicated that this is not without issues. Delaying the move from a foster carer is a supportive policy, however the implications are that making this decision can be as challenging as it was at 16 and how it might be at 21. Among those young people who had stayed put, their responses suggested that delay may not suspend feelings of anxiety about the transition from care. </w:t>
      </w:r>
    </w:p>
    <w:p w14:paraId="74009BA6" w14:textId="21465869" w:rsidR="00FD560D" w:rsidRPr="00D91090" w:rsidRDefault="00FD560D">
      <w:r w:rsidRPr="00D91090">
        <w:t>The impression held by young people about the gravity of their choice</w:t>
      </w:r>
      <w:r w:rsidR="00952A3B">
        <w:t xml:space="preserve"> </w:t>
      </w:r>
      <w:r w:rsidRPr="00D91090">
        <w:t xml:space="preserve">seemed to account for the pressure they felt, and the anxiety experienced when unclear about what would happen. Given the importance they placed on </w:t>
      </w:r>
      <w:r w:rsidRPr="00EC55CF">
        <w:rPr>
          <w:i/>
          <w:iCs/>
        </w:rPr>
        <w:t>Staying Put</w:t>
      </w:r>
      <w:r w:rsidRPr="00D91090">
        <w:t>, it appeared to accentuate the participants</w:t>
      </w:r>
      <w:r w:rsidR="00112BD6">
        <w:t>’</w:t>
      </w:r>
      <w:r w:rsidRPr="00D91090">
        <w:t xml:space="preserve"> need to express their point of view, which did not always seem possible in the period leading up to their 18</w:t>
      </w:r>
      <w:r w:rsidRPr="00D91090">
        <w:rPr>
          <w:vertAlign w:val="superscript"/>
        </w:rPr>
        <w:t>th</w:t>
      </w:r>
      <w:r w:rsidRPr="00D91090">
        <w:t xml:space="preserve"> birthday. The different descriptions of the </w:t>
      </w:r>
      <w:r w:rsidRPr="00EC55CF">
        <w:rPr>
          <w:i/>
          <w:iCs/>
        </w:rPr>
        <w:t>Staying Put</w:t>
      </w:r>
      <w:r w:rsidRPr="00D91090">
        <w:t xml:space="preserve"> decision suggest a level of ambiguity in both how the decision was framed and whether it was posed as a decision at all. For some young people this was appropriate as it reflected the nature of their relationships with carers and their ongoing feelings or autonomy. In these </w:t>
      </w:r>
      <w:r w:rsidR="00EC55CF" w:rsidRPr="00D91090">
        <w:t>situations,</w:t>
      </w:r>
      <w:r w:rsidRPr="00D91090">
        <w:t xml:space="preserve"> </w:t>
      </w:r>
      <w:r w:rsidR="000D38C5">
        <w:t xml:space="preserve">the views of </w:t>
      </w:r>
      <w:r w:rsidRPr="00D91090">
        <w:t xml:space="preserve">young people and </w:t>
      </w:r>
      <w:r w:rsidR="000D38C5">
        <w:t xml:space="preserve">foster </w:t>
      </w:r>
      <w:r w:rsidRPr="00D91090">
        <w:t>carers were congruent and young people considered that they were part of an ongoing discussion about their place in the family.</w:t>
      </w:r>
    </w:p>
    <w:p w14:paraId="422E0A02" w14:textId="6103CEB5" w:rsidR="00FD560D" w:rsidRPr="00D91090" w:rsidRDefault="00FD560D">
      <w:r w:rsidRPr="00D91090">
        <w:t xml:space="preserve">In other </w:t>
      </w:r>
      <w:r w:rsidR="00EC55CF" w:rsidRPr="00D91090">
        <w:t>instances,</w:t>
      </w:r>
      <w:r w:rsidRPr="00D91090">
        <w:t xml:space="preserve"> young people did not experience </w:t>
      </w:r>
      <w:r w:rsidRPr="00EC55CF">
        <w:rPr>
          <w:i/>
          <w:iCs/>
        </w:rPr>
        <w:t>Staying Put</w:t>
      </w:r>
      <w:r w:rsidRPr="00D91090">
        <w:t xml:space="preserve"> as a choice. Where there was no decision to be made, young people described either being told what would happen or that </w:t>
      </w:r>
      <w:r w:rsidRPr="00EC55CF">
        <w:rPr>
          <w:i/>
          <w:iCs/>
        </w:rPr>
        <w:t>Staying Put</w:t>
      </w:r>
      <w:r w:rsidRPr="00D91090">
        <w:t xml:space="preserve"> was not mentioned. Those young people who could not clearly identify </w:t>
      </w:r>
      <w:r w:rsidRPr="00EC55CF">
        <w:rPr>
          <w:i/>
          <w:iCs/>
        </w:rPr>
        <w:t>Staying Put</w:t>
      </w:r>
      <w:r w:rsidRPr="00D91090">
        <w:t xml:space="preserve"> as a decision expressed confusion about why this was the case. The participant’s references to the decision to stay put indicated a perplexing picture, where there appeared to be an indistinct presentation of options</w:t>
      </w:r>
      <w:r w:rsidR="00363ABB">
        <w:t xml:space="preserve">. In addition to the confusion about options it was also unclear how </w:t>
      </w:r>
      <w:r w:rsidR="005F1597">
        <w:t>s</w:t>
      </w:r>
      <w:r w:rsidRPr="00D91090">
        <w:t xml:space="preserve">ocial </w:t>
      </w:r>
      <w:r w:rsidR="005F1597">
        <w:t>w</w:t>
      </w:r>
      <w:r w:rsidRPr="00D91090">
        <w:t>orkers established what young people wanted to do. Despite young people recognising that this decision is not straightforward, the</w:t>
      </w:r>
      <w:r w:rsidR="00B1754A">
        <w:t xml:space="preserve">y </w:t>
      </w:r>
      <w:r w:rsidRPr="00D91090">
        <w:t xml:space="preserve">appeared willing to try to engage with the </w:t>
      </w:r>
      <w:r w:rsidR="00E270CA">
        <w:t>complexity</w:t>
      </w:r>
      <w:r w:rsidRPr="00D91090">
        <w:t xml:space="preserve"> and </w:t>
      </w:r>
      <w:r w:rsidR="00E270CA">
        <w:t xml:space="preserve">different </w:t>
      </w:r>
      <w:r w:rsidRPr="00D91090">
        <w:t xml:space="preserve">considerations in a more explicit </w:t>
      </w:r>
      <w:r w:rsidRPr="00D91090">
        <w:lastRenderedPageBreak/>
        <w:t>way</w:t>
      </w:r>
      <w:r w:rsidR="00363ABB">
        <w:t xml:space="preserve"> but did not appear to be given this opportunity.</w:t>
      </w:r>
      <w:r w:rsidR="00E270CA">
        <w:t xml:space="preserve"> Their desire to participate also highlighted the emotional and subjective nature of decision-making suggesting that it is not a rational or calculating process, as it might appear to social workers and managers.</w:t>
      </w:r>
      <w:r w:rsidR="00363ABB">
        <w:t xml:space="preserve"> Feeling unaware of their options as well as feeling unable to participate in the decision suggests that there are issues in how </w:t>
      </w:r>
      <w:r w:rsidR="00363ABB" w:rsidRPr="00AF6A09">
        <w:rPr>
          <w:i/>
          <w:iCs/>
        </w:rPr>
        <w:t>Staying Put</w:t>
      </w:r>
      <w:r w:rsidR="00363ABB">
        <w:t xml:space="preserve"> is presented by social workers</w:t>
      </w:r>
      <w:r w:rsidR="00E270CA">
        <w:t xml:space="preserve"> to young people</w:t>
      </w:r>
      <w:r w:rsidR="00363ABB">
        <w:t xml:space="preserve">. The lack of clarity and opaque presentation of </w:t>
      </w:r>
      <w:r w:rsidR="00AF6A09">
        <w:t>the options</w:t>
      </w:r>
      <w:r w:rsidR="00363ABB">
        <w:t xml:space="preserve"> may indicate </w:t>
      </w:r>
      <w:r w:rsidR="00363ABB" w:rsidRPr="00D91090">
        <w:t xml:space="preserve">the </w:t>
      </w:r>
      <w:r w:rsidR="00363ABB">
        <w:t>s</w:t>
      </w:r>
      <w:r w:rsidR="00363ABB" w:rsidRPr="00D91090">
        <w:t xml:space="preserve">ocial </w:t>
      </w:r>
      <w:r w:rsidR="00363ABB">
        <w:t>w</w:t>
      </w:r>
      <w:r w:rsidR="00363ABB" w:rsidRPr="00D91090">
        <w:t>orker’s hesitancy in approaching such a complex decision</w:t>
      </w:r>
      <w:r w:rsidR="00363ABB">
        <w:t xml:space="preserve"> with the young person</w:t>
      </w:r>
      <w:r w:rsidR="00363ABB" w:rsidRPr="00D91090">
        <w:t>.</w:t>
      </w:r>
      <w:r w:rsidRPr="00D91090">
        <w:t xml:space="preserve"> </w:t>
      </w:r>
    </w:p>
    <w:p w14:paraId="0A29D72C" w14:textId="3A062E4C" w:rsidR="00FD560D" w:rsidRPr="00D91090" w:rsidRDefault="007A1DD7">
      <w:r>
        <w:t xml:space="preserve">Throughout this chapter the young person’s agency appears to have been dependent on </w:t>
      </w:r>
      <w:r w:rsidR="00E17936">
        <w:t>various</w:t>
      </w:r>
      <w:r>
        <w:t xml:space="preserve"> contextual factors. The </w:t>
      </w:r>
      <w:r w:rsidR="00E17936">
        <w:t xml:space="preserve">situated </w:t>
      </w:r>
      <w:r w:rsidR="00E17936" w:rsidRPr="00E17936">
        <w:t>nature of their ability to make decisions underlines the tensions between participatory sentiments in policy and their lived experiences.</w:t>
      </w:r>
      <w:r w:rsidR="00E17936">
        <w:t xml:space="preserve"> The next chapter continues to recognise issues of dissonance, this time between the young person and their surrounding support network.</w:t>
      </w:r>
    </w:p>
    <w:p w14:paraId="47C6BF14" w14:textId="77777777" w:rsidR="004A626F" w:rsidRPr="00EB669C" w:rsidRDefault="004A626F"/>
    <w:p w14:paraId="13294DF1" w14:textId="77777777" w:rsidR="00FD560D" w:rsidRDefault="00FD560D">
      <w:pPr>
        <w:rPr>
          <w:rFonts w:eastAsiaTheme="majorEastAsia"/>
          <w:color w:val="000000" w:themeColor="text1"/>
          <w:sz w:val="28"/>
          <w:szCs w:val="26"/>
        </w:rPr>
      </w:pPr>
      <w:r>
        <w:br w:type="page"/>
      </w:r>
    </w:p>
    <w:p w14:paraId="2617F873" w14:textId="5215F73C" w:rsidR="004A626F" w:rsidRDefault="004A626F" w:rsidP="00127FD5">
      <w:pPr>
        <w:pStyle w:val="ChapterHeading1"/>
      </w:pPr>
      <w:bookmarkStart w:id="69" w:name="_Toc101108511"/>
      <w:r w:rsidRPr="004A626F">
        <w:lastRenderedPageBreak/>
        <w:t>Chapter</w:t>
      </w:r>
      <w:r w:rsidR="00FD560D">
        <w:t xml:space="preserve"> </w:t>
      </w:r>
      <w:r w:rsidR="00370A66">
        <w:t>8</w:t>
      </w:r>
      <w:r w:rsidRPr="004A626F">
        <w:t xml:space="preserve">: </w:t>
      </w:r>
      <w:r w:rsidR="00184956">
        <w:t>Problem</w:t>
      </w:r>
      <w:r w:rsidR="00F943E7">
        <w:t>atic</w:t>
      </w:r>
      <w:r w:rsidR="00184956">
        <w:t xml:space="preserve"> </w:t>
      </w:r>
      <w:r w:rsidR="006152B2">
        <w:t>Misalignment</w:t>
      </w:r>
      <w:bookmarkEnd w:id="69"/>
    </w:p>
    <w:p w14:paraId="1EC3EC6D" w14:textId="10B23F1E" w:rsidR="00F943E7" w:rsidRDefault="009016B4">
      <w:r>
        <w:t>This chapte</w:t>
      </w:r>
      <w:r w:rsidRPr="00184956">
        <w:t xml:space="preserve">r focuses on the </w:t>
      </w:r>
      <w:r w:rsidR="004E4DA0" w:rsidRPr="00AF6A09">
        <w:t xml:space="preserve">theme of </w:t>
      </w:r>
      <w:r w:rsidR="00184956" w:rsidRPr="00AF6A09">
        <w:t>problematic misalignment</w:t>
      </w:r>
      <w:r w:rsidR="00184956" w:rsidRPr="00184956">
        <w:t xml:space="preserve">. The sense of misalignment </w:t>
      </w:r>
      <w:r w:rsidR="00E270CA">
        <w:t>between young people and their support systems</w:t>
      </w:r>
      <w:r w:rsidR="00E270CA" w:rsidRPr="00184956">
        <w:t xml:space="preserve"> </w:t>
      </w:r>
      <w:r w:rsidR="00184956" w:rsidRPr="00184956">
        <w:t>is echoed in relationships</w:t>
      </w:r>
      <w:r w:rsidR="00184956">
        <w:t>, expectations,</w:t>
      </w:r>
      <w:r w:rsidR="00184956" w:rsidRPr="00184956">
        <w:t xml:space="preserve"> information and understanding</w:t>
      </w:r>
      <w:r w:rsidR="00184956">
        <w:t xml:space="preserve">. </w:t>
      </w:r>
      <w:r w:rsidR="004E4DA0" w:rsidRPr="00184956">
        <w:t xml:space="preserve">The </w:t>
      </w:r>
      <w:r w:rsidR="00727ED4" w:rsidRPr="00184956">
        <w:t xml:space="preserve">wide variances </w:t>
      </w:r>
      <w:r w:rsidR="004E4DA0" w:rsidRPr="00184956">
        <w:t>in support, information and experiences</w:t>
      </w:r>
      <w:r w:rsidR="00727ED4" w:rsidRPr="00184956">
        <w:t xml:space="preserve"> with professionals seem to feature at key moments in the young people’s lives</w:t>
      </w:r>
      <w:r w:rsidR="00E270CA">
        <w:t xml:space="preserve"> and indicate the factors that have </w:t>
      </w:r>
      <w:r w:rsidR="00835111">
        <w:t>informed their decision-making</w:t>
      </w:r>
      <w:r w:rsidRPr="00184956">
        <w:t xml:space="preserve">. </w:t>
      </w:r>
      <w:r w:rsidR="00786A02">
        <w:t xml:space="preserve">Figure </w:t>
      </w:r>
      <w:r w:rsidR="008437DA">
        <w:t>9</w:t>
      </w:r>
      <w:r w:rsidR="00786A02">
        <w:t xml:space="preserve"> shows how the theme</w:t>
      </w:r>
      <w:r w:rsidR="00E270CA">
        <w:t xml:space="preserve"> of this chapter </w:t>
      </w:r>
      <w:r w:rsidR="00786A02">
        <w:t>has been divided into subthemes.</w:t>
      </w:r>
    </w:p>
    <w:p w14:paraId="1CEBDB15" w14:textId="11983B26" w:rsidR="00E270CA" w:rsidRDefault="00E270CA">
      <w:r>
        <w:rPr>
          <w:noProof/>
        </w:rPr>
        <w:drawing>
          <wp:inline distT="0" distB="0" distL="0" distR="0" wp14:anchorId="1821D302" wp14:editId="718D1666">
            <wp:extent cx="5920688" cy="1725038"/>
            <wp:effectExtent l="0" t="0" r="0" b="0"/>
            <wp:docPr id="12" name="Picture 12"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graphical user interface&#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3576" cy="1731706"/>
                    </a:xfrm>
                    <a:prstGeom prst="rect">
                      <a:avLst/>
                    </a:prstGeom>
                  </pic:spPr>
                </pic:pic>
              </a:graphicData>
            </a:graphic>
          </wp:inline>
        </w:drawing>
      </w:r>
    </w:p>
    <w:p w14:paraId="0CCC3DB2" w14:textId="4EF021D3" w:rsidR="00326EF1" w:rsidRDefault="00326EF1" w:rsidP="00326EF1">
      <w:pPr>
        <w:pStyle w:val="Caption"/>
      </w:pPr>
      <w:bookmarkStart w:id="70" w:name="_Toc101108549"/>
      <w:r>
        <w:t xml:space="preserve">Figure </w:t>
      </w:r>
      <w:fldSimple w:instr=" SEQ Figure \* ARABIC ">
        <w:r w:rsidR="00E26E21">
          <w:rPr>
            <w:noProof/>
          </w:rPr>
          <w:t>9</w:t>
        </w:r>
      </w:fldSimple>
      <w:r>
        <w:t>:</w:t>
      </w:r>
      <w:r w:rsidRPr="00326EF1">
        <w:t xml:space="preserve"> Theme 2 - Problematic Misalignment</w:t>
      </w:r>
      <w:bookmarkEnd w:id="70"/>
    </w:p>
    <w:p w14:paraId="73EA18C7" w14:textId="522424BA" w:rsidR="009016B4" w:rsidRDefault="009016B4">
      <w:r w:rsidRPr="00184956">
        <w:t xml:space="preserve">The first </w:t>
      </w:r>
      <w:r w:rsidR="00786A02">
        <w:t>subtheme</w:t>
      </w:r>
      <w:r w:rsidRPr="00184956">
        <w:t xml:space="preserve"> in this</w:t>
      </w:r>
      <w:r w:rsidR="00F573AB">
        <w:t xml:space="preserve"> chapter,</w:t>
      </w:r>
      <w:r w:rsidRPr="00184956">
        <w:t xml:space="preserve"> notes the central role of the allocated </w:t>
      </w:r>
      <w:r w:rsidR="004E4DA0" w:rsidRPr="00184956">
        <w:t>s</w:t>
      </w:r>
      <w:r w:rsidRPr="00184956">
        <w:t xml:space="preserve">ocial </w:t>
      </w:r>
      <w:r w:rsidR="004E4DA0" w:rsidRPr="00184956">
        <w:t>w</w:t>
      </w:r>
      <w:r w:rsidRPr="00184956">
        <w:t>orker and the tensions in their relationships with young people leading up to and including the period before their 18</w:t>
      </w:r>
      <w:r w:rsidRPr="00184956">
        <w:rPr>
          <w:vertAlign w:val="superscript"/>
        </w:rPr>
        <w:t>th</w:t>
      </w:r>
      <w:r w:rsidRPr="00184956">
        <w:t xml:space="preserve"> birthday. This discussion is followed by an exploration of young people’s accounts of receiving advice and the complexity of information sharing </w:t>
      </w:r>
      <w:r w:rsidR="004C3F08" w:rsidRPr="00184956">
        <w:t xml:space="preserve">in advance of their decision about </w:t>
      </w:r>
      <w:r w:rsidR="004C3F08" w:rsidRPr="00184956">
        <w:rPr>
          <w:i/>
          <w:iCs/>
        </w:rPr>
        <w:t>Staying Put</w:t>
      </w:r>
      <w:r w:rsidRPr="00184956">
        <w:t xml:space="preserve">. The chapter concludes with a </w:t>
      </w:r>
      <w:r w:rsidR="00786A02">
        <w:t>subtheme</w:t>
      </w:r>
      <w:r w:rsidRPr="00184956">
        <w:t xml:space="preserve"> about the impact of feeling at odds with </w:t>
      </w:r>
      <w:r w:rsidR="00AF6A09">
        <w:t xml:space="preserve">the </w:t>
      </w:r>
      <w:r w:rsidR="00370A66">
        <w:t>social work</w:t>
      </w:r>
      <w:r w:rsidR="00AF6A09">
        <w:t xml:space="preserve"> system</w:t>
      </w:r>
      <w:r w:rsidR="00370A66">
        <w:t xml:space="preserve"> due to </w:t>
      </w:r>
      <w:r w:rsidRPr="00184956">
        <w:t>the paucity of information young people felt they had</w:t>
      </w:r>
      <w:r w:rsidR="00112BD6">
        <w:t>, s</w:t>
      </w:r>
      <w:r w:rsidR="00184956" w:rsidRPr="00184956">
        <w:t>pecifically,</w:t>
      </w:r>
      <w:r w:rsidRPr="00184956">
        <w:t xml:space="preserve"> the way young people viewed the future. </w:t>
      </w:r>
    </w:p>
    <w:p w14:paraId="4E15B780" w14:textId="309CD266" w:rsidR="000D38A5" w:rsidRDefault="000D38A5" w:rsidP="006E3485">
      <w:pPr>
        <w:pStyle w:val="Heading2"/>
      </w:pPr>
      <w:bookmarkStart w:id="71" w:name="_Toc101108512"/>
      <w:r>
        <w:t>‘It’s like they don’t get what it’s like for us’</w:t>
      </w:r>
      <w:bookmarkEnd w:id="71"/>
    </w:p>
    <w:p w14:paraId="36590560" w14:textId="1D01895F" w:rsidR="009016B4" w:rsidRDefault="009016B4">
      <w:r>
        <w:t xml:space="preserve">Referring to the </w:t>
      </w:r>
      <w:r w:rsidR="00370A66">
        <w:t>period</w:t>
      </w:r>
      <w:r>
        <w:t xml:space="preserve"> leading up to the young person’s 18</w:t>
      </w:r>
      <w:r w:rsidRPr="00AB05A5">
        <w:rPr>
          <w:vertAlign w:val="superscript"/>
        </w:rPr>
        <w:t>th</w:t>
      </w:r>
      <w:r>
        <w:t xml:space="preserve"> birthday, participants talked </w:t>
      </w:r>
      <w:r w:rsidRPr="009402DD">
        <w:rPr>
          <w:color w:val="000000" w:themeColor="text1"/>
        </w:rPr>
        <w:t xml:space="preserve">about the importance of relationships within their </w:t>
      </w:r>
      <w:r>
        <w:t xml:space="preserve">support network. They highlighted the role </w:t>
      </w:r>
      <w:r w:rsidR="009402DD">
        <w:t>these re</w:t>
      </w:r>
      <w:r>
        <w:t xml:space="preserve">lationships played in providing information, and who they talked to when trying to make decisions about their future. Some young people talked to foster carers or the carer’s </w:t>
      </w:r>
      <w:r w:rsidR="009402DD">
        <w:t>s</w:t>
      </w:r>
      <w:r>
        <w:t xml:space="preserve">ocial </w:t>
      </w:r>
      <w:r w:rsidR="009402DD">
        <w:t>w</w:t>
      </w:r>
      <w:r>
        <w:t>orker:</w:t>
      </w:r>
    </w:p>
    <w:p w14:paraId="103007A6"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088417C1" w14:textId="77777777" w:rsidTr="00ED3D34">
        <w:tc>
          <w:tcPr>
            <w:tcW w:w="1413" w:type="dxa"/>
          </w:tcPr>
          <w:p w14:paraId="1DA221A1" w14:textId="77777777" w:rsidR="009016B4" w:rsidRDefault="009016B4">
            <w:r>
              <w:lastRenderedPageBreak/>
              <w:t>Cain:</w:t>
            </w:r>
          </w:p>
        </w:tc>
        <w:tc>
          <w:tcPr>
            <w:tcW w:w="6888" w:type="dxa"/>
          </w:tcPr>
          <w:p w14:paraId="6FF0EB69" w14:textId="738AAA3C" w:rsidR="009016B4" w:rsidRDefault="00835111" w:rsidP="00F84237">
            <w:pPr>
              <w:pStyle w:val="tablecontent-singlespaced"/>
            </w:pPr>
            <w:r>
              <w:t>M</w:t>
            </w:r>
            <w:r w:rsidR="009016B4" w:rsidRPr="00B14429">
              <w:t>y carer's social worker talked to me about it</w:t>
            </w:r>
            <w:r w:rsidR="009016B4">
              <w:t xml:space="preserve"> [next steps]</w:t>
            </w:r>
            <w:r>
              <w:t>.</w:t>
            </w:r>
          </w:p>
        </w:tc>
      </w:tr>
    </w:tbl>
    <w:p w14:paraId="4E8FFD49"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FF35FD9" w14:textId="77777777" w:rsidTr="00ED3D34">
        <w:tc>
          <w:tcPr>
            <w:tcW w:w="1413" w:type="dxa"/>
          </w:tcPr>
          <w:p w14:paraId="04F4BFE0" w14:textId="77777777" w:rsidR="009016B4" w:rsidRDefault="009016B4" w:rsidP="008E4AF2">
            <w:r>
              <w:t>Hannah:</w:t>
            </w:r>
          </w:p>
        </w:tc>
        <w:tc>
          <w:tcPr>
            <w:tcW w:w="6888" w:type="dxa"/>
          </w:tcPr>
          <w:p w14:paraId="3C71AC7F" w14:textId="289E9185" w:rsidR="009016B4" w:rsidRDefault="00835111" w:rsidP="00F84237">
            <w:pPr>
              <w:pStyle w:val="tablecontent-singlespaced"/>
            </w:pPr>
            <w:r>
              <w:t>I</w:t>
            </w:r>
            <w:r w:rsidR="009016B4" w:rsidRPr="00B14429">
              <w:t>t was very much my carer</w:t>
            </w:r>
            <w:r w:rsidR="009016B4">
              <w:t>,</w:t>
            </w:r>
            <w:r w:rsidR="009016B4" w:rsidRPr="00B14429">
              <w:t xml:space="preserve"> and her family</w:t>
            </w:r>
            <w:r>
              <w:t>.</w:t>
            </w:r>
          </w:p>
        </w:tc>
      </w:tr>
    </w:tbl>
    <w:p w14:paraId="66B0EE42" w14:textId="77777777" w:rsidR="009016B4" w:rsidRDefault="009016B4" w:rsidP="008E4AF2"/>
    <w:p w14:paraId="26DE166D" w14:textId="6A1DE0D3" w:rsidR="009016B4" w:rsidRDefault="009016B4">
      <w:r>
        <w:t xml:space="preserve">Some young people did not feel that their carers or workers would be able to help them and sought advice from their friends and birth families: </w:t>
      </w:r>
    </w:p>
    <w:p w14:paraId="310F0FEB"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6D52EE6" w14:textId="77777777" w:rsidTr="00ED3D34">
        <w:tc>
          <w:tcPr>
            <w:tcW w:w="1413" w:type="dxa"/>
          </w:tcPr>
          <w:p w14:paraId="29E26651" w14:textId="77777777" w:rsidR="009016B4" w:rsidRDefault="009016B4">
            <w:r>
              <w:t>Liam:</w:t>
            </w:r>
          </w:p>
        </w:tc>
        <w:tc>
          <w:tcPr>
            <w:tcW w:w="6888" w:type="dxa"/>
          </w:tcPr>
          <w:p w14:paraId="6D7BF0E3" w14:textId="5B7D836B" w:rsidR="009016B4" w:rsidRDefault="00835111" w:rsidP="00F84237">
            <w:pPr>
              <w:pStyle w:val="tablecontent-singlespaced"/>
            </w:pPr>
            <w:r>
              <w:t>M</w:t>
            </w:r>
            <w:r w:rsidR="009016B4" w:rsidRPr="00B14429">
              <w:t>y friends</w:t>
            </w:r>
            <w:r w:rsidR="009016B4">
              <w:t>,</w:t>
            </w:r>
            <w:r w:rsidR="009016B4" w:rsidRPr="00B14429">
              <w:t xml:space="preserve"> not my family</w:t>
            </w:r>
            <w:r>
              <w:t>.</w:t>
            </w:r>
          </w:p>
        </w:tc>
      </w:tr>
    </w:tbl>
    <w:p w14:paraId="7B74FFE6"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7B2B40A" w14:textId="77777777" w:rsidTr="00ED3D34">
        <w:tc>
          <w:tcPr>
            <w:tcW w:w="1413" w:type="dxa"/>
          </w:tcPr>
          <w:p w14:paraId="528A0C4C" w14:textId="77777777" w:rsidR="009016B4" w:rsidRDefault="009016B4" w:rsidP="008E4AF2">
            <w:r>
              <w:t>Jonathan:</w:t>
            </w:r>
          </w:p>
        </w:tc>
        <w:tc>
          <w:tcPr>
            <w:tcW w:w="6888" w:type="dxa"/>
          </w:tcPr>
          <w:p w14:paraId="15068F43" w14:textId="79278FE3" w:rsidR="009016B4" w:rsidRDefault="009016B4" w:rsidP="00F84237">
            <w:pPr>
              <w:pStyle w:val="tablecontent-singlespaced"/>
            </w:pPr>
            <w:r w:rsidRPr="00B14429">
              <w:t>I could only talk to my mates</w:t>
            </w:r>
            <w:r w:rsidR="00835111">
              <w:t>.</w:t>
            </w:r>
          </w:p>
        </w:tc>
      </w:tr>
    </w:tbl>
    <w:p w14:paraId="5DB1AE09" w14:textId="77777777" w:rsidR="009016B4" w:rsidRDefault="009016B4" w:rsidP="006E3485"/>
    <w:p w14:paraId="1CE27067" w14:textId="5A3B5FC8" w:rsidR="009016B4" w:rsidRDefault="009016B4" w:rsidP="008E4AF2">
      <w:r>
        <w:t>In Yanick</w:t>
      </w:r>
      <w:r w:rsidR="00835111">
        <w:t>,</w:t>
      </w:r>
      <w:r>
        <w:t xml:space="preserve"> Eshal’s </w:t>
      </w:r>
      <w:r w:rsidR="00835111">
        <w:t xml:space="preserve">and Carrie’s </w:t>
      </w:r>
      <w:r>
        <w:t xml:space="preserve">situation, </w:t>
      </w:r>
      <w:r w:rsidRPr="009402DD">
        <w:rPr>
          <w:i/>
          <w:iCs/>
        </w:rPr>
        <w:t>Staying Put</w:t>
      </w:r>
      <w:r>
        <w:t xml:space="preserve"> was not raised as a </w:t>
      </w:r>
      <w:r w:rsidR="00112BD6">
        <w:t>choice</w:t>
      </w:r>
      <w:r>
        <w:t xml:space="preserve"> for them, and options about their future were only briefly introduced. </w:t>
      </w:r>
      <w:r w:rsidR="00835111">
        <w:t>All</w:t>
      </w:r>
      <w:r>
        <w:t xml:space="preserve"> felt </w:t>
      </w:r>
      <w:r w:rsidR="00835111">
        <w:t xml:space="preserve">a level of uncertainty about who to talk with </w:t>
      </w:r>
      <w:r>
        <w:t xml:space="preserve">at this time: </w:t>
      </w:r>
    </w:p>
    <w:p w14:paraId="35FEED32"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9DFE92D" w14:textId="77777777" w:rsidTr="00ED3D34">
        <w:tc>
          <w:tcPr>
            <w:tcW w:w="1413" w:type="dxa"/>
          </w:tcPr>
          <w:p w14:paraId="0FDE5F79" w14:textId="77777777" w:rsidR="009016B4" w:rsidRDefault="009016B4">
            <w:r>
              <w:t>Yannick:</w:t>
            </w:r>
          </w:p>
        </w:tc>
        <w:tc>
          <w:tcPr>
            <w:tcW w:w="6888" w:type="dxa"/>
          </w:tcPr>
          <w:p w14:paraId="6101634C" w14:textId="4FA1CB63" w:rsidR="009016B4" w:rsidRDefault="009016B4" w:rsidP="00F84237">
            <w:pPr>
              <w:pStyle w:val="tablecontent-singlespaced"/>
            </w:pPr>
            <w:r w:rsidRPr="00A04C4F">
              <w:t>Val and Tone</w:t>
            </w:r>
            <w:r>
              <w:t xml:space="preserve"> [foster carers]</w:t>
            </w:r>
            <w:r w:rsidRPr="00A04C4F">
              <w:t xml:space="preserve"> d</w:t>
            </w:r>
            <w:r>
              <w:t>i</w:t>
            </w:r>
            <w:r w:rsidR="00562B3B">
              <w:t>dn’</w:t>
            </w:r>
            <w:r w:rsidRPr="00A04C4F">
              <w:t xml:space="preserve">t say anything and like </w:t>
            </w:r>
            <w:r>
              <w:t>[</w:t>
            </w:r>
            <w:r w:rsidR="005F1597">
              <w:t>s</w:t>
            </w:r>
            <w:r>
              <w:t xml:space="preserve">ocial </w:t>
            </w:r>
            <w:r w:rsidR="005F1597">
              <w:t>w</w:t>
            </w:r>
            <w:r>
              <w:t>orker]</w:t>
            </w:r>
            <w:r w:rsidRPr="00A04C4F">
              <w:t xml:space="preserve"> di</w:t>
            </w:r>
            <w:r w:rsidR="00562B3B">
              <w:t>dn’t</w:t>
            </w:r>
            <w:r w:rsidRPr="00A04C4F">
              <w:t xml:space="preserve"> say nothing</w:t>
            </w:r>
            <w:r w:rsidR="00AF6A09">
              <w:t>.</w:t>
            </w:r>
          </w:p>
          <w:p w14:paraId="0D4B393F" w14:textId="77777777" w:rsidR="009016B4" w:rsidRDefault="009016B4"/>
        </w:tc>
      </w:tr>
      <w:tr w:rsidR="009016B4" w14:paraId="593AB17B" w14:textId="77777777" w:rsidTr="00ED3D34">
        <w:tc>
          <w:tcPr>
            <w:tcW w:w="1413" w:type="dxa"/>
          </w:tcPr>
          <w:p w14:paraId="3E011B2B" w14:textId="77777777" w:rsidR="009016B4" w:rsidRDefault="009016B4" w:rsidP="008E4AF2">
            <w:r>
              <w:t>Sally:</w:t>
            </w:r>
          </w:p>
        </w:tc>
        <w:tc>
          <w:tcPr>
            <w:tcW w:w="6888" w:type="dxa"/>
          </w:tcPr>
          <w:p w14:paraId="4B7C26D3" w14:textId="77777777" w:rsidR="009016B4" w:rsidRDefault="009016B4" w:rsidP="00F84237">
            <w:pPr>
              <w:pStyle w:val="tablecontent-singlespaced"/>
            </w:pPr>
            <w:r>
              <w:t>Was there anyone else you could talk to?</w:t>
            </w:r>
          </w:p>
          <w:p w14:paraId="74EA3D33" w14:textId="77777777" w:rsidR="009016B4" w:rsidRPr="00A04C4F" w:rsidRDefault="009016B4"/>
        </w:tc>
      </w:tr>
      <w:tr w:rsidR="009016B4" w14:paraId="5B590F97" w14:textId="77777777" w:rsidTr="00ED3D34">
        <w:tc>
          <w:tcPr>
            <w:tcW w:w="1413" w:type="dxa"/>
          </w:tcPr>
          <w:p w14:paraId="3BB7A183" w14:textId="77777777" w:rsidR="009016B4" w:rsidRDefault="009016B4" w:rsidP="008E4AF2">
            <w:r>
              <w:t>Yannick:</w:t>
            </w:r>
          </w:p>
        </w:tc>
        <w:tc>
          <w:tcPr>
            <w:tcW w:w="6888" w:type="dxa"/>
          </w:tcPr>
          <w:p w14:paraId="0EBBF2AA" w14:textId="00E1A692" w:rsidR="009016B4" w:rsidRDefault="00AF6A09" w:rsidP="00F84237">
            <w:pPr>
              <w:pStyle w:val="tablecontent-singlespaced"/>
            </w:pPr>
            <w:r>
              <w:t>T</w:t>
            </w:r>
            <w:r w:rsidR="009016B4">
              <w:t xml:space="preserve">here was this </w:t>
            </w:r>
            <w:r w:rsidR="009016B4" w:rsidRPr="00A04C4F">
              <w:t>woman at school I talked to</w:t>
            </w:r>
            <w:r w:rsidR="009016B4">
              <w:t xml:space="preserve">, </w:t>
            </w:r>
            <w:r w:rsidR="009016B4" w:rsidRPr="00A04C4F">
              <w:t xml:space="preserve">but </w:t>
            </w:r>
            <w:r w:rsidR="00F943E7">
              <w:t xml:space="preserve">I </w:t>
            </w:r>
            <w:r w:rsidR="009016B4" w:rsidRPr="00A04C4F">
              <w:t xml:space="preserve">still </w:t>
            </w:r>
            <w:r w:rsidR="00F943E7">
              <w:t>didn’t</w:t>
            </w:r>
            <w:r w:rsidR="009016B4" w:rsidRPr="00A04C4F">
              <w:t xml:space="preserve"> w</w:t>
            </w:r>
            <w:r w:rsidR="009016B4">
              <w:t>a</w:t>
            </w:r>
            <w:r w:rsidR="009016B4" w:rsidRPr="00A04C4F">
              <w:t>nt talk to her really (.) not to do with her</w:t>
            </w:r>
            <w:r w:rsidR="009016B4">
              <w:t>,</w:t>
            </w:r>
            <w:r w:rsidR="009016B4" w:rsidRPr="00A04C4F">
              <w:t xml:space="preserve"> just me</w:t>
            </w:r>
            <w:r w:rsidR="009016B4">
              <w:t>, what would she know?</w:t>
            </w:r>
          </w:p>
        </w:tc>
      </w:tr>
    </w:tbl>
    <w:p w14:paraId="02B7F7AA" w14:textId="31066175" w:rsidR="009016B4" w:rsidRDefault="009016B4" w:rsidP="006E3485"/>
    <w:p w14:paraId="5CD583EB" w14:textId="77777777" w:rsidR="00F84237" w:rsidRDefault="00F84237"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CAFE16C" w14:textId="77777777" w:rsidTr="00ED3D34">
        <w:tc>
          <w:tcPr>
            <w:tcW w:w="1413" w:type="dxa"/>
          </w:tcPr>
          <w:p w14:paraId="0DD3B20D" w14:textId="77777777" w:rsidR="009016B4" w:rsidRDefault="009016B4" w:rsidP="008E4AF2">
            <w:r>
              <w:t>Sally:</w:t>
            </w:r>
          </w:p>
        </w:tc>
        <w:tc>
          <w:tcPr>
            <w:tcW w:w="6888" w:type="dxa"/>
          </w:tcPr>
          <w:p w14:paraId="0D625765" w14:textId="383FB7B5" w:rsidR="009016B4" w:rsidRDefault="00AF6A09" w:rsidP="00F84237">
            <w:pPr>
              <w:pStyle w:val="tablecontent-singlespaced"/>
            </w:pPr>
            <w:r>
              <w:t>D</w:t>
            </w:r>
            <w:r w:rsidR="009016B4">
              <w:t>id anyone talk to you about this?</w:t>
            </w:r>
          </w:p>
          <w:p w14:paraId="10BF79CA" w14:textId="77777777" w:rsidR="009016B4" w:rsidRDefault="009016B4"/>
        </w:tc>
      </w:tr>
      <w:tr w:rsidR="009016B4" w14:paraId="1048BF3E" w14:textId="77777777" w:rsidTr="00ED3D34">
        <w:tc>
          <w:tcPr>
            <w:tcW w:w="1413" w:type="dxa"/>
          </w:tcPr>
          <w:p w14:paraId="2267B810" w14:textId="77777777" w:rsidR="009016B4" w:rsidRDefault="009016B4" w:rsidP="008E4AF2">
            <w:r>
              <w:lastRenderedPageBreak/>
              <w:t>Eshal:</w:t>
            </w:r>
          </w:p>
        </w:tc>
        <w:tc>
          <w:tcPr>
            <w:tcW w:w="6888" w:type="dxa"/>
          </w:tcPr>
          <w:p w14:paraId="000D10C3" w14:textId="49F6BD91" w:rsidR="009016B4" w:rsidRDefault="00AF6A09" w:rsidP="00F84237">
            <w:pPr>
              <w:pStyle w:val="tablecontent-singlespaced"/>
            </w:pPr>
            <w:r>
              <w:t>N</w:t>
            </w:r>
            <w:r w:rsidR="009016B4">
              <w:t>o that was what I was thinking about tellin</w:t>
            </w:r>
            <w:r w:rsidR="00B941F3">
              <w:t xml:space="preserve">g </w:t>
            </w:r>
            <w:r w:rsidR="009016B4">
              <w:t>you</w:t>
            </w:r>
            <w:r w:rsidR="00E84137">
              <w:t xml:space="preserve"> … </w:t>
            </w:r>
            <w:r w:rsidR="009016B4" w:rsidRPr="00A04C4F">
              <w:t>nothing from the social worker</w:t>
            </w:r>
            <w:r w:rsidR="009016B4">
              <w:t>,</w:t>
            </w:r>
            <w:r w:rsidR="009016B4" w:rsidRPr="00A04C4F">
              <w:t xml:space="preserve"> me carers her social worke</w:t>
            </w:r>
            <w:r w:rsidR="009016B4">
              <w:t>r</w:t>
            </w:r>
            <w:r w:rsidR="00E84137">
              <w:t xml:space="preserve"> … </w:t>
            </w:r>
            <w:r w:rsidR="009016B4">
              <w:t>it was like no mention of nothing until I was nearly moved out</w:t>
            </w:r>
            <w:r>
              <w:t>.</w:t>
            </w:r>
          </w:p>
        </w:tc>
      </w:tr>
    </w:tbl>
    <w:p w14:paraId="51DD5C0E" w14:textId="77777777" w:rsidR="009016B4" w:rsidRDefault="009016B4" w:rsidP="006E3485"/>
    <w:p w14:paraId="7E3B9DD2"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0A3933EA" w14:textId="77777777" w:rsidTr="00ED3D34">
        <w:tc>
          <w:tcPr>
            <w:tcW w:w="1413" w:type="dxa"/>
          </w:tcPr>
          <w:p w14:paraId="555BCF83" w14:textId="77777777" w:rsidR="009016B4" w:rsidRDefault="009016B4">
            <w:r>
              <w:t>Carrie:</w:t>
            </w:r>
          </w:p>
        </w:tc>
        <w:tc>
          <w:tcPr>
            <w:tcW w:w="6888" w:type="dxa"/>
          </w:tcPr>
          <w:p w14:paraId="3E34CA14" w14:textId="5856B71A" w:rsidR="009016B4" w:rsidRDefault="00835111" w:rsidP="00F84237">
            <w:pPr>
              <w:pStyle w:val="tablecontent-singlespaced"/>
            </w:pPr>
            <w:r>
              <w:t>T</w:t>
            </w:r>
            <w:r w:rsidR="009016B4" w:rsidRPr="00116378">
              <w:t>hankfully I have people to talk to like my old carer</w:t>
            </w:r>
            <w:r w:rsidR="009016B4">
              <w:t>,</w:t>
            </w:r>
            <w:r w:rsidR="009016B4" w:rsidRPr="00116378">
              <w:t xml:space="preserve"> and my mum has been helpful but without them I would be screwed</w:t>
            </w:r>
            <w:r w:rsidR="009016B4">
              <w:t>.</w:t>
            </w:r>
            <w:r w:rsidR="009016B4" w:rsidRPr="00116378">
              <w:t xml:space="preserve"> I think I just felt like it was this way for everyone with a social worker (.) but I know that this isn't the case</w:t>
            </w:r>
            <w:r w:rsidR="009016B4">
              <w:t xml:space="preserve"> now</w:t>
            </w:r>
            <w:r w:rsidR="009016B4" w:rsidRPr="00116378">
              <w:t>. It</w:t>
            </w:r>
            <w:r w:rsidR="009016B4">
              <w:t>’</w:t>
            </w:r>
            <w:r w:rsidR="009016B4" w:rsidRPr="00116378">
              <w:t>s not great</w:t>
            </w:r>
            <w:r w:rsidR="009016B4">
              <w:t>.</w:t>
            </w:r>
          </w:p>
        </w:tc>
      </w:tr>
    </w:tbl>
    <w:p w14:paraId="4F8958E5" w14:textId="77777777" w:rsidR="009016B4" w:rsidRDefault="009016B4" w:rsidP="008E4AF2"/>
    <w:p w14:paraId="7E1B67A9" w14:textId="4526A573" w:rsidR="009016B4" w:rsidRDefault="00835111">
      <w:r>
        <w:t>In Carrie’s response they expressed relief at having identified their own sources of support but felt let down by their social worker. Overall</w:t>
      </w:r>
      <w:r w:rsidR="009016B4">
        <w:t xml:space="preserve">, young people wanted to turn to their </w:t>
      </w:r>
      <w:r w:rsidR="0030246E">
        <w:t>s</w:t>
      </w:r>
      <w:r w:rsidR="009016B4">
        <w:t xml:space="preserve">ocial </w:t>
      </w:r>
      <w:r w:rsidR="0030246E">
        <w:t>w</w:t>
      </w:r>
      <w:r w:rsidR="009016B4">
        <w:t xml:space="preserve">orker, as they </w:t>
      </w:r>
      <w:r w:rsidR="0030246E">
        <w:t>believed</w:t>
      </w:r>
      <w:r w:rsidR="009016B4">
        <w:t xml:space="preserve"> that a </w:t>
      </w:r>
      <w:r w:rsidR="0030246E">
        <w:t>s</w:t>
      </w:r>
      <w:r w:rsidR="009016B4">
        <w:t xml:space="preserve">ocial </w:t>
      </w:r>
      <w:r w:rsidR="0030246E">
        <w:t>w</w:t>
      </w:r>
      <w:r w:rsidR="009016B4">
        <w:t>orker is someone that should help them. Liam descri</w:t>
      </w:r>
      <w:r w:rsidR="0007533B">
        <w:t xml:space="preserve">bed their thinking about social workers before becoming </w:t>
      </w:r>
      <w:r w:rsidR="0007533B" w:rsidRPr="00691CB5">
        <w:rPr>
          <w:i/>
          <w:iCs/>
        </w:rPr>
        <w:t>looked after</w:t>
      </w:r>
      <w:r w:rsidR="009016B4">
        <w:t>. Liam presented this point as their ideal situation:</w:t>
      </w:r>
    </w:p>
    <w:p w14:paraId="7C64A950"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02C7CCC5" w14:textId="77777777" w:rsidTr="00ED3D34">
        <w:tc>
          <w:tcPr>
            <w:tcW w:w="1413" w:type="dxa"/>
          </w:tcPr>
          <w:p w14:paraId="3CC06A0F" w14:textId="77777777" w:rsidR="009016B4" w:rsidRDefault="009016B4">
            <w:r>
              <w:t>Liam:</w:t>
            </w:r>
          </w:p>
        </w:tc>
        <w:tc>
          <w:tcPr>
            <w:tcW w:w="6888" w:type="dxa"/>
          </w:tcPr>
          <w:p w14:paraId="3CB18F00" w14:textId="6126C1DA" w:rsidR="009016B4" w:rsidRDefault="009016B4" w:rsidP="00F84237">
            <w:pPr>
              <w:pStyle w:val="tablecontent-singlespaced"/>
            </w:pPr>
            <w:r>
              <w:t xml:space="preserve">They should be </w:t>
            </w:r>
            <w:r w:rsidR="0030246E">
              <w:t>like, if</w:t>
            </w:r>
            <w:r>
              <w:t xml:space="preserve"> </w:t>
            </w:r>
            <w:r w:rsidRPr="00371193">
              <w:t xml:space="preserve">there's anything you feel worried about just ask because </w:t>
            </w:r>
            <w:r w:rsidR="0030246E">
              <w:t>s</w:t>
            </w:r>
            <w:r w:rsidRPr="00371193">
              <w:t xml:space="preserve">ocial </w:t>
            </w:r>
            <w:r w:rsidR="0030246E">
              <w:t>w</w:t>
            </w:r>
            <w:r w:rsidRPr="00371193">
              <w:t xml:space="preserve">orkers are meant to be like the </w:t>
            </w:r>
            <w:r w:rsidR="008707C6" w:rsidRPr="00371193">
              <w:t>family,</w:t>
            </w:r>
            <w:r>
              <w:t xml:space="preserve"> aren’t they?</w:t>
            </w:r>
          </w:p>
        </w:tc>
      </w:tr>
    </w:tbl>
    <w:p w14:paraId="460745E8" w14:textId="77777777" w:rsidR="009016B4" w:rsidRDefault="009016B4" w:rsidP="008E4AF2"/>
    <w:p w14:paraId="2011B2CC" w14:textId="59645810" w:rsidR="009016B4" w:rsidRDefault="0007533B" w:rsidP="008E4AF2">
      <w:r w:rsidRPr="0007533B">
        <w:t xml:space="preserve">Whilst, in some cases, </w:t>
      </w:r>
      <w:r w:rsidR="00835111">
        <w:t xml:space="preserve">a </w:t>
      </w:r>
      <w:r w:rsidRPr="0007533B">
        <w:t>social work</w:t>
      </w:r>
      <w:r w:rsidR="008707C6">
        <w:t xml:space="preserve">er’s role </w:t>
      </w:r>
      <w:r w:rsidRPr="0007533B">
        <w:t>in</w:t>
      </w:r>
      <w:r w:rsidR="008707C6">
        <w:t xml:space="preserve"> </w:t>
      </w:r>
      <w:r w:rsidRPr="0007533B">
        <w:t xml:space="preserve">providing information fell below the expectations of the young people, </w:t>
      </w:r>
      <w:r w:rsidR="008707C6">
        <w:t xml:space="preserve">for other young people </w:t>
      </w:r>
      <w:r w:rsidRPr="0007533B">
        <w:t>these expectations were met</w:t>
      </w:r>
      <w:r>
        <w:t>. Tyler felt they could talk to their social worker</w:t>
      </w:r>
      <w:r w:rsidR="009016B4">
        <w:t>:</w:t>
      </w:r>
    </w:p>
    <w:p w14:paraId="6204FA99" w14:textId="4C1EE51A" w:rsidR="009016B4" w:rsidRDefault="008707C6">
      <w:r>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EDCED7A" w14:textId="77777777" w:rsidTr="00ED3D34">
        <w:tc>
          <w:tcPr>
            <w:tcW w:w="1413" w:type="dxa"/>
          </w:tcPr>
          <w:p w14:paraId="740EAC26" w14:textId="77777777" w:rsidR="009016B4" w:rsidRDefault="009016B4">
            <w:r>
              <w:t xml:space="preserve">Sally: </w:t>
            </w:r>
          </w:p>
        </w:tc>
        <w:tc>
          <w:tcPr>
            <w:tcW w:w="6888" w:type="dxa"/>
          </w:tcPr>
          <w:p w14:paraId="71EF3592" w14:textId="78BA74C0" w:rsidR="009016B4" w:rsidRDefault="009016B4" w:rsidP="00F84237">
            <w:pPr>
              <w:pStyle w:val="tablecontent-singlespaced"/>
            </w:pPr>
            <w:r>
              <w:t>Where</w:t>
            </w:r>
            <w:r w:rsidR="00B941F3">
              <w:t xml:space="preserve">’d </w:t>
            </w:r>
            <w:r w:rsidR="00540562">
              <w:t xml:space="preserve">you </w:t>
            </w:r>
            <w:r w:rsidR="00112BD6">
              <w:t>g</w:t>
            </w:r>
            <w:r>
              <w:t>o to for support at this time?</w:t>
            </w:r>
          </w:p>
          <w:p w14:paraId="00E72757" w14:textId="77777777" w:rsidR="009016B4" w:rsidRPr="003E4383" w:rsidRDefault="009016B4"/>
        </w:tc>
      </w:tr>
      <w:tr w:rsidR="009016B4" w14:paraId="5A4B86D2" w14:textId="77777777" w:rsidTr="00ED3D34">
        <w:tc>
          <w:tcPr>
            <w:tcW w:w="1413" w:type="dxa"/>
          </w:tcPr>
          <w:p w14:paraId="3C8F35FE" w14:textId="77777777" w:rsidR="009016B4" w:rsidRDefault="009016B4" w:rsidP="008E4AF2">
            <w:r>
              <w:t>Tyler:</w:t>
            </w:r>
          </w:p>
        </w:tc>
        <w:tc>
          <w:tcPr>
            <w:tcW w:w="6888" w:type="dxa"/>
          </w:tcPr>
          <w:p w14:paraId="5D1719F4" w14:textId="51C184E9" w:rsidR="009016B4" w:rsidRDefault="00835111" w:rsidP="00F84237">
            <w:pPr>
              <w:pStyle w:val="tablecontent-singlespaced"/>
            </w:pPr>
            <w:r>
              <w:t>I</w:t>
            </w:r>
            <w:r w:rsidR="009016B4" w:rsidRPr="003E4383">
              <w:t xml:space="preserve">t was through </w:t>
            </w:r>
            <w:r w:rsidR="0007533B">
              <w:t>s</w:t>
            </w:r>
            <w:r w:rsidR="009016B4" w:rsidRPr="003E4383">
              <w:t xml:space="preserve">ocial </w:t>
            </w:r>
            <w:r w:rsidR="0007533B">
              <w:t>w</w:t>
            </w:r>
            <w:r w:rsidR="009016B4" w:rsidRPr="003E4383">
              <w:t xml:space="preserve">orkers (.) my </w:t>
            </w:r>
            <w:r w:rsidR="0007533B">
              <w:t>s</w:t>
            </w:r>
            <w:r w:rsidR="009016B4" w:rsidRPr="003E4383">
              <w:t xml:space="preserve">ocial </w:t>
            </w:r>
            <w:r w:rsidR="0007533B">
              <w:t>w</w:t>
            </w:r>
            <w:r w:rsidR="009016B4" w:rsidRPr="003E4383">
              <w:t>orker mainly</w:t>
            </w:r>
            <w:r>
              <w:t>.</w:t>
            </w:r>
          </w:p>
        </w:tc>
      </w:tr>
    </w:tbl>
    <w:p w14:paraId="1E8016AF" w14:textId="77777777" w:rsidR="009016B4" w:rsidRDefault="009016B4" w:rsidP="008E4AF2"/>
    <w:p w14:paraId="2ED684E0" w14:textId="206602A8" w:rsidR="009016B4" w:rsidRDefault="00D40124">
      <w:r w:rsidRPr="00864364">
        <w:t xml:space="preserve">Throughout each interview young people often described their feelings about </w:t>
      </w:r>
      <w:r>
        <w:t>s</w:t>
      </w:r>
      <w:r w:rsidRPr="00864364">
        <w:t xml:space="preserve">ocial </w:t>
      </w:r>
      <w:r>
        <w:t>w</w:t>
      </w:r>
      <w:r w:rsidRPr="00864364">
        <w:t xml:space="preserve">orkers. Overall participants tended to be critical about their involvement. </w:t>
      </w:r>
      <w:r>
        <w:t>H</w:t>
      </w:r>
      <w:r w:rsidRPr="00864364">
        <w:t xml:space="preserve">owever, these views seemed to stem from negative </w:t>
      </w:r>
      <w:r>
        <w:t xml:space="preserve">experiences rather than an inherent problem with the role. When discussing who young people wanted to talk to and where they wanted information to </w:t>
      </w:r>
      <w:r>
        <w:lastRenderedPageBreak/>
        <w:t xml:space="preserve">come from, overwhelmingly their responses indicated that their social worker would be their preferred choice. On the basis of the interviews young people asserted that the social worker should be pivotal in supporting them by sharing information, but also in facilitating their thinking processes. </w:t>
      </w:r>
      <w:r w:rsidR="0007533B">
        <w:t>I</w:t>
      </w:r>
      <w:r w:rsidR="009016B4">
        <w:t xml:space="preserve">n </w:t>
      </w:r>
      <w:r w:rsidR="00113DFB" w:rsidRPr="00113DFB">
        <w:t>C</w:t>
      </w:r>
      <w:r w:rsidR="006152B2" w:rsidRPr="00113DFB">
        <w:t>hapter</w:t>
      </w:r>
      <w:r w:rsidR="00113DFB" w:rsidRPr="00113DFB">
        <w:t xml:space="preserve"> </w:t>
      </w:r>
      <w:r w:rsidR="008707C6">
        <w:t>7</w:t>
      </w:r>
      <w:r w:rsidR="006152B2" w:rsidRPr="00113DFB">
        <w:t>,</w:t>
      </w:r>
      <w:r w:rsidR="006152B2">
        <w:t xml:space="preserve"> parti</w:t>
      </w:r>
      <w:r w:rsidR="006152B2" w:rsidRPr="00D40124">
        <w:t>cipan</w:t>
      </w:r>
      <w:r w:rsidR="006152B2">
        <w:t>ts</w:t>
      </w:r>
      <w:r w:rsidR="009016B4">
        <w:t xml:space="preserve"> talked about their expectations of their </w:t>
      </w:r>
      <w:r w:rsidR="0007533B">
        <w:t>s</w:t>
      </w:r>
      <w:r w:rsidR="009016B4">
        <w:t xml:space="preserve">ocial </w:t>
      </w:r>
      <w:r w:rsidR="0007533B">
        <w:t>w</w:t>
      </w:r>
      <w:r w:rsidR="009016B4">
        <w:t>orker in relation to support for involvement in decision</w:t>
      </w:r>
      <w:r w:rsidR="00835111">
        <w:t>-</w:t>
      </w:r>
      <w:r w:rsidR="009016B4">
        <w:t xml:space="preserve">making and other aspects of their care experience. However, when talking about their decisions about </w:t>
      </w:r>
      <w:r w:rsidR="009016B4" w:rsidRPr="0007533B">
        <w:rPr>
          <w:i/>
          <w:iCs/>
        </w:rPr>
        <w:t>Staying Put</w:t>
      </w:r>
      <w:r w:rsidR="009016B4">
        <w:t xml:space="preserve"> and/or next steps young people felt that </w:t>
      </w:r>
      <w:r w:rsidR="0007533B">
        <w:t>s</w:t>
      </w:r>
      <w:r w:rsidR="009016B4">
        <w:t xml:space="preserve">ocial </w:t>
      </w:r>
      <w:r w:rsidR="0007533B">
        <w:t>w</w:t>
      </w:r>
      <w:r w:rsidR="009016B4">
        <w:t xml:space="preserve">orkers fell short of being the main source of information about available options. There were different </w:t>
      </w:r>
      <w:r w:rsidR="0007533B">
        <w:t>views</w:t>
      </w:r>
      <w:r w:rsidR="009016B4">
        <w:t xml:space="preserve"> as to why </w:t>
      </w:r>
      <w:r w:rsidR="0007533B">
        <w:t>s</w:t>
      </w:r>
      <w:r w:rsidR="009016B4">
        <w:t xml:space="preserve">ocial </w:t>
      </w:r>
      <w:r w:rsidR="0007533B">
        <w:t>w</w:t>
      </w:r>
      <w:r w:rsidR="009016B4">
        <w:t xml:space="preserve">orkers did not live up to this expectation or could not fulfil a supportive role for them. Some young people had longstanding negative views of </w:t>
      </w:r>
      <w:r w:rsidR="00822531">
        <w:t>s</w:t>
      </w:r>
      <w:r w:rsidR="009016B4">
        <w:t xml:space="preserve">ocial </w:t>
      </w:r>
      <w:r w:rsidR="00822531">
        <w:t>w</w:t>
      </w:r>
      <w:r w:rsidR="009016B4">
        <w:t>orkers which influenced their thinking:</w:t>
      </w:r>
    </w:p>
    <w:p w14:paraId="76B45146"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AA04C37" w14:textId="77777777" w:rsidTr="00ED3D34">
        <w:tc>
          <w:tcPr>
            <w:tcW w:w="1413" w:type="dxa"/>
          </w:tcPr>
          <w:p w14:paraId="319EFA65" w14:textId="77777777" w:rsidR="009016B4" w:rsidRDefault="009016B4">
            <w:r>
              <w:t>Liam:</w:t>
            </w:r>
          </w:p>
        </w:tc>
        <w:tc>
          <w:tcPr>
            <w:tcW w:w="6888" w:type="dxa"/>
          </w:tcPr>
          <w:p w14:paraId="3AF8CA09" w14:textId="1193F5F8" w:rsidR="009016B4" w:rsidRDefault="009016B4" w:rsidP="00F84237">
            <w:pPr>
              <w:pStyle w:val="tablecontent-singlespaced"/>
            </w:pPr>
            <w:r>
              <w:t xml:space="preserve">I’ve had some pretty shitty </w:t>
            </w:r>
            <w:r w:rsidR="00822531">
              <w:t>s</w:t>
            </w:r>
            <w:r>
              <w:t xml:space="preserve">ocial </w:t>
            </w:r>
            <w:r w:rsidR="00822531">
              <w:t>w</w:t>
            </w:r>
            <w:r>
              <w:t>orkers, that’s why I like didn’t go to her.</w:t>
            </w:r>
          </w:p>
          <w:p w14:paraId="744FD666" w14:textId="77777777" w:rsidR="000C16BA" w:rsidRDefault="000C16BA" w:rsidP="00F84237">
            <w:pPr>
              <w:pStyle w:val="tablecontent-singlespaced"/>
            </w:pPr>
          </w:p>
          <w:p w14:paraId="756B90D6" w14:textId="77777777" w:rsidR="009016B4" w:rsidRDefault="009016B4"/>
        </w:tc>
      </w:tr>
    </w:tbl>
    <w:p w14:paraId="27DE0976" w14:textId="2C76A0CB" w:rsidR="009016B4" w:rsidRDefault="009016B4" w:rsidP="008E4AF2">
      <w:r>
        <w:t xml:space="preserve">Liam’s decision was based on previous interactions with workers, whereas Beth’s relationship with </w:t>
      </w:r>
      <w:r w:rsidR="00822531">
        <w:t>s</w:t>
      </w:r>
      <w:r>
        <w:t xml:space="preserve">ocial </w:t>
      </w:r>
      <w:r w:rsidR="00822531">
        <w:t>w</w:t>
      </w:r>
      <w:r>
        <w:t>orkers was more complex. Beth described a combination of historical associations with the experience of being removed from their birth family’s care, and the experience of having multiple workers:</w:t>
      </w:r>
    </w:p>
    <w:p w14:paraId="5E035746" w14:textId="77777777" w:rsidR="00184956" w:rsidRDefault="00184956"/>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AAFCF11" w14:textId="77777777" w:rsidTr="00ED3D34">
        <w:tc>
          <w:tcPr>
            <w:tcW w:w="1413" w:type="dxa"/>
          </w:tcPr>
          <w:p w14:paraId="6D04FA76" w14:textId="77777777" w:rsidR="009016B4" w:rsidRDefault="009016B4">
            <w:r>
              <w:t>Beth:</w:t>
            </w:r>
          </w:p>
        </w:tc>
        <w:tc>
          <w:tcPr>
            <w:tcW w:w="6888" w:type="dxa"/>
          </w:tcPr>
          <w:p w14:paraId="7309668B" w14:textId="4F7D6D36" w:rsidR="009016B4" w:rsidRDefault="00835111" w:rsidP="00F84237">
            <w:pPr>
              <w:pStyle w:val="tablecontent-singlespaced"/>
            </w:pPr>
            <w:r>
              <w:t>S</w:t>
            </w:r>
            <w:r w:rsidR="009016B4" w:rsidRPr="00344DED">
              <w:t xml:space="preserve">ometimes I feel like I can’t talk to them </w:t>
            </w:r>
            <w:r>
              <w:t>be</w:t>
            </w:r>
            <w:r w:rsidR="009016B4" w:rsidRPr="00344DED">
              <w:t>c</w:t>
            </w:r>
            <w:r w:rsidR="00540562">
              <w:t>ause</w:t>
            </w:r>
            <w:r w:rsidR="009016B4" w:rsidRPr="00344DED">
              <w:t xml:space="preserve"> I feel like when they put me in care</w:t>
            </w:r>
            <w:r w:rsidR="009F51FA">
              <w:t xml:space="preserve"> …</w:t>
            </w:r>
            <w:r w:rsidR="009016B4">
              <w:t xml:space="preserve"> </w:t>
            </w:r>
            <w:r w:rsidR="009016B4" w:rsidRPr="00EF5CF0">
              <w:t xml:space="preserve">I don’t like </w:t>
            </w:r>
            <w:r w:rsidR="0018772B">
              <w:t>th</w:t>
            </w:r>
            <w:r w:rsidR="009016B4" w:rsidRPr="00EF5CF0">
              <w:t>em (.) urm they kept changing</w:t>
            </w:r>
            <w:r w:rsidR="009016B4">
              <w:t xml:space="preserve"> it made it hard to tell one from the other</w:t>
            </w:r>
            <w:r>
              <w:t>.</w:t>
            </w:r>
          </w:p>
        </w:tc>
      </w:tr>
    </w:tbl>
    <w:p w14:paraId="55A7A0A8" w14:textId="77777777" w:rsidR="009016B4" w:rsidRDefault="009016B4" w:rsidP="006E3485"/>
    <w:p w14:paraId="10B24D5D" w14:textId="61552D27" w:rsidR="009016B4" w:rsidRDefault="009016B4" w:rsidP="008E4AF2">
      <w:r>
        <w:t xml:space="preserve">A lack of consistency in their worker was also cited as an explanation for not seeking their support. Jonathan felt strongly that the turnover of </w:t>
      </w:r>
      <w:r w:rsidR="00822531">
        <w:t>s</w:t>
      </w:r>
      <w:r>
        <w:t xml:space="preserve">ocial </w:t>
      </w:r>
      <w:r w:rsidR="00822531">
        <w:t>w</w:t>
      </w:r>
      <w:r>
        <w:t>orkers eroded their ability to build relationships:</w:t>
      </w:r>
    </w:p>
    <w:p w14:paraId="234EA69B"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337067B" w14:textId="77777777" w:rsidTr="00ED3D34">
        <w:tc>
          <w:tcPr>
            <w:tcW w:w="1413" w:type="dxa"/>
          </w:tcPr>
          <w:p w14:paraId="1B5A41AB" w14:textId="77777777" w:rsidR="009016B4" w:rsidRDefault="009016B4">
            <w:r>
              <w:t>Jonathan:</w:t>
            </w:r>
          </w:p>
        </w:tc>
        <w:tc>
          <w:tcPr>
            <w:tcW w:w="6888" w:type="dxa"/>
          </w:tcPr>
          <w:p w14:paraId="70960589" w14:textId="33E6D9FC" w:rsidR="009016B4" w:rsidRDefault="009016B4" w:rsidP="00F84237">
            <w:pPr>
              <w:pStyle w:val="tablecontent-singlespaced"/>
            </w:pPr>
            <w:r>
              <w:t>I’ve had a lot of them, probably in the 40s</w:t>
            </w:r>
            <w:r w:rsidR="00CF189E">
              <w:t xml:space="preserve"> …</w:t>
            </w:r>
            <w:r>
              <w:t xml:space="preserve"> sometimes I wonder who to go to because my </w:t>
            </w:r>
            <w:r w:rsidR="00822531">
              <w:t>s</w:t>
            </w:r>
            <w:r>
              <w:t xml:space="preserve">ocial </w:t>
            </w:r>
            <w:r w:rsidR="00822531">
              <w:t>w</w:t>
            </w:r>
            <w:r>
              <w:t xml:space="preserve">orker changed then I would get a temporary one then I don't know who they are </w:t>
            </w:r>
            <w:r w:rsidR="00540562">
              <w:t xml:space="preserve">because </w:t>
            </w:r>
            <w:r>
              <w:t xml:space="preserve">I haven't had a chance to like introduce myself then </w:t>
            </w:r>
            <w:r w:rsidR="00540562">
              <w:t>because</w:t>
            </w:r>
            <w:r>
              <w:t xml:space="preserve"> I am introduced to a new one. </w:t>
            </w:r>
          </w:p>
          <w:p w14:paraId="465F5B1B" w14:textId="77777777" w:rsidR="009016B4" w:rsidRDefault="009016B4"/>
        </w:tc>
      </w:tr>
      <w:tr w:rsidR="009016B4" w14:paraId="4DE9198B" w14:textId="77777777" w:rsidTr="00ED3D34">
        <w:tc>
          <w:tcPr>
            <w:tcW w:w="1413" w:type="dxa"/>
          </w:tcPr>
          <w:p w14:paraId="01007733" w14:textId="77777777" w:rsidR="009016B4" w:rsidRDefault="009016B4" w:rsidP="008E4AF2">
            <w:r>
              <w:lastRenderedPageBreak/>
              <w:t xml:space="preserve">Sally: </w:t>
            </w:r>
          </w:p>
        </w:tc>
        <w:tc>
          <w:tcPr>
            <w:tcW w:w="6888" w:type="dxa"/>
          </w:tcPr>
          <w:p w14:paraId="09E9A331" w14:textId="5996E1DA" w:rsidR="009016B4" w:rsidRDefault="008707C6" w:rsidP="00F84237">
            <w:pPr>
              <w:pStyle w:val="tablecontent-singlespaced"/>
            </w:pPr>
            <w:r>
              <w:t>S</w:t>
            </w:r>
            <w:r w:rsidR="009016B4">
              <w:t>ounds like a lot of change</w:t>
            </w:r>
            <w:r w:rsidR="00AB487E">
              <w:t>.</w:t>
            </w:r>
            <w:r w:rsidR="009016B4">
              <w:t xml:space="preserve"> </w:t>
            </w:r>
          </w:p>
          <w:p w14:paraId="6326431A" w14:textId="77777777" w:rsidR="009016B4" w:rsidRDefault="009016B4"/>
        </w:tc>
      </w:tr>
      <w:tr w:rsidR="009016B4" w14:paraId="45E988CB" w14:textId="77777777" w:rsidTr="00ED3D34">
        <w:tc>
          <w:tcPr>
            <w:tcW w:w="1413" w:type="dxa"/>
          </w:tcPr>
          <w:p w14:paraId="0285CA9B" w14:textId="77777777" w:rsidR="009016B4" w:rsidRDefault="009016B4" w:rsidP="008E4AF2">
            <w:r>
              <w:t>Jonathan:</w:t>
            </w:r>
          </w:p>
        </w:tc>
        <w:tc>
          <w:tcPr>
            <w:tcW w:w="6888" w:type="dxa"/>
          </w:tcPr>
          <w:p w14:paraId="61BA5F5E" w14:textId="66547882" w:rsidR="009016B4" w:rsidRDefault="009016B4" w:rsidP="00F84237">
            <w:pPr>
              <w:pStyle w:val="tablecontent-singlespaced"/>
            </w:pPr>
            <w:r>
              <w:t xml:space="preserve">Yeah, </w:t>
            </w:r>
            <w:r w:rsidRPr="004C1D25">
              <w:t>urm it</w:t>
            </w:r>
            <w:r>
              <w:t>’</w:t>
            </w:r>
            <w:r w:rsidRPr="004C1D25">
              <w:t>s difficult because trust is a massive thing especially for us</w:t>
            </w:r>
            <w:r>
              <w:t xml:space="preserve"> [children in care]</w:t>
            </w:r>
            <w:r w:rsidR="00085A60">
              <w:t xml:space="preserve"> … </w:t>
            </w:r>
            <w:r w:rsidRPr="004C1D25">
              <w:t>I would build a rapport with them and then the new one would come along</w:t>
            </w:r>
            <w:r>
              <w:t>,</w:t>
            </w:r>
            <w:r w:rsidRPr="004C1D25">
              <w:t xml:space="preserve"> there were so many changes and shuffles round internally (.) there was a lot of issues going on and I didn't know who to go to</w:t>
            </w:r>
            <w:r w:rsidR="00AB487E">
              <w:t>.</w:t>
            </w:r>
          </w:p>
        </w:tc>
      </w:tr>
    </w:tbl>
    <w:p w14:paraId="2B31B6F4" w14:textId="77777777" w:rsidR="009016B4" w:rsidRDefault="009016B4" w:rsidP="008E4AF2"/>
    <w:p w14:paraId="364949FB" w14:textId="7DC4E5C2" w:rsidR="009016B4" w:rsidRDefault="009016B4" w:rsidP="008E4AF2">
      <w:r>
        <w:t xml:space="preserve">As well as finding it difficult to maintain relationships </w:t>
      </w:r>
      <w:r w:rsidR="00AB487E">
        <w:t xml:space="preserve">due to the </w:t>
      </w:r>
      <w:r>
        <w:t>frequen</w:t>
      </w:r>
      <w:r w:rsidR="00AB487E">
        <w:t xml:space="preserve">cy </w:t>
      </w:r>
      <w:r>
        <w:t>chang</w:t>
      </w:r>
      <w:r w:rsidR="00AB487E">
        <w:t>es in worker</w:t>
      </w:r>
      <w:r>
        <w:t xml:space="preserve">, young people described </w:t>
      </w:r>
      <w:r w:rsidR="00822531">
        <w:t>s</w:t>
      </w:r>
      <w:r>
        <w:t xml:space="preserve">ocial </w:t>
      </w:r>
      <w:r w:rsidR="00822531">
        <w:t>w</w:t>
      </w:r>
      <w:r>
        <w:t xml:space="preserve">orkers as being unreliable in their interactions. Participants gave examples across their care experience, that made them question the dependability of their worker: </w:t>
      </w:r>
    </w:p>
    <w:p w14:paraId="34A7F8E0"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13C241A" w14:textId="77777777" w:rsidTr="00ED3D34">
        <w:tc>
          <w:tcPr>
            <w:tcW w:w="1413" w:type="dxa"/>
          </w:tcPr>
          <w:p w14:paraId="2B038949" w14:textId="77777777" w:rsidR="009016B4" w:rsidRDefault="009016B4">
            <w:r>
              <w:t>Liam:</w:t>
            </w:r>
          </w:p>
        </w:tc>
        <w:tc>
          <w:tcPr>
            <w:tcW w:w="6888" w:type="dxa"/>
          </w:tcPr>
          <w:p w14:paraId="10C6AF34" w14:textId="083C12C9" w:rsidR="009016B4" w:rsidRDefault="00AB487E" w:rsidP="00F84237">
            <w:pPr>
              <w:pStyle w:val="tablecontent-singlespaced"/>
            </w:pPr>
            <w:r>
              <w:t>I</w:t>
            </w:r>
            <w:r w:rsidR="009016B4" w:rsidRPr="00713510">
              <w:t>t</w:t>
            </w:r>
            <w:r w:rsidR="009016B4">
              <w:t>’</w:t>
            </w:r>
            <w:r w:rsidR="009016B4" w:rsidRPr="00713510">
              <w:t>s not like they weren</w:t>
            </w:r>
            <w:r w:rsidR="009016B4">
              <w:t>’</w:t>
            </w:r>
            <w:r w:rsidR="009016B4" w:rsidRPr="00713510">
              <w:t>t nice (.) it</w:t>
            </w:r>
            <w:r w:rsidR="009016B4">
              <w:t>’</w:t>
            </w:r>
            <w:r w:rsidR="009016B4" w:rsidRPr="00713510">
              <w:t xml:space="preserve">s like they were </w:t>
            </w:r>
            <w:r w:rsidR="00585300" w:rsidRPr="00713510">
              <w:t>nice,</w:t>
            </w:r>
            <w:r w:rsidR="009016B4" w:rsidRPr="00713510">
              <w:t xml:space="preserve"> but it was like they were kind</w:t>
            </w:r>
            <w:r w:rsidR="008707C6">
              <w:t xml:space="preserve"> of</w:t>
            </w:r>
            <w:r w:rsidR="009016B4" w:rsidRPr="00713510">
              <w:t xml:space="preserve"> useless</w:t>
            </w:r>
            <w:r w:rsidR="009016B4">
              <w:t>,</w:t>
            </w:r>
            <w:r w:rsidR="009016B4" w:rsidRPr="00713510">
              <w:t xml:space="preserve"> like I’d be like I wanna do something how do I go about it (.) and they</w:t>
            </w:r>
            <w:r w:rsidR="009016B4">
              <w:t>’</w:t>
            </w:r>
            <w:r w:rsidR="009016B4" w:rsidRPr="00713510">
              <w:t>d be like oh I</w:t>
            </w:r>
            <w:r w:rsidR="009016B4">
              <w:t>’</w:t>
            </w:r>
            <w:r w:rsidR="009016B4" w:rsidRPr="00713510">
              <w:t xml:space="preserve">ll go back to my line </w:t>
            </w:r>
            <w:r w:rsidR="005C5158" w:rsidRPr="00713510">
              <w:t>manager,</w:t>
            </w:r>
            <w:r w:rsidR="009016B4" w:rsidRPr="00713510">
              <w:t xml:space="preserve"> and I</w:t>
            </w:r>
            <w:r w:rsidR="009016B4">
              <w:t>’</w:t>
            </w:r>
            <w:r w:rsidR="009016B4" w:rsidRPr="00713510">
              <w:t>ll ask them</w:t>
            </w:r>
            <w:r w:rsidR="00C00007">
              <w:t xml:space="preserve"> … </w:t>
            </w:r>
            <w:r w:rsidR="009016B4">
              <w:t>they never did come back and so you are left without an answe</w:t>
            </w:r>
            <w:r>
              <w:t>r.</w:t>
            </w:r>
          </w:p>
        </w:tc>
      </w:tr>
    </w:tbl>
    <w:p w14:paraId="6B41B47D"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21308090" w14:textId="77777777" w:rsidTr="00ED3D34">
        <w:tc>
          <w:tcPr>
            <w:tcW w:w="1413" w:type="dxa"/>
          </w:tcPr>
          <w:p w14:paraId="52B5FE58" w14:textId="77777777" w:rsidR="009016B4" w:rsidRDefault="009016B4" w:rsidP="008E4AF2">
            <w:r>
              <w:t>Hannah:</w:t>
            </w:r>
          </w:p>
        </w:tc>
        <w:tc>
          <w:tcPr>
            <w:tcW w:w="6888" w:type="dxa"/>
          </w:tcPr>
          <w:p w14:paraId="2AEB5534" w14:textId="076983FD" w:rsidR="009016B4" w:rsidRDefault="009016B4" w:rsidP="00F84237">
            <w:pPr>
              <w:pStyle w:val="tablecontent-singlespaced"/>
            </w:pPr>
            <w:r w:rsidRPr="00485D42">
              <w:t xml:space="preserve">I almost felt like if I had anything to </w:t>
            </w:r>
            <w:r w:rsidR="00585300" w:rsidRPr="00485D42">
              <w:t>ask,</w:t>
            </w:r>
            <w:r w:rsidRPr="00485D42">
              <w:t xml:space="preserve"> I</w:t>
            </w:r>
            <w:r>
              <w:t>’</w:t>
            </w:r>
            <w:r w:rsidRPr="00485D42">
              <w:t xml:space="preserve">d probably go to her first </w:t>
            </w:r>
            <w:r>
              <w:t xml:space="preserve">[foster carer’s </w:t>
            </w:r>
            <w:r w:rsidR="000D38A5">
              <w:t>s</w:t>
            </w:r>
            <w:r>
              <w:t xml:space="preserve">ocial </w:t>
            </w:r>
            <w:r w:rsidR="000D38A5">
              <w:t>w</w:t>
            </w:r>
            <w:r>
              <w:t xml:space="preserve">orker] </w:t>
            </w:r>
            <w:r w:rsidRPr="00485D42">
              <w:t xml:space="preserve">rather than my actual </w:t>
            </w:r>
            <w:r w:rsidR="000D38A5">
              <w:t>s</w:t>
            </w:r>
            <w:r w:rsidRPr="00485D42">
              <w:t xml:space="preserve">ocial </w:t>
            </w:r>
            <w:r w:rsidR="000D38A5">
              <w:t>w</w:t>
            </w:r>
            <w:r w:rsidRPr="00485D42">
              <w:t xml:space="preserve">orker (.) just because they </w:t>
            </w:r>
            <w:r w:rsidR="00AB487E">
              <w:t xml:space="preserve">[their social worker] </w:t>
            </w:r>
            <w:r w:rsidRPr="00485D42">
              <w:t>always seemed</w:t>
            </w:r>
            <w:r>
              <w:t>,</w:t>
            </w:r>
            <w:r w:rsidRPr="00485D42">
              <w:t xml:space="preserve"> oh I</w:t>
            </w:r>
            <w:r>
              <w:t>’</w:t>
            </w:r>
            <w:r w:rsidRPr="00485D42">
              <w:t>m not really sure about this</w:t>
            </w:r>
            <w:r w:rsidR="00761E95">
              <w:t xml:space="preserve"> I need to ask someone</w:t>
            </w:r>
          </w:p>
        </w:tc>
      </w:tr>
    </w:tbl>
    <w:p w14:paraId="5CC0D187"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609EE88" w14:textId="77777777" w:rsidTr="00ED3D34">
        <w:tc>
          <w:tcPr>
            <w:tcW w:w="1413" w:type="dxa"/>
          </w:tcPr>
          <w:p w14:paraId="7E295242" w14:textId="77777777" w:rsidR="009016B4" w:rsidRDefault="009016B4" w:rsidP="008E4AF2">
            <w:r>
              <w:t>Carrie:</w:t>
            </w:r>
          </w:p>
        </w:tc>
        <w:tc>
          <w:tcPr>
            <w:tcW w:w="6888" w:type="dxa"/>
          </w:tcPr>
          <w:p w14:paraId="1245ACFC" w14:textId="0FC685D6" w:rsidR="009016B4" w:rsidRDefault="00AB487E" w:rsidP="00F84237">
            <w:pPr>
              <w:pStyle w:val="tablecontent-singlespaced"/>
            </w:pPr>
            <w:r>
              <w:t>M</w:t>
            </w:r>
            <w:r w:rsidR="009016B4" w:rsidRPr="00485D42">
              <w:t xml:space="preserve">y </w:t>
            </w:r>
            <w:r w:rsidR="000D38A5">
              <w:t>s</w:t>
            </w:r>
            <w:r w:rsidR="009016B4" w:rsidRPr="00485D42">
              <w:t xml:space="preserve">ocial </w:t>
            </w:r>
            <w:r w:rsidR="000D38A5">
              <w:t>w</w:t>
            </w:r>
            <w:r w:rsidR="009016B4" w:rsidRPr="00485D42">
              <w:t>orker</w:t>
            </w:r>
            <w:r w:rsidR="009016B4">
              <w:t>s</w:t>
            </w:r>
            <w:r w:rsidR="009016B4" w:rsidRPr="00485D42">
              <w:t xml:space="preserve"> </w:t>
            </w:r>
            <w:r w:rsidR="00EB1403" w:rsidRPr="00485D42">
              <w:t>were</w:t>
            </w:r>
            <w:r w:rsidR="009016B4" w:rsidRPr="00485D42">
              <w:t xml:space="preserve"> absolutely useless (.) the whole time</w:t>
            </w:r>
            <w:r w:rsidR="009016B4">
              <w:t>, never did what they said they would</w:t>
            </w:r>
            <w:r>
              <w:t>.</w:t>
            </w:r>
          </w:p>
        </w:tc>
      </w:tr>
    </w:tbl>
    <w:p w14:paraId="1610869D" w14:textId="77777777" w:rsidR="009016B4" w:rsidRDefault="009016B4" w:rsidP="006E3485"/>
    <w:p w14:paraId="4F26AB2C" w14:textId="6CDEC866" w:rsidR="009016B4" w:rsidRDefault="009016B4" w:rsidP="008E4AF2">
      <w:r>
        <w:t xml:space="preserve">Factors of uncertainty, turnover and mistrust, were sometimes coupled with a perception that </w:t>
      </w:r>
      <w:r w:rsidR="000D38A5">
        <w:t>s</w:t>
      </w:r>
      <w:r>
        <w:t xml:space="preserve">ocial </w:t>
      </w:r>
      <w:r w:rsidR="000D38A5">
        <w:t>w</w:t>
      </w:r>
      <w:r>
        <w:t xml:space="preserve">orkers did not care about their situation or want to get to know them. </w:t>
      </w:r>
      <w:r w:rsidR="00184956">
        <w:t>Some y</w:t>
      </w:r>
      <w:r>
        <w:t xml:space="preserve">oung people consequently perceived </w:t>
      </w:r>
      <w:r w:rsidR="000D38A5">
        <w:t>s</w:t>
      </w:r>
      <w:r>
        <w:t xml:space="preserve">ocial </w:t>
      </w:r>
      <w:r w:rsidR="000D38A5">
        <w:t>w</w:t>
      </w:r>
      <w:r>
        <w:t>orkers as unable to empathise with their circumstances:</w:t>
      </w:r>
    </w:p>
    <w:p w14:paraId="1C136F84"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701F641" w14:textId="77777777" w:rsidTr="00ED3D34">
        <w:tc>
          <w:tcPr>
            <w:tcW w:w="1413" w:type="dxa"/>
          </w:tcPr>
          <w:p w14:paraId="7D83A214" w14:textId="77777777" w:rsidR="009016B4" w:rsidRDefault="009016B4">
            <w:r>
              <w:lastRenderedPageBreak/>
              <w:t>Jonathan:</w:t>
            </w:r>
          </w:p>
        </w:tc>
        <w:tc>
          <w:tcPr>
            <w:tcW w:w="6888" w:type="dxa"/>
          </w:tcPr>
          <w:p w14:paraId="3DEDCDEE" w14:textId="77777777" w:rsidR="009016B4" w:rsidRDefault="009016B4" w:rsidP="00F84237">
            <w:pPr>
              <w:pStyle w:val="tablecontent-singlespaced"/>
            </w:pPr>
            <w:r>
              <w:t>It’s like they don’t get what it’s like for us [children in care]. I wonder how they would cope with it all. Why don’t they care?</w:t>
            </w:r>
          </w:p>
        </w:tc>
      </w:tr>
    </w:tbl>
    <w:p w14:paraId="515110CD" w14:textId="77777777" w:rsidR="009016B4" w:rsidRDefault="009016B4" w:rsidP="008E4AF2"/>
    <w:p w14:paraId="6B55FB25" w14:textId="65F28061" w:rsidR="00B6349A" w:rsidRDefault="00B6349A">
      <w:r>
        <w:t xml:space="preserve">Mistrust in the system may also be the consequence of a high turnover in staff, highlighted by many of the young people in </w:t>
      </w:r>
      <w:r w:rsidR="003514F4">
        <w:t>my</w:t>
      </w:r>
      <w:r>
        <w:t xml:space="preserve"> study. </w:t>
      </w:r>
      <w:r w:rsidR="00AB487E">
        <w:t>As detailed in</w:t>
      </w:r>
      <w:r w:rsidRPr="00113DFB">
        <w:t xml:space="preserve"> </w:t>
      </w:r>
      <w:r w:rsidR="00113DFB" w:rsidRPr="00113DFB">
        <w:t>C</w:t>
      </w:r>
      <w:r w:rsidRPr="00113DFB">
        <w:t>hapter</w:t>
      </w:r>
      <w:r w:rsidR="00113DFB" w:rsidRPr="00113DFB">
        <w:t xml:space="preserve"> 3</w:t>
      </w:r>
      <w:r w:rsidRPr="00113DFB">
        <w:t>, the issue</w:t>
      </w:r>
      <w:r>
        <w:t xml:space="preserve"> of multiple social workers is common to contemporary practice and the impact on young people is well documented. Young people in </w:t>
      </w:r>
      <w:r w:rsidR="003514F4">
        <w:t>my</w:t>
      </w:r>
      <w:r>
        <w:t xml:space="preserve"> study appeared resigned to the frequency of changes in their worker and this acceptance of how things were for them appeared to accentuate their sense of isolation when making their decision</w:t>
      </w:r>
      <w:r w:rsidR="00AB487E">
        <w:t xml:space="preserve"> about </w:t>
      </w:r>
      <w:r w:rsidR="00AB487E" w:rsidRPr="00AB487E">
        <w:rPr>
          <w:i/>
          <w:iCs/>
        </w:rPr>
        <w:t>Staying Put</w:t>
      </w:r>
      <w:r>
        <w:t xml:space="preserve">. The </w:t>
      </w:r>
      <w:r w:rsidR="008707C6">
        <w:t>sense that</w:t>
      </w:r>
      <w:r>
        <w:t xml:space="preserve"> social workers seldom stuck around long enough to know them or care what happened to them was evident in a number of their responses</w:t>
      </w:r>
      <w:r w:rsidR="00AB487E">
        <w:t>, for example in Liam and Cally:</w:t>
      </w:r>
      <w:r>
        <w:t xml:space="preserve"> </w:t>
      </w:r>
    </w:p>
    <w:p w14:paraId="525F3531" w14:textId="77777777" w:rsidR="00AB487E" w:rsidRDefault="00AB487E"/>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AB487E" w14:paraId="07654EE4" w14:textId="77777777" w:rsidTr="00CC4A47">
        <w:tc>
          <w:tcPr>
            <w:tcW w:w="1413" w:type="dxa"/>
          </w:tcPr>
          <w:p w14:paraId="788676FF" w14:textId="134702EA" w:rsidR="00AB487E" w:rsidRDefault="00AB487E" w:rsidP="00CC4A47">
            <w:r>
              <w:t>Liam:</w:t>
            </w:r>
          </w:p>
        </w:tc>
        <w:tc>
          <w:tcPr>
            <w:tcW w:w="6888" w:type="dxa"/>
          </w:tcPr>
          <w:p w14:paraId="5990143D" w14:textId="7660F332" w:rsidR="00AB487E" w:rsidRDefault="00AB487E" w:rsidP="00CC4A47">
            <w:pPr>
              <w:pStyle w:val="tablecontent-singlespaced"/>
            </w:pPr>
            <w:r>
              <w:t>You just get used to it, it’s lucky that I know what I want and that my carers are so brilliant.</w:t>
            </w:r>
          </w:p>
        </w:tc>
      </w:tr>
    </w:tbl>
    <w:p w14:paraId="7A21A9C2" w14:textId="005ECAFD" w:rsidR="00AB487E" w:rsidRDefault="00AB487E"/>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AB487E" w14:paraId="33BBE2C4" w14:textId="77777777" w:rsidTr="00CC4A47">
        <w:tc>
          <w:tcPr>
            <w:tcW w:w="1413" w:type="dxa"/>
          </w:tcPr>
          <w:p w14:paraId="7DBCAF38" w14:textId="6CE5BED9" w:rsidR="00AB487E" w:rsidRDefault="00AB487E" w:rsidP="00CC4A47">
            <w:r>
              <w:t>Cally:</w:t>
            </w:r>
          </w:p>
        </w:tc>
        <w:tc>
          <w:tcPr>
            <w:tcW w:w="6888" w:type="dxa"/>
          </w:tcPr>
          <w:p w14:paraId="4A9AE7D0" w14:textId="29818C51" w:rsidR="00AB487E" w:rsidRDefault="00AB487E" w:rsidP="00CC4A47">
            <w:pPr>
              <w:pStyle w:val="tablecontent-singlespaced"/>
            </w:pPr>
            <w:r>
              <w:t>They [social workers] do their thing and I’m left doing mine (.) it’s always been that way (.) I doubt they even worry about it [referring to Carrie leaving care].</w:t>
            </w:r>
          </w:p>
        </w:tc>
      </w:tr>
    </w:tbl>
    <w:p w14:paraId="4F9E0F45" w14:textId="77777777" w:rsidR="00AB487E" w:rsidRDefault="00AB487E"/>
    <w:p w14:paraId="0B1AB94F" w14:textId="77777777" w:rsidR="00AB487E" w:rsidRDefault="00AB487E"/>
    <w:p w14:paraId="4C3C90B5" w14:textId="1BA2DA0B" w:rsidR="00864364" w:rsidRDefault="00864364">
      <w:r>
        <w:t xml:space="preserve">In all the accounts there appeared to be a reliance on the </w:t>
      </w:r>
      <w:r w:rsidR="00B6349A">
        <w:t>s</w:t>
      </w:r>
      <w:r>
        <w:t xml:space="preserve">ocial </w:t>
      </w:r>
      <w:r w:rsidR="00B6349A">
        <w:t>w</w:t>
      </w:r>
      <w:r>
        <w:t xml:space="preserve">orker to provide them with the building blocks for decisions about their transition from the foster care placement. However, the </w:t>
      </w:r>
      <w:r w:rsidR="004C1BAD">
        <w:t>s</w:t>
      </w:r>
      <w:r>
        <w:t xml:space="preserve">ocial </w:t>
      </w:r>
      <w:r w:rsidR="004C1BAD">
        <w:t>w</w:t>
      </w:r>
      <w:r>
        <w:t xml:space="preserve">orker did not seem to be able to fulfil this role, leaving young people with gaps in what they felt they needed. As discussed in </w:t>
      </w:r>
      <w:r w:rsidR="00113DFB" w:rsidRPr="002C5A99">
        <w:t>C</w:t>
      </w:r>
      <w:r w:rsidRPr="002C5A99">
        <w:t>hapter</w:t>
      </w:r>
      <w:r w:rsidR="00113DFB" w:rsidRPr="002C5A99">
        <w:t xml:space="preserve"> </w:t>
      </w:r>
      <w:r w:rsidR="008707C6" w:rsidRPr="002C5A99">
        <w:t>7</w:t>
      </w:r>
      <w:r w:rsidRPr="002C5A99">
        <w:t>,</w:t>
      </w:r>
      <w:r w:rsidRPr="00113DFB">
        <w:t xml:space="preserve"> young</w:t>
      </w:r>
      <w:r>
        <w:t xml:space="preserve"> people described how foster carers were sometimes able to compensate in the event that the </w:t>
      </w:r>
      <w:r w:rsidR="004C1BAD">
        <w:t>s</w:t>
      </w:r>
      <w:r>
        <w:t xml:space="preserve">ocial </w:t>
      </w:r>
      <w:r w:rsidR="004C1BAD">
        <w:t>w</w:t>
      </w:r>
      <w:r>
        <w:t>orker was unable to support them</w:t>
      </w:r>
      <w:r w:rsidR="00952A3B">
        <w:t>, f</w:t>
      </w:r>
      <w:r>
        <w:t xml:space="preserve">or </w:t>
      </w:r>
      <w:r w:rsidR="00D40124" w:rsidRPr="00D40124">
        <w:rPr>
          <w:color w:val="000000" w:themeColor="text1"/>
        </w:rPr>
        <w:t>example,</w:t>
      </w:r>
      <w:r w:rsidRPr="00D40124">
        <w:rPr>
          <w:color w:val="000000" w:themeColor="text1"/>
        </w:rPr>
        <w:t xml:space="preserve"> in </w:t>
      </w:r>
      <w:r w:rsidR="00D40124" w:rsidRPr="00D40124">
        <w:rPr>
          <w:color w:val="000000" w:themeColor="text1"/>
        </w:rPr>
        <w:t>day-to-day</w:t>
      </w:r>
      <w:r w:rsidRPr="00D40124">
        <w:rPr>
          <w:color w:val="000000" w:themeColor="text1"/>
        </w:rPr>
        <w:t xml:space="preserve"> </w:t>
      </w:r>
      <w:r w:rsidR="008707C6" w:rsidRPr="00D40124">
        <w:rPr>
          <w:color w:val="000000" w:themeColor="text1"/>
        </w:rPr>
        <w:t>decision-making</w:t>
      </w:r>
      <w:r>
        <w:t xml:space="preserve"> experiences. However unlike in other aspects of their care experience, foster carers did not seem to be able or willing to fulfil this role when deciding what to do next, leaving young people without the anchoring presence they wanted and needed. Young people did not suggest that their carers should be able to make up for the shortcomings of social workers in providing </w:t>
      </w:r>
      <w:r w:rsidR="00FF6B61">
        <w:t xml:space="preserve">them </w:t>
      </w:r>
      <w:r>
        <w:t xml:space="preserve">with the necessary information and support. Moreover, many of their comments suggested that foster carers shared their feelings of dissatisfaction in this respect. The fact that the </w:t>
      </w:r>
      <w:r>
        <w:lastRenderedPageBreak/>
        <w:t xml:space="preserve">young person and foster carer shared a common understanding of this issue further highlighted the </w:t>
      </w:r>
      <w:r w:rsidR="008707C6">
        <w:t>misalignment</w:t>
      </w:r>
      <w:r>
        <w:t xml:space="preserve"> in understanding between them and the </w:t>
      </w:r>
      <w:r w:rsidR="008D66CC">
        <w:t>s</w:t>
      </w:r>
      <w:r>
        <w:t xml:space="preserve">ocial </w:t>
      </w:r>
      <w:r w:rsidR="008D66CC">
        <w:t>w</w:t>
      </w:r>
      <w:r>
        <w:t>orker.</w:t>
      </w:r>
    </w:p>
    <w:p w14:paraId="1EEF00E1" w14:textId="37FC1C60" w:rsidR="009016B4" w:rsidRDefault="009016B4">
      <w:r>
        <w:t xml:space="preserve">Other participants suggested that a </w:t>
      </w:r>
      <w:r w:rsidR="00184956">
        <w:t>s</w:t>
      </w:r>
      <w:r>
        <w:t xml:space="preserve">ocial </w:t>
      </w:r>
      <w:r w:rsidR="00184956">
        <w:t>w</w:t>
      </w:r>
      <w:r>
        <w:t xml:space="preserve">orker’s range of responsibilities obstructed their ability to work effectively. Young people gave examples of meetings that felt </w:t>
      </w:r>
      <w:r w:rsidR="004E20A9">
        <w:t xml:space="preserve">like </w:t>
      </w:r>
      <w:r>
        <w:t xml:space="preserve">an imposition on the </w:t>
      </w:r>
      <w:r w:rsidR="004E20A9">
        <w:t>s</w:t>
      </w:r>
      <w:r>
        <w:t xml:space="preserve">ocial </w:t>
      </w:r>
      <w:r w:rsidR="004E20A9">
        <w:t>w</w:t>
      </w:r>
      <w:r>
        <w:t xml:space="preserve">orker’s time. Cally was understanding of their </w:t>
      </w:r>
      <w:r w:rsidR="004E20A9">
        <w:t>s</w:t>
      </w:r>
      <w:r>
        <w:t xml:space="preserve">ocial </w:t>
      </w:r>
      <w:r w:rsidR="004E20A9">
        <w:t>w</w:t>
      </w:r>
      <w:r>
        <w:t xml:space="preserve">orker’s situation, as their worker had shared feelings of being overworked and pressured to meet deadlines. Consequently, Cally found it difficult to raise issues with them. They concluded that the reason the </w:t>
      </w:r>
      <w:r w:rsidR="004E20A9">
        <w:t>s</w:t>
      </w:r>
      <w:r>
        <w:t xml:space="preserve">ocial </w:t>
      </w:r>
      <w:r w:rsidR="004E20A9">
        <w:t>w</w:t>
      </w:r>
      <w:r>
        <w:t>orker did</w:t>
      </w:r>
      <w:r w:rsidR="00112BD6">
        <w:t xml:space="preserve"> not</w:t>
      </w:r>
      <w:r>
        <w:t xml:space="preserve"> ask questions or spend time with them, was because any new problem contributed to the </w:t>
      </w:r>
      <w:r w:rsidR="004E20A9">
        <w:t>s</w:t>
      </w:r>
      <w:r>
        <w:t xml:space="preserve">ocial </w:t>
      </w:r>
      <w:r w:rsidR="004E20A9">
        <w:t>w</w:t>
      </w:r>
      <w:r>
        <w:t xml:space="preserve">orker’s workload: </w:t>
      </w:r>
    </w:p>
    <w:p w14:paraId="52017015"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23091B5" w14:textId="77777777" w:rsidTr="00ED3D34">
        <w:tc>
          <w:tcPr>
            <w:tcW w:w="1413" w:type="dxa"/>
          </w:tcPr>
          <w:p w14:paraId="1CEAFABC" w14:textId="77777777" w:rsidR="009016B4" w:rsidRDefault="009016B4" w:rsidP="008E4AF2">
            <w:r>
              <w:t>Cally:</w:t>
            </w:r>
          </w:p>
        </w:tc>
        <w:tc>
          <w:tcPr>
            <w:tcW w:w="6888" w:type="dxa"/>
          </w:tcPr>
          <w:p w14:paraId="7DA1B9C9" w14:textId="719253A0" w:rsidR="009016B4" w:rsidRDefault="003D58B2" w:rsidP="00F84237">
            <w:pPr>
              <w:pStyle w:val="tablecontent-singlespaced"/>
            </w:pPr>
            <w:r>
              <w:t xml:space="preserve">She [the social worker] </w:t>
            </w:r>
            <w:r w:rsidR="009016B4" w:rsidRPr="00165203">
              <w:t>never s</w:t>
            </w:r>
            <w:r w:rsidR="00540562">
              <w:t>eemed</w:t>
            </w:r>
            <w:r w:rsidR="009016B4" w:rsidRPr="00165203">
              <w:t xml:space="preserve"> to have time to stay erm she'd be like</w:t>
            </w:r>
            <w:r w:rsidR="009016B4">
              <w:t>,</w:t>
            </w:r>
            <w:r w:rsidR="009016B4" w:rsidRPr="00165203">
              <w:t xml:space="preserve"> this needs doin</w:t>
            </w:r>
            <w:r w:rsidR="00540562">
              <w:t>g</w:t>
            </w:r>
            <w:r w:rsidR="009016B4" w:rsidRPr="00165203">
              <w:t xml:space="preserve"> erm what you doing </w:t>
            </w:r>
            <w:r w:rsidR="009016B4">
              <w:t>a</w:t>
            </w:r>
            <w:r w:rsidR="009016B4" w:rsidRPr="00165203">
              <w:t>bo</w:t>
            </w:r>
            <w:r w:rsidR="009016B4">
              <w:t>u</w:t>
            </w:r>
            <w:r w:rsidR="009016B4" w:rsidRPr="00165203">
              <w:t>t this? tellin</w:t>
            </w:r>
            <w:r w:rsidR="00540562">
              <w:t>g</w:t>
            </w:r>
            <w:r w:rsidR="009016B4" w:rsidRPr="00165203">
              <w:t xml:space="preserve"> me she hasn't done her paperwork (.) tellin</w:t>
            </w:r>
            <w:r w:rsidR="00540562">
              <w:t>g</w:t>
            </w:r>
            <w:r w:rsidR="009016B4" w:rsidRPr="00165203">
              <w:t xml:space="preserve"> me she had too much to do ((pause)) I think if it </w:t>
            </w:r>
            <w:r>
              <w:t>h</w:t>
            </w:r>
            <w:r w:rsidR="009016B4" w:rsidRPr="00165203">
              <w:t>ad b</w:t>
            </w:r>
            <w:r>
              <w:t>ee</w:t>
            </w:r>
            <w:r w:rsidR="009016B4" w:rsidRPr="00165203">
              <w:t xml:space="preserve">n </w:t>
            </w:r>
            <w:r w:rsidR="00585300" w:rsidRPr="00165203">
              <w:t>different,</w:t>
            </w:r>
            <w:r w:rsidR="009016B4" w:rsidRPr="00165203">
              <w:t xml:space="preserve"> I might</w:t>
            </w:r>
            <w:r w:rsidR="008707C6">
              <w:t>’ve</w:t>
            </w:r>
            <w:r w:rsidR="009016B4" w:rsidRPr="00165203">
              <w:t xml:space="preserve"> like needed her more (laughs) erm can't complain though (.) before her I had loads of </w:t>
            </w:r>
            <w:r w:rsidR="004E20A9">
              <w:t>s</w:t>
            </w:r>
            <w:r w:rsidR="009016B4" w:rsidRPr="00165203">
              <w:t xml:space="preserve">ocial </w:t>
            </w:r>
            <w:r w:rsidR="004E20A9">
              <w:t>w</w:t>
            </w:r>
            <w:r w:rsidR="009016B4" w:rsidRPr="00165203">
              <w:t>orkers.</w:t>
            </w:r>
          </w:p>
          <w:p w14:paraId="40615CC4" w14:textId="77777777" w:rsidR="009016B4" w:rsidRPr="004D4368" w:rsidRDefault="009016B4"/>
        </w:tc>
      </w:tr>
      <w:tr w:rsidR="009016B4" w14:paraId="6D396C7A" w14:textId="77777777" w:rsidTr="00ED3D34">
        <w:tc>
          <w:tcPr>
            <w:tcW w:w="1413" w:type="dxa"/>
          </w:tcPr>
          <w:p w14:paraId="4C52CA09" w14:textId="77777777" w:rsidR="009016B4" w:rsidRDefault="009016B4" w:rsidP="008E4AF2">
            <w:r>
              <w:t>Sally:</w:t>
            </w:r>
          </w:p>
        </w:tc>
        <w:tc>
          <w:tcPr>
            <w:tcW w:w="6888" w:type="dxa"/>
          </w:tcPr>
          <w:p w14:paraId="1F1D89B9" w14:textId="6B8154AF" w:rsidR="009016B4" w:rsidRDefault="009016B4" w:rsidP="00F84237">
            <w:pPr>
              <w:pStyle w:val="tablecontent-singlespaced"/>
            </w:pPr>
            <w:r>
              <w:t>H</w:t>
            </w:r>
            <w:r w:rsidRPr="004D4368">
              <w:t>ow d</w:t>
            </w:r>
            <w:r w:rsidR="00540562">
              <w:t>’y</w:t>
            </w:r>
            <w:r w:rsidR="003D58B2">
              <w:t>ou</w:t>
            </w:r>
            <w:r w:rsidRPr="004D4368">
              <w:t xml:space="preserve"> feel when she says things to you about her work?</w:t>
            </w:r>
          </w:p>
          <w:p w14:paraId="4B393880" w14:textId="77777777" w:rsidR="009016B4" w:rsidRDefault="009016B4"/>
        </w:tc>
      </w:tr>
      <w:tr w:rsidR="009016B4" w14:paraId="5D8FD625" w14:textId="77777777" w:rsidTr="00ED3D34">
        <w:tc>
          <w:tcPr>
            <w:tcW w:w="1413" w:type="dxa"/>
          </w:tcPr>
          <w:p w14:paraId="4F036653" w14:textId="77777777" w:rsidR="009016B4" w:rsidRDefault="009016B4" w:rsidP="008E4AF2">
            <w:r>
              <w:t>Cally:</w:t>
            </w:r>
          </w:p>
        </w:tc>
        <w:tc>
          <w:tcPr>
            <w:tcW w:w="6888" w:type="dxa"/>
          </w:tcPr>
          <w:p w14:paraId="50796E78" w14:textId="11368EA6" w:rsidR="009016B4" w:rsidRPr="00B14429" w:rsidRDefault="009016B4" w:rsidP="00F84237">
            <w:pPr>
              <w:pStyle w:val="tablecontent-singlespaced"/>
            </w:pPr>
            <w:r w:rsidRPr="004D4368">
              <w:t>Well it's annoying as I wanted to ask her things (.) like you should (.) erm I think she di</w:t>
            </w:r>
            <w:r w:rsidR="00562B3B">
              <w:t>dn’</w:t>
            </w:r>
            <w:r w:rsidRPr="004D4368">
              <w:t>t ask me cause she di</w:t>
            </w:r>
            <w:r w:rsidR="00562B3B">
              <w:t>dn’</w:t>
            </w:r>
            <w:r w:rsidRPr="004D4368">
              <w:t xml:space="preserve">t have time (.) this happened once when she asked me about </w:t>
            </w:r>
            <w:r w:rsidR="00585300" w:rsidRPr="004D4368">
              <w:t>my</w:t>
            </w:r>
            <w:r w:rsidRPr="004D4368">
              <w:t xml:space="preserve"> dad (.) I cried a bit </w:t>
            </w:r>
            <w:r w:rsidR="003D58B2">
              <w:t>be</w:t>
            </w:r>
            <w:r w:rsidRPr="004D4368">
              <w:t xml:space="preserve">cause it's hard </w:t>
            </w:r>
            <w:r>
              <w:t>[</w:t>
            </w:r>
            <w:r w:rsidRPr="004D4368">
              <w:t>removed section</w:t>
            </w:r>
            <w:r>
              <w:t xml:space="preserve"> about the situation]</w:t>
            </w:r>
            <w:r w:rsidRPr="004D4368">
              <w:t xml:space="preserve"> you c</w:t>
            </w:r>
            <w:r w:rsidR="00761E95">
              <w:t>o</w:t>
            </w:r>
            <w:r w:rsidRPr="004D4368">
              <w:t>u</w:t>
            </w:r>
            <w:r w:rsidR="00761E95">
              <w:t>l</w:t>
            </w:r>
            <w:r w:rsidRPr="004D4368">
              <w:t>d tell she regretted it straight off (.) lookin</w:t>
            </w:r>
            <w:r w:rsidR="00540562">
              <w:t>g</w:t>
            </w:r>
            <w:r w:rsidRPr="004D4368">
              <w:t xml:space="preserve"> at </w:t>
            </w:r>
            <w:r w:rsidR="003D58B2">
              <w:t>h</w:t>
            </w:r>
            <w:r w:rsidRPr="004D4368">
              <w:t xml:space="preserve">er watch (.) trying to get me to change the subject (.) I don’t blame </w:t>
            </w:r>
            <w:r w:rsidR="003D58B2">
              <w:t>h</w:t>
            </w:r>
            <w:r w:rsidRPr="004D4368">
              <w:t>er erm its depressin</w:t>
            </w:r>
            <w:r w:rsidR="00540562">
              <w:t>g</w:t>
            </w:r>
            <w:r w:rsidRPr="004D4368">
              <w:t xml:space="preserve"> i</w:t>
            </w:r>
            <w:r w:rsidR="008707C6">
              <w:t>sn</w:t>
            </w:r>
            <w:r w:rsidR="00761E95">
              <w:t>’t it</w:t>
            </w:r>
            <w:r w:rsidRPr="004D4368">
              <w:t>?</w:t>
            </w:r>
          </w:p>
        </w:tc>
      </w:tr>
    </w:tbl>
    <w:p w14:paraId="01126065" w14:textId="77777777" w:rsidR="009016B4" w:rsidRDefault="009016B4" w:rsidP="008E4AF2"/>
    <w:p w14:paraId="3908B9C4" w14:textId="1EAEE3AA" w:rsidR="009016B4" w:rsidRDefault="00E17936">
      <w:r>
        <w:t>Similarly,</w:t>
      </w:r>
      <w:r w:rsidR="009016B4">
        <w:t xml:space="preserve"> Cain and Yannick were sympathetic towards their workers, as they had also been told about the </w:t>
      </w:r>
      <w:r w:rsidR="004C1BAD">
        <w:t>s</w:t>
      </w:r>
      <w:r w:rsidR="009016B4">
        <w:t xml:space="preserve">ocial </w:t>
      </w:r>
      <w:r w:rsidR="004C1BAD">
        <w:t>w</w:t>
      </w:r>
      <w:r w:rsidR="009016B4">
        <w:t>orker’s volume of work:</w:t>
      </w:r>
    </w:p>
    <w:p w14:paraId="1ECB5B17"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8398937" w14:textId="77777777" w:rsidTr="00ED3D34">
        <w:tc>
          <w:tcPr>
            <w:tcW w:w="1413" w:type="dxa"/>
          </w:tcPr>
          <w:p w14:paraId="0B223864" w14:textId="77777777" w:rsidR="009016B4" w:rsidRDefault="009016B4">
            <w:r>
              <w:t>Cain:</w:t>
            </w:r>
          </w:p>
        </w:tc>
        <w:tc>
          <w:tcPr>
            <w:tcW w:w="6888" w:type="dxa"/>
          </w:tcPr>
          <w:p w14:paraId="3AD9FFDD" w14:textId="587250E7" w:rsidR="009016B4" w:rsidRDefault="009016B4" w:rsidP="00F84237">
            <w:pPr>
              <w:pStyle w:val="tablecontent-singlespaced"/>
            </w:pPr>
            <w:r w:rsidRPr="00A22F8B">
              <w:t>I know they have a lot of paperwork so maybe they don’t have time to find out</w:t>
            </w:r>
            <w:r w:rsidR="003D58B2">
              <w:t xml:space="preserve"> [about what Cain though about leaving care].</w:t>
            </w:r>
          </w:p>
        </w:tc>
      </w:tr>
    </w:tbl>
    <w:p w14:paraId="3251EB35"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89CC2A3" w14:textId="77777777" w:rsidTr="00ED3D34">
        <w:tc>
          <w:tcPr>
            <w:tcW w:w="1413" w:type="dxa"/>
          </w:tcPr>
          <w:p w14:paraId="0BB91D22" w14:textId="77777777" w:rsidR="009016B4" w:rsidRDefault="009016B4" w:rsidP="008E4AF2">
            <w:r>
              <w:lastRenderedPageBreak/>
              <w:t>Yannick:</w:t>
            </w:r>
          </w:p>
        </w:tc>
        <w:tc>
          <w:tcPr>
            <w:tcW w:w="6888" w:type="dxa"/>
          </w:tcPr>
          <w:p w14:paraId="579F62C3" w14:textId="4424AAFA" w:rsidR="009016B4" w:rsidRDefault="003D58B2" w:rsidP="00F84237">
            <w:pPr>
              <w:pStyle w:val="tablecontent-singlespaced"/>
            </w:pPr>
            <w:r>
              <w:t>S</w:t>
            </w:r>
            <w:r w:rsidR="009016B4" w:rsidRPr="00A22F8B">
              <w:t>he just had loads of kids to visit and di</w:t>
            </w:r>
            <w:r w:rsidR="00540562">
              <w:t>d</w:t>
            </w:r>
            <w:r w:rsidR="009016B4" w:rsidRPr="00A22F8B">
              <w:t>n</w:t>
            </w:r>
            <w:r w:rsidR="00540562">
              <w:t>’</w:t>
            </w:r>
            <w:r w:rsidR="009016B4" w:rsidRPr="00A22F8B">
              <w:t>t really know much about foster</w:t>
            </w:r>
            <w:r w:rsidR="009016B4">
              <w:t xml:space="preserve"> [care]</w:t>
            </w:r>
            <w:r>
              <w:t>.</w:t>
            </w:r>
          </w:p>
        </w:tc>
      </w:tr>
    </w:tbl>
    <w:p w14:paraId="50E39AFD" w14:textId="77777777" w:rsidR="009016B4" w:rsidRDefault="009016B4" w:rsidP="008E4AF2"/>
    <w:p w14:paraId="79E65668" w14:textId="248F63E5" w:rsidR="009016B4" w:rsidRDefault="009016B4">
      <w:r>
        <w:t xml:space="preserve">Whilst all participants recognised the role of the </w:t>
      </w:r>
      <w:r w:rsidR="004E20A9">
        <w:t>s</w:t>
      </w:r>
      <w:r>
        <w:t xml:space="preserve">ocial </w:t>
      </w:r>
      <w:r w:rsidR="004E20A9">
        <w:t>w</w:t>
      </w:r>
      <w:r>
        <w:t xml:space="preserve">orker in supporting them, when asked about the key </w:t>
      </w:r>
      <w:r w:rsidR="00EB5C85">
        <w:t>sources of</w:t>
      </w:r>
      <w:r>
        <w:t xml:space="preserve"> advice and support, </w:t>
      </w:r>
      <w:r w:rsidR="00EB5C85">
        <w:t>relationships with s</w:t>
      </w:r>
      <w:r>
        <w:t xml:space="preserve">ocial </w:t>
      </w:r>
      <w:r w:rsidR="00EB5C85">
        <w:t>w</w:t>
      </w:r>
      <w:r>
        <w:t xml:space="preserve">orkers were sometimes seen as complicated to manage. </w:t>
      </w:r>
      <w:r w:rsidR="00EB5C85">
        <w:t>Consequently,</w:t>
      </w:r>
      <w:r>
        <w:t xml:space="preserve"> young people became mindful of the presentation of the worker when weighing up how to approach them. Some </w:t>
      </w:r>
      <w:r w:rsidR="00EB5C85">
        <w:t xml:space="preserve">participants </w:t>
      </w:r>
      <w:r w:rsidR="00EB5C85" w:rsidRPr="00655A9B">
        <w:t>felt</w:t>
      </w:r>
      <w:r w:rsidRPr="00655A9B">
        <w:t xml:space="preserve"> they had to navigate the relationship </w:t>
      </w:r>
      <w:r>
        <w:t xml:space="preserve">with the </w:t>
      </w:r>
      <w:r w:rsidR="00EB5C85">
        <w:t>s</w:t>
      </w:r>
      <w:r>
        <w:t xml:space="preserve">ocial </w:t>
      </w:r>
      <w:r w:rsidR="00EB5C85">
        <w:t>w</w:t>
      </w:r>
      <w:r>
        <w:t xml:space="preserve">orker in order to </w:t>
      </w:r>
      <w:r w:rsidRPr="00655A9B">
        <w:t>avoid conflict. Hannah described their experience of thinking about how to ask questions about their care</w:t>
      </w:r>
      <w:r>
        <w:t>:</w:t>
      </w:r>
    </w:p>
    <w:p w14:paraId="148DC9D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717309F" w14:textId="77777777" w:rsidTr="00ED3D34">
        <w:tc>
          <w:tcPr>
            <w:tcW w:w="1413" w:type="dxa"/>
          </w:tcPr>
          <w:p w14:paraId="1C93327F" w14:textId="77777777" w:rsidR="009016B4" w:rsidRDefault="009016B4">
            <w:r>
              <w:t>Hannah:</w:t>
            </w:r>
          </w:p>
        </w:tc>
        <w:tc>
          <w:tcPr>
            <w:tcW w:w="6888" w:type="dxa"/>
          </w:tcPr>
          <w:p w14:paraId="5604F426" w14:textId="4DC01FC5" w:rsidR="009016B4" w:rsidRDefault="009016B4" w:rsidP="00F84237">
            <w:pPr>
              <w:pStyle w:val="tablecontent-singlespaced"/>
            </w:pPr>
            <w:r>
              <w:t xml:space="preserve">It’s an odd relationship, </w:t>
            </w:r>
            <w:r w:rsidRPr="006275A8">
              <w:t>well like they know you and you can like build up to (.) knowing about them and what they might get funny about (.) you know like</w:t>
            </w:r>
            <w:r>
              <w:t>,</w:t>
            </w:r>
            <w:r w:rsidRPr="006275A8">
              <w:t xml:space="preserve"> there are certain things that they take kinda personally</w:t>
            </w:r>
            <w:r>
              <w:t>.</w:t>
            </w:r>
          </w:p>
        </w:tc>
      </w:tr>
    </w:tbl>
    <w:p w14:paraId="6FB0FCEE" w14:textId="77777777" w:rsidR="009016B4" w:rsidRDefault="009016B4" w:rsidP="008E4AF2"/>
    <w:p w14:paraId="12B9249D" w14:textId="3D639E02" w:rsidR="009016B4" w:rsidRDefault="009016B4">
      <w:r>
        <w:t xml:space="preserve">Eshal and Carrie also reflected on their </w:t>
      </w:r>
      <w:r w:rsidR="00EB5C85">
        <w:t>thoughts</w:t>
      </w:r>
      <w:r>
        <w:t xml:space="preserve"> about working with a </w:t>
      </w:r>
      <w:r w:rsidR="00EB5C85">
        <w:t>s</w:t>
      </w:r>
      <w:r>
        <w:t xml:space="preserve">ocial </w:t>
      </w:r>
      <w:r w:rsidR="00EB5C85">
        <w:t>w</w:t>
      </w:r>
      <w:r>
        <w:t>orker and suggested a frictional tone to their relationships</w:t>
      </w:r>
      <w:r w:rsidR="00EB5C85">
        <w:t>:</w:t>
      </w:r>
    </w:p>
    <w:p w14:paraId="63BE4704"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354FBBF" w14:textId="77777777" w:rsidTr="00ED3D34">
        <w:tc>
          <w:tcPr>
            <w:tcW w:w="1413" w:type="dxa"/>
          </w:tcPr>
          <w:p w14:paraId="35728BAA" w14:textId="77777777" w:rsidR="009016B4" w:rsidRDefault="009016B4">
            <w:r>
              <w:t>Eshal:</w:t>
            </w:r>
          </w:p>
        </w:tc>
        <w:tc>
          <w:tcPr>
            <w:tcW w:w="6888" w:type="dxa"/>
          </w:tcPr>
          <w:p w14:paraId="0664C7E3" w14:textId="185A99E2" w:rsidR="009016B4" w:rsidRDefault="00EB5C85" w:rsidP="00F84237">
            <w:pPr>
              <w:pStyle w:val="tablecontent-singlespaced"/>
            </w:pPr>
            <w:r>
              <w:t xml:space="preserve">I </w:t>
            </w:r>
            <w:r w:rsidR="009016B4" w:rsidRPr="006275A8">
              <w:t>just felt that it was not worth the hassle of getting them on side (.) they would do what they wanted anyway</w:t>
            </w:r>
            <w:r>
              <w:t>.</w:t>
            </w:r>
          </w:p>
        </w:tc>
      </w:tr>
    </w:tbl>
    <w:p w14:paraId="4E4AB5A3"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CF112F4" w14:textId="77777777" w:rsidTr="00ED3D34">
        <w:tc>
          <w:tcPr>
            <w:tcW w:w="1413" w:type="dxa"/>
          </w:tcPr>
          <w:p w14:paraId="5F39E907" w14:textId="77777777" w:rsidR="009016B4" w:rsidRDefault="009016B4" w:rsidP="008E4AF2">
            <w:r>
              <w:t>Carrie:</w:t>
            </w:r>
          </w:p>
        </w:tc>
        <w:tc>
          <w:tcPr>
            <w:tcW w:w="6888" w:type="dxa"/>
          </w:tcPr>
          <w:p w14:paraId="4BAD9319" w14:textId="4AA35B6E" w:rsidR="009016B4" w:rsidRDefault="003D58B2" w:rsidP="00F84237">
            <w:pPr>
              <w:pStyle w:val="tablecontent-singlespaced"/>
            </w:pPr>
            <w:r>
              <w:t>I</w:t>
            </w:r>
            <w:r w:rsidR="009016B4" w:rsidRPr="006275A8">
              <w:t>t was always a battle with he</w:t>
            </w:r>
            <w:r w:rsidR="009016B4">
              <w:t>r</w:t>
            </w:r>
            <w:r w:rsidR="00EB5C85">
              <w:t>.</w:t>
            </w:r>
          </w:p>
        </w:tc>
      </w:tr>
    </w:tbl>
    <w:p w14:paraId="2770F18F" w14:textId="77777777" w:rsidR="009016B4" w:rsidRDefault="009016B4" w:rsidP="006E3485"/>
    <w:p w14:paraId="1F22E219" w14:textId="6B38C33E" w:rsidR="009016B4" w:rsidRDefault="009016B4" w:rsidP="008E4AF2">
      <w:r>
        <w:t xml:space="preserve">Not all of the young people described difficulties in their relationships with </w:t>
      </w:r>
      <w:r w:rsidR="004C1BAD">
        <w:t>s</w:t>
      </w:r>
      <w:r>
        <w:t xml:space="preserve">ocial </w:t>
      </w:r>
      <w:r w:rsidR="004C1BAD">
        <w:t>w</w:t>
      </w:r>
      <w:r>
        <w:t>orkers. Cain, Eshal and Yannick had more positive views about some of their workers and</w:t>
      </w:r>
      <w:r w:rsidR="00330704">
        <w:t>,</w:t>
      </w:r>
      <w:r>
        <w:t xml:space="preserve"> in Cain’s situation</w:t>
      </w:r>
      <w:r w:rsidR="00330704">
        <w:t>,</w:t>
      </w:r>
      <w:r>
        <w:t xml:space="preserve"> felt that they</w:t>
      </w:r>
      <w:r w:rsidR="003D58B2">
        <w:t xml:space="preserve"> </w:t>
      </w:r>
      <w:r>
        <w:t>had built the foundations of a positive relationship:</w:t>
      </w:r>
    </w:p>
    <w:p w14:paraId="184894BA"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2C2D87E" w14:textId="77777777" w:rsidTr="00ED3D34">
        <w:tc>
          <w:tcPr>
            <w:tcW w:w="1413" w:type="dxa"/>
          </w:tcPr>
          <w:p w14:paraId="337E6D87" w14:textId="77777777" w:rsidR="009016B4" w:rsidRDefault="009016B4">
            <w:r>
              <w:t>Cain:</w:t>
            </w:r>
          </w:p>
        </w:tc>
        <w:tc>
          <w:tcPr>
            <w:tcW w:w="6888" w:type="dxa"/>
          </w:tcPr>
          <w:p w14:paraId="143C923D" w14:textId="7BA7143C" w:rsidR="009016B4" w:rsidRDefault="009016B4" w:rsidP="00F84237">
            <w:pPr>
              <w:pStyle w:val="tablecontent-singlespaced"/>
            </w:pPr>
            <w:r>
              <w:t xml:space="preserve">My </w:t>
            </w:r>
            <w:r w:rsidR="004C1BAD">
              <w:t>s</w:t>
            </w:r>
            <w:r>
              <w:t xml:space="preserve">ocial </w:t>
            </w:r>
            <w:r w:rsidR="004C1BAD">
              <w:t>w</w:t>
            </w:r>
            <w:r>
              <w:t>orkers were good at involving me with things, we get on alright</w:t>
            </w:r>
            <w:r w:rsidR="003D58B2">
              <w:t>.</w:t>
            </w:r>
          </w:p>
        </w:tc>
      </w:tr>
    </w:tbl>
    <w:p w14:paraId="37F84BAA"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888AA51" w14:textId="77777777" w:rsidTr="00ED3D34">
        <w:tc>
          <w:tcPr>
            <w:tcW w:w="1413" w:type="dxa"/>
          </w:tcPr>
          <w:p w14:paraId="4B7B9631" w14:textId="77777777" w:rsidR="009016B4" w:rsidRDefault="009016B4" w:rsidP="008E4AF2">
            <w:r>
              <w:lastRenderedPageBreak/>
              <w:t>Eshal:</w:t>
            </w:r>
          </w:p>
        </w:tc>
        <w:tc>
          <w:tcPr>
            <w:tcW w:w="6888" w:type="dxa"/>
          </w:tcPr>
          <w:p w14:paraId="5F7076C1" w14:textId="53C04598" w:rsidR="009016B4" w:rsidRDefault="009016B4" w:rsidP="00F84237">
            <w:pPr>
              <w:pStyle w:val="tablecontent-singlespaced"/>
            </w:pPr>
            <w:r>
              <w:t>We got on ok</w:t>
            </w:r>
            <w:r w:rsidR="003D58B2">
              <w:t>.</w:t>
            </w:r>
          </w:p>
        </w:tc>
      </w:tr>
    </w:tbl>
    <w:p w14:paraId="2DFAEE52"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C074127" w14:textId="77777777" w:rsidTr="00ED3D34">
        <w:tc>
          <w:tcPr>
            <w:tcW w:w="1413" w:type="dxa"/>
          </w:tcPr>
          <w:p w14:paraId="0E95943D" w14:textId="77777777" w:rsidR="009016B4" w:rsidRDefault="009016B4" w:rsidP="008E4AF2">
            <w:r>
              <w:t>Yannick:</w:t>
            </w:r>
          </w:p>
        </w:tc>
        <w:tc>
          <w:tcPr>
            <w:tcW w:w="6888" w:type="dxa"/>
          </w:tcPr>
          <w:p w14:paraId="1B649079" w14:textId="25C67437" w:rsidR="009016B4" w:rsidRDefault="003D58B2" w:rsidP="00F84237">
            <w:pPr>
              <w:pStyle w:val="tablecontent-singlespaced"/>
            </w:pPr>
            <w:r>
              <w:t>T</w:t>
            </w:r>
            <w:r w:rsidR="009016B4" w:rsidRPr="002B729D">
              <w:t xml:space="preserve">o be fair </w:t>
            </w:r>
            <w:r w:rsidR="00EB1403">
              <w:t>the last one</w:t>
            </w:r>
            <w:r w:rsidR="009016B4" w:rsidRPr="002B729D">
              <w:t xml:space="preserve"> was like alright</w:t>
            </w:r>
            <w:r w:rsidR="00EB5C85">
              <w:t>.</w:t>
            </w:r>
          </w:p>
        </w:tc>
      </w:tr>
    </w:tbl>
    <w:p w14:paraId="3D5B7525" w14:textId="77777777" w:rsidR="009016B4" w:rsidRDefault="009016B4" w:rsidP="008E4AF2"/>
    <w:p w14:paraId="0041FEBB" w14:textId="1CB16F09" w:rsidR="009016B4" w:rsidRDefault="009016B4">
      <w:r>
        <w:t xml:space="preserve">There may be a number of reasons why a </w:t>
      </w:r>
      <w:r w:rsidR="004C1BAD">
        <w:t>s</w:t>
      </w:r>
      <w:r>
        <w:t xml:space="preserve">ocial </w:t>
      </w:r>
      <w:r w:rsidR="004C1BAD">
        <w:t>w</w:t>
      </w:r>
      <w:r>
        <w:t xml:space="preserve">orker is not able to meet the expectations of young people making a decision about their future. </w:t>
      </w:r>
      <w:r w:rsidR="00864364">
        <w:t>Participants</w:t>
      </w:r>
      <w:r>
        <w:t xml:space="preserve"> speculated about why they felt their relationship with their worker was an issue</w:t>
      </w:r>
      <w:r w:rsidR="001C011E">
        <w:t>,</w:t>
      </w:r>
      <w:r>
        <w:t xml:space="preserve"> at this point in their care pathway. The identified barriers to their relationships were varied with some being personal to the young person and other explanations common to all young people in </w:t>
      </w:r>
      <w:r w:rsidR="003514F4">
        <w:t>my</w:t>
      </w:r>
      <w:r>
        <w:t xml:space="preserve"> study. Ideas ranged from lack of care to the number of </w:t>
      </w:r>
      <w:r w:rsidR="00D40124">
        <w:t>s</w:t>
      </w:r>
      <w:r>
        <w:t xml:space="preserve">ocial </w:t>
      </w:r>
      <w:r w:rsidR="00D40124">
        <w:t>w</w:t>
      </w:r>
      <w:r>
        <w:t xml:space="preserve">orkers in their lives. Where young people </w:t>
      </w:r>
      <w:r w:rsidR="00864364">
        <w:t>realised the extent of the social worker’s workload</w:t>
      </w:r>
      <w:r>
        <w:t xml:space="preserve">, their empathy for the worker’s plight, may well have deterred them from asking questions or placing further demands on their time. By establishing a picture of excessive work or exposing signs of preoccupation, </w:t>
      </w:r>
      <w:r w:rsidR="004C1BAD">
        <w:t>s</w:t>
      </w:r>
      <w:r>
        <w:t xml:space="preserve">ocial </w:t>
      </w:r>
      <w:r w:rsidR="004C1BAD">
        <w:t>w</w:t>
      </w:r>
      <w:r>
        <w:t>orkers may imply that they are unavailable</w:t>
      </w:r>
      <w:r w:rsidR="0016564E">
        <w:t>,</w:t>
      </w:r>
      <w:r>
        <w:t xml:space="preserve"> putting off a young person when they may already feel daunted by their situation. </w:t>
      </w:r>
    </w:p>
    <w:p w14:paraId="2453D26B" w14:textId="3EE7F354" w:rsidR="009016B4" w:rsidRDefault="009016B4">
      <w:r>
        <w:t xml:space="preserve">As noted previously in this chapter, young people were often told that their worker would need to consult their manager for the answer to questions they posed. Whilst young people accepted that this was reasonable in some situations, they seemed to question the frequency of this response especially as they noted that the worker would often fail to come back with an answer. Consistently deferring decisions to managers or other colleagues seemed to leave young people with questions about their </w:t>
      </w:r>
      <w:r w:rsidR="00A97AA4">
        <w:t>s</w:t>
      </w:r>
      <w:r>
        <w:t xml:space="preserve">ocial </w:t>
      </w:r>
      <w:r w:rsidR="00A97AA4">
        <w:t>w</w:t>
      </w:r>
      <w:r>
        <w:t xml:space="preserve">orker’s ability to do their job. The perception that they had no knowledge and needed to seek help further seemed to convey that their worker was incapable or unable to help them make their decisions. As well as impacting on the relationship itself due to a lack </w:t>
      </w:r>
      <w:r w:rsidR="00D40124">
        <w:t>of confidence</w:t>
      </w:r>
      <w:r>
        <w:t xml:space="preserve"> felt by young people, the presentation of the </w:t>
      </w:r>
      <w:r w:rsidR="00D40124">
        <w:t>s</w:t>
      </w:r>
      <w:r>
        <w:t xml:space="preserve">ocial </w:t>
      </w:r>
      <w:r w:rsidR="00D40124">
        <w:t>w</w:t>
      </w:r>
      <w:r>
        <w:t>orker may perpetuate an overall doubt in the profession.</w:t>
      </w:r>
    </w:p>
    <w:p w14:paraId="072B7612" w14:textId="3B403C93" w:rsidR="003904D6" w:rsidRDefault="003904D6" w:rsidP="003904D6">
      <w:pPr>
        <w:pStyle w:val="Heading2"/>
      </w:pPr>
      <w:bookmarkStart w:id="72" w:name="_Toc101108513"/>
      <w:r>
        <w:t>‘M</w:t>
      </w:r>
      <w:r w:rsidRPr="00C77DE4">
        <w:t>aking decisions with my eyes shut and my hand over my mouth</w:t>
      </w:r>
      <w:r>
        <w:t>’</w:t>
      </w:r>
      <w:bookmarkEnd w:id="72"/>
    </w:p>
    <w:p w14:paraId="31FA1BAB" w14:textId="77777777" w:rsidR="009016B4" w:rsidRDefault="009016B4">
      <w:r>
        <w:t xml:space="preserve">In discussions about </w:t>
      </w:r>
      <w:r w:rsidRPr="00B6349A">
        <w:rPr>
          <w:i/>
          <w:iCs/>
        </w:rPr>
        <w:t>Staying Put</w:t>
      </w:r>
      <w:r>
        <w:t xml:space="preserve"> and their lives beyond their 18</w:t>
      </w:r>
      <w:r w:rsidRPr="00324858">
        <w:rPr>
          <w:vertAlign w:val="superscript"/>
        </w:rPr>
        <w:t>th</w:t>
      </w:r>
      <w:r>
        <w:t xml:space="preserve"> birthday, young people talked about the information they received about this period in their lives. The next section highlights their understanding of what was on offer to them at this time, beginning with </w:t>
      </w:r>
      <w:r w:rsidRPr="00B6349A">
        <w:rPr>
          <w:i/>
          <w:iCs/>
        </w:rPr>
        <w:t>Staying Put</w:t>
      </w:r>
      <w:r>
        <w:t xml:space="preserve"> then moving onto the other possibilities for their next steps. </w:t>
      </w:r>
    </w:p>
    <w:p w14:paraId="58072AB2" w14:textId="35E106CF" w:rsidR="009016B4" w:rsidRDefault="003D58B2">
      <w:r>
        <w:lastRenderedPageBreak/>
        <w:t>S</w:t>
      </w:r>
      <w:r w:rsidR="009016B4" w:rsidRPr="00113DFB">
        <w:t>ome</w:t>
      </w:r>
      <w:r w:rsidR="009016B4">
        <w:t xml:space="preserve"> young people associated the </w:t>
      </w:r>
      <w:r w:rsidR="009016B4" w:rsidRPr="00B6349A">
        <w:rPr>
          <w:i/>
          <w:iCs/>
        </w:rPr>
        <w:t>Staying Put</w:t>
      </w:r>
      <w:r w:rsidR="009016B4">
        <w:t xml:space="preserve"> scheme with paperwork they had been given, rather than an understanding of what it entailed. Broader discussion about </w:t>
      </w:r>
      <w:r w:rsidR="009016B4" w:rsidRPr="00B6349A">
        <w:rPr>
          <w:i/>
          <w:iCs/>
        </w:rPr>
        <w:t>Staying Put</w:t>
      </w:r>
      <w:r w:rsidR="009016B4">
        <w:t xml:space="preserve"> varied across the participants, with some young people unaware of the option to remain with their carers. Carrie was one of the young people who found out about </w:t>
      </w:r>
      <w:r w:rsidR="009016B4" w:rsidRPr="00B6349A">
        <w:rPr>
          <w:i/>
          <w:iCs/>
        </w:rPr>
        <w:t>Staying Put</w:t>
      </w:r>
      <w:r w:rsidR="009016B4">
        <w:t xml:space="preserve"> through their participation in this research:</w:t>
      </w:r>
    </w:p>
    <w:p w14:paraId="14CF0181"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1E8556F" w14:textId="77777777" w:rsidTr="00ED3D34">
        <w:tc>
          <w:tcPr>
            <w:tcW w:w="1413" w:type="dxa"/>
          </w:tcPr>
          <w:p w14:paraId="2DDFAB7B" w14:textId="77777777" w:rsidR="009016B4" w:rsidRDefault="009016B4">
            <w:r>
              <w:t>Carrie:</w:t>
            </w:r>
          </w:p>
        </w:tc>
        <w:tc>
          <w:tcPr>
            <w:tcW w:w="6888" w:type="dxa"/>
          </w:tcPr>
          <w:p w14:paraId="78C2529D" w14:textId="53215ED8" w:rsidR="009016B4" w:rsidRDefault="009016B4" w:rsidP="00F84237">
            <w:pPr>
              <w:pStyle w:val="tablecontent-singlespaced"/>
            </w:pPr>
            <w:r w:rsidRPr="006934B0">
              <w:t xml:space="preserve">I hadn't heard of </w:t>
            </w:r>
            <w:r w:rsidRPr="00B6349A">
              <w:rPr>
                <w:i/>
                <w:iCs/>
              </w:rPr>
              <w:t>Staying Put</w:t>
            </w:r>
            <w:r w:rsidRPr="006934B0">
              <w:t xml:space="preserve"> until you told me about it</w:t>
            </w:r>
            <w:r w:rsidR="00B6349A">
              <w:t>.</w:t>
            </w:r>
          </w:p>
        </w:tc>
      </w:tr>
    </w:tbl>
    <w:p w14:paraId="1F207891" w14:textId="77777777" w:rsidR="000C16BA" w:rsidRDefault="000C16BA"/>
    <w:p w14:paraId="5E8D709B" w14:textId="3BBE0D92" w:rsidR="009016B4" w:rsidRDefault="009016B4">
      <w:r>
        <w:t xml:space="preserve">Other young people were aware of </w:t>
      </w:r>
      <w:r w:rsidRPr="00B6349A">
        <w:rPr>
          <w:i/>
          <w:iCs/>
        </w:rPr>
        <w:t>Staying Put</w:t>
      </w:r>
      <w:r>
        <w:t>, but unclear about the parameters of the arrangement and their involvement in it:</w:t>
      </w:r>
    </w:p>
    <w:p w14:paraId="051B6B0A"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248EAF6E" w14:textId="77777777" w:rsidTr="00ED3D34">
        <w:tc>
          <w:tcPr>
            <w:tcW w:w="1413" w:type="dxa"/>
          </w:tcPr>
          <w:p w14:paraId="7325D2D5" w14:textId="77777777" w:rsidR="009016B4" w:rsidRDefault="009016B4">
            <w:r>
              <w:t>Liam:</w:t>
            </w:r>
          </w:p>
        </w:tc>
        <w:tc>
          <w:tcPr>
            <w:tcW w:w="6888" w:type="dxa"/>
          </w:tcPr>
          <w:p w14:paraId="0D161E22" w14:textId="42406281" w:rsidR="009016B4" w:rsidRDefault="009016B4" w:rsidP="00F84237">
            <w:pPr>
              <w:pStyle w:val="tablecontent-singlespaced"/>
            </w:pPr>
            <w:r w:rsidRPr="00CE5A4E">
              <w:t xml:space="preserve">I think I am in the </w:t>
            </w:r>
            <w:r w:rsidRPr="00B6349A">
              <w:rPr>
                <w:i/>
                <w:iCs/>
              </w:rPr>
              <w:t>Staying Put</w:t>
            </w:r>
            <w:r w:rsidRPr="00CE5A4E">
              <w:t xml:space="preserve"> scheme</w:t>
            </w:r>
            <w:r>
              <w:t>,</w:t>
            </w:r>
            <w:r w:rsidRPr="00CE5A4E">
              <w:t xml:space="preserve"> I'm not sure</w:t>
            </w:r>
            <w:r w:rsidR="00B6349A">
              <w:t>.</w:t>
            </w:r>
          </w:p>
        </w:tc>
      </w:tr>
    </w:tbl>
    <w:p w14:paraId="2259D670" w14:textId="77777777" w:rsidR="000C16BA" w:rsidRDefault="000C16BA"/>
    <w:p w14:paraId="255DE944" w14:textId="6B844F11" w:rsidR="009016B4" w:rsidRDefault="009016B4">
      <w:r>
        <w:t>In the time leading up to their 18</w:t>
      </w:r>
      <w:r w:rsidRPr="00FC138C">
        <w:rPr>
          <w:vertAlign w:val="superscript"/>
        </w:rPr>
        <w:t>th</w:t>
      </w:r>
      <w:r>
        <w:t xml:space="preserve"> birthdays, </w:t>
      </w:r>
      <w:r w:rsidR="00B6349A">
        <w:t>s</w:t>
      </w:r>
      <w:r>
        <w:t xml:space="preserve">ocial </w:t>
      </w:r>
      <w:r w:rsidR="00B6349A">
        <w:t>w</w:t>
      </w:r>
      <w:r>
        <w:t xml:space="preserve">orkers and foster carers introduced and explained </w:t>
      </w:r>
      <w:r w:rsidRPr="00B6349A">
        <w:rPr>
          <w:i/>
          <w:iCs/>
        </w:rPr>
        <w:t>Staying Put</w:t>
      </w:r>
      <w:r w:rsidR="003D58B2">
        <w:rPr>
          <w:i/>
          <w:iCs/>
        </w:rPr>
        <w:t xml:space="preserve"> </w:t>
      </w:r>
      <w:r w:rsidR="003D58B2" w:rsidRPr="003D58B2">
        <w:t>to varying degrees</w:t>
      </w:r>
      <w:r>
        <w:t>. Some young people seemed aware of what it entailed and how it related to their day</w:t>
      </w:r>
      <w:r w:rsidR="00597FC1">
        <w:t>-</w:t>
      </w:r>
      <w:r>
        <w:t>to</w:t>
      </w:r>
      <w:r w:rsidR="00597FC1">
        <w:t>-</w:t>
      </w:r>
      <w:r>
        <w:t xml:space="preserve">day lives. In Cain’s situation the foster carer’s </w:t>
      </w:r>
      <w:r w:rsidR="00B6349A">
        <w:t>s</w:t>
      </w:r>
      <w:r>
        <w:t xml:space="preserve">ocial </w:t>
      </w:r>
      <w:r w:rsidR="00B6349A">
        <w:t>w</w:t>
      </w:r>
      <w:r>
        <w:t>orker took a lead role:</w:t>
      </w:r>
    </w:p>
    <w:p w14:paraId="4DDA2AD9"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D0379FA" w14:textId="77777777" w:rsidTr="00ED3D34">
        <w:tc>
          <w:tcPr>
            <w:tcW w:w="1413" w:type="dxa"/>
          </w:tcPr>
          <w:p w14:paraId="1ECAA102" w14:textId="77777777" w:rsidR="009016B4" w:rsidRDefault="009016B4">
            <w:r>
              <w:t>Sally:</w:t>
            </w:r>
          </w:p>
        </w:tc>
        <w:tc>
          <w:tcPr>
            <w:tcW w:w="6888" w:type="dxa"/>
          </w:tcPr>
          <w:p w14:paraId="5E8F9241" w14:textId="546D15CA" w:rsidR="009016B4" w:rsidRDefault="003D58B2" w:rsidP="00F84237">
            <w:pPr>
              <w:pStyle w:val="tablecontent-singlespaced"/>
            </w:pPr>
            <w:r>
              <w:t>H</w:t>
            </w:r>
            <w:r w:rsidR="009016B4">
              <w:t xml:space="preserve">ad you heard the term </w:t>
            </w:r>
            <w:r w:rsidR="009016B4" w:rsidRPr="00B6349A">
              <w:rPr>
                <w:i/>
                <w:iCs/>
              </w:rPr>
              <w:t>Staying Put</w:t>
            </w:r>
            <w:r w:rsidR="009016B4">
              <w:t>?</w:t>
            </w:r>
          </w:p>
          <w:p w14:paraId="44EAC139" w14:textId="77777777" w:rsidR="009016B4" w:rsidRDefault="009016B4"/>
        </w:tc>
      </w:tr>
      <w:tr w:rsidR="009016B4" w14:paraId="0DBF5EBB" w14:textId="77777777" w:rsidTr="00ED3D34">
        <w:tc>
          <w:tcPr>
            <w:tcW w:w="1413" w:type="dxa"/>
          </w:tcPr>
          <w:p w14:paraId="096B5699" w14:textId="77777777" w:rsidR="009016B4" w:rsidRDefault="009016B4" w:rsidP="008E4AF2">
            <w:r>
              <w:t>Cain:</w:t>
            </w:r>
          </w:p>
        </w:tc>
        <w:tc>
          <w:tcPr>
            <w:tcW w:w="6888" w:type="dxa"/>
          </w:tcPr>
          <w:p w14:paraId="75E5D8E9" w14:textId="400F94F3" w:rsidR="009016B4" w:rsidRDefault="00585300" w:rsidP="00F84237">
            <w:pPr>
              <w:pStyle w:val="tablecontent-singlespaced"/>
            </w:pPr>
            <w:r>
              <w:t>Y</w:t>
            </w:r>
            <w:r w:rsidRPr="005D6EF8">
              <w:t>eah,</w:t>
            </w:r>
            <w:r w:rsidR="009016B4" w:rsidRPr="005D6EF8">
              <w:t xml:space="preserve"> my carer's social worker talked to me about it (.) and we went through the paperwork</w:t>
            </w:r>
            <w:r w:rsidR="009016B4">
              <w:t xml:space="preserve"> and all that</w:t>
            </w:r>
            <w:r w:rsidR="003D58B2">
              <w:t>.</w:t>
            </w:r>
          </w:p>
        </w:tc>
      </w:tr>
    </w:tbl>
    <w:p w14:paraId="01A1D79F" w14:textId="77777777" w:rsidR="009016B4" w:rsidRDefault="009016B4" w:rsidP="008E4AF2">
      <w:r>
        <w:t xml:space="preserve"> </w:t>
      </w:r>
    </w:p>
    <w:p w14:paraId="0F9976B1" w14:textId="45AAA16C" w:rsidR="009016B4" w:rsidRDefault="009016B4">
      <w:r w:rsidRPr="00EE6C26">
        <w:t xml:space="preserve">Cain’s foster carers </w:t>
      </w:r>
      <w:r w:rsidR="008431BA" w:rsidRPr="00EE6C26">
        <w:t xml:space="preserve">suggested that they would talk </w:t>
      </w:r>
      <w:r w:rsidRPr="00EE6C26">
        <w:t xml:space="preserve">about </w:t>
      </w:r>
      <w:r w:rsidR="008431BA" w:rsidRPr="00EE6C26">
        <w:rPr>
          <w:i/>
          <w:iCs/>
        </w:rPr>
        <w:t>Staying Put</w:t>
      </w:r>
      <w:r w:rsidRPr="00EE6C26">
        <w:t xml:space="preserve"> with their </w:t>
      </w:r>
      <w:r w:rsidR="00EE6C26" w:rsidRPr="00EE6C26">
        <w:t xml:space="preserve">own </w:t>
      </w:r>
      <w:r w:rsidR="00B6349A" w:rsidRPr="00EE6C26">
        <w:t>s</w:t>
      </w:r>
      <w:r w:rsidRPr="00EE6C26">
        <w:t xml:space="preserve">ocial </w:t>
      </w:r>
      <w:r w:rsidR="00EE6C26">
        <w:t xml:space="preserve">worker </w:t>
      </w:r>
      <w:r w:rsidRPr="00EE6C26">
        <w:t xml:space="preserve">because </w:t>
      </w:r>
      <w:r w:rsidR="00EE6C26" w:rsidRPr="00EE6C26">
        <w:t xml:space="preserve">they were not confident </w:t>
      </w:r>
      <w:r w:rsidR="00EE6C26">
        <w:t xml:space="preserve">that </w:t>
      </w:r>
      <w:r w:rsidR="00EE6C26" w:rsidRPr="00EE6C26">
        <w:t xml:space="preserve">Cain’s </w:t>
      </w:r>
      <w:r w:rsidR="00B6349A" w:rsidRPr="00EE6C26">
        <w:t>s</w:t>
      </w:r>
      <w:r w:rsidRPr="00EE6C26">
        <w:t xml:space="preserve">ocial </w:t>
      </w:r>
      <w:r w:rsidR="00B6349A" w:rsidRPr="00EE6C26">
        <w:t>w</w:t>
      </w:r>
      <w:r w:rsidRPr="00EE6C26">
        <w:t>orker underst</w:t>
      </w:r>
      <w:r w:rsidR="00EE6C26">
        <w:t>ood what needed to happen</w:t>
      </w:r>
      <w:r w:rsidRPr="00EE6C26">
        <w:t>:</w:t>
      </w:r>
    </w:p>
    <w:p w14:paraId="3DFF76DD"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5D6EF8" w14:paraId="4B3A7F2C" w14:textId="77777777" w:rsidTr="00ED3D34">
        <w:tc>
          <w:tcPr>
            <w:tcW w:w="1413" w:type="dxa"/>
          </w:tcPr>
          <w:p w14:paraId="41310037" w14:textId="77777777" w:rsidR="009016B4" w:rsidRDefault="009016B4">
            <w:r>
              <w:lastRenderedPageBreak/>
              <w:t>Sally:</w:t>
            </w:r>
          </w:p>
        </w:tc>
        <w:tc>
          <w:tcPr>
            <w:tcW w:w="6888" w:type="dxa"/>
          </w:tcPr>
          <w:p w14:paraId="0FE20876" w14:textId="0F894784" w:rsidR="009016B4" w:rsidRDefault="009016B4" w:rsidP="00F84237">
            <w:pPr>
              <w:pStyle w:val="tablecontent-singlespaced"/>
            </w:pPr>
            <w:r>
              <w:t xml:space="preserve">What about your </w:t>
            </w:r>
            <w:r w:rsidR="00B6349A">
              <w:t>s</w:t>
            </w:r>
            <w:r>
              <w:t xml:space="preserve">ocial </w:t>
            </w:r>
            <w:r w:rsidR="00B6349A">
              <w:t>w</w:t>
            </w:r>
            <w:r>
              <w:t>orker?</w:t>
            </w:r>
          </w:p>
          <w:p w14:paraId="6D6B5F78" w14:textId="77777777" w:rsidR="009016B4" w:rsidRPr="005D6EF8" w:rsidRDefault="009016B4"/>
        </w:tc>
      </w:tr>
      <w:tr w:rsidR="009016B4" w14:paraId="2402A69A" w14:textId="77777777" w:rsidTr="00ED3D34">
        <w:tc>
          <w:tcPr>
            <w:tcW w:w="1413" w:type="dxa"/>
          </w:tcPr>
          <w:p w14:paraId="1E2D8923" w14:textId="77777777" w:rsidR="009016B4" w:rsidRDefault="009016B4" w:rsidP="008E4AF2">
            <w:r>
              <w:t>Cain:</w:t>
            </w:r>
          </w:p>
        </w:tc>
        <w:tc>
          <w:tcPr>
            <w:tcW w:w="6888" w:type="dxa"/>
          </w:tcPr>
          <w:p w14:paraId="53F2C880" w14:textId="5C122D84" w:rsidR="009016B4" w:rsidRDefault="003D58B2" w:rsidP="00F84237">
            <w:pPr>
              <w:pStyle w:val="tablecontent-singlespaced"/>
            </w:pPr>
            <w:r>
              <w:t>M</w:t>
            </w:r>
            <w:r w:rsidR="009016B4" w:rsidRPr="005D6EF8">
              <w:t xml:space="preserve">y </w:t>
            </w:r>
            <w:r w:rsidR="00B6349A">
              <w:t>s</w:t>
            </w:r>
            <w:r w:rsidR="009016B4" w:rsidRPr="005D6EF8">
              <w:t xml:space="preserve">ocial </w:t>
            </w:r>
            <w:r w:rsidR="00B6349A">
              <w:t>w</w:t>
            </w:r>
            <w:r w:rsidR="009016B4" w:rsidRPr="005D6EF8">
              <w:t xml:space="preserve">orker didn’t know about </w:t>
            </w:r>
            <w:r w:rsidR="009016B4" w:rsidRPr="00B6349A">
              <w:rPr>
                <w:i/>
                <w:iCs/>
              </w:rPr>
              <w:t>Staying Put</w:t>
            </w:r>
            <w:r>
              <w:rPr>
                <w:i/>
                <w:iCs/>
              </w:rPr>
              <w:t>.</w:t>
            </w:r>
            <w:r w:rsidR="009016B4" w:rsidRPr="005D6EF8">
              <w:t xml:space="preserve"> </w:t>
            </w:r>
          </w:p>
        </w:tc>
      </w:tr>
    </w:tbl>
    <w:p w14:paraId="14BE1C18" w14:textId="77777777" w:rsidR="009016B4" w:rsidRDefault="009016B4" w:rsidP="008E4AF2"/>
    <w:p w14:paraId="1C2BE8C2" w14:textId="0C7FD2D5" w:rsidR="009016B4" w:rsidRDefault="009016B4">
      <w:r>
        <w:t xml:space="preserve">Other young people felt that their </w:t>
      </w:r>
      <w:r w:rsidR="00B6349A">
        <w:t>s</w:t>
      </w:r>
      <w:r>
        <w:t xml:space="preserve">ocial </w:t>
      </w:r>
      <w:r w:rsidR="00B6349A">
        <w:t>w</w:t>
      </w:r>
      <w:r>
        <w:t xml:space="preserve">orker did know about </w:t>
      </w:r>
      <w:r w:rsidRPr="00B6349A">
        <w:rPr>
          <w:i/>
          <w:iCs/>
        </w:rPr>
        <w:t>Staying Put</w:t>
      </w:r>
      <w:r>
        <w:t>, however found the information they provided incoherent which left them with questions about what it meant for them. Tyler and Beth’s account are examples of this unclear position:</w:t>
      </w:r>
    </w:p>
    <w:p w14:paraId="1EC7E0FD"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9E989AE" w14:textId="77777777" w:rsidTr="00ED3D34">
        <w:tc>
          <w:tcPr>
            <w:tcW w:w="1413" w:type="dxa"/>
          </w:tcPr>
          <w:p w14:paraId="5097616C" w14:textId="77777777" w:rsidR="009016B4" w:rsidRDefault="009016B4">
            <w:r>
              <w:t>Tyler:</w:t>
            </w:r>
          </w:p>
        </w:tc>
        <w:tc>
          <w:tcPr>
            <w:tcW w:w="6888" w:type="dxa"/>
          </w:tcPr>
          <w:p w14:paraId="5A81415A" w14:textId="48387270" w:rsidR="009016B4" w:rsidRDefault="009016B4" w:rsidP="00F84237">
            <w:pPr>
              <w:pStyle w:val="tablecontent-singlespaced"/>
            </w:pPr>
            <w:r w:rsidRPr="00CC202C">
              <w:t xml:space="preserve">I just think </w:t>
            </w:r>
            <w:r>
              <w:t xml:space="preserve">it </w:t>
            </w:r>
            <w:r w:rsidRPr="00CC202C">
              <w:t>seemed a bit random</w:t>
            </w:r>
            <w:r>
              <w:t>,</w:t>
            </w:r>
            <w:r w:rsidRPr="00CC202C">
              <w:t xml:space="preserve"> like food</w:t>
            </w:r>
            <w:r w:rsidR="005B0516">
              <w:t>,</w:t>
            </w:r>
            <w:r w:rsidRPr="00CC202C">
              <w:t xml:space="preserve"> without food and then it was like oh if you earn a certain </w:t>
            </w:r>
            <w:r w:rsidR="0088021B" w:rsidRPr="00CC202C">
              <w:t>amount,</w:t>
            </w:r>
            <w:r w:rsidRPr="00CC202C">
              <w:t xml:space="preserve"> they can take more money th</w:t>
            </w:r>
            <w:r w:rsidR="005B0516">
              <w:t>e</w:t>
            </w:r>
            <w:r w:rsidRPr="00CC202C">
              <w:t>n (.) now i</w:t>
            </w:r>
            <w:r w:rsidR="003D48D7">
              <w:t>f</w:t>
            </w:r>
            <w:r w:rsidRPr="00CC202C">
              <w:t xml:space="preserve"> you don’t have a job (.)</w:t>
            </w:r>
            <w:r>
              <w:t xml:space="preserve"> T</w:t>
            </w:r>
            <w:r w:rsidRPr="00CC202C">
              <w:t>here was kinda so much on the money and not (.) on anything else.</w:t>
            </w:r>
          </w:p>
          <w:p w14:paraId="2BB500B9" w14:textId="77777777" w:rsidR="009016B4" w:rsidRDefault="009016B4"/>
        </w:tc>
      </w:tr>
      <w:tr w:rsidR="009016B4" w14:paraId="4D260672" w14:textId="77777777" w:rsidTr="00ED3D34">
        <w:tc>
          <w:tcPr>
            <w:tcW w:w="1413" w:type="dxa"/>
          </w:tcPr>
          <w:p w14:paraId="6F53B532" w14:textId="77777777" w:rsidR="009016B4" w:rsidRDefault="009016B4" w:rsidP="008E4AF2">
            <w:r>
              <w:t>Sally:</w:t>
            </w:r>
          </w:p>
        </w:tc>
        <w:tc>
          <w:tcPr>
            <w:tcW w:w="6888" w:type="dxa"/>
          </w:tcPr>
          <w:p w14:paraId="795B28F6" w14:textId="77777777" w:rsidR="009016B4" w:rsidRDefault="009016B4" w:rsidP="00F84237">
            <w:pPr>
              <w:pStyle w:val="tablecontent-singlespaced"/>
            </w:pPr>
            <w:r>
              <w:t>Can you remember anything else they told you about what it would be like?</w:t>
            </w:r>
          </w:p>
          <w:p w14:paraId="393F517D" w14:textId="77777777" w:rsidR="009016B4" w:rsidRPr="00CC202C" w:rsidRDefault="009016B4"/>
        </w:tc>
      </w:tr>
      <w:tr w:rsidR="009016B4" w14:paraId="1D1ED235" w14:textId="77777777" w:rsidTr="00ED3D34">
        <w:tc>
          <w:tcPr>
            <w:tcW w:w="1413" w:type="dxa"/>
          </w:tcPr>
          <w:p w14:paraId="46D21BAE" w14:textId="77777777" w:rsidR="009016B4" w:rsidRDefault="009016B4" w:rsidP="008E4AF2">
            <w:r>
              <w:t>Tyler:</w:t>
            </w:r>
          </w:p>
        </w:tc>
        <w:tc>
          <w:tcPr>
            <w:tcW w:w="6888" w:type="dxa"/>
          </w:tcPr>
          <w:p w14:paraId="057CBB01" w14:textId="77777777" w:rsidR="009016B4" w:rsidRDefault="009016B4" w:rsidP="00F84237">
            <w:pPr>
              <w:pStyle w:val="tablecontent-singlespaced"/>
            </w:pPr>
            <w:r>
              <w:t xml:space="preserve">I </w:t>
            </w:r>
            <w:r w:rsidRPr="00CE5A4E">
              <w:t>can</w:t>
            </w:r>
            <w:r>
              <w:t>’</w:t>
            </w:r>
            <w:r w:rsidRPr="00CE5A4E">
              <w:t xml:space="preserve">t really like remember but I don’t think </w:t>
            </w:r>
            <w:r>
              <w:t>they said anything else</w:t>
            </w:r>
            <w:r w:rsidRPr="00CE5A4E">
              <w:t xml:space="preserve"> (.) I think it was focused on other stuff like the paperwork</w:t>
            </w:r>
            <w:r>
              <w:t>.</w:t>
            </w:r>
          </w:p>
        </w:tc>
      </w:tr>
    </w:tbl>
    <w:p w14:paraId="4273019D" w14:textId="77777777" w:rsidR="009016B4" w:rsidRDefault="009016B4" w:rsidP="008E4AF2"/>
    <w:p w14:paraId="2E274926"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E986F6E" w14:textId="77777777" w:rsidTr="00ED3D34">
        <w:tc>
          <w:tcPr>
            <w:tcW w:w="1413" w:type="dxa"/>
          </w:tcPr>
          <w:p w14:paraId="342DF05A" w14:textId="77777777" w:rsidR="009016B4" w:rsidRDefault="009016B4">
            <w:r>
              <w:t>Sally:</w:t>
            </w:r>
          </w:p>
        </w:tc>
        <w:tc>
          <w:tcPr>
            <w:tcW w:w="6888" w:type="dxa"/>
          </w:tcPr>
          <w:p w14:paraId="616A735A" w14:textId="77777777" w:rsidR="009016B4" w:rsidRDefault="009016B4" w:rsidP="00F84237">
            <w:pPr>
              <w:pStyle w:val="tablecontent-singlespaced"/>
            </w:pPr>
            <w:r>
              <w:t xml:space="preserve">Did you understand what </w:t>
            </w:r>
            <w:r w:rsidRPr="000C1156">
              <w:rPr>
                <w:i/>
                <w:iCs/>
              </w:rPr>
              <w:t>Staying Put</w:t>
            </w:r>
            <w:r>
              <w:t xml:space="preserve"> was about?</w:t>
            </w:r>
          </w:p>
          <w:p w14:paraId="4BD8288C" w14:textId="77777777" w:rsidR="009016B4" w:rsidRDefault="009016B4"/>
        </w:tc>
      </w:tr>
      <w:tr w:rsidR="009016B4" w14:paraId="1BA235DE" w14:textId="77777777" w:rsidTr="00ED3D34">
        <w:tc>
          <w:tcPr>
            <w:tcW w:w="1413" w:type="dxa"/>
          </w:tcPr>
          <w:p w14:paraId="78F7B05D" w14:textId="77777777" w:rsidR="009016B4" w:rsidRDefault="009016B4" w:rsidP="008E4AF2">
            <w:r>
              <w:t xml:space="preserve">Beth: </w:t>
            </w:r>
          </w:p>
        </w:tc>
        <w:tc>
          <w:tcPr>
            <w:tcW w:w="6888" w:type="dxa"/>
          </w:tcPr>
          <w:p w14:paraId="5135E515" w14:textId="28058496" w:rsidR="009016B4" w:rsidRDefault="005B0516" w:rsidP="00F84237">
            <w:pPr>
              <w:pStyle w:val="tablecontent-singlespaced"/>
            </w:pPr>
            <w:r>
              <w:t>N</w:t>
            </w:r>
            <w:r w:rsidR="009016B4" w:rsidRPr="005D6EF8">
              <w:t>o way (.) I had to comply with like household rules but to be honest there was a lot I di</w:t>
            </w:r>
            <w:r w:rsidR="00540562">
              <w:t>d</w:t>
            </w:r>
            <w:r w:rsidR="009016B4" w:rsidRPr="005D6EF8">
              <w:t>n</w:t>
            </w:r>
            <w:r w:rsidR="00540562">
              <w:t>’</w:t>
            </w:r>
            <w:r w:rsidR="009016B4" w:rsidRPr="005D6EF8">
              <w:t>t ge</w:t>
            </w:r>
            <w:r w:rsidR="009016B4">
              <w:t>t</w:t>
            </w:r>
            <w:r>
              <w:t>.</w:t>
            </w:r>
          </w:p>
        </w:tc>
      </w:tr>
    </w:tbl>
    <w:p w14:paraId="38F933F4" w14:textId="77777777" w:rsidR="009016B4" w:rsidRDefault="009016B4" w:rsidP="008E4AF2"/>
    <w:p w14:paraId="16947C8C" w14:textId="350C91D0" w:rsidR="009016B4" w:rsidRDefault="009016B4">
      <w:r>
        <w:t xml:space="preserve">Other young people were also given information but had the impression that they were not getting the full picture. Liam felt that the </w:t>
      </w:r>
      <w:r w:rsidR="004C1BAD">
        <w:t>s</w:t>
      </w:r>
      <w:r>
        <w:t xml:space="preserve">ocial </w:t>
      </w:r>
      <w:r w:rsidR="004C1BAD">
        <w:t>w</w:t>
      </w:r>
      <w:r>
        <w:t>orker needed to be clearer:</w:t>
      </w:r>
    </w:p>
    <w:p w14:paraId="12394F17"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610C180" w14:textId="77777777" w:rsidTr="00ED3D34">
        <w:tc>
          <w:tcPr>
            <w:tcW w:w="1413" w:type="dxa"/>
          </w:tcPr>
          <w:p w14:paraId="3B9BD1B7" w14:textId="77777777" w:rsidR="009016B4" w:rsidRDefault="009016B4">
            <w:r>
              <w:t>Liam:</w:t>
            </w:r>
          </w:p>
        </w:tc>
        <w:tc>
          <w:tcPr>
            <w:tcW w:w="6888" w:type="dxa"/>
          </w:tcPr>
          <w:p w14:paraId="63C92156" w14:textId="23FD2B86" w:rsidR="009016B4" w:rsidRDefault="009016B4" w:rsidP="00F84237">
            <w:pPr>
              <w:pStyle w:val="tablecontent-singlespaced"/>
            </w:pPr>
            <w:r w:rsidRPr="00CE5A4E">
              <w:t>I think they should be a</w:t>
            </w:r>
            <w:r w:rsidR="001C31FC">
              <w:t xml:space="preserve"> </w:t>
            </w:r>
            <w:r w:rsidRPr="00CE5A4E">
              <w:t>lot more urm a lot clearer about the options</w:t>
            </w:r>
            <w:r>
              <w:t xml:space="preserve">, </w:t>
            </w:r>
            <w:r w:rsidRPr="00CE5A4E">
              <w:t>they kind</w:t>
            </w:r>
            <w:r w:rsidR="005B0516">
              <w:t>’ve</w:t>
            </w:r>
            <w:r w:rsidRPr="00CE5A4E">
              <w:t xml:space="preserve"> tell you a bit about </w:t>
            </w:r>
            <w:r w:rsidRPr="000C1156">
              <w:rPr>
                <w:i/>
                <w:iCs/>
              </w:rPr>
              <w:t>Staying Put</w:t>
            </w:r>
            <w:r w:rsidRPr="00CE5A4E">
              <w:t xml:space="preserve"> but like not loads</w:t>
            </w:r>
            <w:r w:rsidR="005B0516">
              <w:t>.</w:t>
            </w:r>
          </w:p>
        </w:tc>
      </w:tr>
    </w:tbl>
    <w:p w14:paraId="3BDC1C80" w14:textId="77777777" w:rsidR="009016B4" w:rsidRDefault="009016B4" w:rsidP="008E4AF2"/>
    <w:p w14:paraId="542DF65F" w14:textId="750F18CF" w:rsidR="009016B4" w:rsidRDefault="009016B4">
      <w:r>
        <w:lastRenderedPageBreak/>
        <w:t xml:space="preserve">Jonathan’s view was that the </w:t>
      </w:r>
      <w:r w:rsidR="0088021B">
        <w:t>s</w:t>
      </w:r>
      <w:r>
        <w:t xml:space="preserve">ocial </w:t>
      </w:r>
      <w:r w:rsidR="0088021B">
        <w:t>w</w:t>
      </w:r>
      <w:r>
        <w:t xml:space="preserve">orker could not provide more information as they appeared not to understand </w:t>
      </w:r>
      <w:r w:rsidRPr="0088021B">
        <w:rPr>
          <w:i/>
          <w:iCs/>
        </w:rPr>
        <w:t>Staying Put</w:t>
      </w:r>
      <w:r>
        <w:t>. They had specific queries about the</w:t>
      </w:r>
      <w:r w:rsidR="005B0516">
        <w:t xml:space="preserve"> written</w:t>
      </w:r>
      <w:r>
        <w:t xml:space="preserve"> information se</w:t>
      </w:r>
      <w:r w:rsidR="005B0516">
        <w:t>n</w:t>
      </w:r>
      <w:r>
        <w:t xml:space="preserve">t out in a document they had been given: </w:t>
      </w:r>
    </w:p>
    <w:p w14:paraId="5F37A14D"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FDED848" w14:textId="77777777" w:rsidTr="00ED3D34">
        <w:tc>
          <w:tcPr>
            <w:tcW w:w="1413" w:type="dxa"/>
          </w:tcPr>
          <w:p w14:paraId="614BCB84" w14:textId="77777777" w:rsidR="009016B4" w:rsidRDefault="009016B4">
            <w:r>
              <w:t>Jonathan:</w:t>
            </w:r>
          </w:p>
        </w:tc>
        <w:tc>
          <w:tcPr>
            <w:tcW w:w="6888" w:type="dxa"/>
          </w:tcPr>
          <w:p w14:paraId="33CB789C" w14:textId="0973F439" w:rsidR="009016B4" w:rsidRDefault="009016B4" w:rsidP="00F84237">
            <w:pPr>
              <w:pStyle w:val="tablecontent-singlespaced"/>
            </w:pPr>
            <w:r w:rsidRPr="00CE5A4E">
              <w:t xml:space="preserve">I was given a plan and it had a list of money all set out then a new leaflet </w:t>
            </w:r>
            <w:r w:rsidR="00585300" w:rsidRPr="00CE5A4E">
              <w:t>came,</w:t>
            </w:r>
            <w:r w:rsidRPr="00CE5A4E">
              <w:t xml:space="preserve"> and it left me with no money after I paid what it said</w:t>
            </w:r>
            <w:r>
              <w:t>,</w:t>
            </w:r>
            <w:r w:rsidRPr="00CE5A4E">
              <w:t xml:space="preserve"> my foster parents did not </w:t>
            </w:r>
            <w:r w:rsidR="005C5158" w:rsidRPr="00CE5A4E">
              <w:t>understand,</w:t>
            </w:r>
            <w:r w:rsidRPr="00CE5A4E">
              <w:t xml:space="preserve"> and I did not understand</w:t>
            </w:r>
            <w:r w:rsidR="005B0516">
              <w:t xml:space="preserve"> my</w:t>
            </w:r>
            <w:r w:rsidR="006B1101">
              <w:t xml:space="preserve"> </w:t>
            </w:r>
            <w:r w:rsidRPr="00CE5A4E">
              <w:t>foster carers were quite unsure (.) they weren't given any information about it</w:t>
            </w:r>
            <w:r>
              <w:t xml:space="preserve"> either.</w:t>
            </w:r>
          </w:p>
        </w:tc>
      </w:tr>
    </w:tbl>
    <w:p w14:paraId="431C134E" w14:textId="77777777" w:rsidR="009016B4" w:rsidRDefault="009016B4" w:rsidP="008E4AF2"/>
    <w:p w14:paraId="2DEACFC6" w14:textId="693639CF" w:rsidR="009016B4" w:rsidRDefault="009016B4">
      <w:r>
        <w:t xml:space="preserve">As Jonathan wanted to make sense of the proposed arrangements, they sought clarification from their </w:t>
      </w:r>
      <w:r w:rsidR="0088021B">
        <w:t>s</w:t>
      </w:r>
      <w:r>
        <w:t xml:space="preserve">ocial </w:t>
      </w:r>
      <w:r w:rsidR="0088021B">
        <w:t>w</w:t>
      </w:r>
      <w:r>
        <w:t xml:space="preserve">orker, but were left feeling frustrated: </w:t>
      </w:r>
    </w:p>
    <w:p w14:paraId="20092C15"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B47CF3E" w14:textId="77777777" w:rsidTr="00ED3D34">
        <w:tc>
          <w:tcPr>
            <w:tcW w:w="1413" w:type="dxa"/>
          </w:tcPr>
          <w:p w14:paraId="1AECD2EF" w14:textId="77777777" w:rsidR="009016B4" w:rsidRDefault="009016B4">
            <w:r>
              <w:t>Jonathan:</w:t>
            </w:r>
          </w:p>
        </w:tc>
        <w:tc>
          <w:tcPr>
            <w:tcW w:w="6888" w:type="dxa"/>
          </w:tcPr>
          <w:p w14:paraId="0A64E23C" w14:textId="1C0E6C97" w:rsidR="009016B4" w:rsidRDefault="009016B4" w:rsidP="00F84237">
            <w:pPr>
              <w:pStyle w:val="tablecontent-singlespaced"/>
            </w:pPr>
            <w:r>
              <w:t xml:space="preserve">There was </w:t>
            </w:r>
            <w:r w:rsidRPr="00CE5A4E">
              <w:t xml:space="preserve">no guidance from the </w:t>
            </w:r>
            <w:r w:rsidR="0088021B">
              <w:t>s</w:t>
            </w:r>
            <w:r w:rsidRPr="00CE5A4E">
              <w:t xml:space="preserve">ocial </w:t>
            </w:r>
            <w:r w:rsidR="0088021B">
              <w:t>w</w:t>
            </w:r>
            <w:r w:rsidRPr="00CE5A4E">
              <w:t>orker no guidance from the review manager (.) it was here's a leaflet you think about it (.) no one went through it no one knew about it (.) it was a bit of a nightmare</w:t>
            </w:r>
            <w:r>
              <w:t>.</w:t>
            </w:r>
          </w:p>
        </w:tc>
      </w:tr>
    </w:tbl>
    <w:p w14:paraId="6CE6673F" w14:textId="77777777" w:rsidR="009016B4" w:rsidRDefault="009016B4" w:rsidP="008E4AF2"/>
    <w:p w14:paraId="5E13C10A" w14:textId="5F7342D4" w:rsidR="009016B4" w:rsidRDefault="009016B4">
      <w:r>
        <w:t xml:space="preserve">Later on in the interview, Jonathan described their recollection of discussions with the </w:t>
      </w:r>
      <w:r w:rsidR="0088021B">
        <w:t>s</w:t>
      </w:r>
      <w:r>
        <w:t xml:space="preserve">ocial </w:t>
      </w:r>
      <w:r w:rsidR="0088021B">
        <w:t>w</w:t>
      </w:r>
      <w:r>
        <w:t>orker further, setting out their perception and hypothesis of what it might be like if they were in less secure circumstances:</w:t>
      </w:r>
    </w:p>
    <w:p w14:paraId="03CCC326"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F0EEFCF" w14:textId="77777777" w:rsidTr="00ED3D34">
        <w:tc>
          <w:tcPr>
            <w:tcW w:w="1413" w:type="dxa"/>
          </w:tcPr>
          <w:p w14:paraId="61673AA1" w14:textId="77777777" w:rsidR="009016B4" w:rsidRDefault="009016B4">
            <w:r>
              <w:t>Jonathan:</w:t>
            </w:r>
          </w:p>
        </w:tc>
        <w:tc>
          <w:tcPr>
            <w:tcW w:w="6888" w:type="dxa"/>
          </w:tcPr>
          <w:p w14:paraId="50412AAC" w14:textId="7E9400E4" w:rsidR="009016B4" w:rsidRDefault="009016B4" w:rsidP="00F84237">
            <w:pPr>
              <w:pStyle w:val="tablecontent-singlespaced"/>
            </w:pPr>
            <w:r w:rsidRPr="00CE5A4E">
              <w:t xml:space="preserve">With the social worker it was like (.) oh we don’t </w:t>
            </w:r>
            <w:r w:rsidR="00585300" w:rsidRPr="00CE5A4E">
              <w:t>know,</w:t>
            </w:r>
            <w:r w:rsidRPr="00CE5A4E">
              <w:t xml:space="preserve"> or I will have to ask (.) it was all too late. I wasn’t having discussions about all this until after I was 18 (.) for some it might be too late. then you are out on your own living god knows where</w:t>
            </w:r>
            <w:r w:rsidR="005B0516">
              <w:t>.</w:t>
            </w:r>
          </w:p>
        </w:tc>
      </w:tr>
    </w:tbl>
    <w:p w14:paraId="2B12C48C" w14:textId="77777777" w:rsidR="009016B4" w:rsidRDefault="009016B4" w:rsidP="008E4AF2"/>
    <w:p w14:paraId="625FA375" w14:textId="277BB2B8" w:rsidR="009016B4" w:rsidRDefault="009016B4">
      <w:r>
        <w:t xml:space="preserve">Beth shared Jonathan’s frustrations and also questioned the </w:t>
      </w:r>
      <w:r w:rsidR="0088021B">
        <w:t>s</w:t>
      </w:r>
      <w:r>
        <w:t xml:space="preserve">ocial </w:t>
      </w:r>
      <w:r w:rsidR="0088021B">
        <w:t>w</w:t>
      </w:r>
      <w:r>
        <w:t xml:space="preserve">orker’s comprehension of </w:t>
      </w:r>
      <w:r w:rsidRPr="0088021B">
        <w:rPr>
          <w:i/>
          <w:iCs/>
        </w:rPr>
        <w:t>Staying Put</w:t>
      </w:r>
      <w:r>
        <w:t>:</w:t>
      </w:r>
    </w:p>
    <w:p w14:paraId="72421B68"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28B6167D" w14:textId="77777777" w:rsidTr="00ED3D34">
        <w:tc>
          <w:tcPr>
            <w:tcW w:w="1413" w:type="dxa"/>
          </w:tcPr>
          <w:p w14:paraId="6D225CE4" w14:textId="77777777" w:rsidR="009016B4" w:rsidRDefault="009016B4">
            <w:r>
              <w:t>Beth:</w:t>
            </w:r>
          </w:p>
        </w:tc>
        <w:tc>
          <w:tcPr>
            <w:tcW w:w="6888" w:type="dxa"/>
          </w:tcPr>
          <w:p w14:paraId="5A527742" w14:textId="2ED13A30" w:rsidR="009016B4" w:rsidRDefault="009016B4" w:rsidP="00F84237">
            <w:pPr>
              <w:pStyle w:val="tablecontent-singlespaced"/>
            </w:pPr>
            <w:r>
              <w:t xml:space="preserve">There was a </w:t>
            </w:r>
            <w:r w:rsidRPr="005D6EF8">
              <w:t xml:space="preserve">full on stack of papers (.) and all that stuff (.) and it was like if you break any of those rules you get 28 </w:t>
            </w:r>
            <w:r w:rsidR="005B0516" w:rsidRPr="005D6EF8">
              <w:t>da</w:t>
            </w:r>
            <w:r w:rsidR="005B0516">
              <w:t>ys</w:t>
            </w:r>
            <w:r w:rsidRPr="005D6EF8">
              <w:t xml:space="preserve"> to leave (.) or you can hand your 28 day notice in to leave (.) so basically you mess up or you do something wrong my carer can give me a 28 day </w:t>
            </w:r>
            <w:r w:rsidRPr="005D6EF8">
              <w:lastRenderedPageBreak/>
              <w:t>notice to find somewhere else</w:t>
            </w:r>
            <w:r w:rsidR="006D45E9">
              <w:t xml:space="preserve"> …</w:t>
            </w:r>
            <w:r w:rsidRPr="00CE5A4E">
              <w:t xml:space="preserve"> this is all she had on </w:t>
            </w:r>
            <w:r w:rsidR="000C1156">
              <w:t>S</w:t>
            </w:r>
            <w:r w:rsidRPr="000C1156">
              <w:rPr>
                <w:i/>
                <w:iCs/>
              </w:rPr>
              <w:t xml:space="preserve">taying </w:t>
            </w:r>
            <w:r w:rsidR="000C1156">
              <w:rPr>
                <w:i/>
                <w:iCs/>
              </w:rPr>
              <w:t>P</w:t>
            </w:r>
            <w:r w:rsidRPr="000C1156">
              <w:rPr>
                <w:i/>
                <w:iCs/>
              </w:rPr>
              <w:t>ut</w:t>
            </w:r>
            <w:r w:rsidRPr="00CE5A4E">
              <w:t xml:space="preserve"> ((pause)) she knew nothin</w:t>
            </w:r>
            <w:r w:rsidR="00540562">
              <w:t>g</w:t>
            </w:r>
            <w:r w:rsidRPr="00CE5A4E">
              <w:t xml:space="preserve"> </w:t>
            </w:r>
            <w:r>
              <w:t>a</w:t>
            </w:r>
            <w:r w:rsidRPr="00CE5A4E">
              <w:t>bout it and di</w:t>
            </w:r>
            <w:r w:rsidR="00562B3B">
              <w:t>dn’</w:t>
            </w:r>
            <w:r w:rsidRPr="00CE5A4E">
              <w:t xml:space="preserve">t seem to want to ask me </w:t>
            </w:r>
            <w:r>
              <w:t>a</w:t>
            </w:r>
            <w:r w:rsidRPr="00CE5A4E">
              <w:t>bout it</w:t>
            </w:r>
            <w:r w:rsidR="005B0516">
              <w:t>.</w:t>
            </w:r>
          </w:p>
        </w:tc>
      </w:tr>
    </w:tbl>
    <w:p w14:paraId="6C898862" w14:textId="77777777" w:rsidR="009016B4" w:rsidRDefault="009016B4" w:rsidP="008E4AF2"/>
    <w:p w14:paraId="734202AC" w14:textId="2E26C14C" w:rsidR="009016B4" w:rsidRDefault="009016B4" w:rsidP="008E4AF2">
      <w:r>
        <w:t xml:space="preserve">Hannah and Carrie shared the view that the </w:t>
      </w:r>
      <w:r w:rsidR="0088021B">
        <w:t>s</w:t>
      </w:r>
      <w:r>
        <w:t xml:space="preserve">ocial </w:t>
      </w:r>
      <w:r w:rsidR="0088021B">
        <w:t>w</w:t>
      </w:r>
      <w:r>
        <w:t xml:space="preserve">orker was ill equipped to support them in making this decision, furthermore Hannah also identified how information was delayed and delegated to other workers: </w:t>
      </w:r>
    </w:p>
    <w:p w14:paraId="466D700D"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052BAAB" w14:textId="77777777" w:rsidTr="00ED3D34">
        <w:tc>
          <w:tcPr>
            <w:tcW w:w="1413" w:type="dxa"/>
          </w:tcPr>
          <w:p w14:paraId="4C139334" w14:textId="77777777" w:rsidR="009016B4" w:rsidRDefault="009016B4">
            <w:r>
              <w:t>Hannah:</w:t>
            </w:r>
          </w:p>
        </w:tc>
        <w:tc>
          <w:tcPr>
            <w:tcW w:w="6888" w:type="dxa"/>
          </w:tcPr>
          <w:p w14:paraId="26031BEB" w14:textId="767D014C" w:rsidR="009016B4" w:rsidRDefault="005B0516" w:rsidP="00F84237">
            <w:pPr>
              <w:pStyle w:val="tablecontent-singlespaced"/>
            </w:pPr>
            <w:r>
              <w:t>T</w:t>
            </w:r>
            <w:r w:rsidR="009016B4" w:rsidRPr="00CE5A4E">
              <w:t>here was always a lot of oh oh oh I don't really know</w:t>
            </w:r>
            <w:r w:rsidR="00DE4E99">
              <w:t xml:space="preserve"> …</w:t>
            </w:r>
            <w:r w:rsidR="009016B4" w:rsidRPr="00CE5A4E">
              <w:t xml:space="preserve"> it was a case of when you get your PA</w:t>
            </w:r>
            <w:r>
              <w:t xml:space="preserve"> [personal advisor]</w:t>
            </w:r>
            <w:r w:rsidR="009016B4" w:rsidRPr="00CE5A4E">
              <w:t xml:space="preserve"> they'll be able to tell you everything (.) you need to know about </w:t>
            </w:r>
            <w:r w:rsidR="002234AF" w:rsidRPr="000C1156">
              <w:rPr>
                <w:i/>
                <w:iCs/>
              </w:rPr>
              <w:t>Staying Put</w:t>
            </w:r>
            <w:r w:rsidR="00DE4E99">
              <w:t xml:space="preserve"> … </w:t>
            </w:r>
            <w:r w:rsidR="009016B4" w:rsidRPr="00CE5A4E">
              <w:t>we had a contract with like a rent agreement and that was all organised by the PA after I turned 18</w:t>
            </w:r>
            <w:r w:rsidR="009016B4">
              <w:t>.</w:t>
            </w:r>
          </w:p>
        </w:tc>
      </w:tr>
    </w:tbl>
    <w:p w14:paraId="60D02A14"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52D98EA" w14:textId="77777777" w:rsidTr="00ED3D34">
        <w:tc>
          <w:tcPr>
            <w:tcW w:w="1413" w:type="dxa"/>
          </w:tcPr>
          <w:p w14:paraId="2CEB3A0D" w14:textId="77777777" w:rsidR="009016B4" w:rsidRDefault="009016B4" w:rsidP="008E4AF2">
            <w:r>
              <w:t>Carrie:</w:t>
            </w:r>
          </w:p>
        </w:tc>
        <w:tc>
          <w:tcPr>
            <w:tcW w:w="6888" w:type="dxa"/>
          </w:tcPr>
          <w:p w14:paraId="571ED711" w14:textId="4AF2A8F2" w:rsidR="009016B4" w:rsidRDefault="005B0516" w:rsidP="00F84237">
            <w:pPr>
              <w:pStyle w:val="tablecontent-singlespaced"/>
            </w:pPr>
            <w:r>
              <w:t>W</w:t>
            </w:r>
            <w:r w:rsidR="009016B4" w:rsidRPr="003B3778">
              <w:t>ell she just knew nothing (.) but also did nothing (.) it was like it was nothing to do with her and all she wanted to do was get away as fast as she could</w:t>
            </w:r>
            <w:r>
              <w:t>.</w:t>
            </w:r>
          </w:p>
        </w:tc>
      </w:tr>
    </w:tbl>
    <w:p w14:paraId="51503EDF" w14:textId="77777777" w:rsidR="009016B4" w:rsidRDefault="009016B4" w:rsidP="008E4AF2"/>
    <w:p w14:paraId="1BF5BFD3" w14:textId="19A4D09C" w:rsidR="00B6349A" w:rsidRDefault="00B6349A">
      <w:r>
        <w:t xml:space="preserve">The majority of the young people commented on the apparent lack of knowledge they felt social workers had about </w:t>
      </w:r>
      <w:r w:rsidRPr="00D40124">
        <w:rPr>
          <w:i/>
          <w:iCs/>
        </w:rPr>
        <w:t>Staying Put</w:t>
      </w:r>
      <w:r>
        <w:t xml:space="preserve"> and any alternative post 18 options. From their responses it appeared that social workers were either unsure how to talk about the subject or did not have a full enough grasp o</w:t>
      </w:r>
      <w:r w:rsidR="00952A3B">
        <w:t>f</w:t>
      </w:r>
      <w:r>
        <w:t xml:space="preserve"> the information young people needed. Young people presented </w:t>
      </w:r>
      <w:r w:rsidR="0088021B">
        <w:t>s</w:t>
      </w:r>
      <w:r>
        <w:t xml:space="preserve">ocial </w:t>
      </w:r>
      <w:r w:rsidR="0088021B">
        <w:t>w</w:t>
      </w:r>
      <w:r>
        <w:t xml:space="preserve">orkers as ill-informed or incompetent as they seemed unable to respond to basic questions about </w:t>
      </w:r>
      <w:r w:rsidRPr="006E3485">
        <w:rPr>
          <w:i/>
          <w:iCs/>
        </w:rPr>
        <w:t>Staying Put</w:t>
      </w:r>
      <w:r>
        <w:t xml:space="preserve"> or related matters. It is not for this study to speculate about individual workers, however the experiences described by young people indicate</w:t>
      </w:r>
      <w:r w:rsidR="001C573B">
        <w:t xml:space="preserve"> a discrepancy between the knowledge of the social worker and personal advisor highlighting a</w:t>
      </w:r>
      <w:r>
        <w:t xml:space="preserve"> misalignment in support</w:t>
      </w:r>
      <w:r w:rsidR="001C573B">
        <w:t xml:space="preserve"> at key moments</w:t>
      </w:r>
      <w:r>
        <w:t xml:space="preserve">. </w:t>
      </w:r>
    </w:p>
    <w:p w14:paraId="20FC87B5" w14:textId="77777777" w:rsidR="005B0516" w:rsidRDefault="00B6349A">
      <w:r>
        <w:t>The turnover in personnel described by young people could also account for gaps in understanding as workers would be in a constant state of renewal rather than consolidation. Whatever the explanation for the apparent lack of understanding, young people felt inadequately supported and did not always have the worker they needed for their situation. The impact of gaps in support or information on the young person’s decision will be addressed later in this chapter, however the presentation of social</w:t>
      </w:r>
      <w:r w:rsidRPr="00864364">
        <w:t xml:space="preserve"> </w:t>
      </w:r>
      <w:r>
        <w:t xml:space="preserve">workers spoke of </w:t>
      </w:r>
      <w:r w:rsidR="00761E95">
        <w:t>misalignments</w:t>
      </w:r>
      <w:r>
        <w:t xml:space="preserve"> in their relationships with social workers that went deeper than their failure to communicate </w:t>
      </w:r>
      <w:r w:rsidR="00CE56DC">
        <w:t>fully</w:t>
      </w:r>
      <w:r>
        <w:t xml:space="preserve"> about </w:t>
      </w:r>
      <w:r w:rsidRPr="00864364">
        <w:rPr>
          <w:i/>
          <w:iCs/>
        </w:rPr>
        <w:t>Staying Put</w:t>
      </w:r>
      <w:r w:rsidR="005B0516">
        <w:t>:</w:t>
      </w:r>
    </w:p>
    <w:p w14:paraId="0298D4DE" w14:textId="77777777" w:rsidR="00070733" w:rsidRDefault="00B6349A">
      <w:r>
        <w:lastRenderedPageBreak/>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070733" w14:paraId="215DD174" w14:textId="77777777" w:rsidTr="00CC4A47">
        <w:tc>
          <w:tcPr>
            <w:tcW w:w="1413" w:type="dxa"/>
          </w:tcPr>
          <w:p w14:paraId="3C2AF7B4" w14:textId="08E3E50C" w:rsidR="00070733" w:rsidRDefault="00070733" w:rsidP="00CC4A47">
            <w:r>
              <w:t>Beth:</w:t>
            </w:r>
          </w:p>
        </w:tc>
        <w:tc>
          <w:tcPr>
            <w:tcW w:w="6888" w:type="dxa"/>
          </w:tcPr>
          <w:p w14:paraId="576D90EE" w14:textId="22B6A178" w:rsidR="00070733" w:rsidRDefault="00070733" w:rsidP="00CC4A47">
            <w:pPr>
              <w:pStyle w:val="tablecontent-singlespaced"/>
            </w:pPr>
            <w:r>
              <w:t>They’ve [the social worker] never got me before and so I wasn’t surprised that they didn’t turn up when I wanted them.</w:t>
            </w:r>
          </w:p>
        </w:tc>
      </w:tr>
    </w:tbl>
    <w:p w14:paraId="455E70FC" w14:textId="535D306A" w:rsidR="00B6349A" w:rsidRDefault="00B6349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070733" w14:paraId="67D152CB" w14:textId="77777777" w:rsidTr="00CC4A47">
        <w:tc>
          <w:tcPr>
            <w:tcW w:w="1413" w:type="dxa"/>
          </w:tcPr>
          <w:p w14:paraId="4AE76EAA" w14:textId="2C09F091" w:rsidR="00070733" w:rsidRDefault="00070733" w:rsidP="00CC4A47">
            <w:r>
              <w:t>Yannick:</w:t>
            </w:r>
          </w:p>
        </w:tc>
        <w:tc>
          <w:tcPr>
            <w:tcW w:w="6888" w:type="dxa"/>
          </w:tcPr>
          <w:p w14:paraId="50FA5593" w14:textId="77777777" w:rsidR="00070733" w:rsidRDefault="00070733" w:rsidP="00CC4A47">
            <w:pPr>
              <w:pStyle w:val="tablecontent-singlespaced"/>
            </w:pPr>
            <w:r>
              <w:t>I’ve heard so much about how bad it can be [relationship with the social worker] that I’d always prepare myself for the worse when a new one came along (.) they one at the end was like better but still didn’t really get it.</w:t>
            </w:r>
          </w:p>
          <w:p w14:paraId="2B8D53B7" w14:textId="0598C641" w:rsidR="00070733" w:rsidRDefault="00070733" w:rsidP="00CC4A47">
            <w:pPr>
              <w:pStyle w:val="tablecontent-singlespaced"/>
            </w:pPr>
          </w:p>
        </w:tc>
      </w:tr>
    </w:tbl>
    <w:p w14:paraId="391738B6" w14:textId="77777777" w:rsidR="00070733" w:rsidRDefault="00070733"/>
    <w:p w14:paraId="4B8A26F2" w14:textId="1CCBE4A4" w:rsidR="00C77DE4" w:rsidRDefault="00070733">
      <w:r>
        <w:t xml:space="preserve">Although relationships with social workers were </w:t>
      </w:r>
      <w:r w:rsidR="00223505">
        <w:t xml:space="preserve">difficult at times, young people still looked to them for guidance. </w:t>
      </w:r>
      <w:r w:rsidR="00C77DE4">
        <w:t xml:space="preserve">Interviews with young people in </w:t>
      </w:r>
      <w:r w:rsidR="003514F4">
        <w:t>my</w:t>
      </w:r>
      <w:r w:rsidR="00C77DE4">
        <w:t xml:space="preserve"> study suggest a selective approach to information sharing by social workers and foster carers about </w:t>
      </w:r>
      <w:r w:rsidR="00C77DE4" w:rsidRPr="00C77DE4">
        <w:rPr>
          <w:i/>
          <w:iCs/>
        </w:rPr>
        <w:t>Staying Put</w:t>
      </w:r>
      <w:r w:rsidR="00C77DE4">
        <w:t xml:space="preserve"> and other transition decisions. In discussions about possible options, participants described experiences of receiving fragments of information when talking about what to do next. In the case of </w:t>
      </w:r>
      <w:r w:rsidR="00C77DE4" w:rsidRPr="00C77DE4">
        <w:rPr>
          <w:i/>
          <w:iCs/>
        </w:rPr>
        <w:t>Staying Put</w:t>
      </w:r>
      <w:r w:rsidR="00C77DE4">
        <w:t xml:space="preserve">, emphasis seemed to be placed on specific aspects of the arrangement, for example </w:t>
      </w:r>
      <w:r w:rsidR="00C77DE4" w:rsidRPr="00113DFB">
        <w:t xml:space="preserve">finances, paperwork and in Beth’s case, the conditions of termination. </w:t>
      </w:r>
      <w:r w:rsidR="00223505">
        <w:t>Y</w:t>
      </w:r>
      <w:r w:rsidR="00C77DE4" w:rsidRPr="00113DFB">
        <w:t>oung</w:t>
      </w:r>
      <w:r w:rsidR="00C77DE4">
        <w:t xml:space="preserve"> people felt that the bigger picture was missing from these conversations and even when young people stayed with carers they appeared to be unsure about what this meant or how it would end. In these situations, it might result in delaying a transition for young people, but feelings of uncertainty are only deferred until a later date. </w:t>
      </w:r>
    </w:p>
    <w:p w14:paraId="6E48179C" w14:textId="1FCE1C5D" w:rsidR="00C77DE4" w:rsidRDefault="00C77DE4">
      <w:r>
        <w:t xml:space="preserve">Some young people were presented with local authority leaflets about </w:t>
      </w:r>
      <w:r w:rsidRPr="00C77DE4">
        <w:rPr>
          <w:i/>
          <w:iCs/>
        </w:rPr>
        <w:t>Staying Put</w:t>
      </w:r>
      <w:r>
        <w:t xml:space="preserve">, however suggested that these documents were impenetrable, leaving them in a state of ignorance. In some circumstances having an approximate understanding of something was acceptable. For example, in Hannah’s situation they appeared to feel secure in other aspects of their placement and accepted that the carer would support them in any situation. However, for other young people, having a fragmented picture of </w:t>
      </w:r>
      <w:r w:rsidRPr="00C77DE4">
        <w:rPr>
          <w:i/>
          <w:iCs/>
        </w:rPr>
        <w:t xml:space="preserve">Staying Put </w:t>
      </w:r>
      <w:r>
        <w:t xml:space="preserve">tended to raise anxieties and cause tensions within established relationships with foster carers. The perceived vagueness of the social worker seemed to indicate to young people that either they didn’t know about </w:t>
      </w:r>
      <w:r w:rsidRPr="00C77DE4">
        <w:rPr>
          <w:i/>
          <w:iCs/>
        </w:rPr>
        <w:t>Staying Put</w:t>
      </w:r>
      <w:r>
        <w:t xml:space="preserve"> or other options or that they had purposefully chosen not to share information with them. Young people appeared to think that once </w:t>
      </w:r>
      <w:r w:rsidRPr="00C77DE4">
        <w:rPr>
          <w:i/>
          <w:iCs/>
        </w:rPr>
        <w:t>Staying Put</w:t>
      </w:r>
      <w:r>
        <w:t xml:space="preserve"> or other choices were agreed or suggested, social workers or foster carers had no further need to talk about details.</w:t>
      </w:r>
    </w:p>
    <w:p w14:paraId="0F60B4DE" w14:textId="32F82030" w:rsidR="009016B4" w:rsidRDefault="009016B4">
      <w:r w:rsidRPr="00B50BF0">
        <w:lastRenderedPageBreak/>
        <w:t>As well a</w:t>
      </w:r>
      <w:r w:rsidR="00FA52A9">
        <w:t>s</w:t>
      </w:r>
      <w:r w:rsidRPr="00B50BF0">
        <w:t xml:space="preserve"> </w:t>
      </w:r>
      <w:r w:rsidRPr="00C77DE4">
        <w:rPr>
          <w:i/>
          <w:iCs/>
        </w:rPr>
        <w:t>Staying Put</w:t>
      </w:r>
      <w:r>
        <w:t>, young people talked about other accommodation options they had been given. Some felt fully informed and understood the implications for each choice they made:</w:t>
      </w:r>
    </w:p>
    <w:p w14:paraId="10047935"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D1FEA70" w14:textId="77777777" w:rsidTr="00ED3D34">
        <w:tc>
          <w:tcPr>
            <w:tcW w:w="1413" w:type="dxa"/>
          </w:tcPr>
          <w:p w14:paraId="16AAA173" w14:textId="77777777" w:rsidR="009016B4" w:rsidRDefault="009016B4">
            <w:r>
              <w:t>Cain:</w:t>
            </w:r>
          </w:p>
        </w:tc>
        <w:tc>
          <w:tcPr>
            <w:tcW w:w="6888" w:type="dxa"/>
          </w:tcPr>
          <w:p w14:paraId="2B007F49" w14:textId="1D74900F" w:rsidR="009016B4" w:rsidRDefault="009016B4" w:rsidP="00794026">
            <w:pPr>
              <w:pStyle w:val="tablecontent-singlespaced"/>
            </w:pPr>
            <w:r w:rsidRPr="00AD7257">
              <w:t>When</w:t>
            </w:r>
            <w:r>
              <w:t xml:space="preserve"> [name of </w:t>
            </w:r>
            <w:r w:rsidR="00FD7D85">
              <w:t>s</w:t>
            </w:r>
            <w:r>
              <w:t xml:space="preserve">ocial </w:t>
            </w:r>
            <w:r w:rsidR="00FD7D85">
              <w:t>w</w:t>
            </w:r>
            <w:r>
              <w:t>orker]</w:t>
            </w:r>
            <w:r w:rsidRPr="00AD7257">
              <w:t xml:space="preserve"> took me to show me where other kids in care </w:t>
            </w:r>
            <w:r w:rsidR="00585300" w:rsidRPr="00AD7257">
              <w:t>live,</w:t>
            </w:r>
            <w:r w:rsidRPr="00AD7257">
              <w:t xml:space="preserve"> I thought that would be what it was like</w:t>
            </w:r>
            <w:r>
              <w:t>, I got it</w:t>
            </w:r>
            <w:r w:rsidR="00223505">
              <w:t>.</w:t>
            </w:r>
          </w:p>
        </w:tc>
      </w:tr>
    </w:tbl>
    <w:p w14:paraId="5C719923" w14:textId="77777777" w:rsidR="009016B4" w:rsidRDefault="009016B4" w:rsidP="008E4AF2"/>
    <w:p w14:paraId="3B70867D" w14:textId="32FD7B9A" w:rsidR="009016B4" w:rsidRPr="00B50BF0" w:rsidRDefault="009016B4">
      <w:r>
        <w:t xml:space="preserve">As previously noted, some young people were not given the option to remain with their carers and were reliant on other people to help them identify what to do next. Carrie described the presentation of information given about their </w:t>
      </w:r>
      <w:r w:rsidR="00FD7D85">
        <w:t>next steps</w:t>
      </w:r>
      <w:r>
        <w:t xml:space="preserve"> and referred to their choice as a difficult ultimatum: </w:t>
      </w:r>
    </w:p>
    <w:p w14:paraId="5F2E11D3"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239A92B" w14:textId="77777777" w:rsidTr="00ED3D34">
        <w:tc>
          <w:tcPr>
            <w:tcW w:w="1413" w:type="dxa"/>
          </w:tcPr>
          <w:p w14:paraId="056EB036" w14:textId="77777777" w:rsidR="009016B4" w:rsidRDefault="009016B4">
            <w:r>
              <w:t>Carrie:</w:t>
            </w:r>
          </w:p>
        </w:tc>
        <w:tc>
          <w:tcPr>
            <w:tcW w:w="6888" w:type="dxa"/>
          </w:tcPr>
          <w:p w14:paraId="026AB1F5" w14:textId="411EA4FB" w:rsidR="009016B4" w:rsidRDefault="00223505" w:rsidP="00794026">
            <w:pPr>
              <w:pStyle w:val="tablecontent-singlespaced"/>
            </w:pPr>
            <w:r>
              <w:t>L</w:t>
            </w:r>
            <w:r w:rsidR="009016B4" w:rsidRPr="003B3778">
              <w:t>eading up to my 18</w:t>
            </w:r>
            <w:r w:rsidR="009016B4" w:rsidRPr="00223505">
              <w:rPr>
                <w:vertAlign w:val="superscript"/>
              </w:rPr>
              <w:t>th</w:t>
            </w:r>
            <w:r>
              <w:t xml:space="preserve"> </w:t>
            </w:r>
            <w:r w:rsidR="009016B4" w:rsidRPr="003B3778">
              <w:t xml:space="preserve">birthday I knew that I had the choice of the </w:t>
            </w:r>
            <w:r w:rsidR="009016B4">
              <w:t>[name of supported housing project]</w:t>
            </w:r>
            <w:r w:rsidR="009016B4" w:rsidRPr="003B3778">
              <w:t xml:space="preserve"> or </w:t>
            </w:r>
            <w:r w:rsidR="009016B4">
              <w:t>[name of supported housing project]</w:t>
            </w:r>
            <w:r w:rsidR="009016B4" w:rsidRPr="003B3778">
              <w:t xml:space="preserve"> and I said what would </w:t>
            </w:r>
            <w:r w:rsidR="00FD7D85" w:rsidRPr="003B3778">
              <w:t>happen</w:t>
            </w:r>
            <w:r w:rsidR="009016B4" w:rsidRPr="003B3778">
              <w:t xml:space="preserve"> if I </w:t>
            </w:r>
            <w:r w:rsidRPr="003B3778">
              <w:t>did</w:t>
            </w:r>
            <w:r>
              <w:t>n</w:t>
            </w:r>
            <w:r w:rsidRPr="003B3778">
              <w:t>’t</w:t>
            </w:r>
            <w:r w:rsidR="009016B4" w:rsidRPr="003B3778">
              <w:t xml:space="preserve"> choose either of those and said no to both and my </w:t>
            </w:r>
            <w:r w:rsidR="00FD7D85">
              <w:t>s</w:t>
            </w:r>
            <w:r w:rsidR="009016B4" w:rsidRPr="003B3778">
              <w:t xml:space="preserve">ocial </w:t>
            </w:r>
            <w:r w:rsidR="00FD7D85">
              <w:t>w</w:t>
            </w:r>
            <w:r w:rsidR="009016B4" w:rsidRPr="003B3778">
              <w:t>orker said you would be making yourself voluntarily homeless</w:t>
            </w:r>
            <w:r>
              <w:t>.</w:t>
            </w:r>
          </w:p>
        </w:tc>
      </w:tr>
    </w:tbl>
    <w:p w14:paraId="091BB410" w14:textId="77777777" w:rsidR="009016B4" w:rsidRDefault="009016B4" w:rsidP="008E4AF2"/>
    <w:p w14:paraId="14898A93" w14:textId="754AEB55" w:rsidR="009016B4" w:rsidRDefault="009016B4">
      <w:r>
        <w:t xml:space="preserve">Carrie felt that the two options suggested were unsuitable based on distance from their established support network and knowledge of other people’s experience in the proposed setting. They went on to say that they wanted to make this decision and hoped that they would be able to do some research with their </w:t>
      </w:r>
      <w:r w:rsidR="004C1BAD">
        <w:t>s</w:t>
      </w:r>
      <w:r>
        <w:t xml:space="preserve">ocial </w:t>
      </w:r>
      <w:r w:rsidR="004C1BAD">
        <w:t>w</w:t>
      </w:r>
      <w:r>
        <w:t xml:space="preserve">orker and agree their final selection. </w:t>
      </w:r>
      <w:r w:rsidR="00C77DE4">
        <w:t>However,</w:t>
      </w:r>
      <w:r>
        <w:t xml:space="preserve"> Carrie’s experience did not </w:t>
      </w:r>
      <w:r w:rsidR="00223505">
        <w:t>proce</w:t>
      </w:r>
      <w:r w:rsidR="001C573B">
        <w:t xml:space="preserve">ed </w:t>
      </w:r>
      <w:r>
        <w:t>in this way:</w:t>
      </w:r>
    </w:p>
    <w:p w14:paraId="7B95E411"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F09C098" w14:textId="77777777" w:rsidTr="00ED3D34">
        <w:tc>
          <w:tcPr>
            <w:tcW w:w="1413" w:type="dxa"/>
          </w:tcPr>
          <w:p w14:paraId="405B68FF" w14:textId="77777777" w:rsidR="009016B4" w:rsidRDefault="009016B4">
            <w:r>
              <w:t>Carrie:</w:t>
            </w:r>
          </w:p>
        </w:tc>
        <w:tc>
          <w:tcPr>
            <w:tcW w:w="6888" w:type="dxa"/>
          </w:tcPr>
          <w:p w14:paraId="0DD7CC31" w14:textId="2D563719" w:rsidR="009016B4" w:rsidRDefault="009016B4" w:rsidP="00794026">
            <w:pPr>
              <w:pStyle w:val="tablecontent-singlespaced"/>
            </w:pPr>
            <w:r w:rsidRPr="003B3778">
              <w:t xml:space="preserve">I was looking into semi-independent </w:t>
            </w:r>
            <w:r>
              <w:t xml:space="preserve">[accommodation] </w:t>
            </w:r>
            <w:r w:rsidRPr="003B3778">
              <w:t>um so I was like wanting to know where all the places are</w:t>
            </w:r>
            <w:r>
              <w:t>,</w:t>
            </w:r>
            <w:r w:rsidRPr="003B3778">
              <w:t xml:space="preserve"> how much money it would cost (.) I wanted to find out for myself if that was going to be it</w:t>
            </w:r>
            <w:r>
              <w:t xml:space="preserve"> [moving from the carers]</w:t>
            </w:r>
            <w:r w:rsidRPr="003B3778">
              <w:t xml:space="preserve"> (.) I didn't want them to come back to say well this is a </w:t>
            </w:r>
            <w:r w:rsidR="00585300" w:rsidRPr="003B3778">
              <w:t>place,</w:t>
            </w:r>
            <w:r w:rsidRPr="003B3778">
              <w:t xml:space="preserve"> and you are going tomorrow</w:t>
            </w:r>
            <w:r w:rsidR="00223505">
              <w:t>.</w:t>
            </w:r>
          </w:p>
          <w:p w14:paraId="2AC12734" w14:textId="77777777" w:rsidR="009016B4" w:rsidRDefault="009016B4"/>
        </w:tc>
      </w:tr>
      <w:tr w:rsidR="009016B4" w14:paraId="3BE132D4" w14:textId="77777777" w:rsidTr="00ED3D34">
        <w:tc>
          <w:tcPr>
            <w:tcW w:w="1413" w:type="dxa"/>
          </w:tcPr>
          <w:p w14:paraId="442E64BB" w14:textId="77777777" w:rsidR="009016B4" w:rsidRDefault="009016B4" w:rsidP="008E4AF2">
            <w:r>
              <w:t>Sally:</w:t>
            </w:r>
          </w:p>
        </w:tc>
        <w:tc>
          <w:tcPr>
            <w:tcW w:w="6888" w:type="dxa"/>
          </w:tcPr>
          <w:p w14:paraId="42DB27C9" w14:textId="63D24D82" w:rsidR="009016B4" w:rsidRDefault="009016B4" w:rsidP="00794026">
            <w:pPr>
              <w:pStyle w:val="tablecontent-singlespaced"/>
            </w:pPr>
            <w:r>
              <w:t>So what happened?</w:t>
            </w:r>
          </w:p>
          <w:p w14:paraId="6C92194B" w14:textId="77777777" w:rsidR="009016B4" w:rsidRPr="003B3778" w:rsidRDefault="009016B4"/>
        </w:tc>
      </w:tr>
      <w:tr w:rsidR="009016B4" w14:paraId="6140E42B" w14:textId="77777777" w:rsidTr="00ED3D34">
        <w:tc>
          <w:tcPr>
            <w:tcW w:w="1413" w:type="dxa"/>
          </w:tcPr>
          <w:p w14:paraId="4967CE19" w14:textId="77777777" w:rsidR="009016B4" w:rsidRDefault="009016B4" w:rsidP="008E4AF2">
            <w:r>
              <w:lastRenderedPageBreak/>
              <w:t>Carrie:</w:t>
            </w:r>
          </w:p>
        </w:tc>
        <w:tc>
          <w:tcPr>
            <w:tcW w:w="6888" w:type="dxa"/>
          </w:tcPr>
          <w:p w14:paraId="2E5A822E" w14:textId="6395E1CA" w:rsidR="009016B4" w:rsidRDefault="00223505" w:rsidP="00794026">
            <w:pPr>
              <w:pStyle w:val="tablecontent-singlespaced"/>
            </w:pPr>
            <w:r>
              <w:t>I</w:t>
            </w:r>
            <w:r w:rsidR="009016B4" w:rsidRPr="003B3778">
              <w:t xml:space="preserve">t was straight out looking at places without my input (.) </w:t>
            </w:r>
          </w:p>
        </w:tc>
      </w:tr>
    </w:tbl>
    <w:p w14:paraId="117E2E13" w14:textId="77777777" w:rsidR="009016B4" w:rsidRDefault="009016B4" w:rsidP="008E4AF2"/>
    <w:p w14:paraId="4D2269E4" w14:textId="4FBC10D2" w:rsidR="009016B4" w:rsidRDefault="009016B4">
      <w:r>
        <w:t xml:space="preserve">In some circumstances young people were provided with information about what their options were. Tyler explained that the </w:t>
      </w:r>
      <w:r w:rsidR="00C77DE4">
        <w:t>social</w:t>
      </w:r>
      <w:r>
        <w:t xml:space="preserve"> worker presented them with a clear choice: </w:t>
      </w:r>
    </w:p>
    <w:p w14:paraId="3C452147"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6A28D3A" w14:textId="77777777" w:rsidTr="00ED3D34">
        <w:tc>
          <w:tcPr>
            <w:tcW w:w="1413" w:type="dxa"/>
          </w:tcPr>
          <w:p w14:paraId="431A6547" w14:textId="77777777" w:rsidR="009016B4" w:rsidRDefault="009016B4">
            <w:r>
              <w:t>Tyler:</w:t>
            </w:r>
          </w:p>
        </w:tc>
        <w:tc>
          <w:tcPr>
            <w:tcW w:w="6888" w:type="dxa"/>
          </w:tcPr>
          <w:p w14:paraId="66AC2F61" w14:textId="6F9B1C0D" w:rsidR="009016B4" w:rsidRDefault="00223505" w:rsidP="00794026">
            <w:pPr>
              <w:pStyle w:val="tablecontent-singlespaced"/>
            </w:pPr>
            <w:r>
              <w:t>I</w:t>
            </w:r>
            <w:r w:rsidR="009016B4" w:rsidRPr="00997463">
              <w:t xml:space="preserve">t was like </w:t>
            </w:r>
            <w:r w:rsidR="009016B4" w:rsidRPr="00C77DE4">
              <w:rPr>
                <w:i/>
                <w:iCs/>
              </w:rPr>
              <w:t>Staying Put</w:t>
            </w:r>
            <w:r w:rsidR="009016B4" w:rsidRPr="00997463">
              <w:t xml:space="preserve"> or hostel</w:t>
            </w:r>
            <w:r>
              <w:t>.</w:t>
            </w:r>
          </w:p>
        </w:tc>
      </w:tr>
    </w:tbl>
    <w:p w14:paraId="5510E6FA" w14:textId="77777777" w:rsidR="009016B4" w:rsidRDefault="009016B4" w:rsidP="008E4AF2"/>
    <w:p w14:paraId="5134D884" w14:textId="4774860F" w:rsidR="009016B4" w:rsidRDefault="00C77DE4">
      <w:r>
        <w:t>However,</w:t>
      </w:r>
      <w:r w:rsidR="009016B4">
        <w:t xml:space="preserve"> Tyler was also interested in accommodation from the local Council, however felt that their </w:t>
      </w:r>
      <w:r>
        <w:t>s</w:t>
      </w:r>
      <w:r w:rsidR="009016B4">
        <w:t xml:space="preserve">ocial </w:t>
      </w:r>
      <w:r>
        <w:t>w</w:t>
      </w:r>
      <w:r w:rsidR="009016B4">
        <w:t>orker was unsure about the process:</w:t>
      </w:r>
    </w:p>
    <w:p w14:paraId="73631FE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8060531" w14:textId="77777777" w:rsidTr="00ED3D34">
        <w:tc>
          <w:tcPr>
            <w:tcW w:w="1413" w:type="dxa"/>
          </w:tcPr>
          <w:p w14:paraId="3CCD07D0" w14:textId="77777777" w:rsidR="009016B4" w:rsidRDefault="009016B4">
            <w:r>
              <w:t>Tyler:</w:t>
            </w:r>
          </w:p>
        </w:tc>
        <w:tc>
          <w:tcPr>
            <w:tcW w:w="6888" w:type="dxa"/>
          </w:tcPr>
          <w:p w14:paraId="20B1974C" w14:textId="51B4767F" w:rsidR="009016B4" w:rsidRDefault="009016B4" w:rsidP="00794026">
            <w:pPr>
              <w:pStyle w:val="tablecontent-singlespaced"/>
            </w:pPr>
            <w:r>
              <w:t>T</w:t>
            </w:r>
            <w:r w:rsidRPr="00997463">
              <w:t xml:space="preserve">hey give you a leaflet about like </w:t>
            </w:r>
            <w:r>
              <w:t>[</w:t>
            </w:r>
            <w:r w:rsidRPr="00997463">
              <w:t>removed</w:t>
            </w:r>
            <w:r>
              <w:t xml:space="preserve"> name of housing department</w:t>
            </w:r>
            <w:r w:rsidRPr="00997463">
              <w:t xml:space="preserve">) but you have to bid and go through it (.) it could be years before you get something (.) </w:t>
            </w:r>
            <w:r w:rsidR="00C77DE4">
              <w:t>s</w:t>
            </w:r>
            <w:r w:rsidRPr="00997463">
              <w:t xml:space="preserve">ocial </w:t>
            </w:r>
            <w:r w:rsidR="00C77DE4">
              <w:t>w</w:t>
            </w:r>
            <w:r w:rsidRPr="00997463">
              <w:t>orkers didn’t know anything it was all a mess really (.) I think I got lost and they were like (.) I don't know how it works</w:t>
            </w:r>
            <w:r>
              <w:t>.</w:t>
            </w:r>
            <w:r w:rsidRPr="00997463">
              <w:t xml:space="preserve"> </w:t>
            </w:r>
          </w:p>
        </w:tc>
      </w:tr>
    </w:tbl>
    <w:p w14:paraId="7A0206AF" w14:textId="77777777" w:rsidR="009016B4" w:rsidRDefault="009016B4" w:rsidP="008E4AF2"/>
    <w:p w14:paraId="598C53C0" w14:textId="7433FA96" w:rsidR="009016B4" w:rsidRDefault="009016B4">
      <w:r>
        <w:t xml:space="preserve">Liam’s plan was to remain with their carers, </w:t>
      </w:r>
      <w:r w:rsidR="00CE56DC">
        <w:t xml:space="preserve">and they </w:t>
      </w:r>
      <w:r>
        <w:t>did recall being given some information, however felt that it was inadequate and would have welcomed a more comprehensive picture:</w:t>
      </w:r>
    </w:p>
    <w:p w14:paraId="092130C0"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6397AB5" w14:textId="77777777" w:rsidTr="00ED3D34">
        <w:tc>
          <w:tcPr>
            <w:tcW w:w="1413" w:type="dxa"/>
          </w:tcPr>
          <w:p w14:paraId="7775E083" w14:textId="77777777" w:rsidR="009016B4" w:rsidRDefault="009016B4">
            <w:r>
              <w:t>Sally:</w:t>
            </w:r>
          </w:p>
        </w:tc>
        <w:tc>
          <w:tcPr>
            <w:tcW w:w="6888" w:type="dxa"/>
          </w:tcPr>
          <w:p w14:paraId="0032F3C9" w14:textId="77777777" w:rsidR="009016B4" w:rsidRDefault="009016B4" w:rsidP="00794026">
            <w:pPr>
              <w:pStyle w:val="tablecontent-singlespaced"/>
            </w:pPr>
            <w:r>
              <w:t>Did you get given any of the other options?</w:t>
            </w:r>
          </w:p>
          <w:p w14:paraId="3DBF129A" w14:textId="77777777" w:rsidR="009016B4" w:rsidRDefault="009016B4"/>
        </w:tc>
      </w:tr>
      <w:tr w:rsidR="009016B4" w14:paraId="16FC3D72" w14:textId="77777777" w:rsidTr="00ED3D34">
        <w:tc>
          <w:tcPr>
            <w:tcW w:w="1413" w:type="dxa"/>
          </w:tcPr>
          <w:p w14:paraId="46255509" w14:textId="77777777" w:rsidR="009016B4" w:rsidRDefault="009016B4" w:rsidP="008E4AF2">
            <w:r>
              <w:t>Liam:</w:t>
            </w:r>
          </w:p>
        </w:tc>
        <w:tc>
          <w:tcPr>
            <w:tcW w:w="6888" w:type="dxa"/>
          </w:tcPr>
          <w:p w14:paraId="213C0799" w14:textId="4C599FE3" w:rsidR="009016B4" w:rsidRDefault="00223505" w:rsidP="00794026">
            <w:pPr>
              <w:pStyle w:val="tablecontent-singlespaced"/>
            </w:pPr>
            <w:r>
              <w:t>Y</w:t>
            </w:r>
            <w:r w:rsidR="009016B4" w:rsidRPr="00997463">
              <w:t>eah but not to the extent that it would actually help me</w:t>
            </w:r>
            <w:r>
              <w:t>.</w:t>
            </w:r>
          </w:p>
        </w:tc>
      </w:tr>
    </w:tbl>
    <w:p w14:paraId="65CDEF1E" w14:textId="77777777" w:rsidR="009016B4" w:rsidRDefault="009016B4" w:rsidP="008E4AF2"/>
    <w:p w14:paraId="285B2E49" w14:textId="6DFD0B02" w:rsidR="009016B4" w:rsidRDefault="009016B4" w:rsidP="008E4AF2">
      <w:r>
        <w:t xml:space="preserve">Other young people talked about their discussions during this </w:t>
      </w:r>
      <w:r w:rsidR="00C77DE4">
        <w:t>time and</w:t>
      </w:r>
      <w:r>
        <w:t xml:space="preserve"> felt that there was a patchwork of information. Tyler referred to a vagueness in how and when information was shared:</w:t>
      </w:r>
    </w:p>
    <w:p w14:paraId="4D0B7EE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0D8A98C" w14:textId="77777777" w:rsidTr="00ED3D34">
        <w:tc>
          <w:tcPr>
            <w:tcW w:w="1413" w:type="dxa"/>
          </w:tcPr>
          <w:p w14:paraId="4D117D8D" w14:textId="77777777" w:rsidR="009016B4" w:rsidRDefault="009016B4">
            <w:r>
              <w:lastRenderedPageBreak/>
              <w:t>Tyler:</w:t>
            </w:r>
          </w:p>
        </w:tc>
        <w:tc>
          <w:tcPr>
            <w:tcW w:w="6888" w:type="dxa"/>
          </w:tcPr>
          <w:p w14:paraId="330A6530" w14:textId="70A769BD" w:rsidR="009016B4" w:rsidRDefault="00223505" w:rsidP="00794026">
            <w:pPr>
              <w:pStyle w:val="tablecontent-singlespaced"/>
            </w:pPr>
            <w:r>
              <w:t>I</w:t>
            </w:r>
            <w:r w:rsidR="009016B4" w:rsidRPr="00997463">
              <w:t xml:space="preserve">t was probably talked about quite a </w:t>
            </w:r>
            <w:r w:rsidR="00585300" w:rsidRPr="00997463">
              <w:t>bit,</w:t>
            </w:r>
            <w:r w:rsidR="009016B4" w:rsidRPr="00997463">
              <w:t xml:space="preserve"> but it wasn’t like really serious it was just like little bits in the conversation (.) that’s kinda the problem (.) no one really said anything (.) not even at meetings</w:t>
            </w:r>
            <w:r w:rsidR="00C77DE4">
              <w:t>.</w:t>
            </w:r>
          </w:p>
        </w:tc>
      </w:tr>
    </w:tbl>
    <w:p w14:paraId="02ED21CD" w14:textId="77777777" w:rsidR="009016B4" w:rsidRDefault="009016B4" w:rsidP="008E4AF2"/>
    <w:p w14:paraId="677F0E4C" w14:textId="77777777" w:rsidR="009016B4" w:rsidRDefault="009016B4">
      <w:r>
        <w:t>Tyler speculated that the absence of information could have been because they were planning to stay with their carers:</w:t>
      </w:r>
    </w:p>
    <w:p w14:paraId="10545A6C"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B0DF1FA" w14:textId="77777777" w:rsidTr="00ED3D34">
        <w:tc>
          <w:tcPr>
            <w:tcW w:w="1413" w:type="dxa"/>
          </w:tcPr>
          <w:p w14:paraId="7B0770FF" w14:textId="77777777" w:rsidR="009016B4" w:rsidRDefault="009016B4">
            <w:r>
              <w:t>Tyler:</w:t>
            </w:r>
          </w:p>
        </w:tc>
        <w:tc>
          <w:tcPr>
            <w:tcW w:w="6888" w:type="dxa"/>
          </w:tcPr>
          <w:p w14:paraId="6786D7B4" w14:textId="77777777" w:rsidR="009016B4" w:rsidRDefault="009016B4" w:rsidP="00794026">
            <w:pPr>
              <w:pStyle w:val="tablecontent-singlespaced"/>
            </w:pPr>
            <w:r w:rsidRPr="00997463">
              <w:t xml:space="preserve">I don’t think anyone said much (.) I don’t think it was discussed much as the thing really (.) erm </w:t>
            </w:r>
            <w:r>
              <w:t xml:space="preserve">perhaps </w:t>
            </w:r>
            <w:r w:rsidRPr="00997463">
              <w:t>because there was no point in talking about another option</w:t>
            </w:r>
            <w:r>
              <w:t>?</w:t>
            </w:r>
          </w:p>
        </w:tc>
      </w:tr>
    </w:tbl>
    <w:p w14:paraId="3E03E3BF" w14:textId="77777777" w:rsidR="009016B4" w:rsidRDefault="009016B4" w:rsidP="008E4AF2"/>
    <w:p w14:paraId="0FA0BD26" w14:textId="69A014E8" w:rsidR="009016B4" w:rsidRDefault="009016B4">
      <w:r>
        <w:t xml:space="preserve">The young people’s accounts described so far, detail variances in what they were told about potential accommodation or future options. However, other young people reflected a different approach, where their </w:t>
      </w:r>
      <w:r w:rsidR="00C77DE4">
        <w:t>s</w:t>
      </w:r>
      <w:r>
        <w:t xml:space="preserve">ocial </w:t>
      </w:r>
      <w:r w:rsidR="00C77DE4">
        <w:t>w</w:t>
      </w:r>
      <w:r>
        <w:t xml:space="preserve">orker or foster carer gave them information alongside their </w:t>
      </w:r>
      <w:r w:rsidR="001C573B">
        <w:t xml:space="preserve">personal </w:t>
      </w:r>
      <w:r>
        <w:t xml:space="preserve">opinion of the service discussed. Cally talked about the way their </w:t>
      </w:r>
      <w:r w:rsidR="00C77DE4">
        <w:t>s</w:t>
      </w:r>
      <w:r>
        <w:t xml:space="preserve">ocial </w:t>
      </w:r>
      <w:r w:rsidR="00C77DE4">
        <w:t>w</w:t>
      </w:r>
      <w:r>
        <w:t>orker shared some information about a supported living scheme:</w:t>
      </w:r>
    </w:p>
    <w:p w14:paraId="24851028"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C68F7B4" w14:textId="77777777" w:rsidTr="00ED3D34">
        <w:tc>
          <w:tcPr>
            <w:tcW w:w="1413" w:type="dxa"/>
          </w:tcPr>
          <w:p w14:paraId="1FC98E99" w14:textId="77777777" w:rsidR="009016B4" w:rsidRDefault="009016B4">
            <w:r>
              <w:t>Sally:</w:t>
            </w:r>
          </w:p>
        </w:tc>
        <w:tc>
          <w:tcPr>
            <w:tcW w:w="6888" w:type="dxa"/>
          </w:tcPr>
          <w:p w14:paraId="127042AD" w14:textId="77777777" w:rsidR="009016B4" w:rsidRDefault="009016B4" w:rsidP="00794026">
            <w:pPr>
              <w:pStyle w:val="tablecontent-singlespaced"/>
            </w:pPr>
            <w:r>
              <w:t>Where you aware of other options for you?</w:t>
            </w:r>
          </w:p>
          <w:p w14:paraId="77BA9813" w14:textId="77777777" w:rsidR="009016B4" w:rsidRDefault="009016B4"/>
        </w:tc>
      </w:tr>
      <w:tr w:rsidR="009016B4" w14:paraId="68CA748A" w14:textId="77777777" w:rsidTr="00ED3D34">
        <w:tc>
          <w:tcPr>
            <w:tcW w:w="1413" w:type="dxa"/>
          </w:tcPr>
          <w:p w14:paraId="71F39652" w14:textId="77777777" w:rsidR="009016B4" w:rsidRDefault="009016B4" w:rsidP="008E4AF2">
            <w:r>
              <w:t xml:space="preserve">Cally: </w:t>
            </w:r>
          </w:p>
        </w:tc>
        <w:tc>
          <w:tcPr>
            <w:tcW w:w="6888" w:type="dxa"/>
          </w:tcPr>
          <w:p w14:paraId="28DAB124" w14:textId="0BD84700" w:rsidR="009016B4" w:rsidRDefault="00223505" w:rsidP="00794026">
            <w:pPr>
              <w:pStyle w:val="tablecontent-singlespaced"/>
            </w:pPr>
            <w:r>
              <w:t>E</w:t>
            </w:r>
            <w:r w:rsidR="009016B4" w:rsidRPr="00AD7257">
              <w:t xml:space="preserve">rm the only thing the </w:t>
            </w:r>
            <w:r w:rsidR="00C77DE4">
              <w:t>s</w:t>
            </w:r>
            <w:r w:rsidR="009016B4" w:rsidRPr="00AD7257">
              <w:t xml:space="preserve">ocial </w:t>
            </w:r>
            <w:r w:rsidR="00C77DE4">
              <w:t>w</w:t>
            </w:r>
            <w:r w:rsidR="009016B4" w:rsidRPr="00AD7257">
              <w:t xml:space="preserve">orker said was </w:t>
            </w:r>
            <w:r w:rsidR="009016B4">
              <w:t>a</w:t>
            </w:r>
            <w:r w:rsidR="009016B4" w:rsidRPr="00AD7257">
              <w:t xml:space="preserve">bout going to </w:t>
            </w:r>
            <w:r w:rsidR="009016B4">
              <w:t>[name of service]</w:t>
            </w:r>
            <w:r w:rsidR="009016B4" w:rsidRPr="00AD7257">
              <w:t xml:space="preserve"> ((pause)) you wouldn't wanna go though she said it was a shit</w:t>
            </w:r>
            <w:r w:rsidR="009016B4">
              <w:t xml:space="preserve"> </w:t>
            </w:r>
            <w:r w:rsidR="009016B4" w:rsidRPr="00AD7257">
              <w:t>hole (.) I think that was to put me off</w:t>
            </w:r>
            <w:r>
              <w:t>.</w:t>
            </w:r>
          </w:p>
        </w:tc>
      </w:tr>
    </w:tbl>
    <w:p w14:paraId="39E5B065" w14:textId="77777777" w:rsidR="009016B4" w:rsidRDefault="009016B4" w:rsidP="008E4AF2"/>
    <w:p w14:paraId="7120CFED" w14:textId="4747748D" w:rsidR="009016B4" w:rsidRDefault="009016B4">
      <w:r>
        <w:t xml:space="preserve">Cally seemed aware that the </w:t>
      </w:r>
      <w:r w:rsidR="004C1BAD">
        <w:t>s</w:t>
      </w:r>
      <w:r>
        <w:t xml:space="preserve">ocial </w:t>
      </w:r>
      <w:r w:rsidR="004C1BAD">
        <w:t>w</w:t>
      </w:r>
      <w:r>
        <w:t xml:space="preserve">orker had an agenda in this situation, however Beth </w:t>
      </w:r>
      <w:r w:rsidR="00E2343E">
        <w:t xml:space="preserve">and Eshal </w:t>
      </w:r>
      <w:r>
        <w:t xml:space="preserve">did not speculate about the language used to describe </w:t>
      </w:r>
      <w:r w:rsidR="00E2343E">
        <w:t>difference services</w:t>
      </w:r>
      <w:r>
        <w:t>:</w:t>
      </w:r>
    </w:p>
    <w:p w14:paraId="12D59B6E" w14:textId="77777777" w:rsidR="009016B4" w:rsidRDefault="009016B4"/>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27424A93" w14:textId="77777777" w:rsidTr="00ED3D34">
        <w:tc>
          <w:tcPr>
            <w:tcW w:w="1413" w:type="dxa"/>
          </w:tcPr>
          <w:p w14:paraId="27B886D5" w14:textId="77777777" w:rsidR="009016B4" w:rsidRDefault="009016B4">
            <w:r>
              <w:t>Beth:</w:t>
            </w:r>
          </w:p>
        </w:tc>
        <w:tc>
          <w:tcPr>
            <w:tcW w:w="6888" w:type="dxa"/>
          </w:tcPr>
          <w:p w14:paraId="6D1951DF" w14:textId="77777777" w:rsidR="009016B4" w:rsidRDefault="009016B4" w:rsidP="00794026">
            <w:pPr>
              <w:pStyle w:val="tablecontent-singlespaced"/>
            </w:pPr>
            <w:r>
              <w:t xml:space="preserve">I </w:t>
            </w:r>
            <w:r w:rsidRPr="006C1AF4">
              <w:t>was refusing hostels (.) and I was not going to risk myself I either wanted to be there or (.) be in my own place (.) not sharing no it’s not safe (.) like I’d heard like stories about people taking stuff</w:t>
            </w:r>
            <w:r>
              <w:t>.</w:t>
            </w:r>
          </w:p>
          <w:p w14:paraId="7F66D690" w14:textId="77777777" w:rsidR="009016B4" w:rsidRDefault="009016B4"/>
        </w:tc>
      </w:tr>
      <w:tr w:rsidR="009016B4" w:rsidRPr="006C1AF4" w14:paraId="13DFEB8E" w14:textId="77777777" w:rsidTr="00ED3D34">
        <w:tc>
          <w:tcPr>
            <w:tcW w:w="1413" w:type="dxa"/>
          </w:tcPr>
          <w:p w14:paraId="3533B169" w14:textId="77777777" w:rsidR="009016B4" w:rsidRDefault="009016B4" w:rsidP="008E4AF2">
            <w:r>
              <w:t>Sally:</w:t>
            </w:r>
          </w:p>
        </w:tc>
        <w:tc>
          <w:tcPr>
            <w:tcW w:w="6888" w:type="dxa"/>
          </w:tcPr>
          <w:p w14:paraId="1B29D1FA" w14:textId="52997F1C" w:rsidR="009016B4" w:rsidRDefault="009016B4" w:rsidP="00794026">
            <w:pPr>
              <w:pStyle w:val="tablecontent-singlespaced"/>
            </w:pPr>
            <w:r>
              <w:t xml:space="preserve">Who do </w:t>
            </w:r>
            <w:r w:rsidR="0055091B">
              <w:t xml:space="preserve">you </w:t>
            </w:r>
            <w:r>
              <w:t>mean?</w:t>
            </w:r>
          </w:p>
          <w:p w14:paraId="2E692C94" w14:textId="77777777" w:rsidR="009016B4" w:rsidRPr="006C1AF4" w:rsidRDefault="009016B4"/>
        </w:tc>
      </w:tr>
      <w:tr w:rsidR="009016B4" w14:paraId="74DC8FCA" w14:textId="77777777" w:rsidTr="00ED3D34">
        <w:tc>
          <w:tcPr>
            <w:tcW w:w="1413" w:type="dxa"/>
          </w:tcPr>
          <w:p w14:paraId="105C6C7F" w14:textId="77777777" w:rsidR="009016B4" w:rsidRDefault="009016B4" w:rsidP="008E4AF2">
            <w:r>
              <w:lastRenderedPageBreak/>
              <w:t>Beth:</w:t>
            </w:r>
          </w:p>
        </w:tc>
        <w:tc>
          <w:tcPr>
            <w:tcW w:w="6888" w:type="dxa"/>
          </w:tcPr>
          <w:p w14:paraId="44BB09AC" w14:textId="36B3A0B7" w:rsidR="009016B4" w:rsidRDefault="009016B4" w:rsidP="00794026">
            <w:pPr>
              <w:pStyle w:val="tablecontent-singlespaced"/>
            </w:pPr>
            <w:r>
              <w:t xml:space="preserve">The </w:t>
            </w:r>
            <w:r w:rsidR="00C77DE4">
              <w:t>s</w:t>
            </w:r>
            <w:r>
              <w:t xml:space="preserve">ocial </w:t>
            </w:r>
            <w:r w:rsidR="00C77DE4">
              <w:t>w</w:t>
            </w:r>
            <w:r>
              <w:t>orkers, [name of foster carer] told me about it, I</w:t>
            </w:r>
            <w:r w:rsidRPr="006C1AF4">
              <w:t xml:space="preserve"> got options </w:t>
            </w:r>
            <w:r w:rsidR="001C573B">
              <w:t>of</w:t>
            </w:r>
            <w:r w:rsidRPr="006C1AF4">
              <w:t xml:space="preserve"> hostels eh (.) shared accommodation (.) and like the hostels</w:t>
            </w:r>
            <w:r>
              <w:t xml:space="preserve">, they </w:t>
            </w:r>
            <w:r w:rsidRPr="006C1AF4">
              <w:t>were like ones where there's like loads of care leavers and all that stu</w:t>
            </w:r>
            <w:r>
              <w:t>ff</w:t>
            </w:r>
            <w:r w:rsidR="00223505">
              <w:t>.</w:t>
            </w:r>
          </w:p>
          <w:p w14:paraId="566ED48A" w14:textId="77777777" w:rsidR="009016B4" w:rsidRDefault="009016B4"/>
        </w:tc>
      </w:tr>
      <w:tr w:rsidR="009016B4" w14:paraId="58A515B1" w14:textId="77777777" w:rsidTr="00ED3D34">
        <w:tc>
          <w:tcPr>
            <w:tcW w:w="1413" w:type="dxa"/>
          </w:tcPr>
          <w:p w14:paraId="4C853A88" w14:textId="77777777" w:rsidR="009016B4" w:rsidRDefault="009016B4" w:rsidP="008E4AF2">
            <w:r>
              <w:t>Sally:</w:t>
            </w:r>
          </w:p>
        </w:tc>
        <w:tc>
          <w:tcPr>
            <w:tcW w:w="6888" w:type="dxa"/>
          </w:tcPr>
          <w:p w14:paraId="2E2360E1" w14:textId="77777777" w:rsidR="009016B4" w:rsidRDefault="009016B4" w:rsidP="00794026">
            <w:pPr>
              <w:pStyle w:val="tablecontent-singlespaced"/>
            </w:pPr>
            <w:r>
              <w:t>What sort of stuff?</w:t>
            </w:r>
          </w:p>
          <w:p w14:paraId="1E4859AD" w14:textId="77777777" w:rsidR="009016B4" w:rsidRDefault="009016B4"/>
        </w:tc>
      </w:tr>
      <w:tr w:rsidR="009016B4" w14:paraId="193F35D2" w14:textId="77777777" w:rsidTr="00ED3D34">
        <w:tc>
          <w:tcPr>
            <w:tcW w:w="1413" w:type="dxa"/>
          </w:tcPr>
          <w:p w14:paraId="503E0AF4" w14:textId="77777777" w:rsidR="009016B4" w:rsidRDefault="009016B4" w:rsidP="008E4AF2">
            <w:r>
              <w:t>Beth:</w:t>
            </w:r>
          </w:p>
        </w:tc>
        <w:tc>
          <w:tcPr>
            <w:tcW w:w="6888" w:type="dxa"/>
          </w:tcPr>
          <w:p w14:paraId="773722CE" w14:textId="20178794" w:rsidR="009016B4" w:rsidRDefault="00223505" w:rsidP="00794026">
            <w:pPr>
              <w:pStyle w:val="tablecontent-singlespaced"/>
            </w:pPr>
            <w:r>
              <w:t>Y</w:t>
            </w:r>
            <w:r w:rsidR="009016B4" w:rsidRPr="006C1AF4">
              <w:t>ou get all the drug people and (.) I know I shouldn’t put it like (.) but i</w:t>
            </w:r>
            <w:r>
              <w:t>t’s</w:t>
            </w:r>
            <w:r w:rsidR="009016B4" w:rsidRPr="006C1AF4">
              <w:t xml:space="preserve"> just</w:t>
            </w:r>
            <w:r>
              <w:t xml:space="preserve"> a halfway house and</w:t>
            </w:r>
            <w:r w:rsidR="009016B4" w:rsidRPr="006C1AF4">
              <w:t xml:space="preserve"> don’t sound safe living in </w:t>
            </w:r>
            <w:r>
              <w:t>them.</w:t>
            </w:r>
            <w:r w:rsidR="009016B4" w:rsidRPr="006C1AF4">
              <w:t xml:space="preserve"> </w:t>
            </w:r>
          </w:p>
        </w:tc>
      </w:tr>
    </w:tbl>
    <w:p w14:paraId="29006BDE" w14:textId="6D80A300"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E2343E" w14:paraId="6010DAB6" w14:textId="77777777" w:rsidTr="009B5BB6">
        <w:tc>
          <w:tcPr>
            <w:tcW w:w="1413" w:type="dxa"/>
          </w:tcPr>
          <w:p w14:paraId="129ACA5F" w14:textId="77777777" w:rsidR="00E2343E" w:rsidRDefault="00E2343E" w:rsidP="009B5BB6">
            <w:r>
              <w:t>Eshal:</w:t>
            </w:r>
          </w:p>
        </w:tc>
        <w:tc>
          <w:tcPr>
            <w:tcW w:w="6888" w:type="dxa"/>
          </w:tcPr>
          <w:p w14:paraId="57525EE0" w14:textId="77777777" w:rsidR="00E2343E" w:rsidRDefault="00E2343E" w:rsidP="009B5BB6">
            <w:pPr>
              <w:pStyle w:val="tablecontent-singlespaced"/>
            </w:pPr>
            <w:r>
              <w:t>The one [supported accommodation] near me is an absolute dump.</w:t>
            </w:r>
          </w:p>
          <w:p w14:paraId="0E0E9257" w14:textId="77777777" w:rsidR="00E2343E" w:rsidRDefault="00E2343E" w:rsidP="009B5BB6">
            <w:pPr>
              <w:pStyle w:val="tablecontent-singlespaced"/>
            </w:pPr>
          </w:p>
        </w:tc>
      </w:tr>
      <w:tr w:rsidR="00E2343E" w14:paraId="44729C23" w14:textId="77777777" w:rsidTr="009B5BB6">
        <w:tc>
          <w:tcPr>
            <w:tcW w:w="1413" w:type="dxa"/>
          </w:tcPr>
          <w:p w14:paraId="01A3606C" w14:textId="77777777" w:rsidR="00E2343E" w:rsidRDefault="00E2343E" w:rsidP="009B5BB6">
            <w:r>
              <w:t>Sally:</w:t>
            </w:r>
          </w:p>
        </w:tc>
        <w:tc>
          <w:tcPr>
            <w:tcW w:w="6888" w:type="dxa"/>
          </w:tcPr>
          <w:p w14:paraId="73B6BCB7" w14:textId="77777777" w:rsidR="00E2343E" w:rsidRDefault="00E2343E" w:rsidP="009B5BB6">
            <w:pPr>
              <w:pStyle w:val="tablecontent-singlespaced"/>
            </w:pPr>
            <w:r>
              <w:t>Did you go and visit it before?</w:t>
            </w:r>
          </w:p>
        </w:tc>
      </w:tr>
      <w:tr w:rsidR="00E2343E" w14:paraId="26B8E514" w14:textId="77777777" w:rsidTr="009B5BB6">
        <w:tc>
          <w:tcPr>
            <w:tcW w:w="1413" w:type="dxa"/>
          </w:tcPr>
          <w:p w14:paraId="7BDCC00E" w14:textId="77777777" w:rsidR="00E2343E" w:rsidRDefault="00E2343E" w:rsidP="009B5BB6">
            <w:r>
              <w:t>Eshal:</w:t>
            </w:r>
          </w:p>
        </w:tc>
        <w:tc>
          <w:tcPr>
            <w:tcW w:w="6888" w:type="dxa"/>
          </w:tcPr>
          <w:p w14:paraId="5EC0D504" w14:textId="77777777" w:rsidR="00E2343E" w:rsidRDefault="00E2343E" w:rsidP="009B5BB6">
            <w:pPr>
              <w:pStyle w:val="tablecontent-singlespaced"/>
            </w:pPr>
            <w:r>
              <w:t>No, my carer told me.</w:t>
            </w:r>
          </w:p>
        </w:tc>
      </w:tr>
    </w:tbl>
    <w:p w14:paraId="2665B014" w14:textId="1E38F5F4" w:rsidR="009016B4" w:rsidRDefault="009016B4">
      <w:r>
        <w:t>Beth</w:t>
      </w:r>
      <w:r w:rsidR="00E2343E">
        <w:t xml:space="preserve"> and Eshal</w:t>
      </w:r>
      <w:r>
        <w:t xml:space="preserve">’s perception of other types of accommodation stemmed from conversations with their immediate support network. Tyler also heard rumours from other young people in foster care placements and assumed their thinking had been shaped by their experience or their carer’s experience. When they asked their </w:t>
      </w:r>
      <w:r w:rsidR="00C77DE4">
        <w:t>s</w:t>
      </w:r>
      <w:r>
        <w:t xml:space="preserve">ocial </w:t>
      </w:r>
      <w:r w:rsidR="00C77DE4">
        <w:t>w</w:t>
      </w:r>
      <w:r>
        <w:t xml:space="preserve">orker to help them make sense of what they had heard, the </w:t>
      </w:r>
      <w:r w:rsidR="0069625A">
        <w:t>s</w:t>
      </w:r>
      <w:r>
        <w:t xml:space="preserve">ocial </w:t>
      </w:r>
      <w:r w:rsidR="0069625A">
        <w:t>w</w:t>
      </w:r>
      <w:r>
        <w:t>orker reinforced the perceptions of other people:</w:t>
      </w:r>
    </w:p>
    <w:p w14:paraId="2620B8F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9CD7A7C" w14:textId="77777777" w:rsidTr="00E2343E">
        <w:tc>
          <w:tcPr>
            <w:tcW w:w="1413" w:type="dxa"/>
          </w:tcPr>
          <w:p w14:paraId="6F0D7394" w14:textId="2DA2E63B" w:rsidR="009016B4" w:rsidRDefault="009016B4">
            <w:r>
              <w:t xml:space="preserve"> Tyler:</w:t>
            </w:r>
          </w:p>
        </w:tc>
        <w:tc>
          <w:tcPr>
            <w:tcW w:w="6888" w:type="dxa"/>
          </w:tcPr>
          <w:p w14:paraId="7217E588" w14:textId="58A49C60" w:rsidR="009016B4" w:rsidRDefault="009016B4" w:rsidP="00794026">
            <w:pPr>
              <w:pStyle w:val="tablecontent-singlespaced"/>
            </w:pPr>
            <w:r>
              <w:t>It was like she confirmed all my worst fears about the place (.) not sure she said she’d b</w:t>
            </w:r>
            <w:r w:rsidR="00223505">
              <w:t>ee</w:t>
            </w:r>
            <w:r>
              <w:t>n to them all, but she was like (.) they are not nice and like not for you, different sorts of people</w:t>
            </w:r>
            <w:r w:rsidR="003C352D">
              <w:t>.</w:t>
            </w:r>
          </w:p>
        </w:tc>
      </w:tr>
    </w:tbl>
    <w:p w14:paraId="7AE0A60F" w14:textId="28349393" w:rsidR="009016B4" w:rsidRDefault="009016B4" w:rsidP="008E4AF2"/>
    <w:p w14:paraId="7A045951" w14:textId="2FD74D69" w:rsidR="009016B4" w:rsidRDefault="009016B4">
      <w:r>
        <w:t xml:space="preserve">In addition to feeling that information was shared in a piecemeal way, young people also highlighted some of the messages from </w:t>
      </w:r>
      <w:r w:rsidR="00B9048A">
        <w:t>s</w:t>
      </w:r>
      <w:r>
        <w:t xml:space="preserve">ocial </w:t>
      </w:r>
      <w:r w:rsidR="00B9048A">
        <w:t>w</w:t>
      </w:r>
      <w:r>
        <w:t xml:space="preserve">orkers and carers about different options they were considering. </w:t>
      </w:r>
      <w:r w:rsidR="003C352D">
        <w:t xml:space="preserve">It appeared that information provided by social workers and in some cases foster carers was </w:t>
      </w:r>
      <w:r w:rsidR="00E2343E">
        <w:t xml:space="preserve">presented </w:t>
      </w:r>
      <w:r w:rsidR="0087720A">
        <w:t>according to the outcome wanted by the social worker or foster carer</w:t>
      </w:r>
      <w:r w:rsidR="003C352D">
        <w:t xml:space="preserve">. </w:t>
      </w:r>
      <w:r>
        <w:t xml:space="preserve">In circumstances where young people were discussing </w:t>
      </w:r>
      <w:r w:rsidRPr="00F00B9F">
        <w:rPr>
          <w:i/>
          <w:iCs/>
        </w:rPr>
        <w:t>Staying Put,</w:t>
      </w:r>
      <w:r>
        <w:t xml:space="preserve"> other types of accommodation appeared to be used to offer contrast to remaining with foster carers, rather than possible alternatives. Rather than being presented in neutral way, alternatives were </w:t>
      </w:r>
      <w:r w:rsidR="00F00B9F">
        <w:t>maligned,</w:t>
      </w:r>
      <w:r>
        <w:t xml:space="preserve"> or factors exaggerated to the extent that young people became fearful of moving to these settings or the negative images perpetuated stories they already had been </w:t>
      </w:r>
      <w:r>
        <w:lastRenderedPageBreak/>
        <w:t xml:space="preserve">given. Supported accommodation appeared to be framed by use of language like </w:t>
      </w:r>
      <w:r w:rsidR="00223505">
        <w:t>‘</w:t>
      </w:r>
      <w:r>
        <w:t>hostel</w:t>
      </w:r>
      <w:r w:rsidR="00223505">
        <w:t>’</w:t>
      </w:r>
      <w:r>
        <w:t xml:space="preserve"> or </w:t>
      </w:r>
      <w:r w:rsidR="00223505">
        <w:t>‘</w:t>
      </w:r>
      <w:r>
        <w:t>halfway house</w:t>
      </w:r>
      <w:r w:rsidR="00223505">
        <w:t>’</w:t>
      </w:r>
      <w:r>
        <w:t xml:space="preserve"> and in some cases more explicitly as ‘dumps’ or </w:t>
      </w:r>
      <w:r w:rsidR="00E85CE2">
        <w:t>‘</w:t>
      </w:r>
      <w:r>
        <w:t>shit holes’</w:t>
      </w:r>
      <w:r w:rsidR="003C352D">
        <w:t xml:space="preserve"> and in doing so curated an image of </w:t>
      </w:r>
      <w:r w:rsidR="00223505">
        <w:t>each</w:t>
      </w:r>
      <w:r w:rsidR="003C352D">
        <w:t xml:space="preserve"> particular option</w:t>
      </w:r>
      <w:r>
        <w:t xml:space="preserve">. Some young people appeared to recognise that their </w:t>
      </w:r>
      <w:r w:rsidR="00F00B9F">
        <w:t>s</w:t>
      </w:r>
      <w:r>
        <w:t xml:space="preserve">ocial </w:t>
      </w:r>
      <w:r w:rsidR="00F00B9F">
        <w:t>w</w:t>
      </w:r>
      <w:r>
        <w:t xml:space="preserve">orkers were using these terms to influence their thinking. </w:t>
      </w:r>
      <w:r w:rsidR="00C77DE4">
        <w:t>However,</w:t>
      </w:r>
      <w:r>
        <w:t xml:space="preserve"> for other young people they did not seem to question the information they had been presented with and appeared to have made their choices with these ideas in mind. </w:t>
      </w:r>
    </w:p>
    <w:p w14:paraId="4AFA3323" w14:textId="77777777" w:rsidR="0087720A" w:rsidRDefault="0087720A" w:rsidP="0087720A">
      <w:r>
        <w:t>Believing that this was a decision they should make, some young people were frustrated by the lack of involvement and the level of information they had been given. Yannick described their surprise at not being given a choice:</w:t>
      </w:r>
    </w:p>
    <w:p w14:paraId="7B88B5CE" w14:textId="77777777" w:rsidR="0087720A" w:rsidRDefault="0087720A" w:rsidP="0087720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87720A" w14:paraId="7A153576" w14:textId="77777777" w:rsidTr="00F93BD5">
        <w:tc>
          <w:tcPr>
            <w:tcW w:w="1413" w:type="dxa"/>
          </w:tcPr>
          <w:p w14:paraId="46B395D9" w14:textId="77777777" w:rsidR="0087720A" w:rsidRDefault="0087720A" w:rsidP="00F93BD5">
            <w:r>
              <w:t>Yannick:</w:t>
            </w:r>
          </w:p>
        </w:tc>
        <w:tc>
          <w:tcPr>
            <w:tcW w:w="6888" w:type="dxa"/>
          </w:tcPr>
          <w:p w14:paraId="728882F7" w14:textId="1EF9AE93" w:rsidR="0087720A" w:rsidRDefault="00223505" w:rsidP="00F93BD5">
            <w:pPr>
              <w:pStyle w:val="tablecontent-singlespaced"/>
            </w:pPr>
            <w:r>
              <w:t>T</w:t>
            </w:r>
            <w:r w:rsidR="0087720A" w:rsidRPr="00AD7257">
              <w:t>here was no like do you wanna do this</w:t>
            </w:r>
            <w:r w:rsidR="0087720A">
              <w:t>,</w:t>
            </w:r>
            <w:r w:rsidR="0087720A" w:rsidRPr="00AD7257">
              <w:t xml:space="preserve"> or do you wanna do this</w:t>
            </w:r>
            <w:r w:rsidR="0087720A">
              <w:t xml:space="preserve"> … I thought </w:t>
            </w:r>
            <w:r w:rsidR="0087720A" w:rsidRPr="00AD7257">
              <w:t xml:space="preserve">like the </w:t>
            </w:r>
            <w:r w:rsidR="0087720A">
              <w:t>s</w:t>
            </w:r>
            <w:r w:rsidR="0087720A" w:rsidRPr="00AD7257">
              <w:t xml:space="preserve">ocial </w:t>
            </w:r>
            <w:r w:rsidR="0087720A">
              <w:t>w</w:t>
            </w:r>
            <w:r w:rsidR="0087720A" w:rsidRPr="00AD7257">
              <w:t>orker would come and be like (.) do you wanna live here or like do you wanna live here</w:t>
            </w:r>
            <w:r>
              <w:t>.</w:t>
            </w:r>
            <w:r w:rsidR="00E2343E">
              <w:t xml:space="preserve"> It was like I was invisible.</w:t>
            </w:r>
          </w:p>
        </w:tc>
      </w:tr>
    </w:tbl>
    <w:p w14:paraId="1AB0FA43" w14:textId="77777777" w:rsidR="0087720A" w:rsidRDefault="0087720A" w:rsidP="0087720A"/>
    <w:p w14:paraId="127DA2B3" w14:textId="77777777" w:rsidR="0087720A" w:rsidRDefault="0087720A" w:rsidP="0087720A">
      <w:r>
        <w:t>Carrie summed up the feelings of many of the participants:</w:t>
      </w:r>
    </w:p>
    <w:p w14:paraId="78D77601" w14:textId="77777777" w:rsidR="0087720A" w:rsidRDefault="0087720A" w:rsidP="0087720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87720A" w14:paraId="3EAAB042" w14:textId="77777777" w:rsidTr="00F93BD5">
        <w:trPr>
          <w:trHeight w:val="67"/>
        </w:trPr>
        <w:tc>
          <w:tcPr>
            <w:tcW w:w="1413" w:type="dxa"/>
          </w:tcPr>
          <w:p w14:paraId="7CD7016A" w14:textId="77777777" w:rsidR="0087720A" w:rsidRDefault="0087720A" w:rsidP="00F93BD5">
            <w:r>
              <w:t>Carrie:</w:t>
            </w:r>
          </w:p>
        </w:tc>
        <w:tc>
          <w:tcPr>
            <w:tcW w:w="6888" w:type="dxa"/>
          </w:tcPr>
          <w:p w14:paraId="5F5E45DA" w14:textId="7DCA7DAA" w:rsidR="0087720A" w:rsidRDefault="0087720A" w:rsidP="00F93BD5">
            <w:pPr>
              <w:pStyle w:val="tablecontent-singlespaced"/>
            </w:pPr>
            <w:r>
              <w:t>I</w:t>
            </w:r>
            <w:r w:rsidRPr="003B3778">
              <w:t>t felt like I was making these huge decisions with my eyes shut and like my hand over my mouth most of the time (.) it's like asking someone to like make like a rando</w:t>
            </w:r>
            <w:r>
              <w:t>m</w:t>
            </w:r>
            <w:r w:rsidRPr="003B3778">
              <w:t xml:space="preserve"> guess about what to do next (urm) to be honest </w:t>
            </w:r>
            <w:r>
              <w:t>it</w:t>
            </w:r>
            <w:r w:rsidRPr="003B3778">
              <w:t xml:space="preserve"> was like on some </w:t>
            </w:r>
            <w:r>
              <w:t>freaky</w:t>
            </w:r>
            <w:r w:rsidRPr="003B3778">
              <w:t xml:space="preserve"> game show deciding who to marry without knowing them</w:t>
            </w:r>
            <w:r w:rsidR="00BA21AF">
              <w:t>.</w:t>
            </w:r>
            <w:r w:rsidRPr="003B3778">
              <w:t xml:space="preserve"> </w:t>
            </w:r>
          </w:p>
        </w:tc>
      </w:tr>
    </w:tbl>
    <w:p w14:paraId="5FAA17C7" w14:textId="1B5F23C2" w:rsidR="003C352D" w:rsidRDefault="003C352D"/>
    <w:p w14:paraId="17317721" w14:textId="77777777" w:rsidR="0087720A" w:rsidRDefault="0087720A" w:rsidP="0087720A">
      <w:r w:rsidRPr="00C77DE4">
        <w:t>As w</w:t>
      </w:r>
      <w:r>
        <w:t>ell as accounts of patchy information sharing, some young people described an absence of any options or information. Jonathan questioned why their social worker did not talk with them, despite not knowing what the plans would be:</w:t>
      </w:r>
    </w:p>
    <w:p w14:paraId="5FB3DAFE" w14:textId="77777777" w:rsidR="0087720A" w:rsidRDefault="0087720A" w:rsidP="0087720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87720A" w14:paraId="615FB71F" w14:textId="77777777" w:rsidTr="00F93BD5">
        <w:tc>
          <w:tcPr>
            <w:tcW w:w="1413" w:type="dxa"/>
          </w:tcPr>
          <w:p w14:paraId="11E53059" w14:textId="77777777" w:rsidR="0087720A" w:rsidRDefault="0087720A" w:rsidP="00F93BD5">
            <w:r>
              <w:t>Jonathan:</w:t>
            </w:r>
          </w:p>
        </w:tc>
        <w:tc>
          <w:tcPr>
            <w:tcW w:w="6888" w:type="dxa"/>
          </w:tcPr>
          <w:p w14:paraId="207C734B" w14:textId="5FB62E4A" w:rsidR="0087720A" w:rsidRDefault="0087720A" w:rsidP="00F93BD5">
            <w:pPr>
              <w:pStyle w:val="tablecontent-singlespaced"/>
            </w:pPr>
            <w:r>
              <w:t>M</w:t>
            </w:r>
            <w:r w:rsidRPr="003B3778">
              <w:t xml:space="preserve">y foster parents were keen to keep me until I was about 20ish I had </w:t>
            </w:r>
            <w:r>
              <w:t xml:space="preserve">that </w:t>
            </w:r>
            <w:r w:rsidRPr="003B3778">
              <w:t xml:space="preserve">support (.) but I don’t think they told social services so why wasn’t </w:t>
            </w:r>
            <w:r>
              <w:t xml:space="preserve">I </w:t>
            </w:r>
            <w:r w:rsidRPr="003B3778">
              <w:t>shown other options come to think of it</w:t>
            </w:r>
            <w:r w:rsidR="00BA21AF">
              <w:t>?</w:t>
            </w:r>
          </w:p>
        </w:tc>
      </w:tr>
    </w:tbl>
    <w:p w14:paraId="300106EA" w14:textId="77777777" w:rsidR="0087720A" w:rsidRDefault="0087720A" w:rsidP="0087720A"/>
    <w:p w14:paraId="32731301" w14:textId="77777777" w:rsidR="0087720A" w:rsidRDefault="0087720A" w:rsidP="0087720A">
      <w:r>
        <w:t>In Eshal’s situation, they were not given information or a choice and felt the plan was imposed without discussion:</w:t>
      </w:r>
    </w:p>
    <w:p w14:paraId="03ACD898" w14:textId="77777777" w:rsidR="0087720A" w:rsidRDefault="0087720A" w:rsidP="0087720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87720A" w14:paraId="79E94813" w14:textId="77777777" w:rsidTr="00F93BD5">
        <w:tc>
          <w:tcPr>
            <w:tcW w:w="1413" w:type="dxa"/>
          </w:tcPr>
          <w:p w14:paraId="18FE00C9" w14:textId="77777777" w:rsidR="0087720A" w:rsidRDefault="0087720A" w:rsidP="00F93BD5">
            <w:r>
              <w:t>Eshal:</w:t>
            </w:r>
          </w:p>
        </w:tc>
        <w:tc>
          <w:tcPr>
            <w:tcW w:w="6888" w:type="dxa"/>
          </w:tcPr>
          <w:p w14:paraId="6370D005" w14:textId="6B1ABC73" w:rsidR="0087720A" w:rsidRDefault="0087720A" w:rsidP="00F93BD5">
            <w:pPr>
              <w:pStyle w:val="tablecontent-singlespaced"/>
            </w:pPr>
            <w:r>
              <w:t>L</w:t>
            </w:r>
            <w:r w:rsidRPr="003B3778">
              <w:t xml:space="preserve">ike </w:t>
            </w:r>
            <w:r>
              <w:t>I</w:t>
            </w:r>
            <w:r w:rsidRPr="003B3778">
              <w:t xml:space="preserve"> said it came out of the blue (.) I knew it was odd as my </w:t>
            </w:r>
            <w:r>
              <w:t>s</w:t>
            </w:r>
            <w:r w:rsidRPr="003B3778">
              <w:t xml:space="preserve">ocial </w:t>
            </w:r>
            <w:r>
              <w:t>w</w:t>
            </w:r>
            <w:r w:rsidRPr="003B3778">
              <w:t>orker came when she didn’t need to</w:t>
            </w:r>
            <w:r>
              <w:t>,</w:t>
            </w:r>
            <w:r w:rsidRPr="003B3778">
              <w:t xml:space="preserve"> she said that she'd found me somewhere to go when I was ready and to let her know when that was going to be</w:t>
            </w:r>
            <w:r w:rsidR="00BA21AF">
              <w:t>.</w:t>
            </w:r>
          </w:p>
        </w:tc>
      </w:tr>
    </w:tbl>
    <w:p w14:paraId="2BEB839F" w14:textId="77777777" w:rsidR="003C352D" w:rsidRDefault="003C352D"/>
    <w:p w14:paraId="7B1CAF94" w14:textId="23EDD1B8" w:rsidR="003C352D" w:rsidRDefault="003C352D" w:rsidP="003C352D">
      <w:r>
        <w:t>T</w:t>
      </w:r>
      <w:r w:rsidRPr="00F00B9F">
        <w:t xml:space="preserve">here </w:t>
      </w:r>
      <w:r>
        <w:t xml:space="preserve">appeared to be </w:t>
      </w:r>
      <w:r w:rsidRPr="00F00B9F">
        <w:t xml:space="preserve">several problems with how relevant information was selected and communicated, with some young people </w:t>
      </w:r>
      <w:r>
        <w:t>saying</w:t>
      </w:r>
      <w:r w:rsidRPr="00F00B9F">
        <w:t xml:space="preserve"> that they been presented with no relevant information at all</w:t>
      </w:r>
      <w:r>
        <w:t xml:space="preserve">. In some circumstances this appeared to be in guise of an agreed decision by the young person, where the outcome was what they wanted. For these young people there tended to be an </w:t>
      </w:r>
      <w:r w:rsidR="00BA21AF">
        <w:t>acceptance</w:t>
      </w:r>
      <w:r>
        <w:t xml:space="preserve"> that things would work out. Social workers and foster carers seem</w:t>
      </w:r>
      <w:r w:rsidR="00597B67">
        <w:t>ed</w:t>
      </w:r>
      <w:r>
        <w:t xml:space="preserve"> to present a picture to the young person that the transition to </w:t>
      </w:r>
      <w:r w:rsidRPr="00F00B9F">
        <w:rPr>
          <w:i/>
          <w:iCs/>
        </w:rPr>
        <w:t>Staying Put</w:t>
      </w:r>
      <w:r>
        <w:t xml:space="preserve"> or supported accommodation would happen in an organic way. </w:t>
      </w:r>
      <w:r w:rsidR="00BA21AF">
        <w:t xml:space="preserve">However, </w:t>
      </w:r>
      <w:r w:rsidR="00E2343E">
        <w:t xml:space="preserve">some </w:t>
      </w:r>
      <w:r w:rsidR="00BA21AF">
        <w:t>y</w:t>
      </w:r>
      <w:r>
        <w:t xml:space="preserve">oung people indicated that they felt swept along by the adults around them, rather than knowing what was happening or feeling they could ask questions. Although they might have been comfortable with the outcome, their responses seem to evidence that the absence of information or opportunities to ask questions left them feeling uneasy and suspicious of the perceived collusion between carer and social worker. </w:t>
      </w:r>
    </w:p>
    <w:p w14:paraId="55C5D9A9" w14:textId="6BD3B858" w:rsidR="00841BB0" w:rsidRDefault="009016B4">
      <w:r>
        <w:t xml:space="preserve">For other young people the absence of information appeared to be more problematic. In these </w:t>
      </w:r>
      <w:r w:rsidR="00F00B9F">
        <w:t>situations,</w:t>
      </w:r>
      <w:r>
        <w:t xml:space="preserve"> young people described experiences of foster carers and </w:t>
      </w:r>
      <w:r w:rsidR="00F00B9F">
        <w:t>s</w:t>
      </w:r>
      <w:r>
        <w:t xml:space="preserve">ocial </w:t>
      </w:r>
      <w:r w:rsidR="00F00B9F">
        <w:t>w</w:t>
      </w:r>
      <w:r>
        <w:t xml:space="preserve">orkers telling them what would happen without any discussion, often </w:t>
      </w:r>
      <w:r w:rsidR="00F00B9F">
        <w:t>presenting an</w:t>
      </w:r>
      <w:r>
        <w:t xml:space="preserve"> outcome that they did not want. These accounts suggest that young people were making their transition from their placement in a context of silence, where options, questions or recognition of their feelings appear to be missing from their experience. Alongside a lack of involvement, young people described an environment where they felt invisible. Living in an environment where there was no preparation or discussion with their carers and workers appeared to instil feelings of insignificance and unease. </w:t>
      </w:r>
      <w:r w:rsidR="00F00B9F">
        <w:t>Wh</w:t>
      </w:r>
      <w:r>
        <w:t xml:space="preserve">ere </w:t>
      </w:r>
      <w:r w:rsidR="00F00B9F">
        <w:t xml:space="preserve">young people were </w:t>
      </w:r>
      <w:r>
        <w:t xml:space="preserve">not able to stay with the carers, there seemed to be a greater level of silence. </w:t>
      </w:r>
      <w:r w:rsidR="00F00B9F">
        <w:t>However,</w:t>
      </w:r>
      <w:r>
        <w:t xml:space="preserve"> young people seemed to want to know </w:t>
      </w:r>
      <w:r w:rsidR="00F00B9F">
        <w:t xml:space="preserve">what was going on </w:t>
      </w:r>
      <w:r>
        <w:t>even if the information was difficult to hear</w:t>
      </w:r>
      <w:r w:rsidR="00841BB0">
        <w:t xml:space="preserve"> as illustrated by Jonathan, Eshal and Carrie:</w:t>
      </w:r>
    </w:p>
    <w:p w14:paraId="1CD4A528"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841BB0" w14:paraId="23754D1C" w14:textId="77777777" w:rsidTr="00F93BD5">
        <w:tc>
          <w:tcPr>
            <w:tcW w:w="1413" w:type="dxa"/>
          </w:tcPr>
          <w:p w14:paraId="311F689A" w14:textId="77777777" w:rsidR="00841BB0" w:rsidRDefault="00841BB0" w:rsidP="00F93BD5">
            <w:r>
              <w:t>Jonathan:</w:t>
            </w:r>
          </w:p>
        </w:tc>
        <w:tc>
          <w:tcPr>
            <w:tcW w:w="6888" w:type="dxa"/>
          </w:tcPr>
          <w:p w14:paraId="1CFCA5E7" w14:textId="677C0F4D" w:rsidR="00841BB0" w:rsidRDefault="00841BB0" w:rsidP="00F93BD5">
            <w:pPr>
              <w:pStyle w:val="tablecontent-singlespaced"/>
            </w:pPr>
            <w:r>
              <w:t>I want to know it all, it can’t be worse than everything else I’ve dealt with</w:t>
            </w:r>
            <w:r w:rsidR="009504D7">
              <w:t>.</w:t>
            </w:r>
          </w:p>
        </w:tc>
      </w:tr>
      <w:tr w:rsidR="009504D7" w14:paraId="6D5422AC" w14:textId="77777777" w:rsidTr="00F93BD5">
        <w:tc>
          <w:tcPr>
            <w:tcW w:w="1413" w:type="dxa"/>
          </w:tcPr>
          <w:p w14:paraId="3863A907" w14:textId="77777777" w:rsidR="009504D7" w:rsidRDefault="009504D7" w:rsidP="00F93BD5"/>
        </w:tc>
        <w:tc>
          <w:tcPr>
            <w:tcW w:w="6888" w:type="dxa"/>
          </w:tcPr>
          <w:p w14:paraId="62583773" w14:textId="77777777" w:rsidR="009504D7" w:rsidRDefault="009504D7" w:rsidP="00F93BD5">
            <w:pPr>
              <w:pStyle w:val="tablecontent-singlespaced"/>
            </w:pPr>
          </w:p>
        </w:tc>
      </w:tr>
      <w:tr w:rsidR="009504D7" w14:paraId="6558ABEE" w14:textId="77777777" w:rsidTr="00F93BD5">
        <w:tc>
          <w:tcPr>
            <w:tcW w:w="1413" w:type="dxa"/>
          </w:tcPr>
          <w:p w14:paraId="5AE15F6C" w14:textId="5B20AE1F" w:rsidR="009504D7" w:rsidRDefault="009504D7" w:rsidP="00F93BD5">
            <w:r>
              <w:t>Eshal:</w:t>
            </w:r>
          </w:p>
        </w:tc>
        <w:tc>
          <w:tcPr>
            <w:tcW w:w="6888" w:type="dxa"/>
          </w:tcPr>
          <w:p w14:paraId="13169B83" w14:textId="07DBC6ED" w:rsidR="009504D7" w:rsidRDefault="009504D7" w:rsidP="00F93BD5">
            <w:pPr>
              <w:pStyle w:val="tablecontent-singlespaced"/>
            </w:pPr>
            <w:r>
              <w:t>Why don’t they just tell us how it is, I just want to know so I can make my own mind up.</w:t>
            </w:r>
          </w:p>
        </w:tc>
      </w:tr>
      <w:tr w:rsidR="009504D7" w14:paraId="3D7551D0" w14:textId="77777777" w:rsidTr="00F93BD5">
        <w:tc>
          <w:tcPr>
            <w:tcW w:w="1413" w:type="dxa"/>
          </w:tcPr>
          <w:p w14:paraId="234D90C8" w14:textId="77777777" w:rsidR="009504D7" w:rsidRDefault="009504D7" w:rsidP="00F93BD5"/>
        </w:tc>
        <w:tc>
          <w:tcPr>
            <w:tcW w:w="6888" w:type="dxa"/>
          </w:tcPr>
          <w:p w14:paraId="71B8111C" w14:textId="77777777" w:rsidR="009504D7" w:rsidRDefault="009504D7" w:rsidP="00F93BD5">
            <w:pPr>
              <w:pStyle w:val="tablecontent-singlespaced"/>
            </w:pPr>
          </w:p>
        </w:tc>
      </w:tr>
      <w:tr w:rsidR="009504D7" w14:paraId="0544218E" w14:textId="77777777" w:rsidTr="00F93BD5">
        <w:tc>
          <w:tcPr>
            <w:tcW w:w="1413" w:type="dxa"/>
          </w:tcPr>
          <w:p w14:paraId="5FB3378E" w14:textId="6190576E" w:rsidR="009504D7" w:rsidRDefault="009504D7" w:rsidP="00F93BD5">
            <w:r>
              <w:t>Carrie:</w:t>
            </w:r>
          </w:p>
        </w:tc>
        <w:tc>
          <w:tcPr>
            <w:tcW w:w="6888" w:type="dxa"/>
          </w:tcPr>
          <w:p w14:paraId="796726B0" w14:textId="5E243481" w:rsidR="009504D7" w:rsidRDefault="009504D7" w:rsidP="00F93BD5">
            <w:pPr>
              <w:pStyle w:val="tablecontent-singlespaced"/>
            </w:pPr>
            <w:r>
              <w:t>It’s worse not knowing (.) the reality is we end up finding out the hard way. It would be better if they’d just laid it all out, so I could’ve prepared.</w:t>
            </w:r>
          </w:p>
        </w:tc>
      </w:tr>
    </w:tbl>
    <w:p w14:paraId="7505F442" w14:textId="77777777" w:rsidR="00841BB0" w:rsidRDefault="00841BB0"/>
    <w:p w14:paraId="50CDBCF2" w14:textId="1D3ED945" w:rsidR="00856283" w:rsidRDefault="00856283">
      <w:r>
        <w:t>A lack of information could result in young people holding back from a decision or contribute to an overall apprehension about their day-to-day circumstances. However, the impact of curate</w:t>
      </w:r>
      <w:r w:rsidR="00BA21AF">
        <w:t>d, missing</w:t>
      </w:r>
      <w:r>
        <w:t xml:space="preserve"> or distorted information highlighted in the previous section could extend beyond this transition point for young people. Previously noted in this chapter, some participants highlighted the exaggerated or emotive language used by social workers and foster carers to describe possible alternatives to </w:t>
      </w:r>
      <w:r w:rsidRPr="00856283">
        <w:rPr>
          <w:i/>
          <w:iCs/>
        </w:rPr>
        <w:t>Staying Put</w:t>
      </w:r>
      <w:r>
        <w:t>. Presenting housing services and supported accommodation in derogatory terms may leave young people with specific ideas about living in these services, whether or not these opinions were founded on experience or rumour. In projecting this image, professionals seemed to either create or reinforce that these services are inferior and unpleasant. Furthermore, people living within these settings were troubled, unwanted or involved in criminality. Regardless of the intentions of these conversations, the impact appeared to be that young people were even more fearful of their future, as they expected and accepted that they might eventually live in the services they had been warned about. Consequently, associations with these services may well lead them to feel</w:t>
      </w:r>
      <w:r w:rsidR="00BA21AF">
        <w:t>ing</w:t>
      </w:r>
      <w:r>
        <w:t xml:space="preserve"> that they too were unwanted or had failed in some way. On the basis of the young people’s accounts of living in supported accommodation they seemed to have already internalised some of these ideas, talking in terms of failure and rejection. Without the neutral presentation of information, social workers and foster carers may inadvertently leave young people with addition</w:t>
      </w:r>
      <w:r w:rsidR="009256F4">
        <w:t>al</w:t>
      </w:r>
      <w:r>
        <w:t xml:space="preserve"> anxieties about future choices or circumstances.</w:t>
      </w:r>
    </w:p>
    <w:p w14:paraId="196C4E12" w14:textId="27DEBF76" w:rsidR="009016B4" w:rsidRDefault="00EB38B5" w:rsidP="006A75FF">
      <w:pPr>
        <w:pStyle w:val="Heading2"/>
      </w:pPr>
      <w:bookmarkStart w:id="73" w:name="_Toc101108514"/>
      <w:r>
        <w:t>‘</w:t>
      </w:r>
      <w:r w:rsidR="00BA21AF">
        <w:t>I</w:t>
      </w:r>
      <w:r w:rsidR="0087720A" w:rsidRPr="00A46ACB">
        <w:t>t’s like a countdown</w:t>
      </w:r>
      <w:r w:rsidR="0087720A">
        <w:t>,</w:t>
      </w:r>
      <w:r w:rsidR="0087720A" w:rsidRPr="00A46ACB">
        <w:t xml:space="preserve"> a ticking clock</w:t>
      </w:r>
      <w:r w:rsidR="0087720A">
        <w:t>’</w:t>
      </w:r>
      <w:bookmarkEnd w:id="73"/>
    </w:p>
    <w:p w14:paraId="545EAF1E" w14:textId="2486EF73" w:rsidR="009016B4" w:rsidRDefault="009016B4">
      <w:r>
        <w:t xml:space="preserve">Making the decision to stay put raised questions about moving out and on into adulthood. So far in this chapter young people’s experience of knowledge and sources of knowledge have been discussed. The final </w:t>
      </w:r>
      <w:r w:rsidR="00CE56DC">
        <w:t>subtheme</w:t>
      </w:r>
      <w:r>
        <w:t xml:space="preserve"> in this chapter explores </w:t>
      </w:r>
      <w:r w:rsidR="00CE56DC">
        <w:t xml:space="preserve">the </w:t>
      </w:r>
      <w:r>
        <w:t>impact ‘not knowing’ seem</w:t>
      </w:r>
      <w:r w:rsidR="00CE56DC">
        <w:t>ed</w:t>
      </w:r>
      <w:r>
        <w:t xml:space="preserve"> to have on the way young people saw their future. Some of their perceptions had </w:t>
      </w:r>
      <w:r>
        <w:lastRenderedPageBreak/>
        <w:t xml:space="preserve">been shaped by information given by </w:t>
      </w:r>
      <w:r w:rsidR="00EB38B5">
        <w:t>s</w:t>
      </w:r>
      <w:r>
        <w:t xml:space="preserve">ocial </w:t>
      </w:r>
      <w:r w:rsidR="00EB38B5">
        <w:t>w</w:t>
      </w:r>
      <w:r>
        <w:t xml:space="preserve">orkers or foster carers and in some instances from the media. All participants felt that </w:t>
      </w:r>
      <w:r w:rsidR="0087720A">
        <w:t>there was a misalignment between what they thought they should know and the gaps in their</w:t>
      </w:r>
      <w:r>
        <w:t xml:space="preserve"> understanding about specific subjects or events related to being in care. Some of their gaps in understanding started when they first entered the </w:t>
      </w:r>
      <w:r w:rsidR="00BA21AF">
        <w:t xml:space="preserve">care </w:t>
      </w:r>
      <w:r>
        <w:t xml:space="preserve">system. </w:t>
      </w:r>
    </w:p>
    <w:p w14:paraId="4F71073C"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9128F6B" w14:textId="77777777" w:rsidTr="00ED3D34">
        <w:tc>
          <w:tcPr>
            <w:tcW w:w="1413" w:type="dxa"/>
          </w:tcPr>
          <w:p w14:paraId="3D7CFB24" w14:textId="77777777" w:rsidR="009016B4" w:rsidRDefault="009016B4">
            <w:r>
              <w:t>Beth:</w:t>
            </w:r>
          </w:p>
        </w:tc>
        <w:tc>
          <w:tcPr>
            <w:tcW w:w="6888" w:type="dxa"/>
          </w:tcPr>
          <w:p w14:paraId="7EBB78B4" w14:textId="679CC433" w:rsidR="009016B4" w:rsidRDefault="009016B4" w:rsidP="00794026">
            <w:pPr>
              <w:pStyle w:val="tablecontent-singlespaced"/>
            </w:pPr>
            <w:r>
              <w:t xml:space="preserve">You don’t know why you’re there in the first place (.) like no one really tells you (.) before I went into foster I was freaking out </w:t>
            </w:r>
            <w:r w:rsidR="00BA21AF">
              <w:t>a</w:t>
            </w:r>
            <w:r>
              <w:t xml:space="preserve">bout the food they’d give me (.) no one said nothing. </w:t>
            </w:r>
          </w:p>
        </w:tc>
      </w:tr>
    </w:tbl>
    <w:p w14:paraId="3559D635" w14:textId="77777777" w:rsidR="009016B4" w:rsidRDefault="009016B4" w:rsidP="008E4AF2"/>
    <w:p w14:paraId="64B7F863" w14:textId="77777777" w:rsidR="009016B4" w:rsidRDefault="009016B4">
      <w:r>
        <w:t>Other young people described their feelings of an underlying uncertainty when living with their foster carers. Tyler and Yannick both experienced a sense of anticipation about being asked to leave, in both cases their understanding was that they could be asked to leave at any time:</w:t>
      </w:r>
    </w:p>
    <w:p w14:paraId="00C0C962"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0BC7A6B7" w14:textId="77777777" w:rsidTr="00ED3D34">
        <w:tc>
          <w:tcPr>
            <w:tcW w:w="1413" w:type="dxa"/>
          </w:tcPr>
          <w:p w14:paraId="7EFA58CA" w14:textId="77777777" w:rsidR="009016B4" w:rsidRDefault="009016B4">
            <w:r>
              <w:t>Tyler:</w:t>
            </w:r>
          </w:p>
        </w:tc>
        <w:tc>
          <w:tcPr>
            <w:tcW w:w="6888" w:type="dxa"/>
          </w:tcPr>
          <w:p w14:paraId="652D3352" w14:textId="5FD7549C" w:rsidR="009016B4" w:rsidRDefault="009016B4" w:rsidP="00794026">
            <w:pPr>
              <w:pStyle w:val="tablecontent-singlespaced"/>
            </w:pPr>
            <w:r w:rsidRPr="004D4FA9">
              <w:t>I guess it’s like I'd been like preparing for it the whole time</w:t>
            </w:r>
            <w:r w:rsidR="00BA21AF">
              <w:t>.</w:t>
            </w:r>
          </w:p>
          <w:p w14:paraId="1216B26C" w14:textId="77777777" w:rsidR="009016B4" w:rsidRDefault="009016B4"/>
        </w:tc>
      </w:tr>
      <w:tr w:rsidR="009016B4" w14:paraId="059F5667" w14:textId="77777777" w:rsidTr="00ED3D34">
        <w:tc>
          <w:tcPr>
            <w:tcW w:w="1413" w:type="dxa"/>
          </w:tcPr>
          <w:p w14:paraId="055366EB" w14:textId="77777777" w:rsidR="009016B4" w:rsidRDefault="009016B4" w:rsidP="008E4AF2">
            <w:r>
              <w:t>Sally:</w:t>
            </w:r>
          </w:p>
        </w:tc>
        <w:tc>
          <w:tcPr>
            <w:tcW w:w="6888" w:type="dxa"/>
          </w:tcPr>
          <w:p w14:paraId="6B9FEDD4" w14:textId="4BB452BF" w:rsidR="009016B4" w:rsidRDefault="009016B4" w:rsidP="00794026">
            <w:pPr>
              <w:pStyle w:val="tablecontent-singlespaced"/>
            </w:pPr>
            <w:r>
              <w:t>What d</w:t>
            </w:r>
            <w:r w:rsidR="00540562">
              <w:t>’y</w:t>
            </w:r>
            <w:r w:rsidR="00BA21AF">
              <w:t>ou</w:t>
            </w:r>
            <w:r>
              <w:t xml:space="preserve"> mean?</w:t>
            </w:r>
          </w:p>
          <w:p w14:paraId="7173E183" w14:textId="77777777" w:rsidR="009016B4" w:rsidRPr="004D4FA9" w:rsidRDefault="009016B4"/>
        </w:tc>
      </w:tr>
      <w:tr w:rsidR="009016B4" w14:paraId="168D00C0" w14:textId="77777777" w:rsidTr="00ED3D34">
        <w:tc>
          <w:tcPr>
            <w:tcW w:w="1413" w:type="dxa"/>
          </w:tcPr>
          <w:p w14:paraId="4CC271FA" w14:textId="77777777" w:rsidR="009016B4" w:rsidRDefault="009016B4" w:rsidP="008E4AF2">
            <w:r>
              <w:t>Tyler:</w:t>
            </w:r>
          </w:p>
        </w:tc>
        <w:tc>
          <w:tcPr>
            <w:tcW w:w="6888" w:type="dxa"/>
          </w:tcPr>
          <w:p w14:paraId="5A9B6560" w14:textId="6BAB0E3F" w:rsidR="009016B4" w:rsidRDefault="009016B4" w:rsidP="00794026">
            <w:pPr>
              <w:pStyle w:val="tablecontent-singlespaced"/>
            </w:pPr>
            <w:r>
              <w:t xml:space="preserve">Well like </w:t>
            </w:r>
            <w:r w:rsidRPr="004D4FA9">
              <w:t xml:space="preserve">from the minute you come in </w:t>
            </w:r>
            <w:r>
              <w:t xml:space="preserve">[to a foster care placement] </w:t>
            </w:r>
            <w:r w:rsidRPr="004D4FA9">
              <w:t>you like know your like days are numbered (.) it’s as simple as that (.) like everyone is like ready for us to get out of the other end (.)</w:t>
            </w:r>
            <w:r>
              <w:t>…I</w:t>
            </w:r>
            <w:r w:rsidRPr="004D4FA9">
              <w:t>t</w:t>
            </w:r>
            <w:r>
              <w:t>’</w:t>
            </w:r>
            <w:r w:rsidRPr="004D4FA9">
              <w:t>s like a race to like (.) get us to the end</w:t>
            </w:r>
            <w:r w:rsidR="00E2343E">
              <w:t>.</w:t>
            </w:r>
          </w:p>
        </w:tc>
      </w:tr>
    </w:tbl>
    <w:p w14:paraId="3A62764E"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B81594A" w14:textId="77777777" w:rsidTr="00ED3D34">
        <w:tc>
          <w:tcPr>
            <w:tcW w:w="1413" w:type="dxa"/>
          </w:tcPr>
          <w:p w14:paraId="1B448D67" w14:textId="77777777" w:rsidR="009016B4" w:rsidRDefault="009016B4">
            <w:r>
              <w:t>Yannick:</w:t>
            </w:r>
          </w:p>
        </w:tc>
        <w:tc>
          <w:tcPr>
            <w:tcW w:w="6888" w:type="dxa"/>
          </w:tcPr>
          <w:p w14:paraId="2FF16A22" w14:textId="7FDD8AC5" w:rsidR="009016B4" w:rsidRPr="00794026" w:rsidRDefault="009016B4" w:rsidP="00794026">
            <w:pPr>
              <w:pStyle w:val="tablecontent-singlespaced"/>
            </w:pPr>
            <w:r w:rsidRPr="00794026">
              <w:t xml:space="preserve">I was like waiting for </w:t>
            </w:r>
            <w:r w:rsidR="00BA21AF">
              <w:t>th</w:t>
            </w:r>
            <w:r w:rsidRPr="00794026">
              <w:t>em to say you're out from the moment I stepped over the doormat</w:t>
            </w:r>
            <w:r w:rsidR="00DB2398" w:rsidRPr="00794026">
              <w:t xml:space="preserve"> … </w:t>
            </w:r>
            <w:r w:rsidRPr="00794026">
              <w:t>I went to Val's [foster carer] at about 12 and that’s where I was (.) but the whole time it was like waiting for the end (.) not end but like I would think they'd kick me out over like fuck ups</w:t>
            </w:r>
            <w:r w:rsidR="00DB2398" w:rsidRPr="00794026">
              <w:t xml:space="preserve"> … </w:t>
            </w:r>
            <w:r w:rsidRPr="00794026">
              <w:t>to be fair they di</w:t>
            </w:r>
            <w:r w:rsidR="00540562">
              <w:t>d</w:t>
            </w:r>
            <w:r w:rsidRPr="00794026">
              <w:t>n</w:t>
            </w:r>
            <w:r w:rsidR="00540562">
              <w:t>’</w:t>
            </w:r>
            <w:r w:rsidRPr="00794026">
              <w:t>t but that's not the point (.) I felt like it</w:t>
            </w:r>
            <w:r w:rsidR="00BA21AF">
              <w:t>.</w:t>
            </w:r>
          </w:p>
        </w:tc>
      </w:tr>
    </w:tbl>
    <w:p w14:paraId="0C4B5BE7" w14:textId="77777777" w:rsidR="009016B4" w:rsidRDefault="009016B4" w:rsidP="008E4AF2"/>
    <w:p w14:paraId="32D94FC4" w14:textId="280B8F49" w:rsidR="009016B4" w:rsidRDefault="009016B4">
      <w:r>
        <w:t>A number of the young people felt unease in the period leading up to their 18</w:t>
      </w:r>
      <w:r w:rsidRPr="00C46464">
        <w:rPr>
          <w:vertAlign w:val="superscript"/>
        </w:rPr>
        <w:t>th</w:t>
      </w:r>
      <w:r>
        <w:t xml:space="preserve"> birthday. Beth, </w:t>
      </w:r>
      <w:r w:rsidR="00EB38B5">
        <w:t>Yannick and</w:t>
      </w:r>
      <w:r>
        <w:t xml:space="preserve"> Jonathan all felt unsettled by the discussions about moving, and felt in the dark about what was ahead of them: </w:t>
      </w:r>
    </w:p>
    <w:p w14:paraId="55D5DC3B"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7CEE5507" w14:textId="77777777" w:rsidTr="00ED3D34">
        <w:tc>
          <w:tcPr>
            <w:tcW w:w="1413" w:type="dxa"/>
          </w:tcPr>
          <w:p w14:paraId="086EAEF6" w14:textId="77777777" w:rsidR="009016B4" w:rsidRDefault="009016B4">
            <w:r>
              <w:t>Beth:</w:t>
            </w:r>
          </w:p>
        </w:tc>
        <w:tc>
          <w:tcPr>
            <w:tcW w:w="6888" w:type="dxa"/>
          </w:tcPr>
          <w:p w14:paraId="193AB995" w14:textId="1E6ABCB1" w:rsidR="009016B4" w:rsidRDefault="009016B4" w:rsidP="00794026">
            <w:pPr>
              <w:pStyle w:val="tablecontent-singlespaced"/>
            </w:pPr>
            <w:r>
              <w:t>No on</w:t>
            </w:r>
            <w:r w:rsidRPr="00A46ACB">
              <w:t>e really talked about it so I di</w:t>
            </w:r>
            <w:r w:rsidR="00562B3B">
              <w:t>dn’</w:t>
            </w:r>
            <w:r w:rsidRPr="00A46ACB">
              <w:t xml:space="preserve">t know (.) I think I said I don't want to move (.) that’s what's really bad about it </w:t>
            </w:r>
            <w:r w:rsidR="00562B3B">
              <w:t>because</w:t>
            </w:r>
            <w:r w:rsidRPr="00A46ACB">
              <w:t xml:space="preserve"> it’s like a countdown</w:t>
            </w:r>
            <w:r>
              <w:t>,</w:t>
            </w:r>
            <w:r w:rsidRPr="00A46ACB">
              <w:t xml:space="preserve"> a ticking clock do you know what I mean</w:t>
            </w:r>
            <w:r w:rsidR="00DB2398">
              <w:t xml:space="preserve"> … </w:t>
            </w:r>
            <w:r w:rsidRPr="00A46ACB">
              <w:t>what I had in my mind is on my 18</w:t>
            </w:r>
            <w:r w:rsidRPr="00BA21AF">
              <w:rPr>
                <w:vertAlign w:val="superscript"/>
              </w:rPr>
              <w:t>th</w:t>
            </w:r>
            <w:r w:rsidR="00BA21AF">
              <w:t xml:space="preserve"> </w:t>
            </w:r>
            <w:r w:rsidRPr="00A46ACB">
              <w:t>birthday I was gonna be kicked out onto the street (.) that's how it felt to me as I'd not got a place</w:t>
            </w:r>
            <w:r w:rsidR="00BA21AF">
              <w:t>.</w:t>
            </w:r>
          </w:p>
        </w:tc>
      </w:tr>
    </w:tbl>
    <w:p w14:paraId="5E40EDD2" w14:textId="5D672220" w:rsidR="009016B4" w:rsidRDefault="009016B4" w:rsidP="008E4AF2"/>
    <w:p w14:paraId="58950468" w14:textId="77777777" w:rsidR="00794026" w:rsidRDefault="00794026"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904D7BE" w14:textId="77777777" w:rsidTr="00ED3D34">
        <w:tc>
          <w:tcPr>
            <w:tcW w:w="1413" w:type="dxa"/>
          </w:tcPr>
          <w:p w14:paraId="511CA4BB" w14:textId="77777777" w:rsidR="009016B4" w:rsidRDefault="009016B4">
            <w:r>
              <w:t>Yannick:</w:t>
            </w:r>
          </w:p>
        </w:tc>
        <w:tc>
          <w:tcPr>
            <w:tcW w:w="6888" w:type="dxa"/>
          </w:tcPr>
          <w:p w14:paraId="52E868AF" w14:textId="0C410DF1" w:rsidR="009016B4" w:rsidRDefault="00BA21AF" w:rsidP="00794026">
            <w:pPr>
              <w:pStyle w:val="tablecontent-singlespaced"/>
            </w:pPr>
            <w:r>
              <w:t>S</w:t>
            </w:r>
            <w:r w:rsidR="009016B4" w:rsidRPr="00CD03FE">
              <w:t>o when like it came to like leaving school and that</w:t>
            </w:r>
            <w:r w:rsidR="009016B4">
              <w:t>,</w:t>
            </w:r>
            <w:r w:rsidR="009016B4" w:rsidRPr="00CD03FE">
              <w:t xml:space="preserve"> I was brickin</w:t>
            </w:r>
            <w:r w:rsidR="00540562">
              <w:t>g</w:t>
            </w:r>
            <w:r w:rsidR="009016B4" w:rsidRPr="00CD03FE">
              <w:t xml:space="preserve"> it</w:t>
            </w:r>
            <w:r w:rsidR="0079243C">
              <w:t xml:space="preserve"> … </w:t>
            </w:r>
            <w:r w:rsidR="009016B4" w:rsidRPr="00CD03FE">
              <w:t>like that's not gonna work if I have to live on my own</w:t>
            </w:r>
            <w:r>
              <w:t>.</w:t>
            </w:r>
          </w:p>
        </w:tc>
      </w:tr>
    </w:tbl>
    <w:p w14:paraId="09D56985" w14:textId="77777777" w:rsidR="009016B4" w:rsidRDefault="009016B4" w:rsidP="008E4AF2"/>
    <w:p w14:paraId="5B3DD075"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68761FDF" w14:textId="77777777" w:rsidTr="00ED3D34">
        <w:tc>
          <w:tcPr>
            <w:tcW w:w="1413" w:type="dxa"/>
          </w:tcPr>
          <w:p w14:paraId="6D72FABC" w14:textId="77777777" w:rsidR="009016B4" w:rsidRDefault="009016B4">
            <w:r>
              <w:t>Jonathan:</w:t>
            </w:r>
          </w:p>
        </w:tc>
        <w:tc>
          <w:tcPr>
            <w:tcW w:w="6888" w:type="dxa"/>
          </w:tcPr>
          <w:p w14:paraId="6F09DD27" w14:textId="501BA1D3" w:rsidR="009016B4" w:rsidRDefault="009016B4" w:rsidP="00794026">
            <w:pPr>
              <w:pStyle w:val="tablecontent-singlespaced"/>
            </w:pPr>
            <w:r>
              <w:t xml:space="preserve">I </w:t>
            </w:r>
            <w:r w:rsidRPr="00A46ACB">
              <w:t xml:space="preserve">think you are not told about anything </w:t>
            </w:r>
            <w:r w:rsidR="00BA21AF">
              <w:t>generally,</w:t>
            </w:r>
            <w:r>
              <w:t xml:space="preserve"> </w:t>
            </w:r>
            <w:r w:rsidRPr="00A46ACB">
              <w:t xml:space="preserve">but I think you are as you get older </w:t>
            </w:r>
            <w:r>
              <w:t xml:space="preserve">but not much </w:t>
            </w:r>
            <w:r w:rsidRPr="00A46ACB">
              <w:t>(.) well I was let's say when I was 16 the workers started to talk about leaving and it's like this is a bookmark and so before it’s not mentioned then after it is maybe they think don't worry about it you have got time</w:t>
            </w:r>
            <w:r>
              <w:t>.</w:t>
            </w:r>
          </w:p>
        </w:tc>
      </w:tr>
    </w:tbl>
    <w:p w14:paraId="16B18DD9" w14:textId="77777777" w:rsidR="009016B4" w:rsidRDefault="009016B4" w:rsidP="008E4AF2"/>
    <w:p w14:paraId="324E4315" w14:textId="24D0C33A" w:rsidR="009016B4" w:rsidRDefault="009016B4">
      <w:r>
        <w:t xml:space="preserve">Some young people talked about asking questions to try to make sense of what they were experiencing. For </w:t>
      </w:r>
      <w:r w:rsidR="00EB38B5">
        <w:t>example,</w:t>
      </w:r>
      <w:r>
        <w:t xml:space="preserve"> Eshal was unsure about what would happen when he turned 18 and used the </w:t>
      </w:r>
      <w:r w:rsidR="00291E1D">
        <w:t>s</w:t>
      </w:r>
      <w:r>
        <w:t xml:space="preserve">tatutory </w:t>
      </w:r>
      <w:r w:rsidR="00291E1D">
        <w:t>r</w:t>
      </w:r>
      <w:r>
        <w:t>eview meeting to raise this issue:</w:t>
      </w:r>
    </w:p>
    <w:p w14:paraId="77DE5DC9" w14:textId="77777777" w:rsidR="000C16BA" w:rsidRDefault="000C16BA"/>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B5861E1" w14:textId="77777777" w:rsidTr="00ED3D34">
        <w:tc>
          <w:tcPr>
            <w:tcW w:w="1413" w:type="dxa"/>
          </w:tcPr>
          <w:p w14:paraId="0F9BBA58" w14:textId="77777777" w:rsidR="009016B4" w:rsidRDefault="009016B4">
            <w:r>
              <w:t>Eshal:</w:t>
            </w:r>
          </w:p>
        </w:tc>
        <w:tc>
          <w:tcPr>
            <w:tcW w:w="6888" w:type="dxa"/>
          </w:tcPr>
          <w:p w14:paraId="6448790A" w14:textId="0E4AEA08" w:rsidR="009016B4" w:rsidRDefault="00BA21AF" w:rsidP="00794026">
            <w:pPr>
              <w:pStyle w:val="tablecontent-singlespaced"/>
            </w:pPr>
            <w:r>
              <w:t>I</w:t>
            </w:r>
            <w:r w:rsidR="009016B4" w:rsidRPr="00354AA4">
              <w:t>t was like a mix of will I go home or will I be with my carers forever (.) as it turned out It was neither</w:t>
            </w:r>
            <w:r w:rsidR="0079243C">
              <w:t xml:space="preserve"> … </w:t>
            </w:r>
            <w:r w:rsidR="009016B4" w:rsidRPr="00354AA4">
              <w:t>I remember askin</w:t>
            </w:r>
            <w:r w:rsidR="00540562">
              <w:t>g</w:t>
            </w:r>
            <w:r w:rsidR="009016B4" w:rsidRPr="00354AA4">
              <w:t xml:space="preserve"> about it at a review once and the review manager said that we didn't have to decide yet</w:t>
            </w:r>
            <w:r w:rsidR="009016B4">
              <w:t xml:space="preserve"> (.) in the end t</w:t>
            </w:r>
            <w:r w:rsidR="009016B4" w:rsidRPr="00354AA4">
              <w:t>hey just didn't say nothin</w:t>
            </w:r>
            <w:r w:rsidR="00540562">
              <w:t>g</w:t>
            </w:r>
            <w:r w:rsidR="009016B4">
              <w:t xml:space="preserve"> after that it was like walking on eggshells</w:t>
            </w:r>
            <w:r>
              <w:t>.</w:t>
            </w:r>
          </w:p>
        </w:tc>
      </w:tr>
    </w:tbl>
    <w:p w14:paraId="18AFC823" w14:textId="77777777" w:rsidR="009016B4" w:rsidRDefault="009016B4" w:rsidP="008E4AF2"/>
    <w:p w14:paraId="7C25707A" w14:textId="6A6C32D7" w:rsidR="009016B4" w:rsidRDefault="009016B4">
      <w:r>
        <w:t xml:space="preserve">Cally and Liam also expressed trepidation about the future and explained how they felt before any mention of </w:t>
      </w:r>
      <w:r w:rsidRPr="00EB38B5">
        <w:rPr>
          <w:i/>
          <w:iCs/>
        </w:rPr>
        <w:t>Staying Put</w:t>
      </w:r>
      <w:r>
        <w:t xml:space="preserve"> or solid plans for their next steps</w:t>
      </w:r>
      <w:r w:rsidR="001B1380">
        <w:t>.</w:t>
      </w:r>
      <w:r>
        <w:t xml:space="preserve"> In Liam’s situation they had started to make contingency plans for where they could stay</w:t>
      </w:r>
      <w:r w:rsidR="00F037FA">
        <w:t>,</w:t>
      </w:r>
      <w:r>
        <w:t xml:space="preserve"> and felt capable of making these</w:t>
      </w:r>
      <w:r w:rsidR="00BA21AF">
        <w:t xml:space="preserve"> arrangements</w:t>
      </w:r>
      <w:r>
        <w:t xml:space="preserve">: </w:t>
      </w:r>
    </w:p>
    <w:p w14:paraId="4358F30E"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334EBB33" w14:textId="77777777" w:rsidTr="00ED3D34">
        <w:tc>
          <w:tcPr>
            <w:tcW w:w="1413" w:type="dxa"/>
          </w:tcPr>
          <w:p w14:paraId="467127F1" w14:textId="77777777" w:rsidR="009016B4" w:rsidRDefault="009016B4">
            <w:r>
              <w:lastRenderedPageBreak/>
              <w:t>Cally:</w:t>
            </w:r>
          </w:p>
        </w:tc>
        <w:tc>
          <w:tcPr>
            <w:tcW w:w="6888" w:type="dxa"/>
          </w:tcPr>
          <w:p w14:paraId="7E1629CE" w14:textId="69BF9B67" w:rsidR="009016B4" w:rsidRDefault="009016B4" w:rsidP="00824A29">
            <w:pPr>
              <w:pStyle w:val="tablecontent-singlespaced"/>
            </w:pPr>
            <w:r w:rsidRPr="004D4FA9">
              <w:t>I remember bein</w:t>
            </w:r>
            <w:r w:rsidR="00540562">
              <w:t>g</w:t>
            </w:r>
            <w:r w:rsidRPr="004D4FA9">
              <w:t xml:space="preserve"> really scared </w:t>
            </w:r>
            <w:r w:rsidR="00BA21AF">
              <w:t>a</w:t>
            </w:r>
            <w:r w:rsidRPr="004D4FA9">
              <w:t>bout bein</w:t>
            </w:r>
            <w:r w:rsidR="00540562">
              <w:t>g</w:t>
            </w:r>
            <w:r w:rsidRPr="004D4FA9">
              <w:t xml:space="preserve"> on me own and erm what was gonna happen</w:t>
            </w:r>
            <w:r w:rsidR="00BA21AF">
              <w:t>.</w:t>
            </w:r>
          </w:p>
        </w:tc>
      </w:tr>
    </w:tbl>
    <w:p w14:paraId="666BEB7F"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2588CAAC" w14:textId="77777777" w:rsidTr="00ED3D34">
        <w:tc>
          <w:tcPr>
            <w:tcW w:w="1413" w:type="dxa"/>
          </w:tcPr>
          <w:p w14:paraId="553651C2" w14:textId="77777777" w:rsidR="009016B4" w:rsidRDefault="009016B4">
            <w:r>
              <w:t>Liam:</w:t>
            </w:r>
          </w:p>
        </w:tc>
        <w:tc>
          <w:tcPr>
            <w:tcW w:w="6888" w:type="dxa"/>
          </w:tcPr>
          <w:p w14:paraId="1FEB6B87" w14:textId="64532763" w:rsidR="009016B4" w:rsidRDefault="009016B4" w:rsidP="00824A29">
            <w:pPr>
              <w:pStyle w:val="tablecontent-singlespaced"/>
            </w:pPr>
            <w:r>
              <w:t>Yeah, I remember I was like really freaked out</w:t>
            </w:r>
            <w:r w:rsidR="000D4243">
              <w:t xml:space="preserve"> … </w:t>
            </w:r>
            <w:r w:rsidRPr="00401506">
              <w:t xml:space="preserve">I just thought I'd end up going back </w:t>
            </w:r>
            <w:r>
              <w:t>[to birth family]</w:t>
            </w:r>
            <w:r w:rsidR="000D4243">
              <w:t xml:space="preserve"> … </w:t>
            </w:r>
            <w:r>
              <w:t>t</w:t>
            </w:r>
            <w:r w:rsidRPr="00354AA4">
              <w:t xml:space="preserve">o be honest I probably would have </w:t>
            </w:r>
            <w:r>
              <w:t>[returned to birth family]</w:t>
            </w:r>
            <w:r w:rsidRPr="00354AA4">
              <w:t xml:space="preserve"> I don’t think the fear was about not having somewhere else to live (.) because I don’t think I was worried I would be homeless</w:t>
            </w:r>
            <w:r w:rsidR="000D4243">
              <w:t xml:space="preserve"> … </w:t>
            </w:r>
            <w:r w:rsidRPr="00354AA4">
              <w:t>it’s just that I didn't feel that safe</w:t>
            </w:r>
            <w:r w:rsidR="000D4243">
              <w:t xml:space="preserve"> … </w:t>
            </w:r>
            <w:r w:rsidRPr="00E36E00">
              <w:t>it was like if they don't care about me so what's the point (.) d'y</w:t>
            </w:r>
            <w:r w:rsidR="00AC672D">
              <w:t>ou</w:t>
            </w:r>
            <w:r w:rsidRPr="00E36E00">
              <w:t xml:space="preserve"> know what I mean (.) I just won’t ask (.) I've managed to do everything else on my own why can’t I do this</w:t>
            </w:r>
            <w:r w:rsidR="00BA21AF">
              <w:t>.</w:t>
            </w:r>
          </w:p>
        </w:tc>
      </w:tr>
    </w:tbl>
    <w:p w14:paraId="0BD3FDE8" w14:textId="77777777" w:rsidR="009016B4" w:rsidRDefault="009016B4" w:rsidP="008E4AF2"/>
    <w:p w14:paraId="5EC06374" w14:textId="772FBC1E" w:rsidR="009016B4" w:rsidRDefault="009016B4" w:rsidP="008E4AF2">
      <w:r>
        <w:t xml:space="preserve">Like Liam, Jonathan described their </w:t>
      </w:r>
      <w:r w:rsidR="00BA21AF">
        <w:t>contingency plans if</w:t>
      </w:r>
      <w:r>
        <w:t xml:space="preserve"> they had to leave their foster care placement. They were sceptical about things working out as they hoped:</w:t>
      </w:r>
    </w:p>
    <w:p w14:paraId="3EF4A342"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10C1693E" w14:textId="77777777" w:rsidTr="00ED3D34">
        <w:tc>
          <w:tcPr>
            <w:tcW w:w="1413" w:type="dxa"/>
          </w:tcPr>
          <w:p w14:paraId="4A27F6B0" w14:textId="77777777" w:rsidR="009016B4" w:rsidRDefault="009016B4">
            <w:r>
              <w:t>Jonathan:</w:t>
            </w:r>
          </w:p>
        </w:tc>
        <w:tc>
          <w:tcPr>
            <w:tcW w:w="6888" w:type="dxa"/>
          </w:tcPr>
          <w:p w14:paraId="7A2FA45C" w14:textId="492A18E7" w:rsidR="009016B4" w:rsidRDefault="009016B4" w:rsidP="00824A29">
            <w:pPr>
              <w:pStyle w:val="tablecontent-singlespaced"/>
            </w:pPr>
            <w:r w:rsidRPr="00997463">
              <w:t>I was unsure (.) I think urm it was quite an ambition to stay but I thought it wouldn’t happen as the social services</w:t>
            </w:r>
            <w:r>
              <w:t>,</w:t>
            </w:r>
            <w:r w:rsidRPr="00997463">
              <w:t xml:space="preserve"> they build you up but they don’t really talk about it</w:t>
            </w:r>
            <w:r>
              <w:t xml:space="preserve"> (.)</w:t>
            </w:r>
            <w:r w:rsidRPr="00997463">
              <w:t xml:space="preserve"> it is a different story when it comes to the reality</w:t>
            </w:r>
            <w:r w:rsidR="00531363">
              <w:t xml:space="preserve"> …</w:t>
            </w:r>
            <w:r>
              <w:t xml:space="preserve"> </w:t>
            </w:r>
            <w:r w:rsidRPr="00A77A3A">
              <w:t>you are never told what the end will look like</w:t>
            </w:r>
            <w:r w:rsidR="00BA21AF">
              <w:t>.</w:t>
            </w:r>
          </w:p>
        </w:tc>
      </w:tr>
    </w:tbl>
    <w:p w14:paraId="66EF20E6" w14:textId="77777777" w:rsidR="009016B4" w:rsidRDefault="009016B4" w:rsidP="008E4AF2"/>
    <w:p w14:paraId="7ECE0C4A" w14:textId="77777777" w:rsidR="009016B4" w:rsidRDefault="009016B4" w:rsidP="008E4AF2"/>
    <w:p w14:paraId="41BA72EF" w14:textId="23804FF2" w:rsidR="009016B4" w:rsidRDefault="009016B4">
      <w:r>
        <w:t xml:space="preserve">Beth also felt strongly that they would have to make their own plans and chose to put up a front with the </w:t>
      </w:r>
      <w:r w:rsidR="001C6E21">
        <w:t>s</w:t>
      </w:r>
      <w:r>
        <w:t xml:space="preserve">ocial </w:t>
      </w:r>
      <w:r w:rsidR="001C6E21">
        <w:t>w</w:t>
      </w:r>
      <w:r>
        <w:t xml:space="preserve">orker and foster carers to suggest </w:t>
      </w:r>
      <w:r w:rsidR="00560717">
        <w:t>t</w:t>
      </w:r>
      <w:r>
        <w:t xml:space="preserve">o them that they were ok. </w:t>
      </w:r>
      <w:r w:rsidR="00EB38B5">
        <w:t>However,</w:t>
      </w:r>
      <w:r>
        <w:t xml:space="preserve"> Beth’s front did not reflect their thinking: </w:t>
      </w:r>
    </w:p>
    <w:p w14:paraId="28D82500"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5C639696" w14:textId="77777777" w:rsidTr="00ED3D34">
        <w:tc>
          <w:tcPr>
            <w:tcW w:w="1413" w:type="dxa"/>
          </w:tcPr>
          <w:p w14:paraId="138A7485" w14:textId="77777777" w:rsidR="009016B4" w:rsidRDefault="009016B4">
            <w:r>
              <w:t>Beth:</w:t>
            </w:r>
          </w:p>
        </w:tc>
        <w:tc>
          <w:tcPr>
            <w:tcW w:w="6888" w:type="dxa"/>
          </w:tcPr>
          <w:p w14:paraId="41A4BF20" w14:textId="7BC30490" w:rsidR="009016B4" w:rsidRDefault="009016B4" w:rsidP="00824A29">
            <w:pPr>
              <w:pStyle w:val="tablecontent-singlespaced"/>
            </w:pPr>
            <w:r>
              <w:t>I had this front that I wanted to move out and I put on this front that I was yeah I was independent I can do it I can do it wasn't meaning what I was saying (.) and I did want to stay with her</w:t>
            </w:r>
            <w:r w:rsidR="00531363">
              <w:t xml:space="preserve"> …</w:t>
            </w:r>
            <w:r>
              <w:t xml:space="preserve"> I was too scared</w:t>
            </w:r>
            <w:r w:rsidR="00531363">
              <w:t xml:space="preserve"> …</w:t>
            </w:r>
            <w:r w:rsidRPr="00CD03FE">
              <w:t xml:space="preserve"> but to me it felt like to countdown to when you are leaving if that's I can put it like (.) that's what my fear was on my 18</w:t>
            </w:r>
            <w:r w:rsidRPr="008D27A2">
              <w:rPr>
                <w:vertAlign w:val="superscript"/>
              </w:rPr>
              <w:t>th</w:t>
            </w:r>
            <w:r w:rsidR="008D27A2">
              <w:t xml:space="preserve"> </w:t>
            </w:r>
            <w:r w:rsidRPr="00CD03FE">
              <w:t>birthday (.) so like that's why I was all like I'm off I'm out</w:t>
            </w:r>
            <w:r w:rsidR="008D27A2">
              <w:t>.</w:t>
            </w:r>
          </w:p>
          <w:p w14:paraId="3DB4CE85" w14:textId="77777777" w:rsidR="009016B4" w:rsidRDefault="009016B4"/>
        </w:tc>
      </w:tr>
    </w:tbl>
    <w:p w14:paraId="36096B89" w14:textId="516AAAB7" w:rsidR="00010179" w:rsidRDefault="00010179" w:rsidP="00010179">
      <w:r>
        <w:t xml:space="preserve">Feelings of insecurity and the anticipation of leaving the placement appeared to be present in many of the young </w:t>
      </w:r>
      <w:r w:rsidR="008D27A2">
        <w:t>people’s</w:t>
      </w:r>
      <w:r>
        <w:t xml:space="preserve"> lives. Furthermore, the issue of leaving a placement was not confined to this transition point as young people talked about the end of the placement even when they felt settled or connected to their carer. Apprehension about being asked or told to </w:t>
      </w:r>
      <w:r>
        <w:lastRenderedPageBreak/>
        <w:t>leave was highlighted by a number of young people, vividly described by Beth as ‘a ticking clock’. The sense of foreboding that appeared to be a characteristic of their placements, seemed to be presented as a conventional part of the care experience and indicated that they continually felt that their care experience was on a precipice. The responses from young people in my study suggest an accepted inevitability that their placement will end, and end abruptly, without their agreement or knowledge. Although the feelings of inevitability did not seem to impact on the positive way young people talked about their foster carers, they did seem to make a connection with these ideas when considering their decision to stay put. Referring to their decision, young people seemed to reconnect with their sense of uncertainty about when the end of the placement would occur and having low expectations appeared to act as a protective buffer.</w:t>
      </w:r>
    </w:p>
    <w:p w14:paraId="31DF7B53" w14:textId="77777777" w:rsidR="009016B4" w:rsidRDefault="009016B4" w:rsidP="008E4AF2">
      <w:r>
        <w:t xml:space="preserve">Not all young people described this period in the same way. Some talked about their apprehensions in the context of any move into adulthood and felt clear about what would happen and their future plans. Hannah’s experience of feeling informed by their carers was reflected in their response: </w:t>
      </w:r>
    </w:p>
    <w:p w14:paraId="1DD58D17"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D645200" w14:textId="77777777" w:rsidTr="00ED3D34">
        <w:tc>
          <w:tcPr>
            <w:tcW w:w="1413" w:type="dxa"/>
          </w:tcPr>
          <w:p w14:paraId="1DA62A8E" w14:textId="77777777" w:rsidR="009016B4" w:rsidRDefault="009016B4">
            <w:r>
              <w:t>Hannah:</w:t>
            </w:r>
          </w:p>
        </w:tc>
        <w:tc>
          <w:tcPr>
            <w:tcW w:w="6888" w:type="dxa"/>
          </w:tcPr>
          <w:p w14:paraId="0ABB4575" w14:textId="51DED6C3" w:rsidR="009016B4" w:rsidRDefault="009E0928" w:rsidP="00824A29">
            <w:pPr>
              <w:pStyle w:val="tablecontent-singlespaced"/>
            </w:pPr>
            <w:r>
              <w:t xml:space="preserve">I thought </w:t>
            </w:r>
            <w:r w:rsidR="009016B4" w:rsidRPr="004D4FA9">
              <w:t>I'm just going to ride it out a little longer (.) um cause yeah there was like didn't have anything to worry about</w:t>
            </w:r>
            <w:r w:rsidR="00710F96">
              <w:t xml:space="preserve"> … </w:t>
            </w:r>
            <w:r w:rsidR="009016B4" w:rsidRPr="004D4FA9">
              <w:t>I mean I feel like there was no pressure to you know move out and find a house or you know anything like that</w:t>
            </w:r>
            <w:r w:rsidR="00B00DD1">
              <w:t>.</w:t>
            </w:r>
          </w:p>
        </w:tc>
      </w:tr>
    </w:tbl>
    <w:p w14:paraId="1CAAA231" w14:textId="77777777" w:rsidR="009016B4" w:rsidRDefault="009016B4" w:rsidP="008E4AF2"/>
    <w:p w14:paraId="4920D216" w14:textId="57205E07" w:rsidR="009016B4" w:rsidRDefault="009016B4">
      <w:r>
        <w:t xml:space="preserve">Cain also felt prepared and comfortable with the decisions they were making. They described positive experiences of working with carers and </w:t>
      </w:r>
      <w:r w:rsidR="00EB38B5">
        <w:t>s</w:t>
      </w:r>
      <w:r>
        <w:t xml:space="preserve">ocial </w:t>
      </w:r>
      <w:r w:rsidR="00EB38B5">
        <w:t>w</w:t>
      </w:r>
      <w:r>
        <w:t>orkers to think about the future:</w:t>
      </w:r>
    </w:p>
    <w:p w14:paraId="2C1D101C"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14:paraId="43A61ACF" w14:textId="77777777" w:rsidTr="00ED3D34">
        <w:tc>
          <w:tcPr>
            <w:tcW w:w="1413" w:type="dxa"/>
          </w:tcPr>
          <w:p w14:paraId="71FFC71A" w14:textId="77777777" w:rsidR="009016B4" w:rsidRDefault="009016B4">
            <w:r>
              <w:t>Cain:</w:t>
            </w:r>
          </w:p>
        </w:tc>
        <w:tc>
          <w:tcPr>
            <w:tcW w:w="6888" w:type="dxa"/>
          </w:tcPr>
          <w:p w14:paraId="571BAE85" w14:textId="5AE02E67" w:rsidR="009016B4" w:rsidRDefault="008D27A2" w:rsidP="00824A29">
            <w:pPr>
              <w:pStyle w:val="tablecontent-singlespaced"/>
            </w:pPr>
            <w:r>
              <w:t>O</w:t>
            </w:r>
            <w:r w:rsidR="009016B4" w:rsidRPr="00354AA4">
              <w:t>h yeah ready (.) but I was a bit worried at first but I knew I could do it</w:t>
            </w:r>
            <w:r w:rsidR="009016B4">
              <w:t xml:space="preserve"> (.) [name of </w:t>
            </w:r>
            <w:r w:rsidR="004C1BAD">
              <w:t>s</w:t>
            </w:r>
            <w:r w:rsidR="009016B4">
              <w:t xml:space="preserve">ocial </w:t>
            </w:r>
            <w:r w:rsidR="004C1BAD">
              <w:t>w</w:t>
            </w:r>
            <w:r w:rsidR="009016B4">
              <w:t>orker] told me what to expect (</w:t>
            </w:r>
            <w:r w:rsidR="009016B4" w:rsidRPr="0035253F">
              <w:t>.) I was like settled and knew I could go back if I messed up</w:t>
            </w:r>
            <w:r>
              <w:t>.</w:t>
            </w:r>
            <w:r w:rsidR="009016B4" w:rsidRPr="0035253F">
              <w:t xml:space="preserve"> </w:t>
            </w:r>
          </w:p>
          <w:p w14:paraId="7C8634D7" w14:textId="740DF923" w:rsidR="00824A29" w:rsidRDefault="00824A29" w:rsidP="00824A29">
            <w:pPr>
              <w:pStyle w:val="tablecontent-singlespaced"/>
            </w:pPr>
          </w:p>
        </w:tc>
      </w:tr>
    </w:tbl>
    <w:p w14:paraId="4FBE6426" w14:textId="77777777" w:rsidR="001F7437" w:rsidRDefault="001F7437"/>
    <w:p w14:paraId="2643CB62" w14:textId="6CE1DE3D" w:rsidR="009016B4" w:rsidRDefault="009016B4">
      <w:r>
        <w:t xml:space="preserve">Cain and Hannah’s experience seemed to indicate the outcome of a supportive environment. Both young people’s accounts suggest that they felt informed and secure in the decisions they were making. Whether it was the </w:t>
      </w:r>
      <w:r w:rsidR="00856283">
        <w:t>s</w:t>
      </w:r>
      <w:r>
        <w:t xml:space="preserve">ocial </w:t>
      </w:r>
      <w:r w:rsidR="00856283">
        <w:t>w</w:t>
      </w:r>
      <w:r>
        <w:t xml:space="preserve">orker, foster carer or both, each </w:t>
      </w:r>
      <w:r>
        <w:lastRenderedPageBreak/>
        <w:t xml:space="preserve">felt that they understood what would happen. Even where there was some uncertainty about the details, both felt they knew enough to progress their plans or feel relaxed about what lay ahead. Feeling involved or informed may explain why neither Cain nor Hannah described feelings of concern about leaving or having to leave unexpectedly at this transition point or other times in their placement. </w:t>
      </w:r>
    </w:p>
    <w:p w14:paraId="2464BCAB" w14:textId="66207C90" w:rsidR="009016B4" w:rsidRDefault="009016B4">
      <w:r>
        <w:t xml:space="preserve">Alongside their predictions about their future with their foster carers, </w:t>
      </w:r>
      <w:r w:rsidR="009E0928">
        <w:t xml:space="preserve">other </w:t>
      </w:r>
      <w:r>
        <w:t xml:space="preserve">young people appeared to be confused and conflicted about what the future would be like for them. As well as the expected uncertainty that any young person would have at this time, young people in </w:t>
      </w:r>
      <w:r w:rsidR="003514F4">
        <w:t>my</w:t>
      </w:r>
      <w:r>
        <w:t xml:space="preserve"> study appeared to have little idea about the care system and the way it would function in their lives. Specifically young people did not seem to know what to expect from their </w:t>
      </w:r>
      <w:r w:rsidR="00856283">
        <w:t>s</w:t>
      </w:r>
      <w:r>
        <w:t xml:space="preserve">ocial </w:t>
      </w:r>
      <w:r w:rsidR="00856283">
        <w:t>w</w:t>
      </w:r>
      <w:r>
        <w:t xml:space="preserve">orker, what support would look </w:t>
      </w:r>
      <w:r w:rsidR="008D27A2">
        <w:t>like,</w:t>
      </w:r>
      <w:r>
        <w:t xml:space="preserve"> and other key parts of the process post 18. Without an understanding of what they could expect, it seemed to increase their anxieties about the options they might take. </w:t>
      </w:r>
    </w:p>
    <w:p w14:paraId="4AE927A8" w14:textId="45D6A197" w:rsidR="009016B4" w:rsidRDefault="009016B4">
      <w:r>
        <w:t xml:space="preserve">Having such a hazy understanding of the future may also have impacted on their decision about </w:t>
      </w:r>
      <w:r w:rsidRPr="00856283">
        <w:rPr>
          <w:i/>
          <w:iCs/>
        </w:rPr>
        <w:t>Staying Put</w:t>
      </w:r>
      <w:r>
        <w:t xml:space="preserve">. For </w:t>
      </w:r>
      <w:r w:rsidR="00856283">
        <w:t>example,</w:t>
      </w:r>
      <w:r>
        <w:t xml:space="preserve"> some young people talked about their readiness to leave their carers at 18 but also their uncertainty about how they would manage a more independent life. Without information that could allay some of their feelings of unease, it could be that decisions were made based on fear of leaving rather than a desire to stay. In summary the lack of knowledge about what they could expect from services seemed to create an environment of apprehension throughout their care experience and beyond their transition from their placements.</w:t>
      </w:r>
      <w:r w:rsidR="00E17936">
        <w:t xml:space="preserve"> </w:t>
      </w:r>
    </w:p>
    <w:p w14:paraId="0DDD92F3" w14:textId="628094E2" w:rsidR="004A626F" w:rsidRDefault="003E0605">
      <w:r>
        <w:t xml:space="preserve">The misalignment of support, understanding and information described in this chapter highlights the gaps that existed for young people at this time in their care journey. In the next chapter their feelings in response to the subject of leaving care and </w:t>
      </w:r>
      <w:r w:rsidRPr="003E0605">
        <w:rPr>
          <w:i/>
          <w:iCs/>
        </w:rPr>
        <w:t>Staying Put</w:t>
      </w:r>
      <w:r>
        <w:t xml:space="preserve"> are </w:t>
      </w:r>
      <w:r w:rsidR="00CE56DC">
        <w:t>set out</w:t>
      </w:r>
      <w:r>
        <w:t xml:space="preserve">, further emphasising how difficult this transition </w:t>
      </w:r>
      <w:r w:rsidR="00515942">
        <w:t>can be</w:t>
      </w:r>
      <w:r>
        <w:t xml:space="preserve"> for young people</w:t>
      </w:r>
      <w:r w:rsidR="001F7437">
        <w:t xml:space="preserve"> and that </w:t>
      </w:r>
      <w:r w:rsidR="001F7437" w:rsidRPr="001F7437">
        <w:rPr>
          <w:i/>
          <w:iCs/>
        </w:rPr>
        <w:t>Staying Put</w:t>
      </w:r>
      <w:r w:rsidR="001F7437">
        <w:t xml:space="preserve"> is not </w:t>
      </w:r>
      <w:r w:rsidR="008D27A2">
        <w:t xml:space="preserve">a </w:t>
      </w:r>
      <w:r w:rsidR="001F7437">
        <w:t>techno-rational decision-making procedure.</w:t>
      </w:r>
    </w:p>
    <w:p w14:paraId="79DC7B57" w14:textId="77777777" w:rsidR="00B16C99" w:rsidRDefault="00B16C99"/>
    <w:p w14:paraId="085B27D5" w14:textId="77777777" w:rsidR="004A626F" w:rsidRDefault="004A626F"/>
    <w:p w14:paraId="2C13C8A8" w14:textId="77777777" w:rsidR="004A626F" w:rsidRDefault="004A626F"/>
    <w:p w14:paraId="0E05AA4E" w14:textId="77777777" w:rsidR="004A626F" w:rsidRDefault="004A626F"/>
    <w:p w14:paraId="2C8B055F" w14:textId="7F4B84C5" w:rsidR="00FD560D" w:rsidRDefault="00B16C99">
      <w:pPr>
        <w:rPr>
          <w:rFonts w:eastAsiaTheme="majorEastAsia"/>
          <w:color w:val="000000" w:themeColor="text1"/>
          <w:sz w:val="28"/>
          <w:szCs w:val="26"/>
        </w:rPr>
      </w:pPr>
      <w:r>
        <w:rPr>
          <w:noProof/>
          <w:lang w:eastAsia="en-GB"/>
        </w:rPr>
        <w:lastRenderedPageBreak/>
        <mc:AlternateContent>
          <mc:Choice Requires="wps">
            <w:drawing>
              <wp:anchor distT="0" distB="0" distL="114300" distR="114300" simplePos="0" relativeHeight="251658241" behindDoc="0" locked="0" layoutInCell="1" allowOverlap="1" wp14:anchorId="0F318157" wp14:editId="3C1E94E8">
                <wp:simplePos x="0" y="0"/>
                <wp:positionH relativeFrom="column">
                  <wp:posOffset>2465257</wp:posOffset>
                </wp:positionH>
                <wp:positionV relativeFrom="paragraph">
                  <wp:posOffset>7198473</wp:posOffset>
                </wp:positionV>
                <wp:extent cx="3343835" cy="286871"/>
                <wp:effectExtent l="0" t="0" r="0" b="5715"/>
                <wp:wrapNone/>
                <wp:docPr id="29" name="Text Box 29"/>
                <wp:cNvGraphicFramePr/>
                <a:graphic xmlns:a="http://schemas.openxmlformats.org/drawingml/2006/main">
                  <a:graphicData uri="http://schemas.microsoft.com/office/word/2010/wordprocessingShape">
                    <wps:wsp>
                      <wps:cNvSpPr txBox="1"/>
                      <wps:spPr>
                        <a:xfrm>
                          <a:off x="0" y="0"/>
                          <a:ext cx="3343835" cy="286871"/>
                        </a:xfrm>
                        <a:prstGeom prst="rect">
                          <a:avLst/>
                        </a:prstGeom>
                        <a:solidFill>
                          <a:schemeClr val="lt1"/>
                        </a:solidFill>
                        <a:ln w="6350">
                          <a:noFill/>
                        </a:ln>
                      </wps:spPr>
                      <wps:txbx>
                        <w:txbxContent>
                          <w:p w14:paraId="20ACA9F3" w14:textId="77777777" w:rsidR="00B16C99" w:rsidRPr="00B16C99" w:rsidRDefault="00B16C99" w:rsidP="00B16C99">
                            <w:pPr>
                              <w:jc w:val="right"/>
                              <w:rPr>
                                <w:sz w:val="11"/>
                                <w:szCs w:val="11"/>
                              </w:rPr>
                            </w:pPr>
                            <w:r w:rsidRPr="00B16C99">
                              <w:rPr>
                                <w:sz w:val="11"/>
                                <w:szCs w:val="11"/>
                              </w:rPr>
                              <w:t>© Harry Venning - http://www.harryvenning.co.uk/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18157" id="Text Box 29" o:spid="_x0000_s1027" type="#_x0000_t202" style="position:absolute;margin-left:194.1pt;margin-top:566.8pt;width:263.3pt;height:22.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" fillcolor="white [3201]" stroked="f" strokeweight=".5pt">
                <v:textbox>
                  <w:txbxContent>
                    <w:p w14:paraId="20ACA9F3" w14:textId="77777777" w:rsidR="00B16C99" w:rsidRPr="00B16C99" w:rsidRDefault="00B16C99" w:rsidP="00B16C99">
                      <w:pPr>
                        <w:jc w:val="right"/>
                        <w:rPr>
                          <w:sz w:val="11"/>
                          <w:szCs w:val="11"/>
                        </w:rPr>
                      </w:pPr>
                      <w:r w:rsidRPr="00B16C99">
                        <w:rPr>
                          <w:sz w:val="11"/>
                          <w:szCs w:val="11"/>
                        </w:rPr>
                        <w:t>© Harry Venning - http://www.harryvenning.co.uk/</w:t>
                      </w:r>
                    </w:p>
                  </w:txbxContent>
                </v:textbox>
              </v:shape>
            </w:pict>
          </mc:Fallback>
        </mc:AlternateContent>
      </w:r>
      <w:r>
        <w:rPr>
          <w:noProof/>
        </w:rPr>
        <w:drawing>
          <wp:inline distT="0" distB="0" distL="0" distR="0" wp14:anchorId="09598E49" wp14:editId="5D76EBAD">
            <wp:extent cx="5727700" cy="7260590"/>
            <wp:effectExtent l="0" t="0" r="0" b="3810"/>
            <wp:docPr id="16" name="Picture 1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a:extLst>
                        <a:ext uri="{C183D7F6-B498-43B3-948B-1728B52AA6E4}">
                          <adec:decorative xmlns:adec="http://schemas.microsoft.com/office/drawing/2017/decorative" val="1"/>
                        </a:ext>
                      </a:extLst>
                    </pic:cNvPr>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727700" cy="7260590"/>
                    </a:xfrm>
                    <a:prstGeom prst="rect">
                      <a:avLst/>
                    </a:prstGeom>
                  </pic:spPr>
                </pic:pic>
              </a:graphicData>
            </a:graphic>
          </wp:inline>
        </w:drawing>
      </w:r>
      <w:r w:rsidR="00FD560D">
        <w:br w:type="page"/>
      </w:r>
    </w:p>
    <w:p w14:paraId="3510F30A" w14:textId="1163B758" w:rsidR="004A626F" w:rsidRPr="004A626F" w:rsidRDefault="004A626F" w:rsidP="00127FD5">
      <w:pPr>
        <w:pStyle w:val="ChapterHeading1"/>
      </w:pPr>
      <w:bookmarkStart w:id="74" w:name="_Toc101108515"/>
      <w:r w:rsidRPr="004A626F">
        <w:lastRenderedPageBreak/>
        <w:t>Chapter</w:t>
      </w:r>
      <w:r w:rsidR="00FD560D">
        <w:t xml:space="preserve"> </w:t>
      </w:r>
      <w:r w:rsidR="005B667D">
        <w:t>9</w:t>
      </w:r>
      <w:r w:rsidRPr="004A626F">
        <w:t xml:space="preserve">: </w:t>
      </w:r>
      <w:r w:rsidR="009016B4">
        <w:t>The Proceduralisation of Moving On</w:t>
      </w:r>
      <w:bookmarkEnd w:id="74"/>
    </w:p>
    <w:p w14:paraId="2100A338" w14:textId="3CCA58C3" w:rsidR="00370A66" w:rsidRDefault="009016B4">
      <w:r w:rsidRPr="00D929E7">
        <w:t xml:space="preserve">The theme of this chapter is the </w:t>
      </w:r>
      <w:r>
        <w:t xml:space="preserve">disjuncture </w:t>
      </w:r>
      <w:r w:rsidRPr="00D929E7">
        <w:t xml:space="preserve">between </w:t>
      </w:r>
      <w:r>
        <w:t xml:space="preserve">the lived experiences of </w:t>
      </w:r>
      <w:r w:rsidRPr="00D929E7">
        <w:t>young people</w:t>
      </w:r>
      <w:r>
        <w:t xml:space="preserve"> and their perceptions of responses by social workers and foster carers</w:t>
      </w:r>
      <w:r w:rsidR="008D27A2">
        <w:t>, highlighting how the process can dominate a human experience</w:t>
      </w:r>
      <w:r>
        <w:t>. Participants detailed how social workers and foster carers framed</w:t>
      </w:r>
      <w:r w:rsidR="00856283">
        <w:t xml:space="preserve"> </w:t>
      </w:r>
      <w:r>
        <w:t>or misunderstood their feelings during this transitional period</w:t>
      </w:r>
      <w:r w:rsidR="00856283">
        <w:t xml:space="preserve"> </w:t>
      </w:r>
      <w:r w:rsidR="00372B3C">
        <w:t>by focussing on</w:t>
      </w:r>
      <w:r w:rsidR="00856283">
        <w:t xml:space="preserve"> technical processes</w:t>
      </w:r>
      <w:r>
        <w:t>. The impact of this disjuncture appeared to contribute to their overall sense of social work and their place within their support networks</w:t>
      </w:r>
      <w:r w:rsidRPr="008437DA">
        <w:t xml:space="preserve">. </w:t>
      </w:r>
      <w:r w:rsidR="00370A66" w:rsidRPr="008437DA">
        <w:t xml:space="preserve">Figure </w:t>
      </w:r>
      <w:r w:rsidR="008437DA">
        <w:t xml:space="preserve">10 </w:t>
      </w:r>
      <w:r w:rsidR="00370A66">
        <w:t>shows the subdivision of the theme.</w:t>
      </w:r>
    </w:p>
    <w:p w14:paraId="1732851F" w14:textId="2BACE820" w:rsidR="00370A66" w:rsidRDefault="00623C92">
      <w:r>
        <w:rPr>
          <w:noProof/>
        </w:rPr>
        <w:drawing>
          <wp:inline distT="0" distB="0" distL="0" distR="0" wp14:anchorId="2351D14B" wp14:editId="00CC21EB">
            <wp:extent cx="5982166" cy="1828800"/>
            <wp:effectExtent l="0" t="0" r="0" b="0"/>
            <wp:docPr id="7" name="Picture 7" descr="Graphical user interfa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diagram&#10;&#10;Description automatically generated"/>
                    <pic:cNvPicPr/>
                  </pic:nvPicPr>
                  <pic:blipFill>
                    <a:blip r:embed="rId34">
                      <a:extLst>
                        <a:ext uri="{28A0092B-C50C-407E-A947-70E740481C1C}">
                          <a14:useLocalDpi xmlns:a14="http://schemas.microsoft.com/office/drawing/2010/main" val="0"/>
                        </a:ext>
                      </a:extLst>
                    </a:blip>
                    <a:stretch>
                      <a:fillRect/>
                    </a:stretch>
                  </pic:blipFill>
                  <pic:spPr>
                    <a:xfrm>
                      <a:off x="0" y="0"/>
                      <a:ext cx="6055277" cy="1851151"/>
                    </a:xfrm>
                    <a:prstGeom prst="rect">
                      <a:avLst/>
                    </a:prstGeom>
                  </pic:spPr>
                </pic:pic>
              </a:graphicData>
            </a:graphic>
          </wp:inline>
        </w:drawing>
      </w:r>
    </w:p>
    <w:p w14:paraId="7D704048" w14:textId="53FBC28A" w:rsidR="00D46973" w:rsidRDefault="00D46973" w:rsidP="00D46973">
      <w:pPr>
        <w:pStyle w:val="Caption"/>
      </w:pPr>
      <w:bookmarkStart w:id="75" w:name="_Toc101108550"/>
      <w:r>
        <w:t xml:space="preserve">Figure </w:t>
      </w:r>
      <w:fldSimple w:instr=" SEQ Figure \* ARABIC ">
        <w:r w:rsidR="00E26E21">
          <w:rPr>
            <w:noProof/>
          </w:rPr>
          <w:t>10</w:t>
        </w:r>
      </w:fldSimple>
      <w:r>
        <w:t>:</w:t>
      </w:r>
      <w:r w:rsidRPr="00D46973">
        <w:t xml:space="preserve"> Theme 3 - The Proceduralisaion of Moving On</w:t>
      </w:r>
      <w:bookmarkEnd w:id="75"/>
    </w:p>
    <w:p w14:paraId="1D748295" w14:textId="715DF7B5" w:rsidR="009016B4" w:rsidRPr="00D929E7" w:rsidRDefault="009016B4">
      <w:r>
        <w:t xml:space="preserve">The first </w:t>
      </w:r>
      <w:r w:rsidR="00370A66">
        <w:t>subtheme</w:t>
      </w:r>
      <w:r>
        <w:t xml:space="preserve"> in this chapter relates to the way young people understood why </w:t>
      </w:r>
      <w:r w:rsidRPr="00F14BE1">
        <w:rPr>
          <w:i/>
          <w:iCs/>
        </w:rPr>
        <w:t>Staying Put</w:t>
      </w:r>
      <w:r>
        <w:t xml:space="preserve"> was possible for them, and how </w:t>
      </w:r>
      <w:r w:rsidRPr="00F14BE1">
        <w:rPr>
          <w:i/>
          <w:iCs/>
        </w:rPr>
        <w:t>Staying Put</w:t>
      </w:r>
      <w:r>
        <w:t xml:space="preserve"> seemed emblematic of their position in the family. Young people expressed these feelings in ways that might not have been apparent to their social workers or carers at the time but reflect the dual understandings and significance of </w:t>
      </w:r>
      <w:r w:rsidRPr="00F14BE1">
        <w:rPr>
          <w:i/>
          <w:iCs/>
        </w:rPr>
        <w:t>Staying Put</w:t>
      </w:r>
      <w:r>
        <w:t xml:space="preserve"> shared by them and the adults supporting them. The second </w:t>
      </w:r>
      <w:r w:rsidR="00370A66">
        <w:t xml:space="preserve">subtheme </w:t>
      </w:r>
      <w:r w:rsidR="00856283">
        <w:t>relates</w:t>
      </w:r>
      <w:r>
        <w:t xml:space="preserve"> to another disjuncture when the </w:t>
      </w:r>
      <w:r w:rsidR="008D27A2">
        <w:t>bureaucratic procedure</w:t>
      </w:r>
      <w:r>
        <w:t xml:space="preserve"> of transition from foster care placement to arrangement is explored. The final </w:t>
      </w:r>
      <w:r w:rsidR="00370A66">
        <w:t>subtheme</w:t>
      </w:r>
      <w:r>
        <w:t xml:space="preserve"> in this chapter sets out the disparity in meanings of independence and their preparation for </w:t>
      </w:r>
      <w:r w:rsidRPr="000C2A86">
        <w:rPr>
          <w:i/>
          <w:iCs/>
        </w:rPr>
        <w:t>being</w:t>
      </w:r>
      <w:r>
        <w:t xml:space="preserve"> independent</w:t>
      </w:r>
      <w:r w:rsidR="008D27A2">
        <w:t>, highlighting the disconnect between the process of leaving care and the young people’s experiences</w:t>
      </w:r>
      <w:r>
        <w:t xml:space="preserve">. </w:t>
      </w:r>
    </w:p>
    <w:p w14:paraId="6663328A" w14:textId="7EA1656C" w:rsidR="00370A66" w:rsidRPr="00106586" w:rsidRDefault="00370A66" w:rsidP="00370A66">
      <w:pPr>
        <w:pStyle w:val="Heading2"/>
      </w:pPr>
      <w:bookmarkStart w:id="76" w:name="_Toc101108516"/>
      <w:r w:rsidRPr="00106586">
        <w:t>‘What is the limit to that love’</w:t>
      </w:r>
      <w:bookmarkEnd w:id="76"/>
    </w:p>
    <w:p w14:paraId="4BE7B8D3" w14:textId="3663D884" w:rsidR="009016B4" w:rsidRDefault="009016B4">
      <w:r>
        <w:t>The first section relates to the narrative of continuity and familial bonds referred to in</w:t>
      </w:r>
      <w:r w:rsidR="00113DFB">
        <w:t xml:space="preserve"> </w:t>
      </w:r>
      <w:r w:rsidR="00113DFB" w:rsidRPr="002C5A99">
        <w:t>C</w:t>
      </w:r>
      <w:r w:rsidRPr="002C5A99">
        <w:t>hapter</w:t>
      </w:r>
      <w:r w:rsidR="000D38C5" w:rsidRPr="002C5A99">
        <w:t xml:space="preserve"> </w:t>
      </w:r>
      <w:r w:rsidR="00370A66" w:rsidRPr="002C5A99">
        <w:t>8</w:t>
      </w:r>
      <w:r w:rsidRPr="002C5A99">
        <w:t>.</w:t>
      </w:r>
      <w:r>
        <w:t xml:space="preserve"> All of the young people in </w:t>
      </w:r>
      <w:r w:rsidR="003514F4">
        <w:t>my</w:t>
      </w:r>
      <w:r>
        <w:t xml:space="preserve"> study had lived with their foster carers for two years </w:t>
      </w:r>
      <w:r>
        <w:lastRenderedPageBreak/>
        <w:t xml:space="preserve">or more, with some being with a family for more than ten years. Longevity in placement appeared to be valued and all of the young people described feelings of affection and care for their foster carers and a recognition of feeling part of a supportive unit. For </w:t>
      </w:r>
      <w:r w:rsidR="00372B3C">
        <w:t>example,</w:t>
      </w:r>
      <w:r>
        <w:t xml:space="preserve"> Cain said: </w:t>
      </w:r>
    </w:p>
    <w:p w14:paraId="13AA6061"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0B511CB" w14:textId="77777777" w:rsidTr="00ED3D34">
        <w:tc>
          <w:tcPr>
            <w:tcW w:w="1413" w:type="dxa"/>
          </w:tcPr>
          <w:p w14:paraId="0A402808" w14:textId="77777777" w:rsidR="009016B4" w:rsidRPr="00D91090" w:rsidRDefault="009016B4">
            <w:r>
              <w:t>Cain</w:t>
            </w:r>
            <w:r w:rsidRPr="00D91090">
              <w:t>:</w:t>
            </w:r>
          </w:p>
        </w:tc>
        <w:tc>
          <w:tcPr>
            <w:tcW w:w="6888" w:type="dxa"/>
          </w:tcPr>
          <w:p w14:paraId="5A4C769F" w14:textId="77777777" w:rsidR="009016B4" w:rsidRPr="00627AFB" w:rsidRDefault="009016B4" w:rsidP="00824A29">
            <w:pPr>
              <w:pStyle w:val="tablecontent-singlespaced"/>
            </w:pPr>
            <w:r w:rsidRPr="00627AFB">
              <w:t>Honestly, straight up they are the best (.) they would stick by me even if I went off the rails (.) I know that (.) they are diamond</w:t>
            </w:r>
            <w:r>
              <w:t>.</w:t>
            </w:r>
          </w:p>
          <w:p w14:paraId="426FA90C" w14:textId="77777777" w:rsidR="009016B4" w:rsidRPr="00D91090" w:rsidRDefault="009016B4"/>
        </w:tc>
      </w:tr>
    </w:tbl>
    <w:p w14:paraId="4D7869D1" w14:textId="77777777" w:rsidR="009016B4" w:rsidRDefault="009016B4" w:rsidP="006E3485"/>
    <w:p w14:paraId="1BBADD71" w14:textId="77777777" w:rsidR="009016B4" w:rsidRDefault="009016B4" w:rsidP="008E4AF2">
      <w:r w:rsidRPr="00901D46">
        <w:t>Liam</w:t>
      </w:r>
      <w:r>
        <w:t>, Hannah, Eshal and Cally</w:t>
      </w:r>
      <w:r w:rsidRPr="00901D46">
        <w:t xml:space="preserve"> </w:t>
      </w:r>
      <w:r>
        <w:t>also shared positive experiences of being in their foster care placement, regardless of whether they stayed put:</w:t>
      </w:r>
    </w:p>
    <w:p w14:paraId="6ACE00CE"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F93896F" w14:textId="77777777" w:rsidTr="00ED3D34">
        <w:tc>
          <w:tcPr>
            <w:tcW w:w="1413" w:type="dxa"/>
          </w:tcPr>
          <w:p w14:paraId="6B3B9DF7" w14:textId="77777777" w:rsidR="009016B4" w:rsidRPr="00D91090" w:rsidRDefault="009016B4">
            <w:r>
              <w:t>Liam</w:t>
            </w:r>
            <w:r w:rsidRPr="00D91090">
              <w:t>:</w:t>
            </w:r>
          </w:p>
        </w:tc>
        <w:tc>
          <w:tcPr>
            <w:tcW w:w="6888" w:type="dxa"/>
          </w:tcPr>
          <w:p w14:paraId="692806A3" w14:textId="02CDB02F" w:rsidR="009016B4" w:rsidRPr="00D91090" w:rsidRDefault="008D27A2" w:rsidP="00824A29">
            <w:pPr>
              <w:pStyle w:val="tablecontent-singlespaced"/>
            </w:pPr>
            <w:r>
              <w:t>M</w:t>
            </w:r>
            <w:r w:rsidR="009016B4" w:rsidRPr="00CC1705">
              <w:t>y foster carers were the first, the only family I've ever had that have really really just cared about me and (.) like loved me and just cared about being there for me</w:t>
            </w:r>
            <w:r>
              <w:t>.</w:t>
            </w:r>
            <w:r w:rsidR="009016B4" w:rsidRPr="00CC1705">
              <w:t xml:space="preserve"> </w:t>
            </w:r>
          </w:p>
        </w:tc>
      </w:tr>
    </w:tbl>
    <w:p w14:paraId="1A0C4895"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F74557E" w14:textId="77777777" w:rsidTr="00ED3D34">
        <w:tc>
          <w:tcPr>
            <w:tcW w:w="1413" w:type="dxa"/>
          </w:tcPr>
          <w:p w14:paraId="64494D20" w14:textId="77777777" w:rsidR="009016B4" w:rsidRPr="00D91090" w:rsidRDefault="009016B4" w:rsidP="008E4AF2">
            <w:r>
              <w:t>Hannah</w:t>
            </w:r>
            <w:r w:rsidRPr="00D91090">
              <w:t>:</w:t>
            </w:r>
          </w:p>
        </w:tc>
        <w:tc>
          <w:tcPr>
            <w:tcW w:w="6888" w:type="dxa"/>
          </w:tcPr>
          <w:p w14:paraId="6B20AC06" w14:textId="5C517133" w:rsidR="009016B4" w:rsidRPr="00D91090" w:rsidRDefault="008D27A2" w:rsidP="00824A29">
            <w:pPr>
              <w:pStyle w:val="tablecontent-singlespaced"/>
            </w:pPr>
            <w:r>
              <w:t>T</w:t>
            </w:r>
            <w:r w:rsidR="009016B4" w:rsidRPr="00CC1705">
              <w:t>he relationship with me and my carer was like brilliant</w:t>
            </w:r>
            <w:r>
              <w:t>.</w:t>
            </w:r>
            <w:r w:rsidR="009016B4" w:rsidRPr="00CC1705">
              <w:t xml:space="preserve"> </w:t>
            </w:r>
          </w:p>
        </w:tc>
      </w:tr>
    </w:tbl>
    <w:p w14:paraId="0D00B199"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E69AB85" w14:textId="77777777" w:rsidTr="00ED3D34">
        <w:tc>
          <w:tcPr>
            <w:tcW w:w="1413" w:type="dxa"/>
          </w:tcPr>
          <w:p w14:paraId="6EA9E07E" w14:textId="77777777" w:rsidR="009016B4" w:rsidRPr="00D91090" w:rsidRDefault="009016B4" w:rsidP="008E4AF2">
            <w:r>
              <w:t>Eshal</w:t>
            </w:r>
            <w:r w:rsidRPr="00D91090">
              <w:t>:</w:t>
            </w:r>
          </w:p>
        </w:tc>
        <w:tc>
          <w:tcPr>
            <w:tcW w:w="6888" w:type="dxa"/>
          </w:tcPr>
          <w:p w14:paraId="06163E88" w14:textId="0463C8F0" w:rsidR="009016B4" w:rsidRPr="00D91090" w:rsidRDefault="008D27A2" w:rsidP="00824A29">
            <w:pPr>
              <w:pStyle w:val="tablecontent-singlespaced"/>
            </w:pPr>
            <w:r>
              <w:t>W</w:t>
            </w:r>
            <w:r w:rsidR="009016B4" w:rsidRPr="00CC1705">
              <w:t xml:space="preserve">e didn't row or nothing, </w:t>
            </w:r>
            <w:r>
              <w:t>a</w:t>
            </w:r>
            <w:r w:rsidR="009016B4" w:rsidRPr="00CC1705">
              <w:t>bout going out (.) nothin</w:t>
            </w:r>
            <w:r w:rsidR="00540562">
              <w:t>g</w:t>
            </w:r>
            <w:r w:rsidR="009016B4" w:rsidRPr="00CC1705">
              <w:t xml:space="preserve"> (.) like my friends at school that were like always saying how bad things were (.) but I was like smug and saying how good it was</w:t>
            </w:r>
            <w:r>
              <w:t>.</w:t>
            </w:r>
            <w:r w:rsidR="009016B4" w:rsidRPr="00CC1705">
              <w:t xml:space="preserve"> </w:t>
            </w:r>
          </w:p>
        </w:tc>
      </w:tr>
    </w:tbl>
    <w:p w14:paraId="56E5C510"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2E977320" w14:textId="77777777" w:rsidTr="00ED3D34">
        <w:tc>
          <w:tcPr>
            <w:tcW w:w="1413" w:type="dxa"/>
          </w:tcPr>
          <w:p w14:paraId="47C5D60C" w14:textId="77777777" w:rsidR="009016B4" w:rsidRPr="00D91090" w:rsidRDefault="009016B4" w:rsidP="008E4AF2">
            <w:r>
              <w:t>Cally</w:t>
            </w:r>
            <w:r w:rsidRPr="00D91090">
              <w:t>:</w:t>
            </w:r>
          </w:p>
        </w:tc>
        <w:tc>
          <w:tcPr>
            <w:tcW w:w="6888" w:type="dxa"/>
          </w:tcPr>
          <w:p w14:paraId="0BB15F08" w14:textId="0CE5A01D" w:rsidR="009016B4" w:rsidRPr="00D91090" w:rsidRDefault="009016B4" w:rsidP="00824A29">
            <w:pPr>
              <w:pStyle w:val="tablecontent-singlespaced"/>
            </w:pPr>
            <w:r w:rsidRPr="00CC1705">
              <w:t>I love Jenna and Freddy boy</w:t>
            </w:r>
            <w:r>
              <w:t xml:space="preserve"> [foster carers]</w:t>
            </w:r>
            <w:r w:rsidRPr="00CC1705">
              <w:t xml:space="preserve"> (.) even if I've never met them I would want them to be there for me (.) they have literally saved me from some right shit an</w:t>
            </w:r>
            <w:r w:rsidR="00DA5F8E">
              <w:t>d</w:t>
            </w:r>
            <w:r w:rsidRPr="00CC1705">
              <w:t xml:space="preserve"> I know they will help me when it's bad</w:t>
            </w:r>
            <w:r w:rsidR="00DA5F8E">
              <w:t>.</w:t>
            </w:r>
            <w:r w:rsidRPr="00CC1705">
              <w:t xml:space="preserve"> </w:t>
            </w:r>
          </w:p>
        </w:tc>
      </w:tr>
    </w:tbl>
    <w:p w14:paraId="03285577" w14:textId="77777777" w:rsidR="009016B4" w:rsidRDefault="009016B4" w:rsidP="008E4AF2"/>
    <w:p w14:paraId="00453AAF" w14:textId="197B7812" w:rsidR="009016B4" w:rsidRDefault="009016B4" w:rsidP="008E4AF2">
      <w:r>
        <w:t xml:space="preserve">As well as affection for the carers, young people described how they saw themselves or their carers saw them in relation to the foster family. Demonstrating their sense of belonging and acceptance, terms like ‘family’ and ‘foster parent’ were commonly used by all of the young people, suggesting that their relationships felt solid and established. For </w:t>
      </w:r>
      <w:r w:rsidR="00372B3C">
        <w:t>example,</w:t>
      </w:r>
      <w:r>
        <w:t xml:space="preserve"> Liam, Carrie and Cain all referred to their relationships using familial terms: </w:t>
      </w:r>
    </w:p>
    <w:p w14:paraId="30B9FAA5" w14:textId="77777777" w:rsidR="002A27EB" w:rsidRPr="00E7658F" w:rsidRDefault="002A27EB"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464769D" w14:textId="77777777" w:rsidTr="00ED3D34">
        <w:tc>
          <w:tcPr>
            <w:tcW w:w="1413" w:type="dxa"/>
          </w:tcPr>
          <w:p w14:paraId="5B5B1D15" w14:textId="77777777" w:rsidR="009016B4" w:rsidRPr="00D91090" w:rsidRDefault="009016B4">
            <w:r>
              <w:t>Liam</w:t>
            </w:r>
            <w:r w:rsidRPr="00D91090">
              <w:t>:</w:t>
            </w:r>
          </w:p>
        </w:tc>
        <w:tc>
          <w:tcPr>
            <w:tcW w:w="6888" w:type="dxa"/>
          </w:tcPr>
          <w:p w14:paraId="51779A3A" w14:textId="2E973071" w:rsidR="009016B4" w:rsidRPr="00D91090" w:rsidRDefault="00DA5F8E" w:rsidP="00824A29">
            <w:pPr>
              <w:pStyle w:val="tablecontent-singlespaced"/>
            </w:pPr>
            <w:r>
              <w:t>T</w:t>
            </w:r>
            <w:r w:rsidR="009016B4" w:rsidRPr="00CC1705">
              <w:t>hey were like, you are like, a part of our family (.) you're our daughter</w:t>
            </w:r>
            <w:r>
              <w:t>.</w:t>
            </w:r>
            <w:r w:rsidR="009016B4" w:rsidRPr="00CC1705">
              <w:t xml:space="preserve"> </w:t>
            </w:r>
          </w:p>
        </w:tc>
      </w:tr>
    </w:tbl>
    <w:p w14:paraId="78AEE625" w14:textId="5C03196E" w:rsidR="009016B4" w:rsidRDefault="009016B4" w:rsidP="006E3485">
      <w:r>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E8D20B8" w14:textId="77777777" w:rsidTr="00ED3D34">
        <w:tc>
          <w:tcPr>
            <w:tcW w:w="1413" w:type="dxa"/>
          </w:tcPr>
          <w:p w14:paraId="68C022DC" w14:textId="77777777" w:rsidR="009016B4" w:rsidRPr="00D91090" w:rsidRDefault="009016B4" w:rsidP="008E4AF2">
            <w:r>
              <w:t>Carrie</w:t>
            </w:r>
            <w:r w:rsidRPr="00D91090">
              <w:t>:</w:t>
            </w:r>
          </w:p>
        </w:tc>
        <w:tc>
          <w:tcPr>
            <w:tcW w:w="6888" w:type="dxa"/>
          </w:tcPr>
          <w:p w14:paraId="7DC8327A" w14:textId="0473720A" w:rsidR="009016B4" w:rsidRDefault="00DA5F8E" w:rsidP="00824A29">
            <w:pPr>
              <w:pStyle w:val="tablecontent-singlespaced"/>
            </w:pPr>
            <w:r>
              <w:t>T</w:t>
            </w:r>
            <w:r w:rsidR="009016B4" w:rsidRPr="00CC1705">
              <w:t>hey are absolutely my second family, yeah they are so great</w:t>
            </w:r>
            <w:r>
              <w:t>.</w:t>
            </w:r>
            <w:r w:rsidR="009016B4" w:rsidRPr="00CC1705">
              <w:t xml:space="preserve"> </w:t>
            </w:r>
          </w:p>
          <w:p w14:paraId="78BCFF9C" w14:textId="77777777" w:rsidR="00824A29" w:rsidRDefault="00824A29" w:rsidP="00824A29">
            <w:pPr>
              <w:pStyle w:val="tablecontent-singlespaced"/>
            </w:pPr>
          </w:p>
          <w:p w14:paraId="747A4C77" w14:textId="77777777" w:rsidR="00824A29" w:rsidRDefault="00824A29" w:rsidP="00824A29">
            <w:pPr>
              <w:pStyle w:val="tablecontent-singlespaced"/>
            </w:pPr>
          </w:p>
          <w:p w14:paraId="2E0630DC" w14:textId="05A70BBF" w:rsidR="00824A29" w:rsidRPr="00D91090" w:rsidRDefault="00824A29" w:rsidP="00824A29">
            <w:pPr>
              <w:pStyle w:val="tablecontent-singlespaced"/>
            </w:pPr>
          </w:p>
        </w:tc>
      </w:tr>
      <w:tr w:rsidR="009016B4" w:rsidRPr="00D91090" w14:paraId="7FCDC8CA" w14:textId="77777777" w:rsidTr="00ED3D34">
        <w:tc>
          <w:tcPr>
            <w:tcW w:w="1413" w:type="dxa"/>
          </w:tcPr>
          <w:p w14:paraId="1392B2FE" w14:textId="77777777" w:rsidR="009016B4" w:rsidRPr="00D91090" w:rsidRDefault="009016B4" w:rsidP="008E4AF2">
            <w:r>
              <w:t>Cain</w:t>
            </w:r>
            <w:r w:rsidRPr="00D91090">
              <w:t>:</w:t>
            </w:r>
          </w:p>
        </w:tc>
        <w:tc>
          <w:tcPr>
            <w:tcW w:w="6888" w:type="dxa"/>
          </w:tcPr>
          <w:p w14:paraId="7DE9722B" w14:textId="62527857" w:rsidR="009016B4" w:rsidRPr="00D91090" w:rsidRDefault="00DA5F8E" w:rsidP="00824A29">
            <w:pPr>
              <w:pStyle w:val="tablecontent-singlespaced"/>
            </w:pPr>
            <w:r>
              <w:t>M</w:t>
            </w:r>
            <w:r w:rsidR="009016B4" w:rsidRPr="00CC1705">
              <w:t>y foster parents were right behind me</w:t>
            </w:r>
            <w:r>
              <w:t>.</w:t>
            </w:r>
          </w:p>
        </w:tc>
      </w:tr>
    </w:tbl>
    <w:p w14:paraId="149CE040" w14:textId="77777777" w:rsidR="009016B4" w:rsidRDefault="009016B4" w:rsidP="008E4AF2">
      <w:pPr>
        <w:rPr>
          <w:highlight w:val="green"/>
        </w:rPr>
      </w:pPr>
    </w:p>
    <w:p w14:paraId="646A14FA" w14:textId="12580C74" w:rsidR="009016B4" w:rsidRDefault="009016B4">
      <w:r>
        <w:t>Explaining their positive relationships, m</w:t>
      </w:r>
      <w:r w:rsidRPr="00BD4FC2">
        <w:t xml:space="preserve">ost of the young people </w:t>
      </w:r>
      <w:r>
        <w:t>attributed their</w:t>
      </w:r>
      <w:r w:rsidRPr="00BD4FC2">
        <w:t xml:space="preserve"> </w:t>
      </w:r>
      <w:r>
        <w:t xml:space="preserve">placement </w:t>
      </w:r>
      <w:r w:rsidRPr="00BD4FC2">
        <w:t xml:space="preserve">experiences </w:t>
      </w:r>
      <w:r>
        <w:t>to luck, and related longevity in placement, placement stability and supportive foster carers to good fortune. For example</w:t>
      </w:r>
      <w:r w:rsidR="00CA635C">
        <w:t>,</w:t>
      </w:r>
      <w:r>
        <w:t xml:space="preserve"> Hannah described an initial reaction when moving to their placement:</w:t>
      </w:r>
    </w:p>
    <w:p w14:paraId="54B3B554"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B16C34E" w14:textId="77777777" w:rsidTr="00ED3D34">
        <w:tc>
          <w:tcPr>
            <w:tcW w:w="1413" w:type="dxa"/>
          </w:tcPr>
          <w:p w14:paraId="0D4030AF" w14:textId="77777777" w:rsidR="009016B4" w:rsidRPr="00D91090" w:rsidRDefault="009016B4" w:rsidP="008E4AF2">
            <w:r>
              <w:t>Hannah</w:t>
            </w:r>
            <w:r w:rsidRPr="00D91090">
              <w:t>:</w:t>
            </w:r>
          </w:p>
        </w:tc>
        <w:tc>
          <w:tcPr>
            <w:tcW w:w="6888" w:type="dxa"/>
          </w:tcPr>
          <w:p w14:paraId="729862E4" w14:textId="3DD9568B" w:rsidR="009016B4" w:rsidRPr="00D91090" w:rsidRDefault="00DA5F8E" w:rsidP="00824A29">
            <w:pPr>
              <w:pStyle w:val="tablecontent-singlespaced"/>
            </w:pPr>
            <w:r>
              <w:t>I</w:t>
            </w:r>
            <w:r w:rsidR="009016B4" w:rsidRPr="00886736">
              <w:t>t was very like lucky like</w:t>
            </w:r>
            <w:r w:rsidR="009016B4">
              <w:t xml:space="preserve"> (.) </w:t>
            </w:r>
            <w:r w:rsidR="009016B4" w:rsidRPr="00886736">
              <w:t>I've got these people</w:t>
            </w:r>
            <w:r>
              <w:t>.</w:t>
            </w:r>
            <w:r w:rsidR="009016B4" w:rsidRPr="00886736">
              <w:t xml:space="preserve"> </w:t>
            </w:r>
          </w:p>
        </w:tc>
      </w:tr>
    </w:tbl>
    <w:p w14:paraId="134F788E" w14:textId="77777777" w:rsidR="009016B4" w:rsidRDefault="009016B4" w:rsidP="006E3485">
      <w:r>
        <w:t xml:space="preserve"> </w:t>
      </w:r>
    </w:p>
    <w:p w14:paraId="614A2017" w14:textId="77777777" w:rsidR="009016B4" w:rsidRDefault="009016B4" w:rsidP="008E4AF2">
      <w:r>
        <w:t>Carrie and Cain shared this thinking and reflected on the contrast with previous placements or living at home:</w:t>
      </w:r>
    </w:p>
    <w:p w14:paraId="73BE08D0"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6A7F9608" w14:textId="77777777" w:rsidTr="00ED3D34">
        <w:tc>
          <w:tcPr>
            <w:tcW w:w="1413" w:type="dxa"/>
          </w:tcPr>
          <w:p w14:paraId="5C651A6F" w14:textId="77777777" w:rsidR="009016B4" w:rsidRPr="00D91090" w:rsidRDefault="009016B4">
            <w:r>
              <w:t>Carrie</w:t>
            </w:r>
            <w:r w:rsidRPr="00D91090">
              <w:t>:</w:t>
            </w:r>
          </w:p>
        </w:tc>
        <w:tc>
          <w:tcPr>
            <w:tcW w:w="6888" w:type="dxa"/>
          </w:tcPr>
          <w:p w14:paraId="2DB3EC5E" w14:textId="55D9F40D" w:rsidR="009016B4" w:rsidRPr="00D91090" w:rsidRDefault="009016B4" w:rsidP="00824A29">
            <w:pPr>
              <w:pStyle w:val="tablecontent-singlespaced"/>
            </w:pPr>
            <w:r w:rsidRPr="00886736">
              <w:t>I feel lucky to have ended up with them (.) I'm grateful to the universe for getting me there</w:t>
            </w:r>
            <w:r w:rsidR="00DA5F8E">
              <w:t>.</w:t>
            </w:r>
            <w:r w:rsidRPr="00886736">
              <w:t xml:space="preserve"> </w:t>
            </w:r>
          </w:p>
        </w:tc>
      </w:tr>
    </w:tbl>
    <w:p w14:paraId="3BABA07A" w14:textId="77777777" w:rsidR="009016B4" w:rsidRDefault="009016B4" w:rsidP="006E3485">
      <w:r>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DC766A3" w14:textId="77777777" w:rsidTr="00ED3D34">
        <w:tc>
          <w:tcPr>
            <w:tcW w:w="1413" w:type="dxa"/>
          </w:tcPr>
          <w:p w14:paraId="00387423" w14:textId="77777777" w:rsidR="009016B4" w:rsidRPr="00D91090" w:rsidRDefault="009016B4" w:rsidP="008E4AF2">
            <w:r>
              <w:t>Cain</w:t>
            </w:r>
            <w:r w:rsidRPr="00D91090">
              <w:t>:</w:t>
            </w:r>
          </w:p>
        </w:tc>
        <w:tc>
          <w:tcPr>
            <w:tcW w:w="6888" w:type="dxa"/>
          </w:tcPr>
          <w:p w14:paraId="10CC0423" w14:textId="25748398" w:rsidR="009016B4" w:rsidRPr="00D91090" w:rsidRDefault="009016B4" w:rsidP="00824A29">
            <w:pPr>
              <w:pStyle w:val="tablecontent-singlespaced"/>
            </w:pPr>
            <w:r w:rsidRPr="00886736">
              <w:t>I feel lucky, that, though it was bad at home, I have like the best life now</w:t>
            </w:r>
            <w:r w:rsidR="00DA5F8E">
              <w:t>.</w:t>
            </w:r>
            <w:r w:rsidRPr="00886736">
              <w:t xml:space="preserve"> </w:t>
            </w:r>
          </w:p>
        </w:tc>
      </w:tr>
    </w:tbl>
    <w:p w14:paraId="65B98510" w14:textId="77777777" w:rsidR="009016B4" w:rsidRDefault="009016B4" w:rsidP="006E3485">
      <w:r>
        <w:t xml:space="preserve"> </w:t>
      </w:r>
    </w:p>
    <w:p w14:paraId="4656CC26" w14:textId="01EE692D" w:rsidR="009016B4" w:rsidRDefault="009016B4" w:rsidP="008E4AF2">
      <w:r>
        <w:t xml:space="preserve">As well as their own thoughts about being lucky in who they lived with, some young people were told that they were lucky by </w:t>
      </w:r>
      <w:r w:rsidR="009B413B">
        <w:t>s</w:t>
      </w:r>
      <w:r>
        <w:t xml:space="preserve">ocial </w:t>
      </w:r>
      <w:r w:rsidR="009B413B">
        <w:t>w</w:t>
      </w:r>
      <w:r>
        <w:t xml:space="preserve">orkers or other professionals. These comments were not disputed by young people, instead they appeared to reinforce existing feelings. For </w:t>
      </w:r>
      <w:r w:rsidR="00AB4E16">
        <w:t>example,</w:t>
      </w:r>
      <w:r>
        <w:t xml:space="preserve"> Beth said: </w:t>
      </w:r>
    </w:p>
    <w:p w14:paraId="32459E9E" w14:textId="77777777" w:rsidR="00DA5F8E" w:rsidRDefault="00DA5F8E"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2FD7D37" w14:textId="77777777" w:rsidTr="00ED3D34">
        <w:tc>
          <w:tcPr>
            <w:tcW w:w="1413" w:type="dxa"/>
          </w:tcPr>
          <w:p w14:paraId="31CDD311" w14:textId="77777777" w:rsidR="009016B4" w:rsidRPr="00D91090" w:rsidRDefault="009016B4">
            <w:r>
              <w:t>Beth</w:t>
            </w:r>
            <w:r w:rsidRPr="00D91090">
              <w:t>:</w:t>
            </w:r>
          </w:p>
        </w:tc>
        <w:tc>
          <w:tcPr>
            <w:tcW w:w="6888" w:type="dxa"/>
          </w:tcPr>
          <w:p w14:paraId="4026FE7B" w14:textId="4B678E24" w:rsidR="009016B4" w:rsidRPr="00D91090" w:rsidRDefault="00DA5F8E" w:rsidP="00824A29">
            <w:pPr>
              <w:pStyle w:val="tablecontent-singlespaced"/>
            </w:pPr>
            <w:r>
              <w:t>M</w:t>
            </w:r>
            <w:r w:rsidR="009016B4" w:rsidRPr="00886736">
              <w:t xml:space="preserve">y </w:t>
            </w:r>
            <w:r w:rsidR="00204959">
              <w:t>s</w:t>
            </w:r>
            <w:r w:rsidR="009016B4" w:rsidRPr="00886736">
              <w:t xml:space="preserve">ocial </w:t>
            </w:r>
            <w:r w:rsidR="00204959">
              <w:t>w</w:t>
            </w:r>
            <w:r w:rsidR="009016B4" w:rsidRPr="00886736">
              <w:t>orker said we was lucky to have her as a carer</w:t>
            </w:r>
            <w:r>
              <w:t>.</w:t>
            </w:r>
            <w:r w:rsidR="009016B4" w:rsidRPr="00886736">
              <w:t xml:space="preserve"> </w:t>
            </w:r>
          </w:p>
        </w:tc>
      </w:tr>
    </w:tbl>
    <w:p w14:paraId="6AA84E2A" w14:textId="77777777" w:rsidR="00DA5F8E" w:rsidRDefault="00DA5F8E" w:rsidP="008E4AF2"/>
    <w:p w14:paraId="0392D558" w14:textId="4548A21D" w:rsidR="009016B4" w:rsidRDefault="00DA5F8E" w:rsidP="008E4AF2">
      <w:r>
        <w:t>Then</w:t>
      </w:r>
      <w:r w:rsidR="009016B4">
        <w:t xml:space="preserve"> later on in the interview: </w:t>
      </w:r>
    </w:p>
    <w:p w14:paraId="5091507D" w14:textId="77777777" w:rsidR="00824A29" w:rsidRDefault="00824A29"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6E476FB9" w14:textId="77777777" w:rsidTr="00ED3D34">
        <w:tc>
          <w:tcPr>
            <w:tcW w:w="1413" w:type="dxa"/>
          </w:tcPr>
          <w:p w14:paraId="6E4B3DDB" w14:textId="77777777" w:rsidR="009016B4" w:rsidRPr="00D91090" w:rsidRDefault="009016B4">
            <w:r>
              <w:t>Beth</w:t>
            </w:r>
            <w:r w:rsidRPr="00D91090">
              <w:t>:</w:t>
            </w:r>
          </w:p>
        </w:tc>
        <w:tc>
          <w:tcPr>
            <w:tcW w:w="6888" w:type="dxa"/>
          </w:tcPr>
          <w:p w14:paraId="3E79E071" w14:textId="7935042F" w:rsidR="009016B4" w:rsidRDefault="00DA5F8E" w:rsidP="00824A29">
            <w:pPr>
              <w:pStyle w:val="tablecontent-singlespaced"/>
            </w:pPr>
            <w:r>
              <w:t>M</w:t>
            </w:r>
            <w:r w:rsidR="009016B4" w:rsidRPr="00886736">
              <w:t xml:space="preserve">aybe I was luckier than I thought, my </w:t>
            </w:r>
            <w:r w:rsidR="009016B4">
              <w:t>s</w:t>
            </w:r>
            <w:r w:rsidR="009016B4" w:rsidRPr="00886736">
              <w:t xml:space="preserve">ocial </w:t>
            </w:r>
            <w:r w:rsidR="009016B4">
              <w:t>w</w:t>
            </w:r>
            <w:r w:rsidR="009016B4" w:rsidRPr="00886736">
              <w:t>orker was right about tha</w:t>
            </w:r>
            <w:r>
              <w:t>t.</w:t>
            </w:r>
          </w:p>
          <w:p w14:paraId="5790EFAC" w14:textId="5EC4C9AD" w:rsidR="00DA5F8E" w:rsidRPr="00D91090" w:rsidRDefault="00DA5F8E" w:rsidP="00824A29">
            <w:pPr>
              <w:pStyle w:val="tablecontent-singlespaced"/>
            </w:pPr>
          </w:p>
        </w:tc>
      </w:tr>
    </w:tbl>
    <w:p w14:paraId="21D9DB2D" w14:textId="77777777" w:rsidR="00DA5F8E" w:rsidRDefault="00DA5F8E" w:rsidP="008E4AF2"/>
    <w:p w14:paraId="28CB8571" w14:textId="33E2E0E1" w:rsidR="009016B4" w:rsidRDefault="009016B4" w:rsidP="008E4AF2">
      <w:r>
        <w:t>The combination of affection for their foster carers, being accepted and sense of good fortune about their individual placements appeared to be important for the young people to share during the interviews. Each young person’s narrative echoed the familial foundation that they felt they had prior to and in most cases since their 18</w:t>
      </w:r>
      <w:r w:rsidRPr="00C111DE">
        <w:rPr>
          <w:vertAlign w:val="superscript"/>
        </w:rPr>
        <w:t>th</w:t>
      </w:r>
      <w:r>
        <w:t xml:space="preserve"> birthday. Their own experiences were often used in contrast to friends or peers or when reflecting on previous placement experiences. For example, when asked about her last foster care placement Carrie noted the difference between the two most recent placements, recalling: </w:t>
      </w:r>
    </w:p>
    <w:p w14:paraId="22CB0A3B"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5FD62AE" w14:textId="77777777" w:rsidTr="00ED3D34">
        <w:tc>
          <w:tcPr>
            <w:tcW w:w="1413" w:type="dxa"/>
          </w:tcPr>
          <w:p w14:paraId="62544C87" w14:textId="77777777" w:rsidR="009016B4" w:rsidRPr="00D91090" w:rsidRDefault="009016B4">
            <w:r>
              <w:t>Carrie</w:t>
            </w:r>
            <w:r w:rsidRPr="00D91090">
              <w:t>:</w:t>
            </w:r>
          </w:p>
        </w:tc>
        <w:tc>
          <w:tcPr>
            <w:tcW w:w="6888" w:type="dxa"/>
          </w:tcPr>
          <w:p w14:paraId="5708C1BD" w14:textId="0FE9ECB2" w:rsidR="009016B4" w:rsidRPr="00D91090" w:rsidRDefault="00DA5F8E" w:rsidP="00824A29">
            <w:pPr>
              <w:pStyle w:val="tablecontent-singlespaced"/>
            </w:pPr>
            <w:r>
              <w:t>W</w:t>
            </w:r>
            <w:r w:rsidR="009016B4" w:rsidRPr="00886736">
              <w:t>asn’t so good (.) we'd never really talked, we never really got on, we had to watch what she wanted, and when it was my turn she would do something else (.) I would watch it on my own (.) so it was like you do one thing and she would do another (.) like there was no like family atmosphere</w:t>
            </w:r>
            <w:r>
              <w:t>.</w:t>
            </w:r>
            <w:r w:rsidR="009016B4" w:rsidRPr="00886736">
              <w:t xml:space="preserve"> </w:t>
            </w:r>
          </w:p>
        </w:tc>
      </w:tr>
    </w:tbl>
    <w:p w14:paraId="64BF59B7" w14:textId="77777777" w:rsidR="009016B4" w:rsidRDefault="009016B4" w:rsidP="006E3485"/>
    <w:p w14:paraId="3E34EF3B" w14:textId="77777777" w:rsidR="009016B4" w:rsidRDefault="009016B4" w:rsidP="008E4AF2">
      <w:r>
        <w:t>Whereas the placement prior to Carrie’s 18</w:t>
      </w:r>
      <w:r w:rsidRPr="002F4A7F">
        <w:rPr>
          <w:vertAlign w:val="superscript"/>
        </w:rPr>
        <w:t>th</w:t>
      </w:r>
      <w:r>
        <w:t xml:space="preserve"> birthday:</w:t>
      </w:r>
    </w:p>
    <w:p w14:paraId="0FCA7C2F"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45F8AB12" w14:textId="77777777" w:rsidTr="00ED3D34">
        <w:tc>
          <w:tcPr>
            <w:tcW w:w="1413" w:type="dxa"/>
          </w:tcPr>
          <w:p w14:paraId="660AD111" w14:textId="77777777" w:rsidR="009016B4" w:rsidRPr="00D91090" w:rsidRDefault="009016B4">
            <w:r>
              <w:t>Carrie:</w:t>
            </w:r>
          </w:p>
        </w:tc>
        <w:tc>
          <w:tcPr>
            <w:tcW w:w="6888" w:type="dxa"/>
          </w:tcPr>
          <w:p w14:paraId="480369A5" w14:textId="32453651" w:rsidR="009016B4" w:rsidRPr="00D91090" w:rsidRDefault="00DA5F8E" w:rsidP="00824A29">
            <w:pPr>
              <w:pStyle w:val="tablecontent-singlespaced"/>
            </w:pPr>
            <w:r>
              <w:t>T</w:t>
            </w:r>
            <w:r w:rsidR="009016B4" w:rsidRPr="00886736">
              <w:t>he loveliest people that I could have chanced upon</w:t>
            </w:r>
            <w:r>
              <w:t xml:space="preserve"> (.) </w:t>
            </w:r>
            <w:r w:rsidR="009016B4" w:rsidRPr="00886736">
              <w:t>and I still talk to them a lot</w:t>
            </w:r>
            <w:r>
              <w:t>.</w:t>
            </w:r>
            <w:r w:rsidR="009016B4" w:rsidRPr="00886736">
              <w:t xml:space="preserve"> </w:t>
            </w:r>
          </w:p>
        </w:tc>
      </w:tr>
    </w:tbl>
    <w:p w14:paraId="6FC799FE" w14:textId="77777777" w:rsidR="009016B4" w:rsidRPr="00BD4FC2" w:rsidRDefault="009016B4" w:rsidP="008E4AF2"/>
    <w:p w14:paraId="01EAD7EC" w14:textId="3F49E061" w:rsidR="009016B4" w:rsidRDefault="009016B4">
      <w:r w:rsidRPr="00A85518">
        <w:t xml:space="preserve">The sense of </w:t>
      </w:r>
      <w:r>
        <w:t xml:space="preserve">relief for Carrie moving to a foster care placement that felt supportive was evident in the interview and highlighted the disparity in </w:t>
      </w:r>
      <w:r w:rsidR="009E0928">
        <w:t xml:space="preserve">their </w:t>
      </w:r>
      <w:r>
        <w:t xml:space="preserve">feelings of belonging between the two foster care placements. The young people’s accounts of holding an established </w:t>
      </w:r>
      <w:r>
        <w:lastRenderedPageBreak/>
        <w:t xml:space="preserve">place within the foster family reflects the intentions of family placements highlighted in </w:t>
      </w:r>
      <w:r w:rsidR="00113DFB" w:rsidRPr="00866CD9">
        <w:t>C</w:t>
      </w:r>
      <w:r w:rsidRPr="00866CD9">
        <w:t>hapter</w:t>
      </w:r>
      <w:r w:rsidR="00113DFB" w:rsidRPr="00866CD9">
        <w:t xml:space="preserve"> </w:t>
      </w:r>
      <w:r w:rsidR="00866CD9" w:rsidRPr="00866CD9">
        <w:t>1</w:t>
      </w:r>
      <w:r w:rsidRPr="00866CD9">
        <w:t>.</w:t>
      </w:r>
      <w:r>
        <w:t xml:space="preserve"> All of the participants indicated that they felt integrated into the carer’s lives and even where they had established relationships with birth families, the foster carers seemed to represent a secure foundation. Even if they attributed this security to luck, they appeared to feel safe within their relationships as they were coming up to their 18</w:t>
      </w:r>
      <w:r w:rsidRPr="00703AE4">
        <w:rPr>
          <w:vertAlign w:val="superscript"/>
        </w:rPr>
        <w:t>th</w:t>
      </w:r>
      <w:r>
        <w:t xml:space="preserve"> birthday. Hearing the young people express their sense of belonging became relevant when the issue of </w:t>
      </w:r>
      <w:r w:rsidRPr="00703AE4">
        <w:rPr>
          <w:i/>
          <w:iCs/>
        </w:rPr>
        <w:t>Staying Put</w:t>
      </w:r>
      <w:r>
        <w:t xml:space="preserve"> was raised. </w:t>
      </w:r>
    </w:p>
    <w:p w14:paraId="69AA1EE3" w14:textId="53A9BF74" w:rsidR="009016B4" w:rsidRDefault="009016B4">
      <w:r>
        <w:t xml:space="preserve">Regardless of the base young people felt they had, the question of </w:t>
      </w:r>
      <w:r w:rsidRPr="00703AE4">
        <w:rPr>
          <w:i/>
          <w:iCs/>
        </w:rPr>
        <w:t>Staying Put</w:t>
      </w:r>
      <w:r>
        <w:t xml:space="preserve"> appeared to expose feelings of uncertainty in their relationships </w:t>
      </w:r>
      <w:r w:rsidR="00DA5F8E">
        <w:t>and</w:t>
      </w:r>
      <w:r>
        <w:t xml:space="preserve"> their position within the foster carer family. Some young people questioned whether or not they would be able to stay, even if they wanted to. Liam described a strong bond and loving relationship with their foster carers, however still questioned whether or not this would result in them staying beyond their 18</w:t>
      </w:r>
      <w:r w:rsidRPr="00703AE4">
        <w:rPr>
          <w:vertAlign w:val="superscript"/>
        </w:rPr>
        <w:t>th</w:t>
      </w:r>
      <w:r>
        <w:t xml:space="preserve"> birthday: </w:t>
      </w:r>
    </w:p>
    <w:p w14:paraId="3E6FC73A"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4A33908" w14:textId="77777777" w:rsidTr="00ED3D34">
        <w:tc>
          <w:tcPr>
            <w:tcW w:w="1413" w:type="dxa"/>
          </w:tcPr>
          <w:p w14:paraId="613AD0F6" w14:textId="77777777" w:rsidR="009016B4" w:rsidRPr="00D91090" w:rsidRDefault="009016B4">
            <w:r>
              <w:t>Liam</w:t>
            </w:r>
            <w:r w:rsidRPr="00D91090">
              <w:t>:</w:t>
            </w:r>
          </w:p>
        </w:tc>
        <w:tc>
          <w:tcPr>
            <w:tcW w:w="6888" w:type="dxa"/>
          </w:tcPr>
          <w:p w14:paraId="286F65DB" w14:textId="3222B0D1" w:rsidR="009016B4" w:rsidRPr="00D91090" w:rsidRDefault="009016B4" w:rsidP="00824A29">
            <w:pPr>
              <w:pStyle w:val="tablecontent-singlespaced"/>
            </w:pPr>
            <w:r w:rsidRPr="00703AE4">
              <w:t>I was just thinking, what is the limit to that love (.) you know</w:t>
            </w:r>
            <w:r w:rsidR="00DA5F8E">
              <w:t>.</w:t>
            </w:r>
            <w:r w:rsidRPr="00703AE4">
              <w:t xml:space="preserve"> </w:t>
            </w:r>
          </w:p>
        </w:tc>
      </w:tr>
    </w:tbl>
    <w:p w14:paraId="14CFC3C5" w14:textId="77777777" w:rsidR="009016B4" w:rsidRDefault="009016B4" w:rsidP="008E4AF2"/>
    <w:p w14:paraId="78EBD9E2" w14:textId="77777777" w:rsidR="009016B4" w:rsidRDefault="009016B4">
      <w:r>
        <w:t>Liam’s question suggested an awareness of the foster carer’s commitment beyond their 18</w:t>
      </w:r>
      <w:r w:rsidRPr="009939EF">
        <w:rPr>
          <w:vertAlign w:val="superscript"/>
        </w:rPr>
        <w:t>th</w:t>
      </w:r>
      <w:r>
        <w:t xml:space="preserve"> birthday that was outside of their role as a foster carer. Uncertainty also appeared to characterise Cally and Tyler’s recollection of feelings during this period, in particular Cally questioned whether the foster carer agreed to </w:t>
      </w:r>
      <w:r w:rsidRPr="006E3485">
        <w:rPr>
          <w:i/>
          <w:iCs/>
        </w:rPr>
        <w:t>Staying Put</w:t>
      </w:r>
      <w:r>
        <w:t xml:space="preserve"> out of obligation:</w:t>
      </w:r>
    </w:p>
    <w:p w14:paraId="0B12B1C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D958520" w14:textId="77777777" w:rsidTr="00ED3D34">
        <w:tc>
          <w:tcPr>
            <w:tcW w:w="1413" w:type="dxa"/>
          </w:tcPr>
          <w:p w14:paraId="673C1735" w14:textId="77777777" w:rsidR="009016B4" w:rsidRPr="00D91090" w:rsidRDefault="009016B4">
            <w:r>
              <w:t>Cally</w:t>
            </w:r>
            <w:r w:rsidRPr="00D91090">
              <w:t>:</w:t>
            </w:r>
          </w:p>
        </w:tc>
        <w:tc>
          <w:tcPr>
            <w:tcW w:w="6888" w:type="dxa"/>
          </w:tcPr>
          <w:p w14:paraId="07533143" w14:textId="5EA2D89E" w:rsidR="009016B4" w:rsidRPr="00D91090" w:rsidRDefault="009016B4" w:rsidP="00824A29">
            <w:pPr>
              <w:pStyle w:val="tablecontent-singlespaced"/>
            </w:pPr>
            <w:r w:rsidRPr="00703AE4">
              <w:t>I think I thought she wanted me to stay, but I wasn’t sure</w:t>
            </w:r>
            <w:r w:rsidR="004449B5">
              <w:t xml:space="preserve"> … </w:t>
            </w:r>
            <w:r w:rsidRPr="00703AE4">
              <w:t>I was like d'y</w:t>
            </w:r>
            <w:r w:rsidR="00DA5F8E">
              <w:t>ou</w:t>
            </w:r>
            <w:r w:rsidRPr="00703AE4">
              <w:t xml:space="preserve"> think Jenna </w:t>
            </w:r>
            <w:r>
              <w:t xml:space="preserve">[foster carer] </w:t>
            </w:r>
            <w:r w:rsidRPr="00703AE4">
              <w:t>only asked me so I wouldn't live with m</w:t>
            </w:r>
            <w:r w:rsidR="009E0928">
              <w:t>y</w:t>
            </w:r>
            <w:r w:rsidRPr="00703AE4">
              <w:t xml:space="preserve"> dad? </w:t>
            </w:r>
          </w:p>
        </w:tc>
      </w:tr>
    </w:tbl>
    <w:p w14:paraId="0C20CF6E" w14:textId="77777777" w:rsidR="009016B4" w:rsidRDefault="009016B4" w:rsidP="006E3485"/>
    <w:p w14:paraId="61C26848"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F7117AD" w14:textId="77777777" w:rsidTr="00ED3D34">
        <w:tc>
          <w:tcPr>
            <w:tcW w:w="1413" w:type="dxa"/>
          </w:tcPr>
          <w:p w14:paraId="7A276A45" w14:textId="77777777" w:rsidR="009016B4" w:rsidRPr="00D91090" w:rsidRDefault="009016B4" w:rsidP="008E4AF2">
            <w:r>
              <w:t>Tyler</w:t>
            </w:r>
            <w:r w:rsidRPr="00D91090">
              <w:t>:</w:t>
            </w:r>
          </w:p>
        </w:tc>
        <w:tc>
          <w:tcPr>
            <w:tcW w:w="6888" w:type="dxa"/>
          </w:tcPr>
          <w:p w14:paraId="5524CA48" w14:textId="68F86642" w:rsidR="009016B4" w:rsidRPr="00D91090" w:rsidRDefault="009016B4" w:rsidP="00824A29">
            <w:pPr>
              <w:pStyle w:val="tablecontent-singlespaced"/>
            </w:pPr>
            <w:r w:rsidRPr="00703AE4">
              <w:t>I think they wanted (.) like me to stay and that I was part of the family and yeah (.) that they didn’t want me to like go out on the streets, but I didn’t know</w:t>
            </w:r>
            <w:r w:rsidR="004449B5">
              <w:t xml:space="preserve"> … </w:t>
            </w:r>
            <w:r w:rsidRPr="00703AE4">
              <w:t xml:space="preserve">There was a lot of talk about being independent, so even though I erm wanted to erm stay, it felt like they wanted me to move on. </w:t>
            </w:r>
          </w:p>
        </w:tc>
      </w:tr>
    </w:tbl>
    <w:p w14:paraId="30A63ACA" w14:textId="77777777" w:rsidR="009016B4" w:rsidRPr="00A85518" w:rsidRDefault="009016B4" w:rsidP="008E4AF2"/>
    <w:p w14:paraId="0F9E412E" w14:textId="69D156F1" w:rsidR="009016B4" w:rsidRDefault="009016B4">
      <w:r>
        <w:lastRenderedPageBreak/>
        <w:t xml:space="preserve">When young people found out they could remain with their foster carers, they conveyed feelings of relief. In some </w:t>
      </w:r>
      <w:r w:rsidR="00DA5F8E">
        <w:t>cases,</w:t>
      </w:r>
      <w:r>
        <w:t xml:space="preserve"> young people also seemed to be reassured that they had not misjudged their relationships with their foster carers. Beth, for example, explained how emotional this discussion became:</w:t>
      </w:r>
    </w:p>
    <w:p w14:paraId="1F0154F0" w14:textId="77777777" w:rsidR="002A27EB" w:rsidRDefault="002A27EB"/>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2526751F" w14:textId="77777777" w:rsidTr="00ED3D34">
        <w:tc>
          <w:tcPr>
            <w:tcW w:w="1413" w:type="dxa"/>
          </w:tcPr>
          <w:p w14:paraId="45372BE5" w14:textId="77777777" w:rsidR="009016B4" w:rsidRPr="00D91090" w:rsidRDefault="009016B4">
            <w:r>
              <w:t>Beth</w:t>
            </w:r>
            <w:r w:rsidRPr="00D91090">
              <w:t>:</w:t>
            </w:r>
          </w:p>
        </w:tc>
        <w:tc>
          <w:tcPr>
            <w:tcW w:w="6888" w:type="dxa"/>
          </w:tcPr>
          <w:p w14:paraId="709BD425" w14:textId="39923893" w:rsidR="009016B4" w:rsidRPr="00D91090" w:rsidRDefault="009016B4" w:rsidP="00824A29">
            <w:pPr>
              <w:pStyle w:val="tablecontent-singlespaced"/>
            </w:pPr>
            <w:r w:rsidRPr="005D3555">
              <w:t>I started crying because I admitted what I wanted [to stay with the foster carers] and she cried too because she wan</w:t>
            </w:r>
            <w:r w:rsidR="00540562">
              <w:t>ted</w:t>
            </w:r>
            <w:r w:rsidRPr="005D3555">
              <w:t xml:space="preserve"> it. </w:t>
            </w:r>
          </w:p>
        </w:tc>
      </w:tr>
    </w:tbl>
    <w:p w14:paraId="4F67EC78" w14:textId="77777777" w:rsidR="009016B4" w:rsidRDefault="009016B4" w:rsidP="008E4AF2"/>
    <w:p w14:paraId="60E79900" w14:textId="154DF845" w:rsidR="009016B4" w:rsidRDefault="009016B4" w:rsidP="008E4AF2">
      <w:r>
        <w:t xml:space="preserve">When talking about </w:t>
      </w:r>
      <w:r w:rsidRPr="005D3555">
        <w:rPr>
          <w:i/>
          <w:iCs/>
        </w:rPr>
        <w:t>Staying Put</w:t>
      </w:r>
      <w:r>
        <w:t xml:space="preserve">, the young people returned to the concept of luck </w:t>
      </w:r>
      <w:r w:rsidR="00CA3A5D">
        <w:t>—</w:t>
      </w:r>
      <w:r>
        <w:t xml:space="preserve"> expressing that they felt fortunate to have the opportunity. As well as feeling lucky some young people also felt that this indicated their carers positivity about </w:t>
      </w:r>
      <w:r w:rsidR="00DA5F8E">
        <w:t>them and</w:t>
      </w:r>
      <w:r>
        <w:t xml:space="preserve"> </w:t>
      </w:r>
      <w:r w:rsidR="00DA5F8E">
        <w:t xml:space="preserve">whether they were </w:t>
      </w:r>
      <w:r>
        <w:t>wanted in the</w:t>
      </w:r>
      <w:r w:rsidR="00DA5F8E">
        <w:t xml:space="preserve"> foster</w:t>
      </w:r>
      <w:r>
        <w:t xml:space="preserve"> family. Beth’s thoughts about </w:t>
      </w:r>
      <w:r w:rsidRPr="005D3555">
        <w:rPr>
          <w:i/>
          <w:iCs/>
        </w:rPr>
        <w:t>Staying Put</w:t>
      </w:r>
      <w:r>
        <w:t xml:space="preserve"> were summed up when asked for any final comments: </w:t>
      </w:r>
    </w:p>
    <w:p w14:paraId="2FE573E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3BAAB96" w14:textId="77777777" w:rsidTr="00ED3D34">
        <w:tc>
          <w:tcPr>
            <w:tcW w:w="1413" w:type="dxa"/>
          </w:tcPr>
          <w:p w14:paraId="109D76FD" w14:textId="77777777" w:rsidR="009016B4" w:rsidRPr="00D91090" w:rsidRDefault="009016B4">
            <w:r>
              <w:t>Beth</w:t>
            </w:r>
            <w:r w:rsidRPr="00D91090">
              <w:t>:</w:t>
            </w:r>
          </w:p>
        </w:tc>
        <w:tc>
          <w:tcPr>
            <w:tcW w:w="6888" w:type="dxa"/>
          </w:tcPr>
          <w:p w14:paraId="03EA6F40" w14:textId="6B3A1D41" w:rsidR="009016B4" w:rsidRPr="00D91090" w:rsidRDefault="009016B4" w:rsidP="00824A29">
            <w:pPr>
              <w:pStyle w:val="tablecontent-singlespaced"/>
            </w:pPr>
            <w:r w:rsidRPr="00CE2694">
              <w:rPr>
                <w:i/>
                <w:iCs/>
              </w:rPr>
              <w:t>Staying Put</w:t>
            </w:r>
            <w:r w:rsidRPr="00CE2694">
              <w:t xml:space="preserve"> is like being lucky. If I di</w:t>
            </w:r>
            <w:r w:rsidR="00562B3B">
              <w:t>d</w:t>
            </w:r>
            <w:r w:rsidRPr="00CE2694">
              <w:t>n</w:t>
            </w:r>
            <w:r w:rsidR="00562B3B">
              <w:t>’</w:t>
            </w:r>
            <w:r w:rsidRPr="00CE2694">
              <w:t>t have a close connection with my carer they would just say no I don't want you</w:t>
            </w:r>
            <w:r w:rsidR="00DA5F8E">
              <w:t>.</w:t>
            </w:r>
            <w:r w:rsidRPr="00CE2694">
              <w:t xml:space="preserve"> </w:t>
            </w:r>
          </w:p>
        </w:tc>
      </w:tr>
    </w:tbl>
    <w:p w14:paraId="3B558251" w14:textId="77777777" w:rsidR="009016B4" w:rsidRDefault="009016B4" w:rsidP="006E3485">
      <w:r w:rsidRPr="00ED2A63">
        <w:t xml:space="preserve"> </w:t>
      </w:r>
    </w:p>
    <w:p w14:paraId="5E7F95BE" w14:textId="77777777" w:rsidR="009016B4" w:rsidRDefault="009016B4" w:rsidP="008E4AF2">
      <w:r>
        <w:t xml:space="preserve">Liam’s account also reflected how the significance of their foster carer’s agreement to </w:t>
      </w:r>
      <w:r w:rsidRPr="006E3485">
        <w:rPr>
          <w:i/>
          <w:iCs/>
        </w:rPr>
        <w:t>Staying Put</w:t>
      </w:r>
      <w:r>
        <w:t>:</w:t>
      </w:r>
    </w:p>
    <w:p w14:paraId="5FA08CD0"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43F7A70" w14:textId="77777777" w:rsidTr="00ED3D34">
        <w:tc>
          <w:tcPr>
            <w:tcW w:w="1413" w:type="dxa"/>
          </w:tcPr>
          <w:p w14:paraId="2D46EBE5" w14:textId="77777777" w:rsidR="009016B4" w:rsidRPr="00D91090" w:rsidRDefault="009016B4">
            <w:r>
              <w:t>Liam</w:t>
            </w:r>
            <w:r w:rsidRPr="00D91090">
              <w:t>:</w:t>
            </w:r>
          </w:p>
        </w:tc>
        <w:tc>
          <w:tcPr>
            <w:tcW w:w="6888" w:type="dxa"/>
          </w:tcPr>
          <w:p w14:paraId="14D46BFD" w14:textId="6EECBD64" w:rsidR="009016B4" w:rsidRPr="00D91090" w:rsidRDefault="00DA5F8E" w:rsidP="00824A29">
            <w:pPr>
              <w:pStyle w:val="tablecontent-singlespaced"/>
            </w:pPr>
            <w:r>
              <w:t>T</w:t>
            </w:r>
            <w:r w:rsidR="009016B4" w:rsidRPr="00CE2694">
              <w:t>he biggest thing for me was the fact that they wanted me, like that was my new importance, like they did not have to have me</w:t>
            </w:r>
            <w:r>
              <w:t>.</w:t>
            </w:r>
            <w:r w:rsidR="009016B4" w:rsidRPr="00CE2694">
              <w:t xml:space="preserve"> </w:t>
            </w:r>
          </w:p>
        </w:tc>
      </w:tr>
    </w:tbl>
    <w:p w14:paraId="0248F701" w14:textId="77777777" w:rsidR="009016B4" w:rsidRDefault="009016B4" w:rsidP="006E3485"/>
    <w:p w14:paraId="4870DC44" w14:textId="77777777" w:rsidR="009016B4" w:rsidRDefault="009016B4" w:rsidP="008E4AF2">
      <w:r>
        <w:t xml:space="preserve">Conversely those young people who did not stay with their foster carers saw their outcome as an indication that their foster carers thought less positively about them. Eshal’s carers and social worker did not talk about </w:t>
      </w:r>
      <w:r w:rsidRPr="00CE2694">
        <w:rPr>
          <w:i/>
          <w:iCs/>
        </w:rPr>
        <w:t>Staying Put</w:t>
      </w:r>
      <w:r>
        <w:t xml:space="preserve"> and Eshal described how the social worker visited to talk about moving out:</w:t>
      </w:r>
    </w:p>
    <w:p w14:paraId="2CBEE7EF"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BF48CC7" w14:textId="77777777" w:rsidTr="00ED3D34">
        <w:tc>
          <w:tcPr>
            <w:tcW w:w="1413" w:type="dxa"/>
          </w:tcPr>
          <w:p w14:paraId="32D47D63" w14:textId="77777777" w:rsidR="009016B4" w:rsidRPr="00D91090" w:rsidRDefault="009016B4">
            <w:r>
              <w:lastRenderedPageBreak/>
              <w:t>Sally</w:t>
            </w:r>
            <w:r w:rsidRPr="00D91090">
              <w:t>:</w:t>
            </w:r>
          </w:p>
        </w:tc>
        <w:tc>
          <w:tcPr>
            <w:tcW w:w="6888" w:type="dxa"/>
          </w:tcPr>
          <w:p w14:paraId="1CDB1655" w14:textId="7AECC8E1" w:rsidR="009016B4" w:rsidRPr="00D91090" w:rsidRDefault="00DA5F8E" w:rsidP="00824A29">
            <w:pPr>
              <w:pStyle w:val="tablecontent-singlespaced"/>
            </w:pPr>
            <w:r>
              <w:t>C</w:t>
            </w:r>
            <w:r w:rsidR="009016B4" w:rsidRPr="00CE2694">
              <w:t xml:space="preserve">an you remember what you thought about this? </w:t>
            </w:r>
          </w:p>
        </w:tc>
      </w:tr>
    </w:tbl>
    <w:p w14:paraId="0FC9763A"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4F3E93CD" w14:textId="77777777" w:rsidTr="00ED3D34">
        <w:tc>
          <w:tcPr>
            <w:tcW w:w="1413" w:type="dxa"/>
          </w:tcPr>
          <w:p w14:paraId="3EC950EF" w14:textId="77777777" w:rsidR="009016B4" w:rsidRPr="00D91090" w:rsidRDefault="009016B4" w:rsidP="008E4AF2">
            <w:r>
              <w:t>Eshal</w:t>
            </w:r>
            <w:r w:rsidRPr="00D91090">
              <w:t>:</w:t>
            </w:r>
          </w:p>
        </w:tc>
        <w:tc>
          <w:tcPr>
            <w:tcW w:w="6888" w:type="dxa"/>
          </w:tcPr>
          <w:p w14:paraId="19042614" w14:textId="77777777" w:rsidR="00DA5F8E" w:rsidRDefault="00DA5F8E" w:rsidP="00824A29">
            <w:pPr>
              <w:pStyle w:val="tablecontent-singlespaced"/>
            </w:pPr>
            <w:r>
              <w:t>Y</w:t>
            </w:r>
            <w:r w:rsidR="009016B4" w:rsidRPr="00CE2694">
              <w:t>eah I can</w:t>
            </w:r>
            <w:r w:rsidR="009016B4">
              <w:t xml:space="preserve"> (.)</w:t>
            </w:r>
            <w:r w:rsidR="009016B4" w:rsidRPr="00CE2694">
              <w:t xml:space="preserve"> it felt like shit, it felt like a fuckin</w:t>
            </w:r>
            <w:r>
              <w:t>g</w:t>
            </w:r>
            <w:r w:rsidR="009016B4" w:rsidRPr="00CE2694">
              <w:t xml:space="preserve"> punch in the guts. I was like, is this what [name of foster carer] wants? All I could think was that they want me out and haven't told me, it was shit</w:t>
            </w:r>
            <w:r>
              <w:t>.</w:t>
            </w:r>
          </w:p>
          <w:p w14:paraId="530325E9" w14:textId="77777777" w:rsidR="00DA5F8E" w:rsidRDefault="00DA5F8E" w:rsidP="00824A29">
            <w:pPr>
              <w:pStyle w:val="tablecontent-singlespaced"/>
            </w:pPr>
          </w:p>
          <w:p w14:paraId="2D6EC6D1" w14:textId="77777777" w:rsidR="00DA5F8E" w:rsidRDefault="00DA5F8E" w:rsidP="00824A29">
            <w:pPr>
              <w:pStyle w:val="tablecontent-singlespaced"/>
            </w:pPr>
          </w:p>
          <w:p w14:paraId="4C32ADB3" w14:textId="3AD23602" w:rsidR="009016B4" w:rsidRPr="00D91090" w:rsidRDefault="009016B4" w:rsidP="00824A29">
            <w:pPr>
              <w:pStyle w:val="tablecontent-singlespaced"/>
            </w:pPr>
            <w:r w:rsidRPr="00CE2694">
              <w:t xml:space="preserve"> </w:t>
            </w:r>
          </w:p>
        </w:tc>
      </w:tr>
    </w:tbl>
    <w:p w14:paraId="0C8B7DD8" w14:textId="226ECF35" w:rsidR="009016B4" w:rsidRDefault="009016B4" w:rsidP="008E4AF2">
      <w:r>
        <w:t xml:space="preserve">Eshal was unclear about the reasons for the carer’s decision but felt it was </w:t>
      </w:r>
      <w:r w:rsidR="001D408B">
        <w:t>something to do with them</w:t>
      </w:r>
      <w:r>
        <w:t xml:space="preserve">, rather than </w:t>
      </w:r>
      <w:r w:rsidR="00F3094A">
        <w:t xml:space="preserve">having </w:t>
      </w:r>
      <w:r>
        <w:t xml:space="preserve">any other explanation: </w:t>
      </w:r>
    </w:p>
    <w:p w14:paraId="5E678EA6"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71C17A8" w14:textId="77777777" w:rsidTr="00ED3D34">
        <w:tc>
          <w:tcPr>
            <w:tcW w:w="1413" w:type="dxa"/>
          </w:tcPr>
          <w:p w14:paraId="45D86593" w14:textId="77777777" w:rsidR="009016B4" w:rsidRPr="00D91090" w:rsidRDefault="009016B4">
            <w:r>
              <w:t>Eshal</w:t>
            </w:r>
            <w:r w:rsidRPr="00D91090">
              <w:t>:</w:t>
            </w:r>
          </w:p>
        </w:tc>
        <w:tc>
          <w:tcPr>
            <w:tcW w:w="6888" w:type="dxa"/>
          </w:tcPr>
          <w:p w14:paraId="19BD8821" w14:textId="325B5871" w:rsidR="009016B4" w:rsidRPr="00D91090" w:rsidRDefault="00DA5F8E" w:rsidP="00824A29">
            <w:pPr>
              <w:pStyle w:val="tablecontent-singlespaced"/>
            </w:pPr>
            <w:r>
              <w:t>W</w:t>
            </w:r>
            <w:r w:rsidR="009016B4" w:rsidRPr="00CE2694">
              <w:t>hat I didn’t understand was what had changed to make them not want me, they just didn't say nothin</w:t>
            </w:r>
            <w:r w:rsidR="00540562">
              <w:t>g</w:t>
            </w:r>
            <w:r w:rsidR="00620F39">
              <w:t xml:space="preserve"> …</w:t>
            </w:r>
            <w:r w:rsidR="009016B4" w:rsidRPr="00CE2694">
              <w:t xml:space="preserve"> I didn’t want to move out but that’s the way it goes</w:t>
            </w:r>
            <w:r w:rsidR="009016B4">
              <w:t>.</w:t>
            </w:r>
            <w:r w:rsidR="009016B4" w:rsidRPr="00CE2694">
              <w:t xml:space="preserve"> </w:t>
            </w:r>
          </w:p>
        </w:tc>
      </w:tr>
    </w:tbl>
    <w:p w14:paraId="2BC44E51" w14:textId="77777777" w:rsidR="009016B4" w:rsidRDefault="009016B4" w:rsidP="008E4AF2"/>
    <w:p w14:paraId="21DE1281" w14:textId="1746EE26" w:rsidR="009016B4" w:rsidRDefault="009016B4">
      <w:r>
        <w:t xml:space="preserve">Carrie and Yannick </w:t>
      </w:r>
      <w:r w:rsidR="00016D23">
        <w:t xml:space="preserve">interpreted their carer’s </w:t>
      </w:r>
      <w:r w:rsidR="005F497F">
        <w:t xml:space="preserve">silence about </w:t>
      </w:r>
      <w:r w:rsidRPr="00CE2694">
        <w:rPr>
          <w:i/>
          <w:iCs/>
        </w:rPr>
        <w:t>Staying Put</w:t>
      </w:r>
      <w:r>
        <w:t xml:space="preserve"> </w:t>
      </w:r>
      <w:r w:rsidR="005F497F">
        <w:t>as a personal rejection</w:t>
      </w:r>
      <w:r>
        <w:t xml:space="preserve">: </w:t>
      </w:r>
    </w:p>
    <w:p w14:paraId="306D5B73"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2AC4B8C5" w14:textId="77777777" w:rsidTr="00ED3D34">
        <w:tc>
          <w:tcPr>
            <w:tcW w:w="1413" w:type="dxa"/>
          </w:tcPr>
          <w:p w14:paraId="6E5A1DDF" w14:textId="77777777" w:rsidR="009016B4" w:rsidRPr="00D91090" w:rsidRDefault="009016B4" w:rsidP="008E4AF2">
            <w:r>
              <w:t>Carrie</w:t>
            </w:r>
            <w:r w:rsidRPr="00D91090">
              <w:t>:</w:t>
            </w:r>
          </w:p>
        </w:tc>
        <w:tc>
          <w:tcPr>
            <w:tcW w:w="6888" w:type="dxa"/>
          </w:tcPr>
          <w:p w14:paraId="1238DEB6" w14:textId="3489EA7B" w:rsidR="009016B4" w:rsidRPr="00D91090" w:rsidRDefault="009016B4" w:rsidP="00824A29">
            <w:pPr>
              <w:pStyle w:val="tablecontent-singlespaced"/>
            </w:pPr>
            <w:r w:rsidRPr="00CE2694">
              <w:t>I think that they didn’t mention it to me probably meant that they didn’t want me, but I don’t know why (. ) it might be a good reason</w:t>
            </w:r>
            <w:r w:rsidR="00540562">
              <w:t>.</w:t>
            </w:r>
            <w:r w:rsidRPr="00CE2694">
              <w:t xml:space="preserve"> </w:t>
            </w:r>
          </w:p>
        </w:tc>
      </w:tr>
    </w:tbl>
    <w:p w14:paraId="57F13070" w14:textId="77777777" w:rsidR="009016B4" w:rsidRDefault="009016B4" w:rsidP="008E4AF2"/>
    <w:p w14:paraId="5ADC0E7B"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21F2549" w14:textId="77777777" w:rsidTr="00ED3D34">
        <w:tc>
          <w:tcPr>
            <w:tcW w:w="1413" w:type="dxa"/>
          </w:tcPr>
          <w:p w14:paraId="47245DB3" w14:textId="77777777" w:rsidR="009016B4" w:rsidRPr="00D91090" w:rsidRDefault="009016B4">
            <w:r>
              <w:t>Yannick</w:t>
            </w:r>
            <w:r w:rsidRPr="00D91090">
              <w:t>:</w:t>
            </w:r>
          </w:p>
        </w:tc>
        <w:tc>
          <w:tcPr>
            <w:tcW w:w="6888" w:type="dxa"/>
          </w:tcPr>
          <w:p w14:paraId="592B6DC6" w14:textId="2CCC4283" w:rsidR="009016B4" w:rsidRPr="00D91090" w:rsidRDefault="009016B4" w:rsidP="00824A29">
            <w:pPr>
              <w:pStyle w:val="tablecontent-singlespaced"/>
            </w:pPr>
            <w:r w:rsidRPr="00CE2694">
              <w:t xml:space="preserve">I was gutted to leave (.) it wasn’t </w:t>
            </w:r>
            <w:r w:rsidR="00DA5F8E">
              <w:t>un</w:t>
            </w:r>
            <w:r w:rsidRPr="00CE2694">
              <w:t>til after that I found out other people like stay at their carers (.) so I guessed that they di</w:t>
            </w:r>
            <w:r w:rsidR="00540562">
              <w:t>d</w:t>
            </w:r>
            <w:r w:rsidRPr="00CE2694">
              <w:t>n</w:t>
            </w:r>
            <w:r w:rsidR="00540562">
              <w:t>’</w:t>
            </w:r>
            <w:r w:rsidRPr="00CE2694">
              <w:t>t want me to</w:t>
            </w:r>
            <w:r w:rsidR="00540562">
              <w:t>.</w:t>
            </w:r>
            <w:r w:rsidRPr="00CE2694">
              <w:t xml:space="preserve"> </w:t>
            </w:r>
          </w:p>
        </w:tc>
      </w:tr>
    </w:tbl>
    <w:p w14:paraId="2FE651FD" w14:textId="77777777" w:rsidR="009016B4" w:rsidRDefault="009016B4" w:rsidP="008E4AF2"/>
    <w:p w14:paraId="31E4231D" w14:textId="17EBFF69" w:rsidR="009016B4" w:rsidRDefault="006D1C9A" w:rsidP="008E4AF2">
      <w:r>
        <w:t>All</w:t>
      </w:r>
      <w:r w:rsidR="00372B3C">
        <w:t xml:space="preserve"> the</w:t>
      </w:r>
      <w:r w:rsidR="009016B4">
        <w:t xml:space="preserve"> young people</w:t>
      </w:r>
      <w:r w:rsidR="00372B3C">
        <w:t xml:space="preserve"> referred to ideas of belonging and </w:t>
      </w:r>
      <w:r w:rsidR="009016B4">
        <w:t xml:space="preserve">being </w:t>
      </w:r>
      <w:r w:rsidR="009016B4" w:rsidRPr="00A027EE">
        <w:rPr>
          <w:i/>
          <w:iCs/>
        </w:rPr>
        <w:t>wanted</w:t>
      </w:r>
      <w:r w:rsidR="009016B4">
        <w:t xml:space="preserve"> </w:t>
      </w:r>
      <w:r w:rsidR="00372B3C">
        <w:t xml:space="preserve">in their comments about </w:t>
      </w:r>
      <w:r w:rsidR="009016B4" w:rsidRPr="00372B3C">
        <w:rPr>
          <w:i/>
          <w:iCs/>
        </w:rPr>
        <w:t>Staying Put</w:t>
      </w:r>
      <w:r w:rsidR="009016B4">
        <w:t>.</w:t>
      </w:r>
      <w:r>
        <w:t xml:space="preserve"> T</w:t>
      </w:r>
      <w:r w:rsidR="009016B4">
        <w:t>he</w:t>
      </w:r>
      <w:r>
        <w:t xml:space="preserve">y seemed to interpret the decision by the carers to continue with </w:t>
      </w:r>
      <w:r w:rsidRPr="006E3485">
        <w:rPr>
          <w:i/>
          <w:iCs/>
        </w:rPr>
        <w:t>Staying Put</w:t>
      </w:r>
      <w:r>
        <w:t xml:space="preserve"> as an indication </w:t>
      </w:r>
      <w:r w:rsidR="009016B4">
        <w:t>of their</w:t>
      </w:r>
      <w:r>
        <w:t xml:space="preserve"> place</w:t>
      </w:r>
      <w:r w:rsidR="009016B4">
        <w:t xml:space="preserve"> in the family. Where young people stayed, the descriptions were affirming, comforting and reflected the sense of belonging referred to earlier in this section. Remaining with their carers indicated commitment and confirmed to the young person that their understanding of the</w:t>
      </w:r>
      <w:r>
        <w:t>ir foster</w:t>
      </w:r>
      <w:r w:rsidR="009016B4">
        <w:t xml:space="preserve"> family was aligned with their foster carers.</w:t>
      </w:r>
    </w:p>
    <w:p w14:paraId="6CE43E4A" w14:textId="689AF201" w:rsidR="009016B4" w:rsidRDefault="009016B4">
      <w:r>
        <w:lastRenderedPageBreak/>
        <w:t xml:space="preserve">Those young people who did not stay put </w:t>
      </w:r>
      <w:r w:rsidR="006D1C9A">
        <w:t xml:space="preserve">appeared to </w:t>
      </w:r>
      <w:r w:rsidR="00B00DD1">
        <w:t>create a negative internal narrative about</w:t>
      </w:r>
      <w:r>
        <w:t xml:space="preserve"> their carer’s decision</w:t>
      </w:r>
      <w:r w:rsidR="00B00DD1">
        <w:t xml:space="preserve">. They seemed to understand the decision as a personal rejection which contradicted </w:t>
      </w:r>
      <w:r>
        <w:t xml:space="preserve">their </w:t>
      </w:r>
      <w:r w:rsidR="006D1C9A">
        <w:t xml:space="preserve">perception of </w:t>
      </w:r>
      <w:r>
        <w:t>their relationships</w:t>
      </w:r>
      <w:r w:rsidR="006D1C9A">
        <w:t xml:space="preserve"> within the foster family</w:t>
      </w:r>
      <w:r>
        <w:t xml:space="preserve">. Even in those circumstances where the young people knew about the scheme, the silence about </w:t>
      </w:r>
      <w:r w:rsidRPr="006D1C9A">
        <w:rPr>
          <w:i/>
          <w:iCs/>
        </w:rPr>
        <w:t>Staying Put</w:t>
      </w:r>
      <w:r>
        <w:t xml:space="preserve"> appeared rejecting. From the interviews it seemed that explanations and discussions were absent</w:t>
      </w:r>
      <w:r w:rsidR="00CE56DC">
        <w:t>, p</w:t>
      </w:r>
      <w:r>
        <w:t>erpetuating a vacuum, where young people were left to make sense of the carer’s thinking</w:t>
      </w:r>
      <w:r w:rsidR="006D1C9A">
        <w:t xml:space="preserve"> and lack of openness</w:t>
      </w:r>
      <w:r>
        <w:t>.</w:t>
      </w:r>
      <w:r w:rsidR="006D1C9A">
        <w:t xml:space="preserve"> </w:t>
      </w:r>
      <w:r>
        <w:t xml:space="preserve">Whether or not young people remained with their carers, the question of staying seemed to be significant to the representation of what they felt was their family. </w:t>
      </w:r>
      <w:r w:rsidR="006D1C9A">
        <w:t>Young</w:t>
      </w:r>
      <w:r>
        <w:t xml:space="preserve"> people </w:t>
      </w:r>
      <w:r w:rsidR="006D1C9A">
        <w:t xml:space="preserve">appeared to regard </w:t>
      </w:r>
      <w:r w:rsidR="006D1C9A" w:rsidRPr="006D1C9A">
        <w:rPr>
          <w:i/>
          <w:iCs/>
        </w:rPr>
        <w:t>Staying Put</w:t>
      </w:r>
      <w:r w:rsidR="006D1C9A">
        <w:t xml:space="preserve"> as a</w:t>
      </w:r>
      <w:r>
        <w:t xml:space="preserve"> marker of belonging within </w:t>
      </w:r>
      <w:r w:rsidR="006D1C9A">
        <w:t xml:space="preserve">their </w:t>
      </w:r>
      <w:r>
        <w:t xml:space="preserve">foster care placement. </w:t>
      </w:r>
    </w:p>
    <w:p w14:paraId="0DD7C6EA" w14:textId="4AA45281" w:rsidR="009016B4" w:rsidRPr="001F3CFD" w:rsidRDefault="006D1C9A" w:rsidP="006E3485">
      <w:pPr>
        <w:pStyle w:val="Heading2"/>
        <w:rPr>
          <w:bCs/>
        </w:rPr>
      </w:pPr>
      <w:bookmarkStart w:id="77" w:name="_Toc101108517"/>
      <w:r>
        <w:t>‘I</w:t>
      </w:r>
      <w:r w:rsidRPr="006D7DB6">
        <w:t>t’s weird to have a contract with a family</w:t>
      </w:r>
      <w:r>
        <w:t>’</w:t>
      </w:r>
      <w:bookmarkEnd w:id="77"/>
    </w:p>
    <w:p w14:paraId="057DD27F" w14:textId="49581F4D" w:rsidR="009016B4" w:rsidRPr="00ED0D2E" w:rsidRDefault="009016B4">
      <w:r w:rsidRPr="00ED0D2E">
        <w:t xml:space="preserve">Regardless of whether or not young people stayed put, </w:t>
      </w:r>
      <w:r>
        <w:t xml:space="preserve">they </w:t>
      </w:r>
      <w:r w:rsidRPr="00ED0D2E">
        <w:t>all noted a shift in the dynamics between them and their foster carers</w:t>
      </w:r>
      <w:r w:rsidR="00D74057">
        <w:t xml:space="preserve"> during discussions about </w:t>
      </w:r>
      <w:r w:rsidR="00D74057" w:rsidRPr="00D74057">
        <w:rPr>
          <w:i/>
          <w:iCs/>
        </w:rPr>
        <w:t>Staying Put</w:t>
      </w:r>
      <w:r w:rsidRPr="00ED0D2E">
        <w:t xml:space="preserve">. In some </w:t>
      </w:r>
      <w:r w:rsidR="006D1C9A" w:rsidRPr="00ED0D2E">
        <w:t>cases,</w:t>
      </w:r>
      <w:r w:rsidRPr="00ED0D2E">
        <w:t xml:space="preserve"> this was a subtle change which was seen as administrative and </w:t>
      </w:r>
      <w:r>
        <w:t>inconsequential</w:t>
      </w:r>
      <w:r w:rsidRPr="00ED0D2E">
        <w:t xml:space="preserve">. For </w:t>
      </w:r>
      <w:r w:rsidR="006D1C9A" w:rsidRPr="00ED0D2E">
        <w:t>example,</w:t>
      </w:r>
      <w:r w:rsidRPr="00ED0D2E">
        <w:t xml:space="preserve"> Hannah described the change as</w:t>
      </w:r>
      <w:r w:rsidR="005F497F">
        <w:t xml:space="preserve"> a</w:t>
      </w:r>
      <w:r w:rsidRPr="00ED0D2E">
        <w:t>:</w:t>
      </w:r>
    </w:p>
    <w:p w14:paraId="47011413" w14:textId="77777777" w:rsidR="009016B4" w:rsidRPr="00ED0D2E"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E8476CC" w14:textId="77777777" w:rsidTr="00ED3D34">
        <w:tc>
          <w:tcPr>
            <w:tcW w:w="1413" w:type="dxa"/>
          </w:tcPr>
          <w:p w14:paraId="0F6BF0C0" w14:textId="77777777" w:rsidR="009016B4" w:rsidRPr="00D91090" w:rsidRDefault="009016B4">
            <w:r>
              <w:t>Hannah</w:t>
            </w:r>
            <w:r w:rsidRPr="00D91090">
              <w:t>:</w:t>
            </w:r>
          </w:p>
        </w:tc>
        <w:tc>
          <w:tcPr>
            <w:tcW w:w="6888" w:type="dxa"/>
          </w:tcPr>
          <w:p w14:paraId="3AFFB30B" w14:textId="10D0D579" w:rsidR="009016B4" w:rsidRPr="00D91090" w:rsidRDefault="00B00DD1" w:rsidP="00824A29">
            <w:pPr>
              <w:pStyle w:val="tablecontent-singlespaced"/>
            </w:pPr>
            <w:r>
              <w:t>V</w:t>
            </w:r>
            <w:r w:rsidR="009016B4" w:rsidRPr="006D7DB6">
              <w:t xml:space="preserve">ery seamless transition, </w:t>
            </w:r>
            <w:r>
              <w:t>be</w:t>
            </w:r>
            <w:r w:rsidR="009016B4" w:rsidRPr="006D7DB6">
              <w:t>cause there wasn’t really a transition (.) which I suppose is the whole point of it</w:t>
            </w:r>
            <w:r w:rsidR="002C4781">
              <w:t xml:space="preserve"> …</w:t>
            </w:r>
            <w:r w:rsidR="00D74057">
              <w:t xml:space="preserve"> almost feels like it wasn’t a monumental period of my life (.) I suppose that’s a good thing (.)</w:t>
            </w:r>
            <w:r w:rsidR="00B36855">
              <w:t xml:space="preserve"> </w:t>
            </w:r>
            <w:r w:rsidR="00B36855" w:rsidRPr="00B36855">
              <w:t>it felt more of a bi</w:t>
            </w:r>
            <w:r w:rsidR="00762AFC">
              <w:t>g</w:t>
            </w:r>
            <w:r w:rsidR="00B36855" w:rsidRPr="00B36855">
              <w:t xml:space="preserve"> thing for the social worker</w:t>
            </w:r>
            <w:r w:rsidR="00B36855">
              <w:t>.</w:t>
            </w:r>
          </w:p>
        </w:tc>
      </w:tr>
    </w:tbl>
    <w:p w14:paraId="3ACE6D17" w14:textId="77777777" w:rsidR="009016B4" w:rsidRPr="00ED0D2E" w:rsidRDefault="009016B4" w:rsidP="006E3485">
      <w:r w:rsidRPr="0011092C">
        <w:t xml:space="preserve"> </w:t>
      </w:r>
      <w:r w:rsidRPr="00375C3E">
        <w:t xml:space="preserve"> </w:t>
      </w:r>
    </w:p>
    <w:p w14:paraId="40B20263" w14:textId="7A64D2D9" w:rsidR="009016B4" w:rsidRPr="00ED0D2E" w:rsidRDefault="009016B4" w:rsidP="008E4AF2">
      <w:r w:rsidRPr="00ED0D2E">
        <w:t xml:space="preserve">Later in the interview Hannah noted the differences </w:t>
      </w:r>
      <w:r w:rsidR="00D74057">
        <w:t xml:space="preserve">about </w:t>
      </w:r>
      <w:r>
        <w:t xml:space="preserve">being subject to </w:t>
      </w:r>
      <w:r w:rsidRPr="00ED0D2E">
        <w:t xml:space="preserve">a </w:t>
      </w:r>
      <w:r w:rsidRPr="006D1C9A">
        <w:rPr>
          <w:i/>
          <w:iCs/>
        </w:rPr>
        <w:t>Staying Put</w:t>
      </w:r>
      <w:r w:rsidRPr="00ED0D2E">
        <w:t xml:space="preserve"> arrangement:</w:t>
      </w:r>
    </w:p>
    <w:p w14:paraId="08127473" w14:textId="77777777" w:rsidR="009016B4" w:rsidRPr="00ED0D2E"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250B96B" w14:textId="77777777" w:rsidTr="00ED3D34">
        <w:tc>
          <w:tcPr>
            <w:tcW w:w="1413" w:type="dxa"/>
          </w:tcPr>
          <w:p w14:paraId="470A0325" w14:textId="77777777" w:rsidR="009016B4" w:rsidRPr="00D91090" w:rsidRDefault="009016B4">
            <w:r>
              <w:t>Hannah</w:t>
            </w:r>
            <w:r w:rsidRPr="00D91090">
              <w:t>:</w:t>
            </w:r>
          </w:p>
        </w:tc>
        <w:tc>
          <w:tcPr>
            <w:tcW w:w="6888" w:type="dxa"/>
          </w:tcPr>
          <w:p w14:paraId="66277217" w14:textId="57911254" w:rsidR="009016B4" w:rsidRPr="00D91090" w:rsidRDefault="009016B4" w:rsidP="00824A29">
            <w:pPr>
              <w:pStyle w:val="tablecontent-singlespaced"/>
            </w:pPr>
            <w:r w:rsidRPr="006D7DB6">
              <w:t xml:space="preserve">I had my PA sit me down and go through it with me (.) um it was all pretty standard I was told how much I needed to pay </w:t>
            </w:r>
            <w:r w:rsidR="009D5B32">
              <w:t>…</w:t>
            </w:r>
            <w:r w:rsidRPr="006D7DB6">
              <w:t xml:space="preserve"> so it was like, all ok this makes sense this is fine (.) I was fine with it</w:t>
            </w:r>
            <w:r w:rsidR="00B00DD1">
              <w:t>.</w:t>
            </w:r>
            <w:r w:rsidRPr="006D7DB6">
              <w:t xml:space="preserve"> </w:t>
            </w:r>
          </w:p>
        </w:tc>
      </w:tr>
    </w:tbl>
    <w:p w14:paraId="3DE60846" w14:textId="77777777" w:rsidR="009016B4" w:rsidRPr="00375C3E" w:rsidRDefault="009016B4" w:rsidP="006E3485"/>
    <w:p w14:paraId="3CD84D6E" w14:textId="063163D1" w:rsidR="009016B4" w:rsidRDefault="009016B4" w:rsidP="008E4AF2">
      <w:r w:rsidRPr="00ED0D2E">
        <w:t>Although Hannah did not have detailed discussion</w:t>
      </w:r>
      <w:r w:rsidR="00B00DD1">
        <w:t>s</w:t>
      </w:r>
      <w:r>
        <w:t xml:space="preserve"> about </w:t>
      </w:r>
      <w:r w:rsidRPr="006D1C9A">
        <w:rPr>
          <w:i/>
          <w:iCs/>
        </w:rPr>
        <w:t>Staying Put</w:t>
      </w:r>
      <w:r w:rsidRPr="00ED0D2E">
        <w:t xml:space="preserve"> before turning 18, the carers and personal advisor appeared to have taken a </w:t>
      </w:r>
      <w:r w:rsidR="006D1C9A" w:rsidRPr="00ED0D2E">
        <w:t>low-key</w:t>
      </w:r>
      <w:r w:rsidRPr="00ED0D2E">
        <w:t xml:space="preserve"> approach to the discussions before and after the decision was made. However, the exchange of money and signing a </w:t>
      </w:r>
      <w:r w:rsidRPr="00ED0D2E">
        <w:lastRenderedPageBreak/>
        <w:t xml:space="preserve">contract still </w:t>
      </w:r>
      <w:r>
        <w:t>impacted on</w:t>
      </w:r>
      <w:r w:rsidRPr="00ED0D2E">
        <w:t xml:space="preserve"> roles within the family which Hannah </w:t>
      </w:r>
      <w:r>
        <w:t>appeared to v</w:t>
      </w:r>
      <w:r w:rsidRPr="00ED0D2E">
        <w:t>iew as part of growing up and a natural progression for them as a family:</w:t>
      </w:r>
    </w:p>
    <w:p w14:paraId="2FCEFBCE" w14:textId="77777777" w:rsidR="00B00DD1" w:rsidRDefault="00B00DD1"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633B9C5" w14:textId="77777777" w:rsidTr="00ED3D34">
        <w:tc>
          <w:tcPr>
            <w:tcW w:w="1413" w:type="dxa"/>
          </w:tcPr>
          <w:p w14:paraId="39CB5863" w14:textId="77777777" w:rsidR="009016B4" w:rsidRPr="00D91090" w:rsidRDefault="009016B4">
            <w:r>
              <w:t>Hannah</w:t>
            </w:r>
            <w:r w:rsidRPr="00D91090">
              <w:t>:</w:t>
            </w:r>
          </w:p>
        </w:tc>
        <w:tc>
          <w:tcPr>
            <w:tcW w:w="6888" w:type="dxa"/>
          </w:tcPr>
          <w:p w14:paraId="490A9645" w14:textId="3CEB1FFE" w:rsidR="009016B4" w:rsidRPr="00D91090" w:rsidRDefault="00B00DD1" w:rsidP="00824A29">
            <w:pPr>
              <w:pStyle w:val="tablecontent-singlespaced"/>
            </w:pPr>
            <w:r>
              <w:t>M</w:t>
            </w:r>
            <w:r w:rsidR="009016B4" w:rsidRPr="006D7DB6">
              <w:t>y carer was always like, you could be 30 and still living here and I wouldn't mind as long as you are paying your way</w:t>
            </w:r>
            <w:r>
              <w:t>.</w:t>
            </w:r>
            <w:r w:rsidR="009016B4" w:rsidRPr="006D7DB6">
              <w:t xml:space="preserve"> </w:t>
            </w:r>
          </w:p>
        </w:tc>
      </w:tr>
    </w:tbl>
    <w:p w14:paraId="13272D1D" w14:textId="77777777" w:rsidR="00B00DD1" w:rsidRDefault="00B00DD1"/>
    <w:p w14:paraId="0984232E" w14:textId="233714D6" w:rsidR="009016B4" w:rsidRDefault="009016B4">
      <w:r>
        <w:t xml:space="preserve">Making a contribution to the household appeared straightforward and unremarkable for Hannah, demonstrating a positive example of how this period of the care pathway could be. For other young people the transition from regulated foster care placement to </w:t>
      </w:r>
      <w:r w:rsidRPr="006E3485">
        <w:rPr>
          <w:i/>
          <w:iCs/>
        </w:rPr>
        <w:t>Staying Put</w:t>
      </w:r>
      <w:r>
        <w:t xml:space="preserve"> arrangement was less smooth. Tyler reflected on feeling confused by the introduction of a contract to their relationship:</w:t>
      </w:r>
    </w:p>
    <w:p w14:paraId="2D4653A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0DD13C7" w14:textId="77777777" w:rsidTr="00ED3D34">
        <w:tc>
          <w:tcPr>
            <w:tcW w:w="1413" w:type="dxa"/>
          </w:tcPr>
          <w:p w14:paraId="7E052E59" w14:textId="77777777" w:rsidR="009016B4" w:rsidRPr="00D91090" w:rsidRDefault="009016B4">
            <w:r>
              <w:t>Tyler</w:t>
            </w:r>
            <w:r w:rsidRPr="00D91090">
              <w:t>:</w:t>
            </w:r>
          </w:p>
        </w:tc>
        <w:tc>
          <w:tcPr>
            <w:tcW w:w="6888" w:type="dxa"/>
          </w:tcPr>
          <w:p w14:paraId="27CFFB01" w14:textId="1423BEA9" w:rsidR="009016B4" w:rsidRPr="00D91090" w:rsidRDefault="009016B4" w:rsidP="00824A29">
            <w:pPr>
              <w:pStyle w:val="tablecontent-singlespaced"/>
            </w:pPr>
            <w:r w:rsidRPr="006D7DB6">
              <w:t>Like signing the contract (.) to say that I could still live there (.) like, I'd been living with them for two and a half years like (.) you would think like it would just be ((pause)) erm I dunno smoother than having to sign this piece of paper about like rent and stuff</w:t>
            </w:r>
            <w:r w:rsidR="00B00DD1">
              <w:t xml:space="preserve"> (.) </w:t>
            </w:r>
            <w:r w:rsidR="00B00DD1" w:rsidRPr="006D7DB6">
              <w:t>it’s weird to have a contract with a family.</w:t>
            </w:r>
          </w:p>
        </w:tc>
      </w:tr>
    </w:tbl>
    <w:p w14:paraId="6C4C9EE5" w14:textId="77777777" w:rsidR="009016B4" w:rsidRDefault="009016B4" w:rsidP="008E4AF2"/>
    <w:p w14:paraId="2974BAF9" w14:textId="60FA5D11"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D74057" w:rsidRPr="00D91090" w14:paraId="2B321E90" w14:textId="77777777" w:rsidTr="00ED3D34">
        <w:tc>
          <w:tcPr>
            <w:tcW w:w="1413" w:type="dxa"/>
          </w:tcPr>
          <w:p w14:paraId="2A2167EA" w14:textId="38A5C2F4" w:rsidR="00D74057" w:rsidRDefault="00D74057" w:rsidP="008E4AF2">
            <w:r>
              <w:t xml:space="preserve">Sally: </w:t>
            </w:r>
          </w:p>
        </w:tc>
        <w:tc>
          <w:tcPr>
            <w:tcW w:w="6888" w:type="dxa"/>
          </w:tcPr>
          <w:p w14:paraId="5E9C3F38" w14:textId="2B7C1AC5" w:rsidR="00D74057" w:rsidRPr="006D7DB6" w:rsidRDefault="00B00DD1" w:rsidP="00824A29">
            <w:pPr>
              <w:pStyle w:val="tablecontent-singlespaced"/>
            </w:pPr>
            <w:r>
              <w:t>Weird</w:t>
            </w:r>
            <w:r w:rsidR="00D74057">
              <w:t>?</w:t>
            </w:r>
          </w:p>
        </w:tc>
      </w:tr>
      <w:tr w:rsidR="00D74057" w:rsidRPr="00D91090" w14:paraId="19A20C74" w14:textId="77777777" w:rsidTr="00ED3D34">
        <w:tc>
          <w:tcPr>
            <w:tcW w:w="1413" w:type="dxa"/>
          </w:tcPr>
          <w:p w14:paraId="08B85B40" w14:textId="77777777" w:rsidR="00D74057" w:rsidRDefault="00D74057" w:rsidP="008E4AF2"/>
        </w:tc>
        <w:tc>
          <w:tcPr>
            <w:tcW w:w="6888" w:type="dxa"/>
          </w:tcPr>
          <w:p w14:paraId="23915622" w14:textId="77777777" w:rsidR="00D74057" w:rsidRDefault="00D74057" w:rsidP="008E4AF2"/>
        </w:tc>
      </w:tr>
      <w:tr w:rsidR="00D74057" w:rsidRPr="00D91090" w14:paraId="7FA9E424" w14:textId="77777777" w:rsidTr="00ED3D34">
        <w:tc>
          <w:tcPr>
            <w:tcW w:w="1413" w:type="dxa"/>
          </w:tcPr>
          <w:p w14:paraId="6B3003D6" w14:textId="3AA09ABB" w:rsidR="00D74057" w:rsidRDefault="00D74057" w:rsidP="008E4AF2">
            <w:r>
              <w:t xml:space="preserve">Tyler: </w:t>
            </w:r>
          </w:p>
        </w:tc>
        <w:tc>
          <w:tcPr>
            <w:tcW w:w="6888" w:type="dxa"/>
          </w:tcPr>
          <w:p w14:paraId="2C1012B1" w14:textId="22DB4C7D" w:rsidR="00D74057" w:rsidRDefault="00B00DD1" w:rsidP="00824A29">
            <w:pPr>
              <w:pStyle w:val="tablecontent-singlespaced"/>
            </w:pPr>
            <w:r>
              <w:t>Yeah like m</w:t>
            </w:r>
            <w:r w:rsidR="00D74057" w:rsidRPr="00D74057">
              <w:t>oney was the thing that made it difficult like (.) just they are like family and now it’s like they are not (.)</w:t>
            </w:r>
          </w:p>
        </w:tc>
      </w:tr>
      <w:tr w:rsidR="00D74057" w:rsidRPr="00D91090" w14:paraId="64DED204" w14:textId="77777777" w:rsidTr="00ED3D34">
        <w:tc>
          <w:tcPr>
            <w:tcW w:w="1413" w:type="dxa"/>
          </w:tcPr>
          <w:p w14:paraId="1A3DFEFD" w14:textId="77777777" w:rsidR="00D74057" w:rsidRDefault="00D74057" w:rsidP="008E4AF2"/>
        </w:tc>
        <w:tc>
          <w:tcPr>
            <w:tcW w:w="6888" w:type="dxa"/>
          </w:tcPr>
          <w:p w14:paraId="576BFD3C" w14:textId="77777777" w:rsidR="00D74057" w:rsidRPr="00D74057" w:rsidRDefault="00D74057" w:rsidP="008E4AF2"/>
        </w:tc>
      </w:tr>
      <w:tr w:rsidR="00D74057" w:rsidRPr="00D91090" w14:paraId="4382A234" w14:textId="77777777" w:rsidTr="00ED3D34">
        <w:tc>
          <w:tcPr>
            <w:tcW w:w="1413" w:type="dxa"/>
          </w:tcPr>
          <w:p w14:paraId="3C8805D3" w14:textId="3C104584" w:rsidR="00D74057" w:rsidRDefault="00D74057" w:rsidP="008E4AF2">
            <w:r>
              <w:t>Sally:</w:t>
            </w:r>
          </w:p>
        </w:tc>
        <w:tc>
          <w:tcPr>
            <w:tcW w:w="6888" w:type="dxa"/>
          </w:tcPr>
          <w:p w14:paraId="49545661" w14:textId="0463C70D" w:rsidR="00D74057" w:rsidRPr="00D74057" w:rsidRDefault="00EF7760" w:rsidP="00824A29">
            <w:pPr>
              <w:pStyle w:val="tablecontent-singlespaced"/>
            </w:pPr>
            <w:r>
              <w:t>C</w:t>
            </w:r>
            <w:r w:rsidRPr="00D74057">
              <w:t xml:space="preserve">ould </w:t>
            </w:r>
            <w:r w:rsidR="00D74057" w:rsidRPr="00D74057">
              <w:t>you tell me a bit more about what you mean</w:t>
            </w:r>
            <w:r w:rsidR="00D74057">
              <w:t>?</w:t>
            </w:r>
          </w:p>
        </w:tc>
      </w:tr>
      <w:tr w:rsidR="00D74057" w:rsidRPr="00D91090" w14:paraId="6A42B186" w14:textId="77777777" w:rsidTr="00ED3D34">
        <w:tc>
          <w:tcPr>
            <w:tcW w:w="1413" w:type="dxa"/>
          </w:tcPr>
          <w:p w14:paraId="47C1259D" w14:textId="77777777" w:rsidR="00D74057" w:rsidRDefault="00D74057" w:rsidP="008E4AF2"/>
        </w:tc>
        <w:tc>
          <w:tcPr>
            <w:tcW w:w="6888" w:type="dxa"/>
          </w:tcPr>
          <w:p w14:paraId="57CCE38E" w14:textId="77777777" w:rsidR="00D74057" w:rsidRPr="00D74057" w:rsidRDefault="00D74057" w:rsidP="008E4AF2"/>
        </w:tc>
      </w:tr>
      <w:tr w:rsidR="00D74057" w:rsidRPr="00D91090" w14:paraId="29DAABB9" w14:textId="77777777" w:rsidTr="00ED3D34">
        <w:tc>
          <w:tcPr>
            <w:tcW w:w="1413" w:type="dxa"/>
          </w:tcPr>
          <w:p w14:paraId="7F4351A7" w14:textId="498ED628" w:rsidR="00D74057" w:rsidRDefault="00D74057" w:rsidP="008E4AF2">
            <w:r>
              <w:t>Tyler:</w:t>
            </w:r>
          </w:p>
        </w:tc>
        <w:tc>
          <w:tcPr>
            <w:tcW w:w="6888" w:type="dxa"/>
          </w:tcPr>
          <w:p w14:paraId="54A06F4C" w14:textId="512BB13C" w:rsidR="00D74057" w:rsidRPr="00D74057" w:rsidRDefault="00D74057" w:rsidP="00824A29">
            <w:pPr>
              <w:pStyle w:val="tablecontent-singlespaced"/>
            </w:pPr>
            <w:r w:rsidRPr="00D74057">
              <w:t>I don’t think it change</w:t>
            </w:r>
            <w:r>
              <w:t>d</w:t>
            </w:r>
            <w:r w:rsidRPr="00D74057">
              <w:t xml:space="preserve"> like at the time like (.) but it changed after it happened</w:t>
            </w:r>
            <w:r>
              <w:t xml:space="preserve"> (.) it </w:t>
            </w:r>
            <w:r w:rsidRPr="00D74057">
              <w:t>was like odd to talk about money when they hadn't talked like ab</w:t>
            </w:r>
            <w:r>
              <w:t>o</w:t>
            </w:r>
            <w:r w:rsidRPr="00D74057">
              <w:t>ut it before (.) but yeah maybe I just like went along with it.</w:t>
            </w:r>
          </w:p>
        </w:tc>
      </w:tr>
    </w:tbl>
    <w:p w14:paraId="41062DBE" w14:textId="77777777" w:rsidR="009016B4" w:rsidRDefault="009016B4" w:rsidP="006E3485">
      <w:r>
        <w:t xml:space="preserve"> </w:t>
      </w:r>
    </w:p>
    <w:p w14:paraId="482A9497" w14:textId="172AE613" w:rsidR="009016B4" w:rsidRDefault="009016B4" w:rsidP="008E4AF2">
      <w:r>
        <w:lastRenderedPageBreak/>
        <w:t xml:space="preserve">All the young people mentioned how the arrangements about money were written into a contract between them and their carers. It seemed that the contract was not fully understood and appeared to be dismissed by the young people as a social work matter, rather than anything they should engage in. Cally presented the contract as a mysterious document that was the concern of the </w:t>
      </w:r>
      <w:r w:rsidR="00676289">
        <w:t>s</w:t>
      </w:r>
      <w:r>
        <w:t xml:space="preserve">ocial </w:t>
      </w:r>
      <w:r w:rsidR="00676289">
        <w:t>w</w:t>
      </w:r>
      <w:r>
        <w:t xml:space="preserve">orker: </w:t>
      </w:r>
    </w:p>
    <w:p w14:paraId="24934836"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D9A4ED4" w14:textId="77777777" w:rsidTr="00ED3D34">
        <w:tc>
          <w:tcPr>
            <w:tcW w:w="1413" w:type="dxa"/>
          </w:tcPr>
          <w:p w14:paraId="414613E9" w14:textId="77777777" w:rsidR="009016B4" w:rsidRPr="00D91090" w:rsidRDefault="009016B4">
            <w:r>
              <w:t>Cally</w:t>
            </w:r>
            <w:r w:rsidRPr="00D91090">
              <w:t>:</w:t>
            </w:r>
          </w:p>
        </w:tc>
        <w:tc>
          <w:tcPr>
            <w:tcW w:w="6888" w:type="dxa"/>
          </w:tcPr>
          <w:p w14:paraId="3876B8BF" w14:textId="19FBEF58" w:rsidR="009016B4" w:rsidRPr="00D91090" w:rsidRDefault="009016B4" w:rsidP="00824A29">
            <w:pPr>
              <w:pStyle w:val="tablecontent-singlespaced"/>
            </w:pPr>
            <w:r w:rsidRPr="006D7DB6">
              <w:t>[</w:t>
            </w:r>
            <w:r w:rsidR="00B00DD1">
              <w:t>T</w:t>
            </w:r>
            <w:r w:rsidRPr="006D7DB6">
              <w:t xml:space="preserve">he </w:t>
            </w:r>
            <w:r w:rsidR="00B36855">
              <w:t>s</w:t>
            </w:r>
            <w:r w:rsidRPr="006D7DB6">
              <w:t xml:space="preserve">ocial </w:t>
            </w:r>
            <w:r w:rsidR="00B36855">
              <w:t>w</w:t>
            </w:r>
            <w:r w:rsidRPr="006D7DB6">
              <w:t>orker</w:t>
            </w:r>
            <w:r w:rsidR="00CE56DC">
              <w:t>]</w:t>
            </w:r>
            <w:r w:rsidRPr="006D7DB6">
              <w:t xml:space="preserve"> went on and on and on about it (.) no idea what I signed jus</w:t>
            </w:r>
            <w:r w:rsidR="00540562">
              <w:t>t</w:t>
            </w:r>
            <w:r w:rsidRPr="006D7DB6">
              <w:t xml:space="preserve"> signed it, erm no idea what happened to it neither, not looked at it since ((laughs)) the </w:t>
            </w:r>
            <w:r w:rsidR="00B36855">
              <w:t>s</w:t>
            </w:r>
            <w:r w:rsidRPr="006D7DB6">
              <w:t xml:space="preserve">ocial </w:t>
            </w:r>
            <w:r w:rsidR="00B36855">
              <w:t>w</w:t>
            </w:r>
            <w:r w:rsidRPr="006D7DB6">
              <w:t xml:space="preserve">orker was obsessed with it, erm </w:t>
            </w:r>
            <w:r w:rsidR="00540562">
              <w:t>maybe</w:t>
            </w:r>
            <w:r w:rsidRPr="006D7DB6">
              <w:t xml:space="preserve"> she's got it. </w:t>
            </w:r>
          </w:p>
        </w:tc>
      </w:tr>
    </w:tbl>
    <w:p w14:paraId="63CEF3E1" w14:textId="77777777" w:rsidR="009016B4" w:rsidRDefault="009016B4" w:rsidP="006E3485">
      <w:r>
        <w:t xml:space="preserve"> </w:t>
      </w:r>
    </w:p>
    <w:p w14:paraId="5AEA1B3E" w14:textId="54B5B44C" w:rsidR="009016B4" w:rsidRDefault="009016B4" w:rsidP="008E4AF2">
      <w:r>
        <w:t xml:space="preserve">The arrangements about payment were also a source of bemusement for Jonathan who disliked the way </w:t>
      </w:r>
      <w:r w:rsidR="00B36855">
        <w:t>s</w:t>
      </w:r>
      <w:r>
        <w:t xml:space="preserve">ocial </w:t>
      </w:r>
      <w:r w:rsidR="00B36855">
        <w:t>w</w:t>
      </w:r>
      <w:r>
        <w:t xml:space="preserve">orkers and </w:t>
      </w:r>
      <w:r w:rsidR="00B00DD1">
        <w:t>review managers</w:t>
      </w:r>
      <w:r>
        <w:t xml:space="preserve"> concentrated on financial transactions:</w:t>
      </w:r>
    </w:p>
    <w:p w14:paraId="6224093D"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BB41FA1" w14:textId="77777777" w:rsidTr="00ED3D34">
        <w:tc>
          <w:tcPr>
            <w:tcW w:w="1413" w:type="dxa"/>
          </w:tcPr>
          <w:p w14:paraId="1B8362B2" w14:textId="77777777" w:rsidR="009016B4" w:rsidRPr="00D91090" w:rsidRDefault="009016B4">
            <w:r>
              <w:t>Jonathan</w:t>
            </w:r>
            <w:r w:rsidRPr="00D91090">
              <w:t>:</w:t>
            </w:r>
          </w:p>
        </w:tc>
        <w:tc>
          <w:tcPr>
            <w:tcW w:w="6888" w:type="dxa"/>
          </w:tcPr>
          <w:p w14:paraId="1A6E11F8" w14:textId="65DA3AD3" w:rsidR="009016B4" w:rsidRPr="00D91090" w:rsidRDefault="00B00DD1" w:rsidP="00824A29">
            <w:pPr>
              <w:pStyle w:val="tablecontent-singlespaced"/>
            </w:pPr>
            <w:r>
              <w:t>I</w:t>
            </w:r>
            <w:r w:rsidR="009016B4" w:rsidRPr="00495326">
              <w:t>t felt like the focus was on the money not the whys and wherefores.</w:t>
            </w:r>
          </w:p>
        </w:tc>
      </w:tr>
      <w:tr w:rsidR="006D1C9A" w:rsidRPr="00D91090" w14:paraId="204D1EA9" w14:textId="77777777" w:rsidTr="00ED3D34">
        <w:tc>
          <w:tcPr>
            <w:tcW w:w="1413" w:type="dxa"/>
          </w:tcPr>
          <w:p w14:paraId="74695DFE" w14:textId="77777777" w:rsidR="006D1C9A" w:rsidRDefault="006D1C9A" w:rsidP="008E4AF2"/>
        </w:tc>
        <w:tc>
          <w:tcPr>
            <w:tcW w:w="6888" w:type="dxa"/>
          </w:tcPr>
          <w:p w14:paraId="0947BDE8" w14:textId="77777777" w:rsidR="006D1C9A" w:rsidRPr="00495326" w:rsidRDefault="006D1C9A" w:rsidP="008E4AF2"/>
        </w:tc>
      </w:tr>
    </w:tbl>
    <w:p w14:paraId="3A36DEC9" w14:textId="7E02ABEF" w:rsidR="009016B4" w:rsidRDefault="009016B4" w:rsidP="008E4AF2">
      <w:r>
        <w:t xml:space="preserve">Jonathan appeared to resent the discussion, rather than the idea of making a contribution from benefits or earnings. Turning 18 was a marker of independence, but the fiscal nature of </w:t>
      </w:r>
      <w:r w:rsidRPr="00B36855">
        <w:rPr>
          <w:i/>
          <w:iCs/>
        </w:rPr>
        <w:t>Staying Put</w:t>
      </w:r>
      <w:r>
        <w:t xml:space="preserve"> based discussions were a cause of tension between Jonathan, the foster carers and the </w:t>
      </w:r>
      <w:r w:rsidR="005049AA">
        <w:t>s</w:t>
      </w:r>
      <w:r>
        <w:t xml:space="preserve">ocial </w:t>
      </w:r>
      <w:r w:rsidR="005049AA">
        <w:t>w</w:t>
      </w:r>
      <w:r>
        <w:t>orker, as Jonathan felt that none of the parties understood the process:</w:t>
      </w:r>
    </w:p>
    <w:p w14:paraId="660D896D" w14:textId="77777777" w:rsidR="009016B4" w:rsidRPr="003F539F"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89F9BE9" w14:textId="77777777" w:rsidTr="00ED3D34">
        <w:tc>
          <w:tcPr>
            <w:tcW w:w="1413" w:type="dxa"/>
          </w:tcPr>
          <w:p w14:paraId="305E1495" w14:textId="77777777" w:rsidR="009016B4" w:rsidRPr="00D91090" w:rsidRDefault="009016B4" w:rsidP="008E4AF2">
            <w:r>
              <w:t>Jonathan</w:t>
            </w:r>
            <w:r w:rsidRPr="00D91090">
              <w:t>:</w:t>
            </w:r>
          </w:p>
        </w:tc>
        <w:tc>
          <w:tcPr>
            <w:tcW w:w="6888" w:type="dxa"/>
          </w:tcPr>
          <w:p w14:paraId="244866E1" w14:textId="46AEB741" w:rsidR="009016B4" w:rsidRPr="00D91090" w:rsidRDefault="009016B4" w:rsidP="00824A29">
            <w:pPr>
              <w:pStyle w:val="tablecontent-singlespaced"/>
            </w:pPr>
            <w:r w:rsidRPr="00495326">
              <w:t>I have been in care my whole life and with my carers for so long</w:t>
            </w:r>
            <w:r w:rsidR="007057B5">
              <w:t xml:space="preserve"> … </w:t>
            </w:r>
            <w:r w:rsidRPr="00495326">
              <w:t>I wasn’t sure if I’d be kicked out because I don’t know what is going on</w:t>
            </w:r>
            <w:r w:rsidR="00B00DD1">
              <w:t xml:space="preserve"> (.) am I paying them to like me?</w:t>
            </w:r>
            <w:r w:rsidRPr="00495326">
              <w:t xml:space="preserve"> </w:t>
            </w:r>
          </w:p>
        </w:tc>
      </w:tr>
    </w:tbl>
    <w:p w14:paraId="6E2CE8C6" w14:textId="77777777" w:rsidR="009016B4" w:rsidRDefault="009016B4" w:rsidP="008E4AF2"/>
    <w:p w14:paraId="4BEAD76F" w14:textId="37B908DD" w:rsidR="009016B4" w:rsidRDefault="009016B4" w:rsidP="008E4AF2">
      <w:r>
        <w:t xml:space="preserve">In Beth’s situation there was also confusion about the purpose of the contract and contributing a payment. Beth’s perception was that payment was the determining factor for whether or not the carers agreed to </w:t>
      </w:r>
      <w:r w:rsidRPr="00B36855">
        <w:rPr>
          <w:i/>
          <w:iCs/>
        </w:rPr>
        <w:t>Staying Put</w:t>
      </w:r>
      <w:r>
        <w:t xml:space="preserve">. As Beth’s carers were registered with an </w:t>
      </w:r>
      <w:r w:rsidR="00CE56DC">
        <w:t>independent fostering agency</w:t>
      </w:r>
      <w:r w:rsidR="005C6F17">
        <w:t>,</w:t>
      </w:r>
      <w:r>
        <w:t xml:space="preserve"> discussion centred on the loss of income as a result of Beth’s placement transferring to an arrangement. The responses suggest that Beth felt both responsible for the carer’s loss of earnings and was mindful of the anxiety that this </w:t>
      </w:r>
      <w:r>
        <w:lastRenderedPageBreak/>
        <w:t>introduced into their relationship. Referring to that time and an awareness o</w:t>
      </w:r>
      <w:r w:rsidR="00C26918">
        <w:t>f</w:t>
      </w:r>
      <w:r>
        <w:t xml:space="preserve"> the carer’s circumstances:</w:t>
      </w:r>
    </w:p>
    <w:p w14:paraId="3B90E972" w14:textId="77777777" w:rsidR="009016B4" w:rsidRPr="00DB359A" w:rsidRDefault="009016B4" w:rsidP="006E3485">
      <w:r w:rsidRPr="00DB359A">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146D750" w14:textId="77777777" w:rsidTr="00ED3D34">
        <w:tc>
          <w:tcPr>
            <w:tcW w:w="1413" w:type="dxa"/>
          </w:tcPr>
          <w:p w14:paraId="4158929B" w14:textId="77777777" w:rsidR="009016B4" w:rsidRPr="00D91090" w:rsidRDefault="009016B4" w:rsidP="008E4AF2">
            <w:r>
              <w:t>Beth</w:t>
            </w:r>
            <w:r w:rsidRPr="00D91090">
              <w:t>:</w:t>
            </w:r>
          </w:p>
        </w:tc>
        <w:tc>
          <w:tcPr>
            <w:tcW w:w="6888" w:type="dxa"/>
          </w:tcPr>
          <w:p w14:paraId="7DFD1620" w14:textId="1E1ABBF3" w:rsidR="009016B4" w:rsidRPr="00D91090" w:rsidRDefault="00B00DD1" w:rsidP="00824A29">
            <w:pPr>
              <w:pStyle w:val="tablecontent-singlespaced"/>
            </w:pPr>
            <w:r>
              <w:t>W</w:t>
            </w:r>
            <w:r w:rsidR="009016B4" w:rsidRPr="00495326">
              <w:t xml:space="preserve">ell it was bad for her </w:t>
            </w:r>
            <w:r w:rsidR="00540562">
              <w:t>because</w:t>
            </w:r>
            <w:r w:rsidR="009016B4" w:rsidRPr="00495326">
              <w:t xml:space="preserve"> she does a good job (.) urm how was she supposed to pay the bills for me (.) it was hard because it made me feel bad (.) it was making it a difficult decision for her to keep me (.) I didn’t want her to be poor because of me</w:t>
            </w:r>
            <w:r w:rsidR="009016B4">
              <w:t>.</w:t>
            </w:r>
          </w:p>
        </w:tc>
      </w:tr>
    </w:tbl>
    <w:p w14:paraId="45BF047C" w14:textId="77777777" w:rsidR="009016B4" w:rsidRDefault="009016B4" w:rsidP="006E3485"/>
    <w:p w14:paraId="357D894A" w14:textId="1817B5B7" w:rsidR="009016B4" w:rsidRDefault="009016B4" w:rsidP="008E4AF2">
      <w:r>
        <w:t xml:space="preserve">Beth’s decision was contingent on the resolution of the carer’s financial situation, which reportedly happened late on in these discussions. Beth shared that these deliberations were not detrimental to family </w:t>
      </w:r>
      <w:r w:rsidR="00B36855">
        <w:t>relationships</w:t>
      </w:r>
      <w:r w:rsidR="00E07539">
        <w:t>. H</w:t>
      </w:r>
      <w:r w:rsidR="00B36855">
        <w:t>owever</w:t>
      </w:r>
      <w:r w:rsidR="00E07539">
        <w:t>,</w:t>
      </w:r>
      <w:r>
        <w:t xml:space="preserve"> </w:t>
      </w:r>
      <w:r w:rsidR="00A479A9">
        <w:t xml:space="preserve">they </w:t>
      </w:r>
      <w:r>
        <w:t xml:space="preserve">did </w:t>
      </w:r>
      <w:r w:rsidR="00E07539">
        <w:t>prompt</w:t>
      </w:r>
      <w:r>
        <w:t xml:space="preserve"> questions about the carer’s feelings:</w:t>
      </w:r>
    </w:p>
    <w:p w14:paraId="2C08B101"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24049371" w14:textId="77777777" w:rsidTr="00ED3D34">
        <w:tc>
          <w:tcPr>
            <w:tcW w:w="1413" w:type="dxa"/>
          </w:tcPr>
          <w:p w14:paraId="647B3406" w14:textId="77777777" w:rsidR="009016B4" w:rsidRPr="00D91090" w:rsidRDefault="009016B4">
            <w:r>
              <w:t>Beth</w:t>
            </w:r>
            <w:r w:rsidRPr="00D91090">
              <w:t>:</w:t>
            </w:r>
          </w:p>
        </w:tc>
        <w:tc>
          <w:tcPr>
            <w:tcW w:w="6888" w:type="dxa"/>
          </w:tcPr>
          <w:p w14:paraId="6587C104" w14:textId="77777777" w:rsidR="009016B4" w:rsidRPr="00D91090" w:rsidRDefault="009016B4" w:rsidP="00824A29">
            <w:pPr>
              <w:pStyle w:val="tablecontent-singlespaced"/>
            </w:pPr>
            <w:r w:rsidRPr="00495326">
              <w:t>It makes it weird like we were ok but now I keep thinking (.) what if they didn’t get the money, would they still care about me?</w:t>
            </w:r>
          </w:p>
        </w:tc>
      </w:tr>
    </w:tbl>
    <w:p w14:paraId="5E99197C" w14:textId="77777777" w:rsidR="009016B4" w:rsidRDefault="009016B4" w:rsidP="006E3485"/>
    <w:p w14:paraId="3273962B" w14:textId="04F028DB" w:rsidR="009016B4" w:rsidRDefault="009016B4" w:rsidP="008E4AF2">
      <w:r>
        <w:t xml:space="preserve">Introducing a transactional component to their family suggested a change in how most of the participants saw themselves or their foster carers. Where previously there had been a family unit common to their peers, the monetisation of their circumstances led to questions about the nature of their relationships and discomfort about the cost of being </w:t>
      </w:r>
      <w:r w:rsidRPr="00B36855">
        <w:rPr>
          <w:i/>
          <w:iCs/>
        </w:rPr>
        <w:t>looked after</w:t>
      </w:r>
      <w:r>
        <w:t>. Highlighting the payment for their care appeared to underline the difference in their circumstances and accentuate the impermanence of their place in the household. The change of status did not appear to diminish their relationships, but the emphasis on difference in their living arrangements</w:t>
      </w:r>
      <w:r w:rsidR="00E07539">
        <w:t>, specifically the payment details,</w:t>
      </w:r>
      <w:r>
        <w:t xml:space="preserve"> suggests a conflict with the inclusive normative narrative of both foster care and </w:t>
      </w:r>
      <w:r w:rsidRPr="00B36855">
        <w:rPr>
          <w:i/>
          <w:iCs/>
        </w:rPr>
        <w:t>Staying Put.</w:t>
      </w:r>
      <w:r>
        <w:t xml:space="preserve"> Creating </w:t>
      </w:r>
      <w:r w:rsidR="00E07539">
        <w:t xml:space="preserve">the illusion of </w:t>
      </w:r>
      <w:r>
        <w:t xml:space="preserve">independence within the household </w:t>
      </w:r>
      <w:r w:rsidR="00E07539">
        <w:t>directly relates to the legislative and taxation issues, h</w:t>
      </w:r>
      <w:r>
        <w:t>owever</w:t>
      </w:r>
      <w:r w:rsidR="00E07539">
        <w:t>,</w:t>
      </w:r>
      <w:r>
        <w:t xml:space="preserve"> the young people’s experience</w:t>
      </w:r>
      <w:r w:rsidR="00CE56DC">
        <w:t>s</w:t>
      </w:r>
      <w:r>
        <w:t xml:space="preserve"> suggest that the arrangement introduced a renewed sense of outsideness and an </w:t>
      </w:r>
      <w:r w:rsidR="00E07539">
        <w:t>unwelcome</w:t>
      </w:r>
      <w:r>
        <w:t xml:space="preserve"> milestone in their lives. </w:t>
      </w:r>
    </w:p>
    <w:p w14:paraId="0E4D9883" w14:textId="5BD5A8E6" w:rsidR="009016B4" w:rsidRDefault="009016B4">
      <w:r>
        <w:t xml:space="preserve">The transition from foster care placement to </w:t>
      </w:r>
      <w:r w:rsidRPr="00B36855">
        <w:rPr>
          <w:i/>
          <w:iCs/>
        </w:rPr>
        <w:t xml:space="preserve">Staying Put </w:t>
      </w:r>
      <w:r>
        <w:t xml:space="preserve">arrangement appeared to be significant in the nature of family relationships, however the young people who stayed with their carers felt their </w:t>
      </w:r>
      <w:r w:rsidR="00B36855">
        <w:t>s</w:t>
      </w:r>
      <w:r>
        <w:t xml:space="preserve">ocial </w:t>
      </w:r>
      <w:r w:rsidR="00B36855">
        <w:t>w</w:t>
      </w:r>
      <w:r>
        <w:t xml:space="preserve">orkers did not reflect this change. Their observations that discussions focused on the process of signing a contract underlined a disconnect in </w:t>
      </w:r>
      <w:r>
        <w:lastRenderedPageBreak/>
        <w:t xml:space="preserve">understanding between the young person and their </w:t>
      </w:r>
      <w:r w:rsidR="00B36855">
        <w:t>s</w:t>
      </w:r>
      <w:r>
        <w:t xml:space="preserve">ocial </w:t>
      </w:r>
      <w:r w:rsidR="00B36855">
        <w:t>w</w:t>
      </w:r>
      <w:r>
        <w:t xml:space="preserve">orker of this change. Where the </w:t>
      </w:r>
      <w:r w:rsidR="00B36855">
        <w:t>s</w:t>
      </w:r>
      <w:r>
        <w:t xml:space="preserve">ocial </w:t>
      </w:r>
      <w:r w:rsidR="00B36855">
        <w:t>w</w:t>
      </w:r>
      <w:r>
        <w:t xml:space="preserve">orker seemed to see the contract </w:t>
      </w:r>
      <w:r w:rsidR="00CE56DC">
        <w:t xml:space="preserve">as </w:t>
      </w:r>
      <w:r>
        <w:t xml:space="preserve">a symbol of the transition the young people saw the contract as an inconvenience, an affront or irrelevant to what they were experiencing. Even those who understood the role of a payment or expressed no objection, situated the contract with the </w:t>
      </w:r>
      <w:r w:rsidR="00E62546">
        <w:t>s</w:t>
      </w:r>
      <w:r>
        <w:t xml:space="preserve">ocial </w:t>
      </w:r>
      <w:r w:rsidR="00E62546">
        <w:t>w</w:t>
      </w:r>
      <w:r>
        <w:t xml:space="preserve">orker and did not suggest any ownership of the document. In some </w:t>
      </w:r>
      <w:r w:rsidR="00B36855">
        <w:t>cases,</w:t>
      </w:r>
      <w:r>
        <w:t xml:space="preserve"> the contract was aligned with other poorly received documents or processes such as the Pathway Plan, statutory review meeting</w:t>
      </w:r>
      <w:r w:rsidR="006B2753">
        <w:t xml:space="preserve"> minutes</w:t>
      </w:r>
      <w:r>
        <w:t xml:space="preserve"> or general paperwork, suggesting a continuum of feeling that documents or meetings are peripheral to the event or period itself. Children and young people signing or reading a form or attending a meeting, is promoted as participative and empowering practice as noted </w:t>
      </w:r>
      <w:r w:rsidRPr="002C5A99">
        <w:t xml:space="preserve">in </w:t>
      </w:r>
      <w:r w:rsidR="00866CD9" w:rsidRPr="002C5A99">
        <w:t>C</w:t>
      </w:r>
      <w:r w:rsidRPr="002C5A99">
        <w:t>hapter</w:t>
      </w:r>
      <w:r w:rsidR="00866CD9" w:rsidRPr="002C5A99">
        <w:t xml:space="preserve"> </w:t>
      </w:r>
      <w:r w:rsidR="002C5A99" w:rsidRPr="002C5A99">
        <w:t>7</w:t>
      </w:r>
      <w:r w:rsidRPr="002C5A99">
        <w:t>, however</w:t>
      </w:r>
      <w:r>
        <w:t xml:space="preserve"> the views of young people in </w:t>
      </w:r>
      <w:r w:rsidR="003514F4">
        <w:t>my</w:t>
      </w:r>
      <w:r>
        <w:t xml:space="preserve"> study suggest that their involvement in these processes did not signify feelings of ownership.</w:t>
      </w:r>
    </w:p>
    <w:p w14:paraId="2CF97F1A" w14:textId="7562C408" w:rsidR="009016B4" w:rsidRPr="003D4C67" w:rsidRDefault="009016B4" w:rsidP="006E3485">
      <w:pPr>
        <w:pStyle w:val="Heading2"/>
      </w:pPr>
      <w:bookmarkStart w:id="78" w:name="_Toc101108518"/>
      <w:r w:rsidRPr="00B36855">
        <w:t>‘Just putting the washing machine on, is not enough’</w:t>
      </w:r>
      <w:bookmarkEnd w:id="78"/>
    </w:p>
    <w:p w14:paraId="2F6E44DC" w14:textId="34B270A9" w:rsidR="009016B4" w:rsidRDefault="009016B4">
      <w:r>
        <w:t>The final s</w:t>
      </w:r>
      <w:r w:rsidR="0067547D">
        <w:t>ubtheme</w:t>
      </w:r>
      <w:r>
        <w:t xml:space="preserve"> </w:t>
      </w:r>
      <w:r w:rsidR="0067547D">
        <w:t>in</w:t>
      </w:r>
      <w:r>
        <w:t xml:space="preserve"> this chapter relates to </w:t>
      </w:r>
      <w:r w:rsidR="00516D69">
        <w:t>different interpretations about</w:t>
      </w:r>
      <w:r>
        <w:t xml:space="preserve"> what it means to be independent. </w:t>
      </w:r>
      <w:r w:rsidR="0067547D">
        <w:t xml:space="preserve">Questions of independence arose in conjunction with discussions about </w:t>
      </w:r>
      <w:r w:rsidR="0067547D" w:rsidRPr="0067547D">
        <w:rPr>
          <w:i/>
          <w:iCs/>
        </w:rPr>
        <w:t>Staying Put</w:t>
      </w:r>
      <w:r w:rsidR="0067547D">
        <w:t xml:space="preserve"> where young people were thinking beyond the time of their current situation.</w:t>
      </w:r>
      <w:r w:rsidR="00A51871">
        <w:t xml:space="preserve"> </w:t>
      </w:r>
      <w:r>
        <w:t>The discussion about readying themselves for life beyond their 18</w:t>
      </w:r>
      <w:r w:rsidRPr="00766548">
        <w:rPr>
          <w:vertAlign w:val="superscript"/>
        </w:rPr>
        <w:t>th</w:t>
      </w:r>
      <w:r>
        <w:t xml:space="preserve"> birthday highlighted the way that young people see themselves and how they understood the future away from their carers. Like the previous two sections</w:t>
      </w:r>
      <w:r w:rsidR="00B36855">
        <w:t xml:space="preserve"> in this chapter</w:t>
      </w:r>
      <w:r>
        <w:t xml:space="preserve">, the responses from the participants suggested a parallel perspective of what it means to be independent, reflecting a </w:t>
      </w:r>
      <w:r w:rsidR="006B2753">
        <w:t xml:space="preserve">process rather than emotional </w:t>
      </w:r>
      <w:r>
        <w:t>understanding</w:t>
      </w:r>
      <w:r w:rsidR="006B2753">
        <w:t xml:space="preserve"> of independence</w:t>
      </w:r>
      <w:r>
        <w:t>. The young people had varied experiences of support in developing what they referred to as independence skills. Some felt that their carers had proactively encouraged them to learn how to cook, clean and manage money</w:t>
      </w:r>
      <w:r w:rsidR="009256F4">
        <w:t>;</w:t>
      </w:r>
      <w:r>
        <w:t xml:space="preserve"> others reflected on how little they knew before moving on. Cain and Jonathan’s experiences refer to an ongoing approach taken by their carers: </w:t>
      </w:r>
    </w:p>
    <w:p w14:paraId="34546697"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77A8FE64" w14:textId="77777777" w:rsidTr="00ED3D34">
        <w:tc>
          <w:tcPr>
            <w:tcW w:w="1413" w:type="dxa"/>
          </w:tcPr>
          <w:p w14:paraId="3C037777" w14:textId="77777777" w:rsidR="009016B4" w:rsidRPr="00D91090" w:rsidRDefault="009016B4">
            <w:r>
              <w:t>Cain</w:t>
            </w:r>
            <w:r w:rsidRPr="00D91090">
              <w:t>:</w:t>
            </w:r>
          </w:p>
        </w:tc>
        <w:tc>
          <w:tcPr>
            <w:tcW w:w="6888" w:type="dxa"/>
          </w:tcPr>
          <w:p w14:paraId="6C0ADC0E" w14:textId="426C7D8A" w:rsidR="009016B4" w:rsidRPr="00D91090" w:rsidRDefault="009016B4" w:rsidP="00824A29">
            <w:pPr>
              <w:pStyle w:val="tablecontent-singlespaced"/>
            </w:pPr>
            <w:r w:rsidRPr="00495326">
              <w:t>I didn’t know it at the time but all the little things they did like making me cook when we were on holiday, goin</w:t>
            </w:r>
            <w:r w:rsidR="00540562">
              <w:t>g</w:t>
            </w:r>
            <w:r w:rsidRPr="00495326">
              <w:t xml:space="preserve"> into banks or shops and making me ask for things, urm talking about bills and telling me how much things cost.</w:t>
            </w:r>
          </w:p>
        </w:tc>
      </w:tr>
    </w:tbl>
    <w:p w14:paraId="29344587"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2077BA43" w14:textId="77777777" w:rsidTr="00ED3D34">
        <w:tc>
          <w:tcPr>
            <w:tcW w:w="1413" w:type="dxa"/>
          </w:tcPr>
          <w:p w14:paraId="555C27FB" w14:textId="77777777" w:rsidR="009016B4" w:rsidRPr="00D91090" w:rsidRDefault="009016B4" w:rsidP="008E4AF2">
            <w:r>
              <w:t>Jonathan</w:t>
            </w:r>
            <w:r w:rsidRPr="00D91090">
              <w:t>:</w:t>
            </w:r>
          </w:p>
        </w:tc>
        <w:tc>
          <w:tcPr>
            <w:tcW w:w="6888" w:type="dxa"/>
          </w:tcPr>
          <w:p w14:paraId="4B769D27" w14:textId="4C52230D" w:rsidR="009016B4" w:rsidRPr="00D91090" w:rsidRDefault="006B2753" w:rsidP="00824A29">
            <w:pPr>
              <w:pStyle w:val="tablecontent-singlespaced"/>
            </w:pPr>
            <w:r>
              <w:t>T</w:t>
            </w:r>
            <w:r w:rsidR="009016B4" w:rsidRPr="00495326">
              <w:t>hey have done so much (.) financially they have supported me urm they got me insurance for my bike (.) little things here and there taking me places</w:t>
            </w:r>
            <w:r>
              <w:t>.,</w:t>
            </w:r>
            <w:r w:rsidR="009016B4" w:rsidRPr="00495326">
              <w:t xml:space="preserve"> cooking (.) I think I have something in me but </w:t>
            </w:r>
            <w:r w:rsidR="009016B4" w:rsidRPr="00495326">
              <w:lastRenderedPageBreak/>
              <w:t>they have encouraged it (.) sometimes they would pull back the reigns but I look back now and think it was helpful (.) they taught me life skills like filling in tax reports and cook</w:t>
            </w:r>
            <w:r w:rsidR="0067547D">
              <w:t>ing</w:t>
            </w:r>
            <w:r w:rsidR="009016B4" w:rsidRPr="00495326">
              <w:t xml:space="preserve"> </w:t>
            </w:r>
            <w:r w:rsidR="0067547D">
              <w:t xml:space="preserve">(.) </w:t>
            </w:r>
            <w:r w:rsidR="009016B4" w:rsidRPr="00495326">
              <w:t>washing</w:t>
            </w:r>
            <w:r w:rsidR="0067547D">
              <w:t xml:space="preserve"> (.)</w:t>
            </w:r>
            <w:r w:rsidR="009016B4" w:rsidRPr="00495326">
              <w:t xml:space="preserve"> things like that</w:t>
            </w:r>
            <w:r w:rsidR="0067547D">
              <w:t xml:space="preserve"> (.)</w:t>
            </w:r>
            <w:r w:rsidR="009016B4" w:rsidRPr="00495326">
              <w:t xml:space="preserve"> maintenance (.) you know I am the DIY of my house now.</w:t>
            </w:r>
          </w:p>
        </w:tc>
      </w:tr>
    </w:tbl>
    <w:p w14:paraId="2C314EB1" w14:textId="77777777" w:rsidR="009016B4" w:rsidRDefault="009016B4" w:rsidP="008E4AF2"/>
    <w:p w14:paraId="7AA4B889" w14:textId="6CFF991E" w:rsidR="009016B4" w:rsidRDefault="009016B4" w:rsidP="008E4AF2">
      <w:r>
        <w:t xml:space="preserve">Carrie also described a comprehensive list of tasks that </w:t>
      </w:r>
      <w:r w:rsidR="00B36855">
        <w:t xml:space="preserve">the carers had gone through with them before leaving: </w:t>
      </w:r>
    </w:p>
    <w:p w14:paraId="1C48509D"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6D3D3DAD" w14:textId="77777777" w:rsidTr="00ED3D34">
        <w:tc>
          <w:tcPr>
            <w:tcW w:w="1413" w:type="dxa"/>
          </w:tcPr>
          <w:p w14:paraId="1D495FCB" w14:textId="77777777" w:rsidR="009016B4" w:rsidRPr="00D91090" w:rsidRDefault="009016B4">
            <w:r>
              <w:t>Carrie</w:t>
            </w:r>
            <w:r w:rsidRPr="00D91090">
              <w:t>:</w:t>
            </w:r>
          </w:p>
        </w:tc>
        <w:tc>
          <w:tcPr>
            <w:tcW w:w="6888" w:type="dxa"/>
          </w:tcPr>
          <w:p w14:paraId="22ECB089" w14:textId="77777777" w:rsidR="009016B4" w:rsidRPr="00D91090" w:rsidRDefault="009016B4" w:rsidP="00824A29">
            <w:pPr>
              <w:pStyle w:val="tablecontent-singlespaced"/>
            </w:pPr>
            <w:r w:rsidRPr="00495326">
              <w:t>It’s things like how to drain or bleed a radiator and how to defrost the freezer how to change a plug urm where you can go for support and things urm and it was um very helpful figuring out what was what (.) where I can go if I need help with money or advice</w:t>
            </w:r>
            <w:r>
              <w:t>.</w:t>
            </w:r>
          </w:p>
        </w:tc>
      </w:tr>
    </w:tbl>
    <w:p w14:paraId="617401BE" w14:textId="77777777" w:rsidR="009016B4" w:rsidRDefault="009016B4" w:rsidP="006E3485"/>
    <w:p w14:paraId="066A5DB7" w14:textId="07E475CC" w:rsidR="009016B4" w:rsidRDefault="009016B4" w:rsidP="008E4AF2">
      <w:r>
        <w:t>Other young people described a more piecemeal approach, where specific tasks were the focus of the foster carer’s support. This was reflected by Yannick’s experience:</w:t>
      </w:r>
    </w:p>
    <w:p w14:paraId="6287D98A" w14:textId="77777777" w:rsidR="00B36855" w:rsidRDefault="00B36855"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7DD55A9" w14:textId="77777777" w:rsidTr="00ED3D34">
        <w:tc>
          <w:tcPr>
            <w:tcW w:w="1413" w:type="dxa"/>
          </w:tcPr>
          <w:p w14:paraId="60D58D50" w14:textId="77777777" w:rsidR="009016B4" w:rsidRPr="00D91090" w:rsidRDefault="009016B4">
            <w:r>
              <w:t>Yannick</w:t>
            </w:r>
            <w:r w:rsidRPr="00D91090">
              <w:t>:</w:t>
            </w:r>
          </w:p>
        </w:tc>
        <w:tc>
          <w:tcPr>
            <w:tcW w:w="6888" w:type="dxa"/>
          </w:tcPr>
          <w:p w14:paraId="7B9B1764" w14:textId="4DDD0B78" w:rsidR="009016B4" w:rsidRPr="00D91090" w:rsidRDefault="006B2753" w:rsidP="00824A29">
            <w:pPr>
              <w:pStyle w:val="tablecontent-singlespaced"/>
            </w:pPr>
            <w:r>
              <w:t>H</w:t>
            </w:r>
            <w:r w:rsidR="009016B4" w:rsidRPr="00495326">
              <w:t>ere's how to use the washing machine here's how to heat up micro meals.</w:t>
            </w:r>
          </w:p>
        </w:tc>
      </w:tr>
    </w:tbl>
    <w:p w14:paraId="512BF176" w14:textId="77777777" w:rsidR="009016B4" w:rsidRDefault="009016B4" w:rsidP="006E3485"/>
    <w:p w14:paraId="1DDB1722" w14:textId="340DD52F" w:rsidR="009016B4" w:rsidRDefault="009016B4" w:rsidP="008E4AF2">
      <w:r>
        <w:t>Being taught how to use of a washing machine was common to all the young people in the study, where becoming independent tended to be associated with doing their own laundry.</w:t>
      </w:r>
      <w:r w:rsidR="00516D69">
        <w:t xml:space="preserve"> Whilst a useful and important part of their development </w:t>
      </w:r>
      <w:r>
        <w:t xml:space="preserve">Beth recognised this as helpful, </w:t>
      </w:r>
      <w:r w:rsidR="00516D69">
        <w:t xml:space="preserve">but felt that </w:t>
      </w:r>
      <w:r>
        <w:t xml:space="preserve">this knowledge felt confined to the carer’s home: </w:t>
      </w:r>
    </w:p>
    <w:p w14:paraId="11B836B5" w14:textId="77777777" w:rsidR="006B2753" w:rsidRDefault="006B2753"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2CFCD68E" w14:textId="77777777" w:rsidTr="00ED3D34">
        <w:tc>
          <w:tcPr>
            <w:tcW w:w="1413" w:type="dxa"/>
          </w:tcPr>
          <w:p w14:paraId="702414E8" w14:textId="77777777" w:rsidR="009016B4" w:rsidRPr="00D91090" w:rsidRDefault="009016B4" w:rsidP="008E4AF2">
            <w:r>
              <w:t>Beth</w:t>
            </w:r>
            <w:r w:rsidRPr="00D91090">
              <w:t>:</w:t>
            </w:r>
          </w:p>
        </w:tc>
        <w:tc>
          <w:tcPr>
            <w:tcW w:w="6888" w:type="dxa"/>
          </w:tcPr>
          <w:p w14:paraId="334303FD" w14:textId="14E13BCC" w:rsidR="009016B4" w:rsidRPr="00D91090" w:rsidRDefault="006B2753" w:rsidP="00824A29">
            <w:pPr>
              <w:pStyle w:val="tablecontent-singlespaced"/>
            </w:pPr>
            <w:r>
              <w:t>S</w:t>
            </w:r>
            <w:r w:rsidR="009016B4" w:rsidRPr="00495326">
              <w:t>he did teach me how to use a washing machine (.) but I knew how to use her washing machine (.) but not my new one (.) but she told me that life skill.</w:t>
            </w:r>
          </w:p>
        </w:tc>
      </w:tr>
    </w:tbl>
    <w:p w14:paraId="7ABFD0A9" w14:textId="77777777" w:rsidR="009016B4" w:rsidRDefault="009016B4" w:rsidP="006E3485"/>
    <w:p w14:paraId="5591F612" w14:textId="54DC8720" w:rsidR="009016B4" w:rsidRDefault="009016B4" w:rsidP="008E4AF2">
      <w:r>
        <w:t xml:space="preserve">Support for some young people was often perceived as last minute and only because they were moving on. For </w:t>
      </w:r>
      <w:r w:rsidR="00B36855">
        <w:t>example,</w:t>
      </w:r>
      <w:r>
        <w:t xml:space="preserve"> Eshal and Carrie talked about the last few weeks before leaving their placements:</w:t>
      </w:r>
    </w:p>
    <w:p w14:paraId="5B99E8A7" w14:textId="77777777" w:rsidR="009016B4" w:rsidRDefault="009016B4" w:rsidP="008E4AF2"/>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4D6262D5" w14:textId="77777777" w:rsidTr="00ED3D34">
        <w:tc>
          <w:tcPr>
            <w:tcW w:w="1413" w:type="dxa"/>
          </w:tcPr>
          <w:p w14:paraId="3A7F3FE3" w14:textId="77777777" w:rsidR="009016B4" w:rsidRPr="00D91090" w:rsidRDefault="009016B4">
            <w:r>
              <w:lastRenderedPageBreak/>
              <w:t>Eshal</w:t>
            </w:r>
            <w:r w:rsidRPr="00D91090">
              <w:t>:</w:t>
            </w:r>
          </w:p>
        </w:tc>
        <w:tc>
          <w:tcPr>
            <w:tcW w:w="6888" w:type="dxa"/>
          </w:tcPr>
          <w:p w14:paraId="3EC2AC8D" w14:textId="1C9BC0D5" w:rsidR="009016B4" w:rsidRPr="00D91090" w:rsidRDefault="006B2753" w:rsidP="00824A29">
            <w:pPr>
              <w:pStyle w:val="tablecontent-singlespaced"/>
            </w:pPr>
            <w:r>
              <w:t>I</w:t>
            </w:r>
            <w:r w:rsidR="009016B4" w:rsidRPr="00495326">
              <w:t>n the last few weeks my carers started to tell me about the washing machine and stuff like that.</w:t>
            </w:r>
          </w:p>
        </w:tc>
      </w:tr>
    </w:tbl>
    <w:p w14:paraId="52765567"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7FBCD21" w14:textId="77777777" w:rsidTr="00ED3D34">
        <w:tc>
          <w:tcPr>
            <w:tcW w:w="1413" w:type="dxa"/>
          </w:tcPr>
          <w:p w14:paraId="20B729F6" w14:textId="77777777" w:rsidR="009016B4" w:rsidRPr="00D91090" w:rsidRDefault="009016B4" w:rsidP="008E4AF2">
            <w:r>
              <w:t>Carrie</w:t>
            </w:r>
            <w:r w:rsidRPr="00D91090">
              <w:t>:</w:t>
            </w:r>
          </w:p>
        </w:tc>
        <w:tc>
          <w:tcPr>
            <w:tcW w:w="6888" w:type="dxa"/>
          </w:tcPr>
          <w:p w14:paraId="2DD1782B" w14:textId="50BD9CBE" w:rsidR="009016B4" w:rsidRPr="00D91090" w:rsidRDefault="006B2753" w:rsidP="00824A29">
            <w:pPr>
              <w:pStyle w:val="tablecontent-singlespaced"/>
            </w:pPr>
            <w:r>
              <w:t>Y</w:t>
            </w:r>
            <w:r w:rsidR="009016B4" w:rsidRPr="00495326">
              <w:t>eah It got a bit comfortable then it was suddenly oh shit you are 18 soon we had better get sorted (.) she [foster carer] helped me open a bank account (.) and so um yeah that was a bit of life skills stuff she did with me (.) money side of things (.) they were helpful in the time that I had.</w:t>
            </w:r>
          </w:p>
        </w:tc>
      </w:tr>
    </w:tbl>
    <w:p w14:paraId="71F95E13" w14:textId="77777777" w:rsidR="009016B4" w:rsidRDefault="009016B4" w:rsidP="006E3485"/>
    <w:p w14:paraId="069AFF1C" w14:textId="71EABC64" w:rsidR="009016B4" w:rsidRDefault="009016B4" w:rsidP="008E4AF2">
      <w:r>
        <w:t>Despite foster carers helping young people with some practical skills, many of the young people felt ill prepared when living alone</w:t>
      </w:r>
      <w:r w:rsidR="00961A61">
        <w:t xml:space="preserve"> s</w:t>
      </w:r>
      <w:r w:rsidR="00516D69" w:rsidRPr="00516D69">
        <w:t xml:space="preserve">uggesting </w:t>
      </w:r>
      <w:r w:rsidR="00961A61">
        <w:t xml:space="preserve">that </w:t>
      </w:r>
      <w:r w:rsidR="00516D69" w:rsidRPr="00516D69">
        <w:t xml:space="preserve">there is no universally agreed, definitive checklist of practical skills needed to live independently – </w:t>
      </w:r>
      <w:r w:rsidR="00516D69">
        <w:t>it is</w:t>
      </w:r>
      <w:r w:rsidR="00516D69" w:rsidRPr="00516D69">
        <w:t xml:space="preserve"> an ongoing process.</w:t>
      </w:r>
      <w:r w:rsidR="00516D69">
        <w:t xml:space="preserve"> </w:t>
      </w:r>
      <w:r>
        <w:t>This was exemplified by Eshal’s response when asked about living in supported accommodation:</w:t>
      </w:r>
    </w:p>
    <w:p w14:paraId="0339808F"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DAED7F2" w14:textId="77777777" w:rsidTr="00ED3D34">
        <w:tc>
          <w:tcPr>
            <w:tcW w:w="1413" w:type="dxa"/>
          </w:tcPr>
          <w:p w14:paraId="5005A7F1" w14:textId="77777777" w:rsidR="009016B4" w:rsidRPr="00D91090" w:rsidRDefault="009016B4">
            <w:r>
              <w:t>Sally</w:t>
            </w:r>
            <w:r w:rsidRPr="00D91090">
              <w:t>:</w:t>
            </w:r>
          </w:p>
        </w:tc>
        <w:tc>
          <w:tcPr>
            <w:tcW w:w="6888" w:type="dxa"/>
          </w:tcPr>
          <w:p w14:paraId="0408B906" w14:textId="24A1FA8D" w:rsidR="009016B4" w:rsidRPr="00D91090" w:rsidRDefault="008A3F06" w:rsidP="00824A29">
            <w:pPr>
              <w:pStyle w:val="tablecontent-singlespaced"/>
            </w:pPr>
            <w:r>
              <w:t>D</w:t>
            </w:r>
            <w:r w:rsidRPr="0002620E">
              <w:t xml:space="preserve">id </w:t>
            </w:r>
            <w:r w:rsidR="009016B4" w:rsidRPr="0002620E">
              <w:t>you feel ready to live at [name of supported accommodation service]</w:t>
            </w:r>
            <w:r w:rsidR="009016B4">
              <w:t>?</w:t>
            </w:r>
          </w:p>
        </w:tc>
      </w:tr>
    </w:tbl>
    <w:p w14:paraId="179F44AB"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018EF9D" w14:textId="77777777" w:rsidTr="00ED3D34">
        <w:tc>
          <w:tcPr>
            <w:tcW w:w="1413" w:type="dxa"/>
          </w:tcPr>
          <w:p w14:paraId="541A2139" w14:textId="77777777" w:rsidR="009016B4" w:rsidRPr="00D91090" w:rsidRDefault="009016B4" w:rsidP="008E4AF2">
            <w:r>
              <w:t>Eshal</w:t>
            </w:r>
            <w:r w:rsidRPr="00D91090">
              <w:t>:</w:t>
            </w:r>
          </w:p>
        </w:tc>
        <w:tc>
          <w:tcPr>
            <w:tcW w:w="6888" w:type="dxa"/>
          </w:tcPr>
          <w:p w14:paraId="09795E07" w14:textId="7515C75D" w:rsidR="009016B4" w:rsidRPr="00D91090" w:rsidRDefault="008A3F06" w:rsidP="00824A29">
            <w:pPr>
              <w:pStyle w:val="tablecontent-singlespaced"/>
            </w:pPr>
            <w:r>
              <w:t>N</w:t>
            </w:r>
            <w:r w:rsidRPr="0002620E">
              <w:t xml:space="preserve">o </w:t>
            </w:r>
            <w:r w:rsidR="009016B4" w:rsidRPr="0002620E">
              <w:t>way, I knew shit about nothing (.) I didn’t even know how to put my duvet cover o</w:t>
            </w:r>
            <w:r w:rsidR="009016B4">
              <w:t>n.</w:t>
            </w:r>
          </w:p>
        </w:tc>
      </w:tr>
    </w:tbl>
    <w:p w14:paraId="27AD0EF0" w14:textId="77777777" w:rsidR="009016B4" w:rsidRDefault="009016B4" w:rsidP="006E3485"/>
    <w:p w14:paraId="3522C9CE" w14:textId="6E5FEEE5" w:rsidR="009016B4" w:rsidRDefault="009016B4" w:rsidP="008E4AF2">
      <w:r>
        <w:t>As well as household jobs, some of the young people expressed their ongoing concerns about dealing with money when they first moved out and in their present situations. Tyler felt they had been supported to develop some basic skills, but had insufficient understanding to manage day</w:t>
      </w:r>
      <w:r w:rsidR="0040797B">
        <w:t>-</w:t>
      </w:r>
      <w:r>
        <w:t>to</w:t>
      </w:r>
      <w:r w:rsidR="0040797B">
        <w:t>-</w:t>
      </w:r>
      <w:r>
        <w:t>day issues:</w:t>
      </w:r>
    </w:p>
    <w:p w14:paraId="495242B5" w14:textId="77777777" w:rsidR="00B36855" w:rsidRDefault="00B3685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01EA282" w14:textId="77777777" w:rsidTr="00ED3D34">
        <w:tc>
          <w:tcPr>
            <w:tcW w:w="1413" w:type="dxa"/>
          </w:tcPr>
          <w:p w14:paraId="54BFCB03" w14:textId="77777777" w:rsidR="009016B4" w:rsidRPr="00D91090" w:rsidRDefault="009016B4">
            <w:r>
              <w:t>Tyler</w:t>
            </w:r>
            <w:r w:rsidRPr="00D91090">
              <w:t>:</w:t>
            </w:r>
          </w:p>
        </w:tc>
        <w:tc>
          <w:tcPr>
            <w:tcW w:w="6888" w:type="dxa"/>
          </w:tcPr>
          <w:p w14:paraId="5CDC07A8" w14:textId="715CAD3E" w:rsidR="009016B4" w:rsidRPr="00D91090" w:rsidRDefault="009016B4" w:rsidP="00824A29">
            <w:pPr>
              <w:pStyle w:val="tablecontent-singlespaced"/>
            </w:pPr>
            <w:r w:rsidRPr="0002620E">
              <w:t>I don’t think there was really anything done (.) like money that's one thing (.) I like know how to pay rent</w:t>
            </w:r>
            <w:r w:rsidR="00CC4160">
              <w:t xml:space="preserve"> … </w:t>
            </w:r>
            <w:r w:rsidRPr="0002620E">
              <w:t>I don’t feel prepared as (.) I don’t know how to pay bills and I don’t know what I'm doing ((pause)) I don't think anyone's ever told me how ((pause))</w:t>
            </w:r>
            <w:r>
              <w:t>.</w:t>
            </w:r>
          </w:p>
        </w:tc>
      </w:tr>
    </w:tbl>
    <w:p w14:paraId="324D0CF9" w14:textId="77777777" w:rsidR="009016B4" w:rsidRDefault="009016B4" w:rsidP="006E3485"/>
    <w:p w14:paraId="50F78BB1" w14:textId="34A62201" w:rsidR="009016B4" w:rsidRDefault="009016B4" w:rsidP="008E4AF2">
      <w:r>
        <w:t xml:space="preserve">Yannick and Beth also expressed a lack of confidence and understanding about money: </w:t>
      </w:r>
    </w:p>
    <w:p w14:paraId="43B6E85B"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76A403F" w14:textId="77777777" w:rsidTr="00ED3D34">
        <w:tc>
          <w:tcPr>
            <w:tcW w:w="1413" w:type="dxa"/>
          </w:tcPr>
          <w:p w14:paraId="5AFCC9D7" w14:textId="77777777" w:rsidR="009016B4" w:rsidRPr="00D91090" w:rsidRDefault="009016B4">
            <w:r>
              <w:lastRenderedPageBreak/>
              <w:t>Yannick</w:t>
            </w:r>
            <w:r w:rsidRPr="00D91090">
              <w:t>:</w:t>
            </w:r>
          </w:p>
        </w:tc>
        <w:tc>
          <w:tcPr>
            <w:tcW w:w="6888" w:type="dxa"/>
          </w:tcPr>
          <w:p w14:paraId="2ED834B1" w14:textId="5F22E7EB" w:rsidR="009016B4" w:rsidRPr="00D91090" w:rsidRDefault="009016B4" w:rsidP="00824A29">
            <w:pPr>
              <w:pStyle w:val="tablecontent-singlespaced"/>
            </w:pPr>
            <w:r w:rsidRPr="0002620E">
              <w:t>I like have worked it, but like the money I</w:t>
            </w:r>
            <w:r w:rsidR="006B2753">
              <w:t xml:space="preserve"> earn</w:t>
            </w:r>
            <w:r w:rsidRPr="0002620E">
              <w:t xml:space="preserve"> is like [gesture of small] (.) like I didn’t know how to do it (.) like how to like manage.</w:t>
            </w:r>
          </w:p>
        </w:tc>
      </w:tr>
    </w:tbl>
    <w:p w14:paraId="022F717B"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3D54C3FB" w14:textId="77777777" w:rsidTr="00ED3D34">
        <w:tc>
          <w:tcPr>
            <w:tcW w:w="1413" w:type="dxa"/>
          </w:tcPr>
          <w:p w14:paraId="71211ED3" w14:textId="77777777" w:rsidR="009016B4" w:rsidRPr="00D91090" w:rsidRDefault="009016B4" w:rsidP="008E4AF2">
            <w:r>
              <w:t>Beth</w:t>
            </w:r>
            <w:r w:rsidRPr="00D91090">
              <w:t>:</w:t>
            </w:r>
          </w:p>
        </w:tc>
        <w:tc>
          <w:tcPr>
            <w:tcW w:w="6888" w:type="dxa"/>
          </w:tcPr>
          <w:p w14:paraId="1EA865C4" w14:textId="77777777" w:rsidR="009016B4" w:rsidRPr="00D91090" w:rsidRDefault="009016B4" w:rsidP="00824A29">
            <w:pPr>
              <w:pStyle w:val="tablecontent-singlespaced"/>
            </w:pPr>
            <w:r w:rsidRPr="0002620E">
              <w:t>She [foster carer] talked to me about money (.) but the thing is I didn’t have bills with her, so it was a shock when I came here (.) I moved here and I did not have a clue about all the bills, how things were costed, council tax everything.</w:t>
            </w:r>
          </w:p>
        </w:tc>
      </w:tr>
    </w:tbl>
    <w:p w14:paraId="77EF3B5D" w14:textId="77777777" w:rsidR="009016B4" w:rsidRDefault="009016B4" w:rsidP="008E4AF2"/>
    <w:p w14:paraId="2FC54E0E" w14:textId="5ED4CEB4" w:rsidR="009016B4" w:rsidRDefault="009016B4" w:rsidP="008E4AF2">
      <w:r>
        <w:t xml:space="preserve">Later in the interview Beth described the consequence of being unaware of organising bills: </w:t>
      </w:r>
    </w:p>
    <w:p w14:paraId="3F503EE3"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491CD50F" w14:textId="77777777" w:rsidTr="00ED3D34">
        <w:tc>
          <w:tcPr>
            <w:tcW w:w="1413" w:type="dxa"/>
          </w:tcPr>
          <w:p w14:paraId="04894F1A" w14:textId="77777777" w:rsidR="009016B4" w:rsidRPr="00D91090" w:rsidRDefault="009016B4" w:rsidP="008E4AF2">
            <w:r>
              <w:t>Beth</w:t>
            </w:r>
            <w:r w:rsidRPr="00D91090">
              <w:t>:</w:t>
            </w:r>
          </w:p>
        </w:tc>
        <w:tc>
          <w:tcPr>
            <w:tcW w:w="6888" w:type="dxa"/>
          </w:tcPr>
          <w:p w14:paraId="22AC5A9C" w14:textId="1E83BAC2" w:rsidR="009016B4" w:rsidRPr="00D91090" w:rsidRDefault="009016B4" w:rsidP="00824A29">
            <w:pPr>
              <w:pStyle w:val="tablecontent-singlespaced"/>
            </w:pPr>
            <w:r w:rsidRPr="0002620E">
              <w:t xml:space="preserve">I ended up paying two years in advance (.) but like no one told me, I didn't know about council tax (.) I also didn't know about water bills and then I thought TV license was a like (.) I </w:t>
            </w:r>
            <w:r w:rsidR="00562B3B" w:rsidRPr="0002620E">
              <w:t>di</w:t>
            </w:r>
            <w:r w:rsidR="00562B3B">
              <w:t>d</w:t>
            </w:r>
            <w:r w:rsidR="00562B3B" w:rsidRPr="0002620E">
              <w:t>n</w:t>
            </w:r>
            <w:r w:rsidR="00562B3B">
              <w:t>’</w:t>
            </w:r>
            <w:r w:rsidR="00562B3B" w:rsidRPr="0002620E">
              <w:t xml:space="preserve">t </w:t>
            </w:r>
            <w:r w:rsidRPr="0002620E">
              <w:t xml:space="preserve">know it was monthly (.) and then all these bills came and I'm like why have I never heard about this? </w:t>
            </w:r>
          </w:p>
        </w:tc>
      </w:tr>
    </w:tbl>
    <w:p w14:paraId="722677BD" w14:textId="77777777" w:rsidR="009016B4" w:rsidRDefault="009016B4" w:rsidP="006E3485"/>
    <w:p w14:paraId="7A9E10CC" w14:textId="6D2B5C7C" w:rsidR="007D737C" w:rsidRDefault="009016B4" w:rsidP="008E4AF2">
      <w:r w:rsidRPr="007D737C">
        <w:t xml:space="preserve">The carers were the focus of all discussions about preparation for living away from the placement. When asked about the role </w:t>
      </w:r>
      <w:r w:rsidR="007D737C">
        <w:t>s</w:t>
      </w:r>
      <w:r w:rsidRPr="007D737C">
        <w:t xml:space="preserve">ocial </w:t>
      </w:r>
      <w:r w:rsidR="007D737C">
        <w:t>w</w:t>
      </w:r>
      <w:r w:rsidRPr="007D737C">
        <w:t xml:space="preserve">orkers took in supporting them with ‘independence’ skills, there was feeling that </w:t>
      </w:r>
      <w:r w:rsidR="007D737C">
        <w:t>s</w:t>
      </w:r>
      <w:r w:rsidRPr="007D737C">
        <w:t xml:space="preserve">ocial </w:t>
      </w:r>
      <w:r w:rsidR="007D737C">
        <w:t>w</w:t>
      </w:r>
      <w:r w:rsidRPr="007D737C">
        <w:t xml:space="preserve">orkers were either uninterested or ill equipped to support them. Despite </w:t>
      </w:r>
      <w:r w:rsidR="007D737C">
        <w:t>s</w:t>
      </w:r>
      <w:r w:rsidRPr="007D737C">
        <w:t xml:space="preserve">ocial </w:t>
      </w:r>
      <w:r w:rsidR="007D737C">
        <w:t>w</w:t>
      </w:r>
      <w:r w:rsidRPr="007D737C">
        <w:t xml:space="preserve">orkers being responsible for facilitating the pathway planning process described in </w:t>
      </w:r>
      <w:r w:rsidR="00866CD9">
        <w:t xml:space="preserve">the </w:t>
      </w:r>
      <w:r w:rsidR="00AD5189">
        <w:t>Glossary</w:t>
      </w:r>
      <w:r w:rsidRPr="007D737C">
        <w:t xml:space="preserve">, the young people in the study indicated that </w:t>
      </w:r>
      <w:r w:rsidR="007D737C">
        <w:t>s</w:t>
      </w:r>
      <w:r w:rsidRPr="007D737C">
        <w:t xml:space="preserve">ocial </w:t>
      </w:r>
      <w:r w:rsidR="007D737C">
        <w:t>w</w:t>
      </w:r>
      <w:r w:rsidRPr="007D737C">
        <w:t>orkers had a peripheral role in supporting them to become self-sufficient. Carrie was among those young people that had a negative view of their worker</w:t>
      </w:r>
      <w:r w:rsidR="007D737C">
        <w:t xml:space="preserve"> in this regard</w:t>
      </w:r>
      <w:r w:rsidRPr="007D737C">
        <w:t>:</w:t>
      </w:r>
    </w:p>
    <w:p w14:paraId="48CC7EF4" w14:textId="77B1C9F7" w:rsidR="009016B4" w:rsidRPr="001A68C1" w:rsidRDefault="009016B4" w:rsidP="008E4AF2">
      <w:pPr>
        <w:rPr>
          <w:highlight w:val="lightGray"/>
        </w:rPr>
      </w:pPr>
      <w:r w:rsidRPr="007D737C">
        <w:t xml:space="preserve">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1780A0C5" w14:textId="77777777" w:rsidTr="00ED3D34">
        <w:tc>
          <w:tcPr>
            <w:tcW w:w="1413" w:type="dxa"/>
          </w:tcPr>
          <w:p w14:paraId="7352C826" w14:textId="77777777" w:rsidR="009016B4" w:rsidRPr="00D91090" w:rsidRDefault="009016B4">
            <w:r>
              <w:t>Carrie</w:t>
            </w:r>
            <w:r w:rsidRPr="00D91090">
              <w:t>:</w:t>
            </w:r>
          </w:p>
        </w:tc>
        <w:tc>
          <w:tcPr>
            <w:tcW w:w="6888" w:type="dxa"/>
          </w:tcPr>
          <w:p w14:paraId="49D55091" w14:textId="5E84ADC6" w:rsidR="009016B4" w:rsidRPr="00D91090" w:rsidRDefault="006B2753" w:rsidP="00824A29">
            <w:pPr>
              <w:pStyle w:val="tablecontent-singlespaced"/>
            </w:pPr>
            <w:r>
              <w:t>M</w:t>
            </w:r>
            <w:r w:rsidR="009016B4" w:rsidRPr="0002620E">
              <w:t>y social worker was absolutely useless (.) the whole time</w:t>
            </w:r>
            <w:r>
              <w:t>.</w:t>
            </w:r>
            <w:r w:rsidR="009016B4" w:rsidRPr="0002620E">
              <w:t xml:space="preserve"> </w:t>
            </w:r>
          </w:p>
        </w:tc>
      </w:tr>
      <w:tr w:rsidR="009016B4" w:rsidRPr="00D91090" w14:paraId="701BE80A" w14:textId="77777777" w:rsidTr="00ED3D34">
        <w:tc>
          <w:tcPr>
            <w:tcW w:w="1413" w:type="dxa"/>
          </w:tcPr>
          <w:p w14:paraId="3CA47417" w14:textId="77777777" w:rsidR="009016B4" w:rsidRDefault="009016B4" w:rsidP="008E4AF2"/>
        </w:tc>
        <w:tc>
          <w:tcPr>
            <w:tcW w:w="6888" w:type="dxa"/>
          </w:tcPr>
          <w:p w14:paraId="0C067DFC" w14:textId="77777777" w:rsidR="009016B4" w:rsidRPr="0002620E" w:rsidRDefault="009016B4" w:rsidP="008E4AF2"/>
        </w:tc>
      </w:tr>
      <w:tr w:rsidR="009016B4" w:rsidRPr="00D91090" w14:paraId="1B97B15D" w14:textId="77777777" w:rsidTr="00ED3D34">
        <w:tc>
          <w:tcPr>
            <w:tcW w:w="1413" w:type="dxa"/>
          </w:tcPr>
          <w:p w14:paraId="79A1AA03" w14:textId="77777777" w:rsidR="009016B4" w:rsidRDefault="009016B4" w:rsidP="008E4AF2">
            <w:r>
              <w:t>Sally:</w:t>
            </w:r>
          </w:p>
        </w:tc>
        <w:tc>
          <w:tcPr>
            <w:tcW w:w="6888" w:type="dxa"/>
          </w:tcPr>
          <w:p w14:paraId="4A0421F6" w14:textId="625AE1E4" w:rsidR="009016B4" w:rsidRPr="0002620E" w:rsidRDefault="00D67703" w:rsidP="00824A29">
            <w:pPr>
              <w:pStyle w:val="tablecontent-singlespaced"/>
            </w:pPr>
            <w:r>
              <w:t>W</w:t>
            </w:r>
            <w:r w:rsidR="009016B4" w:rsidRPr="0002620E">
              <w:t>hat d</w:t>
            </w:r>
            <w:r w:rsidR="00BF1709">
              <w:t>’y</w:t>
            </w:r>
            <w:r w:rsidR="006B2753">
              <w:t>ou</w:t>
            </w:r>
            <w:r w:rsidR="009016B4" w:rsidRPr="0002620E">
              <w:t xml:space="preserve"> mean</w:t>
            </w:r>
            <w:r w:rsidR="009016B4">
              <w:t>?</w:t>
            </w:r>
          </w:p>
        </w:tc>
      </w:tr>
      <w:tr w:rsidR="009016B4" w:rsidRPr="00D91090" w14:paraId="6B4840EE" w14:textId="77777777" w:rsidTr="00ED3D34">
        <w:tc>
          <w:tcPr>
            <w:tcW w:w="1413" w:type="dxa"/>
          </w:tcPr>
          <w:p w14:paraId="257BEBD8" w14:textId="77777777" w:rsidR="009016B4" w:rsidRDefault="009016B4" w:rsidP="008E4AF2"/>
        </w:tc>
        <w:tc>
          <w:tcPr>
            <w:tcW w:w="6888" w:type="dxa"/>
          </w:tcPr>
          <w:p w14:paraId="1E1373A5" w14:textId="77777777" w:rsidR="009016B4" w:rsidRPr="0002620E" w:rsidRDefault="009016B4" w:rsidP="008E4AF2"/>
        </w:tc>
      </w:tr>
      <w:tr w:rsidR="009016B4" w:rsidRPr="00D91090" w14:paraId="36860B6C" w14:textId="77777777" w:rsidTr="00ED3D34">
        <w:tc>
          <w:tcPr>
            <w:tcW w:w="1413" w:type="dxa"/>
          </w:tcPr>
          <w:p w14:paraId="4DEFC8F2" w14:textId="77777777" w:rsidR="009016B4" w:rsidRDefault="009016B4" w:rsidP="008E4AF2">
            <w:r>
              <w:t>Carrie:</w:t>
            </w:r>
          </w:p>
        </w:tc>
        <w:tc>
          <w:tcPr>
            <w:tcW w:w="6888" w:type="dxa"/>
          </w:tcPr>
          <w:p w14:paraId="02FCC7B5" w14:textId="7A896575" w:rsidR="009016B4" w:rsidRPr="0002620E" w:rsidRDefault="00D67703" w:rsidP="00824A29">
            <w:pPr>
              <w:pStyle w:val="tablecontent-singlespaced"/>
            </w:pPr>
            <w:r>
              <w:t>W</w:t>
            </w:r>
            <w:r w:rsidRPr="0002620E">
              <w:t xml:space="preserve">ell </w:t>
            </w:r>
            <w:r w:rsidR="009016B4" w:rsidRPr="0002620E">
              <w:t>she just knew nothing (.) but also did nothing (.) it was like it was nothing to do with her and all she wanted to do was get away as fast as she could</w:t>
            </w:r>
            <w:r w:rsidR="009016B4">
              <w:t>.</w:t>
            </w:r>
          </w:p>
        </w:tc>
      </w:tr>
    </w:tbl>
    <w:p w14:paraId="4F710F91" w14:textId="77777777" w:rsidR="009016B4" w:rsidRPr="001A68C1" w:rsidRDefault="009016B4" w:rsidP="006E3485">
      <w:pPr>
        <w:rPr>
          <w:highlight w:val="lightGray"/>
        </w:rPr>
      </w:pPr>
    </w:p>
    <w:p w14:paraId="459A8CAE" w14:textId="64CD46C1" w:rsidR="009016B4" w:rsidRPr="007D737C" w:rsidRDefault="009016B4" w:rsidP="008E4AF2">
      <w:r w:rsidRPr="007D737C">
        <w:lastRenderedPageBreak/>
        <w:t xml:space="preserve">Carrie also reflected on the social worker’s understanding of whether </w:t>
      </w:r>
      <w:r w:rsidR="006B2753">
        <w:t>they</w:t>
      </w:r>
      <w:r w:rsidRPr="007D737C">
        <w:t xml:space="preserve"> </w:t>
      </w:r>
      <w:r w:rsidR="00185B4C" w:rsidRPr="007D737C">
        <w:t>were</w:t>
      </w:r>
      <w:r w:rsidRPr="007D737C">
        <w:t xml:space="preserve"> ready to move on:</w:t>
      </w:r>
    </w:p>
    <w:p w14:paraId="5513DA5C" w14:textId="77777777" w:rsidR="009016B4" w:rsidRPr="0072603B" w:rsidRDefault="009016B4">
      <w:pPr>
        <w:rPr>
          <w:highlight w:val="lightGray"/>
        </w:rPr>
      </w:pP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4035AFB2" w14:textId="77777777" w:rsidTr="00ED3D34">
        <w:tc>
          <w:tcPr>
            <w:tcW w:w="1413" w:type="dxa"/>
          </w:tcPr>
          <w:p w14:paraId="75ACCB84" w14:textId="77777777" w:rsidR="009016B4" w:rsidRPr="00D91090" w:rsidRDefault="009016B4">
            <w:r>
              <w:t>Carrie</w:t>
            </w:r>
            <w:r w:rsidRPr="00D91090">
              <w:t>:</w:t>
            </w:r>
          </w:p>
        </w:tc>
        <w:tc>
          <w:tcPr>
            <w:tcW w:w="6888" w:type="dxa"/>
          </w:tcPr>
          <w:p w14:paraId="01088DD4" w14:textId="4036EA18" w:rsidR="009016B4" w:rsidRPr="00D91090" w:rsidRDefault="009016B4" w:rsidP="00824A29">
            <w:pPr>
              <w:pStyle w:val="tablecontent-singlespaced"/>
            </w:pPr>
            <w:r w:rsidRPr="0002620E">
              <w:t xml:space="preserve">I was thinking about this the other day (.) how would she know? (.) she never asked me (.) she was supposed to do a plan but didn’t (.) for all she knew I knew nothing there was no support at all from </w:t>
            </w:r>
            <w:r w:rsidR="004E0132">
              <w:t>her</w:t>
            </w:r>
            <w:r>
              <w:t>.</w:t>
            </w:r>
            <w:r w:rsidRPr="0002620E">
              <w:t xml:space="preserve"> </w:t>
            </w:r>
          </w:p>
        </w:tc>
      </w:tr>
    </w:tbl>
    <w:p w14:paraId="66A2038C" w14:textId="77777777" w:rsidR="009016B4" w:rsidRDefault="009016B4" w:rsidP="008E4AF2"/>
    <w:p w14:paraId="706F0CE4" w14:textId="66FDF266" w:rsidR="009016B4" w:rsidRDefault="009016B4">
      <w:r>
        <w:t xml:space="preserve">Learning how to use a washing machine and paying bills, was only part of the experience of moving from their foster care placement. Some of the young people talked about the lack of preparation for the emotional aspects of living alone. Tyler recalled the emphasis on the practical nature of support from the foster carers: </w:t>
      </w:r>
    </w:p>
    <w:p w14:paraId="374926E5" w14:textId="77777777" w:rsidR="006B2753" w:rsidRDefault="006B2753"/>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A35BB11" w14:textId="77777777" w:rsidTr="00ED3D34">
        <w:tc>
          <w:tcPr>
            <w:tcW w:w="1413" w:type="dxa"/>
          </w:tcPr>
          <w:p w14:paraId="2E55010F" w14:textId="77777777" w:rsidR="009016B4" w:rsidRPr="00D91090" w:rsidRDefault="009016B4">
            <w:r>
              <w:t>Tyler</w:t>
            </w:r>
            <w:r w:rsidRPr="00D91090">
              <w:t>:</w:t>
            </w:r>
          </w:p>
        </w:tc>
        <w:tc>
          <w:tcPr>
            <w:tcW w:w="6888" w:type="dxa"/>
          </w:tcPr>
          <w:p w14:paraId="0E1657DF" w14:textId="3E0145BC" w:rsidR="009016B4" w:rsidRPr="00824A29" w:rsidRDefault="006B2753" w:rsidP="00824A29">
            <w:pPr>
              <w:pStyle w:val="tablecontent-singlespaced"/>
            </w:pPr>
            <w:r>
              <w:t>L</w:t>
            </w:r>
            <w:r w:rsidR="009016B4" w:rsidRPr="00824A29">
              <w:t>ike all we got told was, we erm need to cook and do our washing (.) can’t remember anything else (.) not feelings about it or nothing like that.</w:t>
            </w:r>
          </w:p>
        </w:tc>
      </w:tr>
      <w:tr w:rsidR="009016B4" w:rsidRPr="00D91090" w14:paraId="056D174E" w14:textId="77777777" w:rsidTr="00ED3D34">
        <w:tc>
          <w:tcPr>
            <w:tcW w:w="1413" w:type="dxa"/>
          </w:tcPr>
          <w:p w14:paraId="4A561F5E" w14:textId="77777777" w:rsidR="009016B4" w:rsidRDefault="009016B4" w:rsidP="008E4AF2"/>
        </w:tc>
        <w:tc>
          <w:tcPr>
            <w:tcW w:w="6888" w:type="dxa"/>
          </w:tcPr>
          <w:p w14:paraId="64FE28B8" w14:textId="77777777" w:rsidR="009016B4" w:rsidRPr="00824A29" w:rsidRDefault="009016B4" w:rsidP="00824A29">
            <w:pPr>
              <w:pStyle w:val="tablecontent-singlespaced"/>
            </w:pPr>
          </w:p>
        </w:tc>
      </w:tr>
      <w:tr w:rsidR="009016B4" w:rsidRPr="00D91090" w14:paraId="646C78B2" w14:textId="77777777" w:rsidTr="00ED3D34">
        <w:tc>
          <w:tcPr>
            <w:tcW w:w="1413" w:type="dxa"/>
          </w:tcPr>
          <w:p w14:paraId="4523B37F" w14:textId="77777777" w:rsidR="009016B4" w:rsidRDefault="009016B4" w:rsidP="008E4AF2">
            <w:r>
              <w:t>Sally:</w:t>
            </w:r>
          </w:p>
        </w:tc>
        <w:tc>
          <w:tcPr>
            <w:tcW w:w="6888" w:type="dxa"/>
          </w:tcPr>
          <w:p w14:paraId="7B3BD7C8" w14:textId="3CB7C18B" w:rsidR="009016B4" w:rsidRDefault="009016B4" w:rsidP="00824A29">
            <w:pPr>
              <w:pStyle w:val="tablecontent-singlespaced"/>
            </w:pPr>
            <w:r w:rsidRPr="00824A29">
              <w:t>What d</w:t>
            </w:r>
            <w:r w:rsidR="00BF1709">
              <w:t>’y</w:t>
            </w:r>
            <w:r w:rsidR="006B2753">
              <w:t>ou</w:t>
            </w:r>
            <w:r w:rsidRPr="00824A29">
              <w:t xml:space="preserve"> mean?</w:t>
            </w:r>
          </w:p>
          <w:p w14:paraId="34EE9E0C" w14:textId="77777777" w:rsidR="00824A29" w:rsidRDefault="00824A29" w:rsidP="00824A29">
            <w:pPr>
              <w:pStyle w:val="tablecontent-singlespaced"/>
            </w:pPr>
          </w:p>
          <w:p w14:paraId="365305FD" w14:textId="77777777" w:rsidR="00824A29" w:rsidRDefault="00824A29" w:rsidP="00824A29">
            <w:pPr>
              <w:pStyle w:val="tablecontent-singlespaced"/>
            </w:pPr>
          </w:p>
          <w:p w14:paraId="05A9F6C4" w14:textId="413200BC" w:rsidR="00824A29" w:rsidRPr="00824A29" w:rsidRDefault="00824A29" w:rsidP="00824A29">
            <w:pPr>
              <w:pStyle w:val="tablecontent-singlespaced"/>
            </w:pPr>
          </w:p>
        </w:tc>
      </w:tr>
      <w:tr w:rsidR="009016B4" w:rsidRPr="00D91090" w14:paraId="3A0F7982" w14:textId="77777777" w:rsidTr="00ED3D34">
        <w:tc>
          <w:tcPr>
            <w:tcW w:w="1413" w:type="dxa"/>
          </w:tcPr>
          <w:p w14:paraId="402C533C" w14:textId="77777777" w:rsidR="009016B4" w:rsidRDefault="009016B4" w:rsidP="008E4AF2">
            <w:r>
              <w:t xml:space="preserve">Tyler: </w:t>
            </w:r>
          </w:p>
        </w:tc>
        <w:tc>
          <w:tcPr>
            <w:tcW w:w="6888" w:type="dxa"/>
          </w:tcPr>
          <w:p w14:paraId="7F82053A" w14:textId="77777777" w:rsidR="009016B4" w:rsidRPr="00824A29" w:rsidRDefault="009016B4" w:rsidP="00824A29">
            <w:pPr>
              <w:pStyle w:val="tablecontent-singlespaced"/>
            </w:pPr>
            <w:r w:rsidRPr="00824A29">
              <w:t>Like it’s hard to be here, no one tells you that.</w:t>
            </w:r>
          </w:p>
        </w:tc>
      </w:tr>
    </w:tbl>
    <w:p w14:paraId="6B2011F2" w14:textId="77777777" w:rsidR="003665A2" w:rsidRDefault="003665A2" w:rsidP="008E4AF2"/>
    <w:p w14:paraId="189FA32D" w14:textId="350A670C" w:rsidR="009016B4" w:rsidRDefault="009016B4" w:rsidP="008E4AF2">
      <w:r>
        <w:t xml:space="preserve">Eshal also highlighted the change in living alone and the contrast of being in a placement: </w:t>
      </w:r>
    </w:p>
    <w:p w14:paraId="2608E647" w14:textId="77777777" w:rsidR="009016B4" w:rsidRDefault="009016B4" w:rsidP="006E3485"/>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50839BC3" w14:textId="77777777" w:rsidTr="00ED3D34">
        <w:tc>
          <w:tcPr>
            <w:tcW w:w="1413" w:type="dxa"/>
          </w:tcPr>
          <w:p w14:paraId="3E76F53B" w14:textId="77777777" w:rsidR="009016B4" w:rsidRPr="00D91090" w:rsidRDefault="009016B4" w:rsidP="008E4AF2">
            <w:r>
              <w:t>Eshal</w:t>
            </w:r>
            <w:r w:rsidRPr="00D91090">
              <w:t>:</w:t>
            </w:r>
          </w:p>
        </w:tc>
        <w:tc>
          <w:tcPr>
            <w:tcW w:w="6888" w:type="dxa"/>
          </w:tcPr>
          <w:p w14:paraId="74AA9E30" w14:textId="040629AD" w:rsidR="009016B4" w:rsidRPr="00D91090" w:rsidRDefault="00EE2C9C" w:rsidP="00824A29">
            <w:pPr>
              <w:pStyle w:val="tablecontent-singlespaced"/>
            </w:pPr>
            <w:r>
              <w:t>I</w:t>
            </w:r>
            <w:r w:rsidRPr="0002620E">
              <w:t xml:space="preserve">t </w:t>
            </w:r>
            <w:r w:rsidR="009016B4" w:rsidRPr="0002620E">
              <w:t>was so different when it happened</w:t>
            </w:r>
            <w:r w:rsidR="009016B4">
              <w:t>.</w:t>
            </w:r>
          </w:p>
        </w:tc>
      </w:tr>
      <w:tr w:rsidR="009016B4" w:rsidRPr="00D91090" w14:paraId="755560BC" w14:textId="77777777" w:rsidTr="00ED3D34">
        <w:tc>
          <w:tcPr>
            <w:tcW w:w="1413" w:type="dxa"/>
          </w:tcPr>
          <w:p w14:paraId="63FB5949" w14:textId="77777777" w:rsidR="009016B4" w:rsidRDefault="009016B4" w:rsidP="008E4AF2"/>
        </w:tc>
        <w:tc>
          <w:tcPr>
            <w:tcW w:w="6888" w:type="dxa"/>
          </w:tcPr>
          <w:p w14:paraId="3C9D305E" w14:textId="77777777" w:rsidR="009016B4" w:rsidRPr="0002620E" w:rsidRDefault="009016B4" w:rsidP="008E4AF2"/>
        </w:tc>
      </w:tr>
      <w:tr w:rsidR="009016B4" w:rsidRPr="00D91090" w14:paraId="6E57E591" w14:textId="77777777" w:rsidTr="00ED3D34">
        <w:tc>
          <w:tcPr>
            <w:tcW w:w="1413" w:type="dxa"/>
          </w:tcPr>
          <w:p w14:paraId="676CFD49" w14:textId="77777777" w:rsidR="009016B4" w:rsidRDefault="009016B4" w:rsidP="008E4AF2">
            <w:r>
              <w:t>Sally:</w:t>
            </w:r>
          </w:p>
        </w:tc>
        <w:tc>
          <w:tcPr>
            <w:tcW w:w="6888" w:type="dxa"/>
          </w:tcPr>
          <w:p w14:paraId="5B3DD66C" w14:textId="77777777" w:rsidR="009016B4" w:rsidRPr="0002620E" w:rsidRDefault="009016B4" w:rsidP="00824A29">
            <w:pPr>
              <w:pStyle w:val="tablecontent-singlespaced"/>
            </w:pPr>
            <w:r>
              <w:t>In what way?</w:t>
            </w:r>
          </w:p>
        </w:tc>
      </w:tr>
      <w:tr w:rsidR="009016B4" w:rsidRPr="00D91090" w14:paraId="486A595E" w14:textId="77777777" w:rsidTr="00ED3D34">
        <w:tc>
          <w:tcPr>
            <w:tcW w:w="1413" w:type="dxa"/>
          </w:tcPr>
          <w:p w14:paraId="3D0EE0F0" w14:textId="77777777" w:rsidR="009016B4" w:rsidRDefault="009016B4" w:rsidP="008E4AF2"/>
        </w:tc>
        <w:tc>
          <w:tcPr>
            <w:tcW w:w="6888" w:type="dxa"/>
          </w:tcPr>
          <w:p w14:paraId="7ED83B5D" w14:textId="77777777" w:rsidR="009016B4" w:rsidRDefault="009016B4" w:rsidP="008E4AF2"/>
        </w:tc>
      </w:tr>
      <w:tr w:rsidR="009016B4" w:rsidRPr="00D91090" w14:paraId="09A23F56" w14:textId="77777777" w:rsidTr="00ED3D34">
        <w:tc>
          <w:tcPr>
            <w:tcW w:w="1413" w:type="dxa"/>
          </w:tcPr>
          <w:p w14:paraId="32F34B48" w14:textId="77777777" w:rsidR="009016B4" w:rsidRDefault="009016B4" w:rsidP="008E4AF2">
            <w:r>
              <w:t>Eshal:</w:t>
            </w:r>
          </w:p>
        </w:tc>
        <w:tc>
          <w:tcPr>
            <w:tcW w:w="6888" w:type="dxa"/>
          </w:tcPr>
          <w:p w14:paraId="3A9BE4B8" w14:textId="7A7097C7" w:rsidR="009016B4" w:rsidRDefault="00C76765" w:rsidP="00824A29">
            <w:pPr>
              <w:pStyle w:val="tablecontent-singlespaced"/>
            </w:pPr>
            <w:r>
              <w:t xml:space="preserve">Well </w:t>
            </w:r>
            <w:r w:rsidR="009016B4">
              <w:t>I was on m</w:t>
            </w:r>
            <w:r w:rsidR="004E0132">
              <w:t>y</w:t>
            </w:r>
            <w:r w:rsidR="009016B4">
              <w:t xml:space="preserve"> own for one (.) I have never been on m</w:t>
            </w:r>
            <w:r w:rsidR="00585300">
              <w:t>y</w:t>
            </w:r>
            <w:r w:rsidR="009016B4">
              <w:t xml:space="preserve"> own, I have the light on at night </w:t>
            </w:r>
            <w:r w:rsidR="006B2753">
              <w:t>be</w:t>
            </w:r>
            <w:r w:rsidR="009016B4">
              <w:t xml:space="preserve">cause I am scared of the dark (.) when </w:t>
            </w:r>
            <w:r w:rsidR="009016B4">
              <w:lastRenderedPageBreak/>
              <w:t xml:space="preserve">we went on holiday one time I ended up in with my carers </w:t>
            </w:r>
            <w:r w:rsidR="00BF1709">
              <w:t xml:space="preserve">because </w:t>
            </w:r>
            <w:r w:rsidR="009016B4">
              <w:t>I didn’t like being in the room on me own.</w:t>
            </w:r>
          </w:p>
        </w:tc>
      </w:tr>
    </w:tbl>
    <w:p w14:paraId="30648D93" w14:textId="77777777" w:rsidR="009016B4" w:rsidRDefault="009016B4" w:rsidP="006E3485"/>
    <w:p w14:paraId="11C0935F" w14:textId="66E97FA5" w:rsidR="009016B4" w:rsidRDefault="009016B4" w:rsidP="008E4AF2">
      <w:r>
        <w:t>Yannick described the unexpected element of moving out:</w:t>
      </w:r>
    </w:p>
    <w:p w14:paraId="23E261EE" w14:textId="77777777" w:rsidR="009016B4" w:rsidRDefault="009016B4"/>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4D9B5425" w14:textId="77777777" w:rsidTr="00ED3D34">
        <w:tc>
          <w:tcPr>
            <w:tcW w:w="1413" w:type="dxa"/>
          </w:tcPr>
          <w:p w14:paraId="3ED3A6B3" w14:textId="77777777" w:rsidR="009016B4" w:rsidRPr="00D91090" w:rsidRDefault="009016B4">
            <w:r>
              <w:t>Yannick</w:t>
            </w:r>
            <w:r w:rsidRPr="00D91090">
              <w:t>:</w:t>
            </w:r>
          </w:p>
        </w:tc>
        <w:tc>
          <w:tcPr>
            <w:tcW w:w="6888" w:type="dxa"/>
          </w:tcPr>
          <w:p w14:paraId="58AF068E" w14:textId="5DF9A154" w:rsidR="009016B4" w:rsidRPr="00D91090" w:rsidRDefault="009016B4" w:rsidP="00824A29">
            <w:pPr>
              <w:pStyle w:val="tablecontent-singlespaced"/>
            </w:pPr>
            <w:r w:rsidRPr="0002620E">
              <w:t>Like, I knew jack shit about living on m</w:t>
            </w:r>
            <w:r w:rsidR="006B2753">
              <w:t>y</w:t>
            </w:r>
            <w:r w:rsidRPr="0002620E">
              <w:t xml:space="preserve"> own (.) I don’t like it (.) it’s boring and I haven't got any dosh (.) like I know Val like showed me some things, but like (.) that’s not how it is for real is it? </w:t>
            </w:r>
          </w:p>
        </w:tc>
      </w:tr>
      <w:tr w:rsidR="009016B4" w:rsidRPr="00D91090" w14:paraId="12E1AD82" w14:textId="77777777" w:rsidTr="00ED3D34">
        <w:tc>
          <w:tcPr>
            <w:tcW w:w="1413" w:type="dxa"/>
          </w:tcPr>
          <w:p w14:paraId="5AF7F21F" w14:textId="77777777" w:rsidR="009016B4" w:rsidRDefault="009016B4" w:rsidP="008E4AF2"/>
        </w:tc>
        <w:tc>
          <w:tcPr>
            <w:tcW w:w="6888" w:type="dxa"/>
          </w:tcPr>
          <w:p w14:paraId="75107191" w14:textId="77777777" w:rsidR="009016B4" w:rsidRPr="0002620E" w:rsidRDefault="009016B4" w:rsidP="008E4AF2"/>
        </w:tc>
      </w:tr>
      <w:tr w:rsidR="009016B4" w:rsidRPr="00D91090" w14:paraId="48890DA9" w14:textId="77777777" w:rsidTr="00ED3D34">
        <w:tc>
          <w:tcPr>
            <w:tcW w:w="1413" w:type="dxa"/>
          </w:tcPr>
          <w:p w14:paraId="76CA0201" w14:textId="77777777" w:rsidR="009016B4" w:rsidRDefault="009016B4" w:rsidP="008E4AF2">
            <w:r>
              <w:t>Sally:</w:t>
            </w:r>
          </w:p>
        </w:tc>
        <w:tc>
          <w:tcPr>
            <w:tcW w:w="6888" w:type="dxa"/>
          </w:tcPr>
          <w:p w14:paraId="3EBBDFE4" w14:textId="40F8650E" w:rsidR="009016B4" w:rsidRPr="0002620E" w:rsidRDefault="009016B4" w:rsidP="00824A29">
            <w:pPr>
              <w:pStyle w:val="tablecontent-singlespaced"/>
            </w:pPr>
            <w:r>
              <w:t>D</w:t>
            </w:r>
            <w:r w:rsidR="00BF1709">
              <w:t>’y</w:t>
            </w:r>
            <w:r w:rsidR="006B2753">
              <w:t>ou</w:t>
            </w:r>
            <w:r>
              <w:t xml:space="preserve"> mean not having money to do things?</w:t>
            </w:r>
          </w:p>
        </w:tc>
      </w:tr>
      <w:tr w:rsidR="009016B4" w:rsidRPr="00D91090" w14:paraId="2CA20A2A" w14:textId="77777777" w:rsidTr="00ED3D34">
        <w:tc>
          <w:tcPr>
            <w:tcW w:w="1413" w:type="dxa"/>
          </w:tcPr>
          <w:p w14:paraId="4CDDF272" w14:textId="77777777" w:rsidR="009016B4" w:rsidRDefault="009016B4" w:rsidP="008E4AF2"/>
        </w:tc>
        <w:tc>
          <w:tcPr>
            <w:tcW w:w="6888" w:type="dxa"/>
          </w:tcPr>
          <w:p w14:paraId="79AAE863" w14:textId="77777777" w:rsidR="009016B4" w:rsidRDefault="009016B4" w:rsidP="008E4AF2"/>
        </w:tc>
      </w:tr>
      <w:tr w:rsidR="009016B4" w:rsidRPr="00D91090" w14:paraId="43F19D48" w14:textId="77777777" w:rsidTr="00ED3D34">
        <w:tc>
          <w:tcPr>
            <w:tcW w:w="1413" w:type="dxa"/>
          </w:tcPr>
          <w:p w14:paraId="5F6CABD2" w14:textId="77777777" w:rsidR="009016B4" w:rsidRDefault="009016B4" w:rsidP="008E4AF2">
            <w:r>
              <w:t>Yannick:</w:t>
            </w:r>
          </w:p>
        </w:tc>
        <w:tc>
          <w:tcPr>
            <w:tcW w:w="6888" w:type="dxa"/>
          </w:tcPr>
          <w:p w14:paraId="4DC2C44D" w14:textId="79F57AE0" w:rsidR="009016B4" w:rsidRDefault="009016B4" w:rsidP="00824A29">
            <w:pPr>
              <w:pStyle w:val="tablecontent-singlespaced"/>
            </w:pPr>
            <w:r>
              <w:t>Not just that, like it’s the hours without talkin</w:t>
            </w:r>
            <w:r w:rsidR="00BF1709">
              <w:t>g</w:t>
            </w:r>
            <w:r>
              <w:t xml:space="preserve"> (.) it freaks me out sometimes.</w:t>
            </w:r>
          </w:p>
        </w:tc>
      </w:tr>
    </w:tbl>
    <w:p w14:paraId="272BAECC" w14:textId="77777777" w:rsidR="009016B4" w:rsidRDefault="009016B4" w:rsidP="006E3485"/>
    <w:p w14:paraId="39B29177" w14:textId="3C98E135" w:rsidR="009016B4" w:rsidRPr="005E589E" w:rsidRDefault="009016B4">
      <w:r>
        <w:t xml:space="preserve">In each interview, independence was presented by the participants as if it were a clearly defined </w:t>
      </w:r>
      <w:r w:rsidR="006B2753">
        <w:t xml:space="preserve">moment or </w:t>
      </w:r>
      <w:r>
        <w:t>concept. Young people talked about practical household tasks that either they could or could not do, which they aligned with being independent. The ability to pay bills or cook meals felt important to their presentation of being a capable adult. Their understanding appeared to centre around discussions had with foster carers and other professionals, who emphasised these elements</w:t>
      </w:r>
      <w:r w:rsidR="0067547D">
        <w:t>.</w:t>
      </w:r>
      <w:r>
        <w:t xml:space="preserve"> </w:t>
      </w:r>
      <w:r w:rsidR="006B2753">
        <w:t>However,</w:t>
      </w:r>
      <w:r>
        <w:t xml:space="preserve"> when asked what they th</w:t>
      </w:r>
      <w:r w:rsidR="00AC672D">
        <w:t>ought</w:t>
      </w:r>
      <w:r>
        <w:t xml:space="preserve"> being independent means, they talked about more complex emotions like confidence and feelings of self-efficacy. Jonathan’s response to what it means to be independent captured a more nuanced explanation: </w:t>
      </w:r>
    </w:p>
    <w:tbl>
      <w:tblPr>
        <w:tblStyle w:val="TableGrid"/>
        <w:tblW w:w="0" w:type="auto"/>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3"/>
        <w:gridCol w:w="6888"/>
      </w:tblGrid>
      <w:tr w:rsidR="009016B4" w:rsidRPr="00D91090" w14:paraId="0EF960AD" w14:textId="77777777" w:rsidTr="00ED3D34">
        <w:tc>
          <w:tcPr>
            <w:tcW w:w="1413" w:type="dxa"/>
          </w:tcPr>
          <w:p w14:paraId="6AE0457A" w14:textId="77777777" w:rsidR="009016B4" w:rsidRDefault="009016B4" w:rsidP="008E4AF2"/>
        </w:tc>
        <w:tc>
          <w:tcPr>
            <w:tcW w:w="6888" w:type="dxa"/>
          </w:tcPr>
          <w:p w14:paraId="38D643F2" w14:textId="77777777" w:rsidR="009016B4" w:rsidRDefault="009016B4" w:rsidP="008E4AF2"/>
        </w:tc>
      </w:tr>
      <w:tr w:rsidR="009016B4" w:rsidRPr="00D91090" w14:paraId="57725507" w14:textId="77777777" w:rsidTr="00ED3D34">
        <w:tc>
          <w:tcPr>
            <w:tcW w:w="1413" w:type="dxa"/>
          </w:tcPr>
          <w:p w14:paraId="0FFE8473" w14:textId="77777777" w:rsidR="009016B4" w:rsidRDefault="009016B4" w:rsidP="008E4AF2">
            <w:r>
              <w:t>Jonathan:</w:t>
            </w:r>
          </w:p>
        </w:tc>
        <w:tc>
          <w:tcPr>
            <w:tcW w:w="6888" w:type="dxa"/>
          </w:tcPr>
          <w:p w14:paraId="322BDAB6" w14:textId="000C22A3" w:rsidR="009016B4" w:rsidRDefault="00BA11A5" w:rsidP="00824A29">
            <w:pPr>
              <w:pStyle w:val="tablecontent-singlespaced"/>
            </w:pPr>
            <w:r>
              <w:t>I</w:t>
            </w:r>
            <w:r w:rsidRPr="0002620E">
              <w:t xml:space="preserve">t’s </w:t>
            </w:r>
            <w:r w:rsidR="009016B4" w:rsidRPr="0002620E">
              <w:t>a lot of selflessness (.) and sort of accountability and responsibility that you take on in life</w:t>
            </w:r>
            <w:r w:rsidR="009016B4">
              <w:t>.</w:t>
            </w:r>
          </w:p>
        </w:tc>
      </w:tr>
      <w:tr w:rsidR="009016B4" w:rsidRPr="00D91090" w14:paraId="6B9815B2" w14:textId="77777777" w:rsidTr="00ED3D34">
        <w:tc>
          <w:tcPr>
            <w:tcW w:w="1413" w:type="dxa"/>
          </w:tcPr>
          <w:p w14:paraId="5834D05F" w14:textId="77777777" w:rsidR="009016B4" w:rsidRDefault="009016B4" w:rsidP="008E4AF2"/>
        </w:tc>
        <w:tc>
          <w:tcPr>
            <w:tcW w:w="6888" w:type="dxa"/>
          </w:tcPr>
          <w:p w14:paraId="7D2ABCC0" w14:textId="77777777" w:rsidR="009016B4" w:rsidRPr="0002620E" w:rsidRDefault="009016B4" w:rsidP="008E4AF2"/>
        </w:tc>
      </w:tr>
      <w:tr w:rsidR="009016B4" w:rsidRPr="00D91090" w14:paraId="0D792945" w14:textId="77777777" w:rsidTr="00ED3D34">
        <w:tc>
          <w:tcPr>
            <w:tcW w:w="1413" w:type="dxa"/>
          </w:tcPr>
          <w:p w14:paraId="448548EC" w14:textId="77777777" w:rsidR="009016B4" w:rsidRDefault="009016B4" w:rsidP="008E4AF2">
            <w:r>
              <w:t xml:space="preserve">Sally: </w:t>
            </w:r>
          </w:p>
        </w:tc>
        <w:tc>
          <w:tcPr>
            <w:tcW w:w="6888" w:type="dxa"/>
          </w:tcPr>
          <w:p w14:paraId="484B57EE" w14:textId="242B3997" w:rsidR="009016B4" w:rsidRPr="0002620E" w:rsidRDefault="00BA11A5" w:rsidP="00824A29">
            <w:pPr>
              <w:pStyle w:val="tablecontent-singlespaced"/>
            </w:pPr>
            <w:r>
              <w:t>T</w:t>
            </w:r>
            <w:r w:rsidRPr="0002620E">
              <w:t xml:space="preserve">hat </w:t>
            </w:r>
            <w:r w:rsidR="009016B4" w:rsidRPr="0002620E">
              <w:t>sounds like more tha</w:t>
            </w:r>
            <w:r w:rsidR="00BF1709">
              <w:t>n</w:t>
            </w:r>
            <w:r w:rsidR="009016B4" w:rsidRPr="0002620E">
              <w:t xml:space="preserve"> </w:t>
            </w:r>
            <w:r w:rsidR="00AC672D">
              <w:t xml:space="preserve">the </w:t>
            </w:r>
            <w:r w:rsidR="009016B4" w:rsidRPr="0002620E">
              <w:t xml:space="preserve">practical </w:t>
            </w:r>
            <w:r w:rsidR="009016B4">
              <w:t>things</w:t>
            </w:r>
            <w:r w:rsidR="00AC672D">
              <w:t xml:space="preserve"> you mentioned</w:t>
            </w:r>
            <w:r w:rsidR="009016B4" w:rsidRPr="0002620E">
              <w:t>.</w:t>
            </w:r>
          </w:p>
        </w:tc>
      </w:tr>
      <w:tr w:rsidR="009016B4" w:rsidRPr="00D91090" w14:paraId="591BAB38" w14:textId="77777777" w:rsidTr="00ED3D34">
        <w:tc>
          <w:tcPr>
            <w:tcW w:w="1413" w:type="dxa"/>
          </w:tcPr>
          <w:p w14:paraId="7C30ED71" w14:textId="77777777" w:rsidR="009016B4" w:rsidRDefault="009016B4" w:rsidP="008E4AF2"/>
        </w:tc>
        <w:tc>
          <w:tcPr>
            <w:tcW w:w="6888" w:type="dxa"/>
          </w:tcPr>
          <w:p w14:paraId="7C11FCC9" w14:textId="77777777" w:rsidR="009016B4" w:rsidRPr="0002620E" w:rsidRDefault="009016B4" w:rsidP="008E4AF2"/>
        </w:tc>
      </w:tr>
      <w:tr w:rsidR="009016B4" w:rsidRPr="00D91090" w14:paraId="6BBD859A" w14:textId="77777777" w:rsidTr="00ED3D34">
        <w:tc>
          <w:tcPr>
            <w:tcW w:w="1413" w:type="dxa"/>
          </w:tcPr>
          <w:p w14:paraId="15847B75" w14:textId="77777777" w:rsidR="009016B4" w:rsidRDefault="009016B4" w:rsidP="008E4AF2">
            <w:r>
              <w:lastRenderedPageBreak/>
              <w:t>Jonathan:</w:t>
            </w:r>
          </w:p>
        </w:tc>
        <w:tc>
          <w:tcPr>
            <w:tcW w:w="6888" w:type="dxa"/>
          </w:tcPr>
          <w:p w14:paraId="1680F180" w14:textId="58AE16D5" w:rsidR="009016B4" w:rsidRPr="0002620E" w:rsidRDefault="007D3287" w:rsidP="00824A29">
            <w:pPr>
              <w:pStyle w:val="tablecontent-singlespaced"/>
            </w:pPr>
            <w:r>
              <w:t>Y</w:t>
            </w:r>
            <w:r w:rsidRPr="00920FBC">
              <w:t xml:space="preserve">es </w:t>
            </w:r>
            <w:r w:rsidR="009016B4" w:rsidRPr="00920FBC">
              <w:t>(.) just putting the washing machine on is not enough</w:t>
            </w:r>
            <w:r w:rsidR="009016B4">
              <w:t>.</w:t>
            </w:r>
          </w:p>
        </w:tc>
      </w:tr>
    </w:tbl>
    <w:p w14:paraId="03A853B9" w14:textId="77777777" w:rsidR="009016B4" w:rsidRDefault="009016B4" w:rsidP="008E4AF2"/>
    <w:p w14:paraId="6BA0903C" w14:textId="3028CD72" w:rsidR="009016B4" w:rsidRDefault="009016B4" w:rsidP="008E4AF2">
      <w:r>
        <w:t>Hearing Jonathan and</w:t>
      </w:r>
      <w:r w:rsidR="00037BBF">
        <w:t xml:space="preserve"> </w:t>
      </w:r>
      <w:r>
        <w:t xml:space="preserve">some of the other young people talk about independence appeared at odds with their experiences of support from carers and </w:t>
      </w:r>
      <w:r w:rsidR="007D737C">
        <w:t>s</w:t>
      </w:r>
      <w:r>
        <w:t xml:space="preserve">ocial </w:t>
      </w:r>
      <w:r w:rsidR="007D737C">
        <w:t>w</w:t>
      </w:r>
      <w:r>
        <w:t xml:space="preserve">orkers. When assessing their own feelings of readiness for living alone, the mismatch between operating household appliances and feeling comfortable with being self-sufficient seemed to evidence a gap in preparation and understanding of what it means to be independent. </w:t>
      </w:r>
      <w:r w:rsidR="007D737C">
        <w:t>Furthermore,</w:t>
      </w:r>
      <w:r>
        <w:t xml:space="preserve"> young people who had moved out seemed to recognise that they felt unprepared but also the system had let them down by not knowing that they needed more support. The discussions between young person and carer or </w:t>
      </w:r>
      <w:r w:rsidR="007D737C">
        <w:t>s</w:t>
      </w:r>
      <w:r>
        <w:t xml:space="preserve">ocial </w:t>
      </w:r>
      <w:r w:rsidR="007D737C">
        <w:t>w</w:t>
      </w:r>
      <w:r>
        <w:t xml:space="preserve">orker about being independent generally appeared reductive. </w:t>
      </w:r>
      <w:r w:rsidR="007D737C">
        <w:t xml:space="preserve">Practical skills were seen as valuable in developing a sense of self-reliance and </w:t>
      </w:r>
      <w:r w:rsidR="004E0132">
        <w:t>confidence,</w:t>
      </w:r>
      <w:r w:rsidR="00AC672D">
        <w:t xml:space="preserve"> but i</w:t>
      </w:r>
      <w:r w:rsidR="007D737C">
        <w:t xml:space="preserve">t seemed that these skills </w:t>
      </w:r>
      <w:r w:rsidR="00AC672D">
        <w:t xml:space="preserve">were </w:t>
      </w:r>
      <w:r w:rsidR="007D737C">
        <w:t>being addressed in isolation</w:t>
      </w:r>
      <w:r w:rsidR="00AC672D">
        <w:t xml:space="preserve"> and</w:t>
      </w:r>
      <w:r w:rsidR="007D737C">
        <w:t xml:space="preserve"> ignored c</w:t>
      </w:r>
      <w:r>
        <w:t>omplex feelings about transition and emotion</w:t>
      </w:r>
      <w:r w:rsidR="007D737C">
        <w:t>. Rather than receive support to think about a rounded view of independent living a need to confront the</w:t>
      </w:r>
      <w:r w:rsidR="00516D69">
        <w:t xml:space="preserve">ir anxieties </w:t>
      </w:r>
      <w:r>
        <w:t>were translated into functional exchanges about tangible skills. This may indicate a purposeful approach by social care professionals in order to simplify a nuanced issue or a gap in understanding about the realities of living alone.</w:t>
      </w:r>
    </w:p>
    <w:p w14:paraId="4EADC934" w14:textId="2BB39197" w:rsidR="00FD560D" w:rsidRPr="007D737C" w:rsidRDefault="00515942">
      <w:r>
        <w:t>The accounts of young people in this</w:t>
      </w:r>
      <w:r w:rsidR="00BF36AB">
        <w:t xml:space="preserve"> </w:t>
      </w:r>
      <w:r>
        <w:t xml:space="preserve">chapter have illustrated </w:t>
      </w:r>
      <w:r w:rsidR="00BF36AB">
        <w:t xml:space="preserve">how policy intentions can become translated to the extent that their original intention is compromised. In the next part of my thesis, the ideas </w:t>
      </w:r>
      <w:r w:rsidR="009166B2">
        <w:t>presented</w:t>
      </w:r>
      <w:r w:rsidR="00BF36AB">
        <w:t xml:space="preserve"> in </w:t>
      </w:r>
      <w:r w:rsidR="009166B2">
        <w:t>this,</w:t>
      </w:r>
      <w:r w:rsidR="00BF36AB">
        <w:t xml:space="preserve"> and the previous two chapters are </w:t>
      </w:r>
      <w:r w:rsidR="009166B2">
        <w:t xml:space="preserve">discussed </w:t>
      </w:r>
      <w:r w:rsidR="00BF36AB">
        <w:t xml:space="preserve">in the context of the </w:t>
      </w:r>
      <w:r w:rsidR="009166B2">
        <w:t>wider literature.</w:t>
      </w:r>
      <w:r w:rsidR="00FD560D">
        <w:br w:type="page"/>
      </w:r>
    </w:p>
    <w:p w14:paraId="64821E78" w14:textId="7B679828" w:rsidR="00301A3B" w:rsidRPr="00E650DA" w:rsidRDefault="00301A3B" w:rsidP="00301A3B">
      <w:pPr>
        <w:pStyle w:val="Heading1"/>
      </w:pPr>
      <w:bookmarkStart w:id="79" w:name="_Toc76803452"/>
      <w:bookmarkStart w:id="80" w:name="_Toc101108519"/>
      <w:r w:rsidRPr="00E650DA">
        <w:lastRenderedPageBreak/>
        <w:t xml:space="preserve">Part </w:t>
      </w:r>
      <w:r>
        <w:t>Four</w:t>
      </w:r>
      <w:r w:rsidRPr="00E650DA">
        <w:t xml:space="preserve">: </w:t>
      </w:r>
      <w:r w:rsidRPr="00401190">
        <w:t>Interpretation and Next Steps</w:t>
      </w:r>
      <w:bookmarkEnd w:id="79"/>
      <w:bookmarkEnd w:id="80"/>
    </w:p>
    <w:p w14:paraId="14BC2C63" w14:textId="5004719D" w:rsidR="00301A3B" w:rsidRDefault="00301A3B" w:rsidP="00301A3B">
      <w:pPr>
        <w:rPr>
          <w:highlight w:val="cyan"/>
        </w:rPr>
      </w:pPr>
      <w:r>
        <w:t xml:space="preserve">The concluding part of my thesis brings together the identified themes from the interviews and returns to the original aims of the study. Part </w:t>
      </w:r>
      <w:r w:rsidR="00C80451">
        <w:t>Four</w:t>
      </w:r>
      <w:r>
        <w:t xml:space="preserve"> begins with a discussion chapter situating the themes from the interviews with the available research and practice context. </w:t>
      </w:r>
      <w:r w:rsidR="000D4BC7">
        <w:t xml:space="preserve">Additionally, where relevant, </w:t>
      </w:r>
      <w:r>
        <w:t>Foucault’s ideas of power</w:t>
      </w:r>
      <w:r w:rsidR="001240DC">
        <w:t>,</w:t>
      </w:r>
      <w:r>
        <w:t xml:space="preserve"> </w:t>
      </w:r>
      <w:r w:rsidR="00283E9A">
        <w:t>discourse and subject are applied to some of the elements raised by young people</w:t>
      </w:r>
      <w:r w:rsidR="000D4BC7">
        <w:t xml:space="preserve">, </w:t>
      </w:r>
      <w:r w:rsidR="00283E9A">
        <w:t>to</w:t>
      </w:r>
      <w:r>
        <w:t xml:space="preserve"> further an understanding </w:t>
      </w:r>
      <w:r w:rsidR="00283E9A">
        <w:t>of</w:t>
      </w:r>
      <w:r>
        <w:t xml:space="preserve"> this point in their care pathway. Part Four </w:t>
      </w:r>
      <w:r w:rsidRPr="00333360">
        <w:t xml:space="preserve">continues with </w:t>
      </w:r>
      <w:r w:rsidR="00333360" w:rsidRPr="002C5A99">
        <w:t>C</w:t>
      </w:r>
      <w:r w:rsidRPr="002C5A99">
        <w:t>hapter 1</w:t>
      </w:r>
      <w:r w:rsidR="002C5A99" w:rsidRPr="002C5A99">
        <w:t>1</w:t>
      </w:r>
      <w:r w:rsidRPr="002C5A99">
        <w:t>, which</w:t>
      </w:r>
      <w:r w:rsidRPr="00333360">
        <w:t xml:space="preserve"> summarises</w:t>
      </w:r>
      <w:r>
        <w:t xml:space="preserve"> the final reflections on the research process and limitations of the study. The concluding chapter presents a final summary including the contributions made and recommendations for practice. </w:t>
      </w:r>
    </w:p>
    <w:p w14:paraId="11FF8059" w14:textId="77777777" w:rsidR="00301A3B" w:rsidRPr="005F27F6" w:rsidRDefault="00301A3B" w:rsidP="00301A3B"/>
    <w:p w14:paraId="11EB9A85" w14:textId="77777777" w:rsidR="00301A3B" w:rsidRDefault="00301A3B" w:rsidP="00301A3B">
      <w:r>
        <w:br w:type="page"/>
      </w:r>
    </w:p>
    <w:p w14:paraId="16939F09" w14:textId="0B4B7A67" w:rsidR="00301A3B" w:rsidRDefault="00301A3B" w:rsidP="00127FD5">
      <w:pPr>
        <w:pStyle w:val="ChapterHeading1"/>
      </w:pPr>
      <w:bookmarkStart w:id="81" w:name="_Toc76803453"/>
      <w:bookmarkStart w:id="82" w:name="_Toc101108520"/>
      <w:r>
        <w:lastRenderedPageBreak/>
        <w:t>Chapter 1</w:t>
      </w:r>
      <w:r w:rsidR="002C5A99">
        <w:t>0</w:t>
      </w:r>
      <w:r>
        <w:t>: Discussion</w:t>
      </w:r>
      <w:bookmarkEnd w:id="81"/>
      <w:bookmarkEnd w:id="82"/>
    </w:p>
    <w:p w14:paraId="5C8781DC" w14:textId="47A7D673" w:rsidR="00301A3B" w:rsidRPr="00C80451" w:rsidRDefault="006B36D6" w:rsidP="006E3485">
      <w:pPr>
        <w:pStyle w:val="Heading2"/>
      </w:pPr>
      <w:bookmarkStart w:id="83" w:name="_Toc101108521"/>
      <w:r>
        <w:t>Chapter I</w:t>
      </w:r>
      <w:r w:rsidR="00301A3B" w:rsidRPr="00C80451">
        <w:t>ntroduction</w:t>
      </w:r>
      <w:bookmarkEnd w:id="83"/>
    </w:p>
    <w:p w14:paraId="558DB4FB" w14:textId="0751FAD2" w:rsidR="00301A3B" w:rsidRDefault="00301A3B" w:rsidP="00301A3B">
      <w:r>
        <w:t xml:space="preserve">The key understanding taken from </w:t>
      </w:r>
      <w:r w:rsidR="003514F4">
        <w:t>my</w:t>
      </w:r>
      <w:r>
        <w:t xml:space="preserve"> study is that young people perceive their decision to stay put or leave as another part of the complicated care system in which they operate. This discussion chapter returns to the original question of my research, which set out to better understand the experiences of young people</w:t>
      </w:r>
      <w:r w:rsidR="004E0132">
        <w:t xml:space="preserve">’s decision-making about </w:t>
      </w:r>
      <w:r w:rsidR="004E0132" w:rsidRPr="004E0132">
        <w:rPr>
          <w:i/>
          <w:iCs/>
        </w:rPr>
        <w:t>Staying Put</w:t>
      </w:r>
      <w:r>
        <w:t xml:space="preserve">. Although this chapter </w:t>
      </w:r>
      <w:r w:rsidR="003D07CE">
        <w:t>questions</w:t>
      </w:r>
      <w:r>
        <w:t xml:space="preserve"> the notion of </w:t>
      </w:r>
      <w:r w:rsidRPr="007121E9">
        <w:rPr>
          <w:i/>
          <w:iCs/>
        </w:rPr>
        <w:t>Staying Put</w:t>
      </w:r>
      <w:r>
        <w:t xml:space="preserve"> as a </w:t>
      </w:r>
      <w:r w:rsidR="004E0132">
        <w:t>decision</w:t>
      </w:r>
      <w:r>
        <w:t>, framing it as such helped to give insight into previous patterns and sites of decision</w:t>
      </w:r>
      <w:r w:rsidR="00AC672D">
        <w:t>-</w:t>
      </w:r>
      <w:r>
        <w:t xml:space="preserve">making in the young people’s care experience. Following on from Part Three, the discussion draws on the themes identified, and explores what these ideas mean in the context of existing literature and practice outlined in Part One. </w:t>
      </w:r>
      <w:r w:rsidR="006B36D6">
        <w:t xml:space="preserve">The areas to be discussed include the experience of decision-making across the care pathway, the role social workers play as providers of information and the impact of </w:t>
      </w:r>
      <w:r w:rsidR="006B36D6" w:rsidRPr="006B36D6">
        <w:rPr>
          <w:i/>
          <w:iCs/>
        </w:rPr>
        <w:t>Staying Put</w:t>
      </w:r>
      <w:r w:rsidR="006B36D6">
        <w:t xml:space="preserve"> in the </w:t>
      </w:r>
      <w:r w:rsidR="006B36D6" w:rsidRPr="00FD4953">
        <w:t xml:space="preserve">context of leaving care. </w:t>
      </w:r>
      <w:r w:rsidRPr="00FD4953">
        <w:t>This chapter considers how my study reflects, differs or builds on the knowledge about both decision</w:t>
      </w:r>
      <w:r w:rsidR="006B36D6" w:rsidRPr="00FD4953">
        <w:t>-</w:t>
      </w:r>
      <w:r w:rsidRPr="00FD4953">
        <w:t xml:space="preserve">making and leaving care drawn from young people’s experiences. </w:t>
      </w:r>
      <w:r w:rsidR="00453C63" w:rsidRPr="00FD4953">
        <w:t>Elements of the</w:t>
      </w:r>
      <w:r w:rsidRPr="00FD4953">
        <w:t xml:space="preserve"> discussion </w:t>
      </w:r>
      <w:r w:rsidR="00453C63" w:rsidRPr="00FD4953">
        <w:t>are</w:t>
      </w:r>
      <w:r w:rsidR="0098593D" w:rsidRPr="00FD4953">
        <w:t xml:space="preserve"> also examined through the </w:t>
      </w:r>
      <w:r w:rsidR="004E2B2E" w:rsidRPr="00FD4953">
        <w:t xml:space="preserve">lens of the </w:t>
      </w:r>
      <w:r w:rsidR="004E0132" w:rsidRPr="00FD4953">
        <w:t>t</w:t>
      </w:r>
      <w:r w:rsidRPr="00FD4953">
        <w:t>heoretical concepts</w:t>
      </w:r>
      <w:r w:rsidR="004E2B2E" w:rsidRPr="00FD4953">
        <w:t xml:space="preserve"> and discourses </w:t>
      </w:r>
      <w:r w:rsidRPr="00FD4953">
        <w:t>outlined in Part One</w:t>
      </w:r>
      <w:r w:rsidR="00D13F9C" w:rsidRPr="00FD4953">
        <w:t xml:space="preserve">, </w:t>
      </w:r>
      <w:r w:rsidR="00D77552" w:rsidRPr="00FD4953">
        <w:t>including</w:t>
      </w:r>
      <w:r w:rsidR="00D13F9C" w:rsidRPr="00FD4953">
        <w:t xml:space="preserve"> </w:t>
      </w:r>
      <w:r w:rsidRPr="00FD4953">
        <w:t xml:space="preserve">Foucault’s concepts of </w:t>
      </w:r>
      <w:r w:rsidR="004E2B2E" w:rsidRPr="00FD4953">
        <w:t xml:space="preserve">power, </w:t>
      </w:r>
      <w:r w:rsidR="009C59E3" w:rsidRPr="00FD4953">
        <w:t>discourse</w:t>
      </w:r>
      <w:r w:rsidR="004E2B2E" w:rsidRPr="00FD4953">
        <w:t xml:space="preserve"> and </w:t>
      </w:r>
      <w:r w:rsidRPr="00FD4953">
        <w:t>subject</w:t>
      </w:r>
      <w:r w:rsidR="00D13F9C" w:rsidRPr="00FD4953">
        <w:t xml:space="preserve">. As </w:t>
      </w:r>
      <w:r w:rsidR="0087001B" w:rsidRPr="00FD4953">
        <w:t xml:space="preserve">noted in Chapter 5, the intention </w:t>
      </w:r>
      <w:r w:rsidR="000A6561" w:rsidRPr="00FD4953">
        <w:t xml:space="preserve">of using Foucault’s work </w:t>
      </w:r>
      <w:r w:rsidR="000C6A98" w:rsidRPr="00FD4953">
        <w:t>wa</w:t>
      </w:r>
      <w:r w:rsidR="000A6561" w:rsidRPr="00FD4953">
        <w:t xml:space="preserve">s to </w:t>
      </w:r>
      <w:r w:rsidR="0025121E" w:rsidRPr="00FD4953">
        <w:t xml:space="preserve">reconsider existing understandings and </w:t>
      </w:r>
      <w:r w:rsidR="007F2FDA" w:rsidRPr="00FD4953">
        <w:t xml:space="preserve">‘examine the less visible ways’ power relations operate (Hartung, 2017, p. </w:t>
      </w:r>
      <w:r w:rsidR="00453C63" w:rsidRPr="00FD4953">
        <w:t>xii)</w:t>
      </w:r>
      <w:r w:rsidR="003831E8" w:rsidRPr="00FD4953">
        <w:t xml:space="preserve"> in areas of practice where there is </w:t>
      </w:r>
      <w:r w:rsidR="0025121E" w:rsidRPr="00FD4953">
        <w:t xml:space="preserve">an established field of research. This approach </w:t>
      </w:r>
      <w:r w:rsidR="00595711" w:rsidRPr="00FD4953">
        <w:t>enable</w:t>
      </w:r>
      <w:r w:rsidR="000C6A98" w:rsidRPr="00FD4953">
        <w:t>d</w:t>
      </w:r>
      <w:r w:rsidR="00595711" w:rsidRPr="00FD4953">
        <w:t xml:space="preserve"> me to use Foucault’s work alongside other concepts and fields of research, rather </w:t>
      </w:r>
      <w:r w:rsidR="00453C63" w:rsidRPr="00FD4953">
        <w:t xml:space="preserve">than </w:t>
      </w:r>
      <w:r w:rsidR="0087001B" w:rsidRPr="00FD4953">
        <w:t xml:space="preserve">develop new </w:t>
      </w:r>
      <w:r w:rsidR="00453C63" w:rsidRPr="00FD4953">
        <w:t>understanding or interpretations of his work</w:t>
      </w:r>
      <w:r w:rsidRPr="00FD4953">
        <w:t>.</w:t>
      </w:r>
    </w:p>
    <w:p w14:paraId="22564487" w14:textId="2C3AE86C" w:rsidR="00301A3B" w:rsidRPr="00757CE8" w:rsidRDefault="00301A3B" w:rsidP="006E3485">
      <w:pPr>
        <w:pStyle w:val="Heading2"/>
        <w:rPr>
          <w:rFonts w:ascii="AppleSystemUIFont" w:hAnsi="AppleSystemUIFont" w:cs="AppleSystemUIFont"/>
        </w:rPr>
      </w:pPr>
      <w:bookmarkStart w:id="84" w:name="_Toc101108522"/>
      <w:r w:rsidRPr="00E07539">
        <w:t>Decisions in the Margin</w:t>
      </w:r>
      <w:bookmarkEnd w:id="84"/>
      <w:r w:rsidRPr="00F3267E">
        <w:t xml:space="preserve"> </w:t>
      </w:r>
    </w:p>
    <w:p w14:paraId="3BB695DA" w14:textId="55877930" w:rsidR="00301A3B" w:rsidRDefault="00152F84" w:rsidP="00301A3B">
      <w:r>
        <w:t xml:space="preserve">One of my research questions was to understand how much influence young people felt they had in </w:t>
      </w:r>
      <w:r w:rsidR="005E339D">
        <w:t xml:space="preserve">making their decision about </w:t>
      </w:r>
      <w:r w:rsidR="005E339D" w:rsidRPr="005E339D">
        <w:rPr>
          <w:i/>
          <w:iCs/>
        </w:rPr>
        <w:t>Staying Put</w:t>
      </w:r>
      <w:r w:rsidR="005E339D">
        <w:t xml:space="preserve">. </w:t>
      </w:r>
      <w:r w:rsidR="00301A3B">
        <w:t xml:space="preserve">Through the </w:t>
      </w:r>
      <w:r w:rsidR="005E339D">
        <w:t>interviews</w:t>
      </w:r>
      <w:r w:rsidR="00301A3B">
        <w:t xml:space="preserve"> </w:t>
      </w:r>
      <w:r w:rsidR="003514F4">
        <w:t>my</w:t>
      </w:r>
      <w:r w:rsidR="00301A3B">
        <w:t xml:space="preserve"> study raised some general points </w:t>
      </w:r>
      <w:r w:rsidR="00301A3B" w:rsidRPr="00FD4953">
        <w:t>about the experience of decision</w:t>
      </w:r>
      <w:r w:rsidR="006B36D6" w:rsidRPr="00FD4953">
        <w:t>-</w:t>
      </w:r>
      <w:r w:rsidR="00301A3B" w:rsidRPr="00FD4953">
        <w:t xml:space="preserve">making during </w:t>
      </w:r>
      <w:r w:rsidR="008A018F" w:rsidRPr="00FD4953">
        <w:t>the</w:t>
      </w:r>
      <w:r w:rsidR="00301A3B" w:rsidRPr="00FD4953">
        <w:t xml:space="preserve"> care</w:t>
      </w:r>
      <w:r w:rsidR="008A018F" w:rsidRPr="00FD4953">
        <w:t xml:space="preserve"> pathway, which </w:t>
      </w:r>
      <w:r w:rsidR="00AC672D" w:rsidRPr="00FD4953">
        <w:t>contribute</w:t>
      </w:r>
      <w:r w:rsidR="008A018F" w:rsidRPr="00FD4953">
        <w:t xml:space="preserve"> to the literature about young people’s experiences of involvement in decisions about their lives</w:t>
      </w:r>
      <w:r w:rsidR="006479E9" w:rsidRPr="00FD4953">
        <w:t>.</w:t>
      </w:r>
      <w:r w:rsidR="00145DF6" w:rsidRPr="00FD4953">
        <w:t xml:space="preserve"> </w:t>
      </w:r>
      <w:r w:rsidR="00C82004" w:rsidRPr="00FD4953">
        <w:t xml:space="preserve">Using Foucault’s work to </w:t>
      </w:r>
      <w:r w:rsidR="00302FB8" w:rsidRPr="00FD4953">
        <w:t>fram</w:t>
      </w:r>
      <w:r w:rsidR="00C82004" w:rsidRPr="00FD4953">
        <w:t>e</w:t>
      </w:r>
      <w:r w:rsidR="00302FB8" w:rsidRPr="00FD4953">
        <w:t xml:space="preserve"> their decisions as being situated or bounded by discourse and discursive practices</w:t>
      </w:r>
      <w:r w:rsidR="00CC1016" w:rsidRPr="00FD4953">
        <w:t xml:space="preserve"> enabled me to </w:t>
      </w:r>
      <w:r w:rsidR="00E61361" w:rsidRPr="00FD4953">
        <w:t>consider what decision-making means for young people leaving care.</w:t>
      </w:r>
      <w:r w:rsidR="00C82004" w:rsidRPr="00FD4953">
        <w:t xml:space="preserve"> </w:t>
      </w:r>
      <w:r w:rsidR="00301A3B" w:rsidRPr="00FD4953">
        <w:t>The young person’s choice to leave or remain with their foster carers, could be understood in the context</w:t>
      </w:r>
      <w:r w:rsidR="00301A3B">
        <w:t xml:space="preserve"> of their previous involvement in </w:t>
      </w:r>
      <w:r w:rsidR="00301A3B">
        <w:lastRenderedPageBreak/>
        <w:t xml:space="preserve">decisions. Although there are particular circumstances unique to </w:t>
      </w:r>
      <w:r w:rsidR="00301A3B" w:rsidRPr="007121E9">
        <w:rPr>
          <w:i/>
          <w:iCs/>
        </w:rPr>
        <w:t>Staying Put</w:t>
      </w:r>
      <w:r w:rsidR="00301A3B">
        <w:t xml:space="preserve"> discussed later in this chapter, the historical encounters described by young people seemed to set the foundations to making this decision. Young </w:t>
      </w:r>
      <w:r w:rsidR="00301A3B" w:rsidRPr="00F3267E">
        <w:t xml:space="preserve">people </w:t>
      </w:r>
      <w:r w:rsidR="00301A3B">
        <w:t xml:space="preserve">in </w:t>
      </w:r>
      <w:r w:rsidR="003514F4">
        <w:t>my</w:t>
      </w:r>
      <w:r w:rsidR="00301A3B">
        <w:t xml:space="preserve"> study were in care during a period where the discourse of participation thread</w:t>
      </w:r>
      <w:r w:rsidR="0067547D">
        <w:t>ed</w:t>
      </w:r>
      <w:r w:rsidR="00301A3B">
        <w:t xml:space="preserve"> through practice </w:t>
      </w:r>
      <w:r w:rsidR="00301A3B" w:rsidRPr="00F3267E">
        <w:t>guidance and legislation</w:t>
      </w:r>
      <w:r w:rsidR="00301A3B">
        <w:t xml:space="preserve">. However, </w:t>
      </w:r>
      <w:r w:rsidR="0067547D">
        <w:t>my</w:t>
      </w:r>
      <w:r w:rsidR="00301A3B">
        <w:t xml:space="preserve"> study suggests that the b</w:t>
      </w:r>
      <w:r w:rsidR="00301A3B" w:rsidRPr="00F3267E">
        <w:t>enefits of an inclusive agenda</w:t>
      </w:r>
      <w:r w:rsidR="00301A3B">
        <w:t xml:space="preserve"> were not routinely available to all young people. Participants wanted to be involved in decisions to make their care experience more manageable and comprehensible. Their desire to take part or lead decisions was not to pursue hedonistic or unrealistic choices nor an attempt to eliminate professional intervention. Coming with modest aims of inclusion they were confused about the rationale for leaving them out. References to wanting help or advice from their social worker</w:t>
      </w:r>
      <w:r w:rsidR="00B375EB">
        <w:t>,</w:t>
      </w:r>
      <w:r w:rsidR="00301A3B">
        <w:t xml:space="preserve"> co-occurred with their </w:t>
      </w:r>
      <w:r w:rsidR="008A018F">
        <w:t>decision-making</w:t>
      </w:r>
      <w:r w:rsidR="00301A3B">
        <w:t xml:space="preserve"> intentions. </w:t>
      </w:r>
    </w:p>
    <w:p w14:paraId="131C56B0" w14:textId="2AC6A3CD" w:rsidR="00301A3B" w:rsidRDefault="00301A3B" w:rsidP="00301A3B">
      <w:r>
        <w:t>The h</w:t>
      </w:r>
      <w:r w:rsidRPr="00F3267E">
        <w:t xml:space="preserve">eterogenous experiences </w:t>
      </w:r>
      <w:r>
        <w:t>of decision</w:t>
      </w:r>
      <w:r w:rsidR="008A018F">
        <w:t>-</w:t>
      </w:r>
      <w:r>
        <w:t>making by children and young people in care</w:t>
      </w:r>
      <w:r w:rsidRPr="00F3267E">
        <w:t xml:space="preserve"> are not unique to this study</w:t>
      </w:r>
      <w:r>
        <w:t xml:space="preserve">. Like the majority of research reviewed in </w:t>
      </w:r>
      <w:r w:rsidR="00866CD9" w:rsidRPr="00866CD9">
        <w:t>C</w:t>
      </w:r>
      <w:r w:rsidRPr="00866CD9">
        <w:t>hapter</w:t>
      </w:r>
      <w:r w:rsidR="00866CD9" w:rsidRPr="00866CD9">
        <w:t xml:space="preserve"> 4</w:t>
      </w:r>
      <w:r w:rsidRPr="00866CD9">
        <w:t>, participants</w:t>
      </w:r>
      <w:r>
        <w:t xml:space="preserve"> perceived their role in making decisions as elusive, with pockets of more helpful experiences</w:t>
      </w:r>
      <w:r w:rsidR="000B2159">
        <w:t xml:space="preserve"> (</w:t>
      </w:r>
      <w:r w:rsidR="000B2159" w:rsidRPr="00BB090D">
        <w:t>Leeson 2007; Bessell 2011</w:t>
      </w:r>
      <w:r w:rsidR="000B2159">
        <w:t xml:space="preserve">; Goodyer, 2014; </w:t>
      </w:r>
      <w:r w:rsidR="000B2159" w:rsidRPr="00CB62AC">
        <w:rPr>
          <w:bdr w:val="none" w:sz="0" w:space="0" w:color="auto" w:frame="1"/>
          <w:shd w:val="clear" w:color="auto" w:fill="FFFFFF"/>
        </w:rPr>
        <w:t>Balsells, Fuentes-Peláez,</w:t>
      </w:r>
      <w:r w:rsidR="000B2159">
        <w:rPr>
          <w:bdr w:val="none" w:sz="0" w:space="0" w:color="auto" w:frame="1"/>
          <w:shd w:val="clear" w:color="auto" w:fill="FFFFFF"/>
        </w:rPr>
        <w:t xml:space="preserve"> and </w:t>
      </w:r>
      <w:r w:rsidR="000B2159" w:rsidRPr="00CB62AC">
        <w:rPr>
          <w:bdr w:val="none" w:sz="0" w:space="0" w:color="auto" w:frame="1"/>
          <w:shd w:val="clear" w:color="auto" w:fill="FFFFFF"/>
        </w:rPr>
        <w:t>Pastor</w:t>
      </w:r>
      <w:r w:rsidR="000B2159">
        <w:rPr>
          <w:bdr w:val="none" w:sz="0" w:space="0" w:color="auto" w:frame="1"/>
          <w:shd w:val="clear" w:color="auto" w:fill="FFFFFF"/>
        </w:rPr>
        <w:t>, 2017</w:t>
      </w:r>
      <w:r w:rsidR="000B2159">
        <w:t>)</w:t>
      </w:r>
      <w:r>
        <w:t xml:space="preserve">. Referring to their history in making decisions across a range of concerns, participants in my study shared similar issues with children and young people in existing research. In early experiences of coming into care and finding their feet with birth families and new carers, participants’ views resonated with those young people in Cashmore’s (2011) study about care proceedings and </w:t>
      </w:r>
      <w:r w:rsidRPr="005F67EA">
        <w:t>Hébert, Lanctôt and Turcott</w:t>
      </w:r>
      <w:r>
        <w:t>’s (</w:t>
      </w:r>
      <w:r w:rsidRPr="005F67EA">
        <w:t>2016)</w:t>
      </w:r>
      <w:r>
        <w:t xml:space="preserve"> work about changing placements. Consistently</w:t>
      </w:r>
      <w:r w:rsidR="001A76A9">
        <w:t>,</w:t>
      </w:r>
      <w:r>
        <w:t xml:space="preserve"> young people wanted a say in what happened and needed to be aware of what the next steps would be but felt excluded and uninformed. The confusion felt about being excluded was coupled with uncertainty about their current situation and fear of what would come in the future. My study reinforces the understanding from existing literature</w:t>
      </w:r>
      <w:r w:rsidR="000B2159">
        <w:t xml:space="preserve"> </w:t>
      </w:r>
      <w:r w:rsidR="008A018F">
        <w:t>(</w:t>
      </w:r>
      <w:r w:rsidR="000B2159">
        <w:t xml:space="preserve">Nybell, 2013; </w:t>
      </w:r>
      <w:r w:rsidR="000B2159" w:rsidRPr="003E3DDD">
        <w:t xml:space="preserve">Munford </w:t>
      </w:r>
      <w:r w:rsidR="000B2159" w:rsidRPr="00945506">
        <w:t>and Sander’s, 201</w:t>
      </w:r>
      <w:r w:rsidR="000B2159" w:rsidRPr="003E3DDD">
        <w:t>5</w:t>
      </w:r>
      <w:r w:rsidR="008A018F">
        <w:t>)</w:t>
      </w:r>
      <w:r w:rsidR="000B689A">
        <w:t>,</w:t>
      </w:r>
      <w:r>
        <w:t xml:space="preserve"> that patterns of being excluded in early decisions or issues </w:t>
      </w:r>
      <w:r w:rsidR="007C3189">
        <w:t>can continue</w:t>
      </w:r>
      <w:r>
        <w:t xml:space="preserve"> through a young person’s care pathway. </w:t>
      </w:r>
    </w:p>
    <w:p w14:paraId="5FDD7323" w14:textId="438F97F1" w:rsidR="00301A3B" w:rsidRDefault="00301A3B" w:rsidP="00301A3B">
      <w:pPr>
        <w:autoSpaceDE w:val="0"/>
        <w:autoSpaceDN w:val="0"/>
        <w:adjustRightInd w:val="0"/>
      </w:pPr>
      <w:r>
        <w:t>When things went well, in multiple studies social worker attributes were seen as facilitative suggesting that an honest and approachable worker could help overcome or circumnavigate other barriers in the system (Cossar and Long, 2008; Munford and Saunders, 2015; Roesch-Marsh, Gillies and Green, 201</w:t>
      </w:r>
      <w:r w:rsidR="00680E00">
        <w:t>7</w:t>
      </w:r>
      <w:r>
        <w:t xml:space="preserve">; Pert, Diaz and Thomas, 2017; </w:t>
      </w:r>
      <w:r w:rsidRPr="00553B80">
        <w:t>Schofield, Larsson and Ward</w:t>
      </w:r>
      <w:r>
        <w:t xml:space="preserve">, </w:t>
      </w:r>
      <w:r w:rsidRPr="00553B80">
        <w:t>2017</w:t>
      </w:r>
      <w:r>
        <w:t xml:space="preserve">). </w:t>
      </w:r>
      <w:r w:rsidR="0018772B">
        <w:t>Conversely</w:t>
      </w:r>
      <w:r>
        <w:t xml:space="preserve">, in my study I found that whilst many of the young people </w:t>
      </w:r>
      <w:r w:rsidRPr="00683629">
        <w:rPr>
          <w:i/>
          <w:iCs/>
        </w:rPr>
        <w:t>liked</w:t>
      </w:r>
      <w:r>
        <w:t xml:space="preserve"> their social workers, they still felt </w:t>
      </w:r>
      <w:r w:rsidR="000D38C5">
        <w:t xml:space="preserve">their social workers left them </w:t>
      </w:r>
      <w:r>
        <w:t>outside of decisions that mattered to them, especially when coming up to their 18</w:t>
      </w:r>
      <w:r w:rsidRPr="006E6B4D">
        <w:rPr>
          <w:vertAlign w:val="superscript"/>
        </w:rPr>
        <w:t>th</w:t>
      </w:r>
      <w:r>
        <w:t xml:space="preserve"> birthday. </w:t>
      </w:r>
      <w:r w:rsidR="00F10B3D">
        <w:t>Feeling</w:t>
      </w:r>
      <w:r w:rsidR="000B2159">
        <w:t xml:space="preserve"> marginalised in this way occurred e</w:t>
      </w:r>
      <w:r>
        <w:t>ven if young people felt able to talk to their social worker</w:t>
      </w:r>
      <w:r w:rsidR="006F6005">
        <w:t>, s</w:t>
      </w:r>
      <w:r>
        <w:t xml:space="preserve">uggesting that </w:t>
      </w:r>
      <w:r>
        <w:lastRenderedPageBreak/>
        <w:t xml:space="preserve">a positive relationship with a social worker </w:t>
      </w:r>
      <w:r w:rsidR="00BF510B">
        <w:t>wa</w:t>
      </w:r>
      <w:r>
        <w:t xml:space="preserve">s insufficient </w:t>
      </w:r>
      <w:r w:rsidR="00BF510B">
        <w:t xml:space="preserve">in </w:t>
      </w:r>
      <w:r>
        <w:t>support</w:t>
      </w:r>
      <w:r w:rsidR="00BF510B">
        <w:t>ing</w:t>
      </w:r>
      <w:r>
        <w:t xml:space="preserve"> </w:t>
      </w:r>
      <w:r w:rsidR="00F10B3D">
        <w:t xml:space="preserve">feelings of </w:t>
      </w:r>
      <w:r>
        <w:t xml:space="preserve">involvement. </w:t>
      </w:r>
      <w:r w:rsidR="00BF510B">
        <w:t>Some y</w:t>
      </w:r>
      <w:r>
        <w:t xml:space="preserve">oung people in my study pointed to individual foster carers, social workers or </w:t>
      </w:r>
      <w:r w:rsidR="000B2159">
        <w:t>r</w:t>
      </w:r>
      <w:r w:rsidR="00291E1D">
        <w:t>eview manager</w:t>
      </w:r>
      <w:r>
        <w:t>s as helpful in sharing their views, but their support was often compromised by either their lack of knowledge about an issue or the authority to enact the decision. There was a sense that professional knowledge about the care system was inconsistent</w:t>
      </w:r>
      <w:r w:rsidR="00751438">
        <w:t>,</w:t>
      </w:r>
      <w:r>
        <w:t xml:space="preserve"> and deferral to another authority or body for information or final say moved the decisions physically and emotionally away from the young person. Removing the </w:t>
      </w:r>
      <w:r w:rsidRPr="001E32ED">
        <w:t>decision</w:t>
      </w:r>
      <w:r w:rsidRPr="00035299">
        <w:rPr>
          <w:i/>
          <w:iCs/>
        </w:rPr>
        <w:t xml:space="preserve"> </w:t>
      </w:r>
      <w:r w:rsidRPr="00290C74">
        <w:t>‘from the room</w:t>
      </w:r>
      <w:r>
        <w:t>’</w:t>
      </w:r>
      <w:r>
        <w:rPr>
          <w:i/>
          <w:iCs/>
        </w:rPr>
        <w:t xml:space="preserve"> </w:t>
      </w:r>
      <w:r>
        <w:t xml:space="preserve">indicated that decisions were separate to young people and their involvement. Instead matters relating to their day-to-day lives became part of an organisational process rather than a relational discussion. Young people in my study indicated they wanted to be taken seriously and </w:t>
      </w:r>
      <w:r w:rsidR="00BF510B">
        <w:t xml:space="preserve">be </w:t>
      </w:r>
      <w:r>
        <w:t>involved but the ongoing pattern of distant decision</w:t>
      </w:r>
      <w:r w:rsidR="00AC672D">
        <w:t>-</w:t>
      </w:r>
      <w:r>
        <w:t>making made this hard to achieve. The absence of opportunities to practice and scaffold their skills in making decisions and feel respected, echoes Cashmore’s (2011) conclusion in her study about family law decisions. The practice that was needed to ensure that decision</w:t>
      </w:r>
      <w:r w:rsidR="00AC672D">
        <w:t>-</w:t>
      </w:r>
      <w:r>
        <w:t>making became habit forming</w:t>
      </w:r>
      <w:r w:rsidR="00A620F1">
        <w:t>,</w:t>
      </w:r>
      <w:r>
        <w:t xml:space="preserve"> was missing from their routine experiences with social workers.</w:t>
      </w:r>
    </w:p>
    <w:p w14:paraId="4259EB99" w14:textId="447A583C" w:rsidR="00301A3B" w:rsidRDefault="00301A3B" w:rsidP="00301A3B">
      <w:pPr>
        <w:autoSpaceDE w:val="0"/>
        <w:autoSpaceDN w:val="0"/>
        <w:adjustRightInd w:val="0"/>
      </w:pPr>
      <w:r>
        <w:t>Participative practice does appear to be compromised by the operational pressures on social workers, and barriers to involvement identified by social workers in other research were borne out by young people in my study</w:t>
      </w:r>
      <w:r w:rsidR="000B2159">
        <w:t xml:space="preserve"> (</w:t>
      </w:r>
      <w:r w:rsidR="00C76484">
        <w:t>McLeod, 2006; Barnes, 2012;</w:t>
      </w:r>
      <w:r w:rsidR="00C76484" w:rsidRPr="00165ED9">
        <w:t xml:space="preserve"> </w:t>
      </w:r>
      <w:r w:rsidR="00C76484">
        <w:t>Diaz, Pert and Thomas, 2019</w:t>
      </w:r>
      <w:r w:rsidR="000B2159">
        <w:t>)</w:t>
      </w:r>
      <w:r>
        <w:t>. Spelling out how many changes of social worker they had, young people seemed to accept the number and rapidity of change was part of every child’s care journey. A lack of consistency</w:t>
      </w:r>
      <w:r w:rsidR="00027432">
        <w:t>,</w:t>
      </w:r>
      <w:r>
        <w:t xml:space="preserve"> either through the worker leaving or having a temporary agency worker</w:t>
      </w:r>
      <w:r w:rsidR="00027432">
        <w:t>,</w:t>
      </w:r>
      <w:r>
        <w:t xml:space="preserve"> presented young people in my study with a difficult choice. Investing any effort into their relationship was often seen as a waste of time due to the likelihood of their worker moving on, however as evident throughout their experiences, they both needed and wanted a social worker’s help in making decisions. </w:t>
      </w:r>
      <w:r w:rsidR="00BF510B">
        <w:t>My study builds on earlier work, identifying how changes in social worker impacts on a young person’s ability to make or take part in decisions due to the lack of a trusted and consistent worker to support them</w:t>
      </w:r>
      <w:r>
        <w:t xml:space="preserve"> (Gaskell, 2010; Oliver 2010; Ridley, et al., 2016). </w:t>
      </w:r>
    </w:p>
    <w:p w14:paraId="075109BB" w14:textId="7C1EEAC6" w:rsidR="00301A3B" w:rsidRDefault="00301A3B" w:rsidP="00301A3B">
      <w:r>
        <w:t>Where social workers identified limited time to develop a relationship with a child (McLeod, 2006; Barnes, 2012;</w:t>
      </w:r>
      <w:r w:rsidRPr="00165ED9">
        <w:t xml:space="preserve"> </w:t>
      </w:r>
      <w:r>
        <w:t xml:space="preserve">Diaz, Pert and Thomas, 2019), my study found that hearing about these </w:t>
      </w:r>
      <w:r w:rsidRPr="006737C6">
        <w:t>pressures were equally harmful</w:t>
      </w:r>
      <w:r>
        <w:t xml:space="preserve"> to relationship building with young people</w:t>
      </w:r>
      <w:r w:rsidRPr="006737C6">
        <w:t xml:space="preserve">. </w:t>
      </w:r>
      <w:r>
        <w:t xml:space="preserve">Whilst the social worker’s intentions or understanding of sharing their issues with young people falls outside of my research, young people reflected on their worker’s circumstances. A social </w:t>
      </w:r>
      <w:r>
        <w:lastRenderedPageBreak/>
        <w:t xml:space="preserve">worker sharing feelings about work pressures may feel like an honest response, however my study suggests that sharing the impact of their work had two possible outcomes. First, their admission seemed to imply that the participants were less important than other work and second, knowledge about their social worker’s circumstances deterred young people from sharing their </w:t>
      </w:r>
      <w:r w:rsidR="00F10B3D">
        <w:t xml:space="preserve">own </w:t>
      </w:r>
      <w:r>
        <w:t xml:space="preserve">worries. Creating a distinction between work that happens </w:t>
      </w:r>
      <w:r w:rsidRPr="006819B7">
        <w:rPr>
          <w:i/>
          <w:iCs/>
        </w:rPr>
        <w:t>out there</w:t>
      </w:r>
      <w:r>
        <w:t xml:space="preserve"> and what social workers d</w:t>
      </w:r>
      <w:r w:rsidR="00457305">
        <w:t>id</w:t>
      </w:r>
      <w:r>
        <w:t xml:space="preserve"> with young people directly</w:t>
      </w:r>
      <w:r w:rsidR="00F7470F">
        <w:t>,</w:t>
      </w:r>
      <w:r>
        <w:t xml:space="preserve"> indicated to participants that there was a hierarchy of importance</w:t>
      </w:r>
      <w:r w:rsidR="00752D6F">
        <w:t xml:space="preserve"> — </w:t>
      </w:r>
      <w:r>
        <w:t>pitching any work that occurs elsewhere as more important or preoccupying</w:t>
      </w:r>
      <w:r w:rsidR="00BF510B">
        <w:t>, developing a different understanding of social worker/service user relationships</w:t>
      </w:r>
      <w:r>
        <w:t xml:space="preserve">. The problem of exposure to the social worker’s issues reflects research in the field of nursing, specifically the construction of </w:t>
      </w:r>
      <w:r w:rsidRPr="00DD4808">
        <w:rPr>
          <w:i/>
          <w:iCs/>
        </w:rPr>
        <w:t>busy</w:t>
      </w:r>
      <w:r>
        <w:rPr>
          <w:i/>
          <w:iCs/>
        </w:rPr>
        <w:t>ness</w:t>
      </w:r>
      <w:r>
        <w:t xml:space="preserve"> where nurses felt they had little time to spend with patients because of their workload </w:t>
      </w:r>
      <w:r w:rsidR="00BE7263">
        <w:t>which primarily focused</w:t>
      </w:r>
      <w:r>
        <w:t xml:space="preserve"> on </w:t>
      </w:r>
      <w:r w:rsidR="00585300">
        <w:t>organisational,</w:t>
      </w:r>
      <w:r>
        <w:t xml:space="preserve"> and task orientated aspects of their role (Terry and Coffey, 2019). In turn</w:t>
      </w:r>
      <w:r w:rsidR="00EB7128">
        <w:t>,</w:t>
      </w:r>
      <w:r>
        <w:t xml:space="preserve"> patients felt that nursing staff seemed unavailable and any request for help would get in the way (Terry and Coffey, 2019). My study does not </w:t>
      </w:r>
      <w:r w:rsidR="008A4B13">
        <w:t>imply</w:t>
      </w:r>
      <w:r>
        <w:t xml:space="preserve"> those social workers were fabricating their workload, nor that they were purposefully blocking opportunities to spend time with children and young people. However, my study does suggest that knowing about social work </w:t>
      </w:r>
      <w:r w:rsidRPr="00CA78A0">
        <w:rPr>
          <w:i/>
          <w:iCs/>
        </w:rPr>
        <w:t>busyness</w:t>
      </w:r>
      <w:r>
        <w:rPr>
          <w:i/>
          <w:iCs/>
        </w:rPr>
        <w:t xml:space="preserve"> </w:t>
      </w:r>
      <w:r>
        <w:t>impacted on a young person’s ability to open up to their social worker at key moments. Having to weigh up their own need to talk, with their sympathy towards the social worker</w:t>
      </w:r>
      <w:r w:rsidR="0049332E">
        <w:t>,</w:t>
      </w:r>
      <w:r>
        <w:t xml:space="preserve"> meant that </w:t>
      </w:r>
      <w:r w:rsidRPr="006737C6">
        <w:t xml:space="preserve">young people </w:t>
      </w:r>
      <w:r>
        <w:t>were considering the weight of their worker’s issues and nebulous sense of their social worker’s workload</w:t>
      </w:r>
      <w:r w:rsidR="00BF6DEE">
        <w:t>,</w:t>
      </w:r>
      <w:r>
        <w:t xml:space="preserve"> as well as their own</w:t>
      </w:r>
      <w:r w:rsidR="00457305">
        <w:t xml:space="preserve"> needs</w:t>
      </w:r>
      <w:r>
        <w:t xml:space="preserve">. </w:t>
      </w:r>
      <w:r w:rsidR="00BE7263">
        <w:t>Consequently</w:t>
      </w:r>
      <w:r w:rsidR="00BF6DEE">
        <w:t>,</w:t>
      </w:r>
      <w:r>
        <w:t xml:space="preserve"> this </w:t>
      </w:r>
      <w:r w:rsidRPr="006737C6">
        <w:t>series of internal negotiations</w:t>
      </w:r>
      <w:r>
        <w:t xml:space="preserve"> sometimes got in the way of being able to ask for help or talk things </w:t>
      </w:r>
      <w:r w:rsidRPr="00FD4953">
        <w:t>through.</w:t>
      </w:r>
      <w:r w:rsidR="00C76484" w:rsidRPr="00FD4953">
        <w:t xml:space="preserve"> In these exchanges</w:t>
      </w:r>
      <w:r w:rsidR="00A60E88" w:rsidRPr="00FD4953">
        <w:t>,</w:t>
      </w:r>
      <w:r w:rsidR="00C76484" w:rsidRPr="00FD4953">
        <w:t xml:space="preserve"> </w:t>
      </w:r>
      <w:r w:rsidR="00A60E88" w:rsidRPr="00FD4953">
        <w:t xml:space="preserve">Foucault’s concept of </w:t>
      </w:r>
      <w:r w:rsidR="00C76484" w:rsidRPr="00FD4953">
        <w:t>relational aspects of</w:t>
      </w:r>
      <w:r w:rsidR="00BE7263" w:rsidRPr="00FD4953">
        <w:t xml:space="preserve"> </w:t>
      </w:r>
      <w:r w:rsidR="00C76484" w:rsidRPr="00FD4953">
        <w:t>power</w:t>
      </w:r>
      <w:r w:rsidR="00C76484">
        <w:t xml:space="preserve"> </w:t>
      </w:r>
      <w:r w:rsidR="00BE7263">
        <w:t xml:space="preserve">appeared to </w:t>
      </w:r>
      <w:r w:rsidR="00C76484">
        <w:t xml:space="preserve">operate to </w:t>
      </w:r>
      <w:r w:rsidR="006B2B03">
        <w:t xml:space="preserve">reinforce the subjectivity of the young person by positioning the social worker’s situation as the primary issue. </w:t>
      </w:r>
      <w:r w:rsidR="00C76484">
        <w:t>Through the sharing of information</w:t>
      </w:r>
      <w:r w:rsidR="00BE7263">
        <w:t xml:space="preserve"> about </w:t>
      </w:r>
      <w:r w:rsidR="006B2B03">
        <w:t xml:space="preserve">their </w:t>
      </w:r>
      <w:r w:rsidR="00C76484">
        <w:t xml:space="preserve">workload </w:t>
      </w:r>
      <w:r w:rsidR="00BE7263">
        <w:t xml:space="preserve">and personal </w:t>
      </w:r>
      <w:r w:rsidR="00C76484">
        <w:t>pressure</w:t>
      </w:r>
      <w:r w:rsidR="00BE7263">
        <w:t>s</w:t>
      </w:r>
      <w:r w:rsidR="00C76484">
        <w:t>, the social worker is sharing detail that suggests an intimacy in the</w:t>
      </w:r>
      <w:r w:rsidR="006B2B03">
        <w:t>ir</w:t>
      </w:r>
      <w:r w:rsidR="00C76484">
        <w:t xml:space="preserve"> relationship</w:t>
      </w:r>
      <w:r w:rsidR="007C3189">
        <w:t xml:space="preserve"> </w:t>
      </w:r>
      <w:r w:rsidR="00BE7263">
        <w:t xml:space="preserve">with the young person </w:t>
      </w:r>
      <w:r w:rsidR="007C3189">
        <w:t>due to the personal nature of the topic</w:t>
      </w:r>
      <w:r w:rsidR="006B2B03">
        <w:t>. Instead of bringing the social worker and young person closer however, the disclosure</w:t>
      </w:r>
      <w:r w:rsidR="007C3189">
        <w:t xml:space="preserve"> creates </w:t>
      </w:r>
      <w:r w:rsidR="006B2B03">
        <w:t xml:space="preserve">greater distance </w:t>
      </w:r>
      <w:r w:rsidR="007C3189">
        <w:t xml:space="preserve">by </w:t>
      </w:r>
      <w:r w:rsidR="00BE7263">
        <w:t>strengthening</w:t>
      </w:r>
      <w:r w:rsidR="007C3189">
        <w:t xml:space="preserve"> the idea that the professional’s situation is the principal concern.</w:t>
      </w:r>
    </w:p>
    <w:p w14:paraId="22A7966D" w14:textId="43215B7E" w:rsidR="00301A3B" w:rsidRPr="00202ED0" w:rsidRDefault="00301A3B" w:rsidP="00202ED0">
      <w:pPr>
        <w:pStyle w:val="Heading3"/>
      </w:pPr>
      <w:r w:rsidRPr="00202ED0">
        <w:t>Decision</w:t>
      </w:r>
      <w:r w:rsidR="00202ED0">
        <w:t>-M</w:t>
      </w:r>
      <w:r w:rsidRPr="00202ED0">
        <w:t xml:space="preserve">aking as a </w:t>
      </w:r>
      <w:r w:rsidR="00202ED0">
        <w:t>S</w:t>
      </w:r>
      <w:r w:rsidRPr="00202ED0">
        <w:t xml:space="preserve">et </w:t>
      </w:r>
      <w:r w:rsidR="00202ED0">
        <w:t>P</w:t>
      </w:r>
      <w:r w:rsidRPr="00202ED0">
        <w:t xml:space="preserve">iece </w:t>
      </w:r>
    </w:p>
    <w:p w14:paraId="219D2387" w14:textId="018B0DB3" w:rsidR="00301A3B" w:rsidRDefault="00301A3B" w:rsidP="00301A3B">
      <w:r>
        <w:t>When responding to questions about general decision</w:t>
      </w:r>
      <w:r w:rsidR="007C3189">
        <w:t>-</w:t>
      </w:r>
      <w:r>
        <w:t>making</w:t>
      </w:r>
      <w:r w:rsidR="00D701E9">
        <w:t>,</w:t>
      </w:r>
      <w:r>
        <w:t xml:space="preserve"> the young people commonly identified the statutory review meeting as a focal point for decisions</w:t>
      </w:r>
      <w:r w:rsidR="005E339D">
        <w:t>, which was important when thinking about the influence young people had in decision-making</w:t>
      </w:r>
      <w:r>
        <w:t xml:space="preserve">. </w:t>
      </w:r>
      <w:r w:rsidR="005E339D">
        <w:t xml:space="preserve">The review meeting is specifically mentioned in the Department for Education (n.d.) guidance for young people, </w:t>
      </w:r>
      <w:r w:rsidR="005E339D">
        <w:lastRenderedPageBreak/>
        <w:t>w</w:t>
      </w:r>
      <w:r w:rsidR="00BE7263">
        <w:t xml:space="preserve">hich </w:t>
      </w:r>
      <w:r w:rsidR="005E339D">
        <w:t>state</w:t>
      </w:r>
      <w:r w:rsidR="00BE7263">
        <w:t>s</w:t>
      </w:r>
      <w:r w:rsidR="005E339D">
        <w:t xml:space="preserve"> ‘i</w:t>
      </w:r>
      <w:r w:rsidR="005E339D" w:rsidRPr="005E339D">
        <w:t>f you’re leaving care, you’ll have a ‘statutory review meeting’ to discuss your future, including what support you’ll need</w:t>
      </w:r>
      <w:r w:rsidR="005E339D">
        <w:t>’</w:t>
      </w:r>
      <w:r w:rsidR="005E339D" w:rsidRPr="005E339D">
        <w:t>.</w:t>
      </w:r>
      <w:r w:rsidR="005E339D">
        <w:t xml:space="preserve"> </w:t>
      </w:r>
      <w:r>
        <w:t>The interrelationship between decision</w:t>
      </w:r>
      <w:r w:rsidR="00457305">
        <w:t>-</w:t>
      </w:r>
      <w:r>
        <w:t xml:space="preserve">making and this meeting was made by </w:t>
      </w:r>
      <w:r w:rsidR="00EA0A73">
        <w:t>every</w:t>
      </w:r>
      <w:r>
        <w:t xml:space="preserve"> young pe</w:t>
      </w:r>
      <w:r w:rsidR="00EA0A73">
        <w:t>rson</w:t>
      </w:r>
      <w:r>
        <w:t xml:space="preserve"> in my study, suggesting it was both important and unique in its opportunity to have a say. Rather than view decision</w:t>
      </w:r>
      <w:r w:rsidR="007C3189">
        <w:t>-</w:t>
      </w:r>
      <w:r>
        <w:t>making as part of their everyday lives, young people presented the review meeting as the permitted space to find out what was happening for them and to contribute their views. Young people saw the point of the meeting but questioned their ability to take part and also the lack of means to make the meeting more accessible to them. Echoing the participants in my study, existing research found that young people consistently struggle to contribute to these meetings (Munro, 2001; Thomas, 2015; Diaz, Pert and Thomas, 2018). Whilst the guidance for the review meeting explicitly states that young people’s views are not ‘determinate’ (</w:t>
      </w:r>
      <w:r w:rsidR="000B0D7E">
        <w:t>DfES</w:t>
      </w:r>
      <w:r>
        <w:t xml:space="preserve">, p. 38, 2010), their contribution must be central to any planning. If this meeting is understood as a </w:t>
      </w:r>
      <w:r w:rsidRPr="005747C0">
        <w:t>discursive field</w:t>
      </w:r>
      <w:r>
        <w:t xml:space="preserve">, the way that reviews have become another exclusionary setting further highlights relational expressions of power in the care system. </w:t>
      </w:r>
    </w:p>
    <w:p w14:paraId="6006F571" w14:textId="6FC690A3" w:rsidR="00301A3B" w:rsidRPr="00157C57" w:rsidRDefault="00301A3B" w:rsidP="00301A3B">
      <w:pPr>
        <w:rPr>
          <w:color w:val="FF0000"/>
        </w:rPr>
      </w:pPr>
      <w:r>
        <w:t>There are a number of ways in which young people’s feelings of exclusion from this meeting can be understood, firstly the framing of participation in the meeting itself. Young people routinely attended their meetings, completed pre-meeting paperwork and in some instances asked questions or made contributions. However, they generally felt that their perspectives were neither heard nor respected. Consequently, young people did not feel that they had taken part in planning or decisions during the meeting. In other studies, the presence of children or young people in a meeting or discussion was significant to the social worker, as they perceived a child’s participation to be more likely if they were there (Vis, H</w:t>
      </w:r>
      <w:r w:rsidR="00680E00">
        <w:t>o</w:t>
      </w:r>
      <w:r>
        <w:t xml:space="preserve">lton and Thomas, 2012; Diaz, Pert and Thomas, 2019; Porter, 2020). My study underlines that there </w:t>
      </w:r>
      <w:r w:rsidRPr="00FD4953">
        <w:t>are differing interpretations between social workers and young people about the meeting experience</w:t>
      </w:r>
      <w:r w:rsidR="00511C3E" w:rsidRPr="00FD4953">
        <w:t>,</w:t>
      </w:r>
      <w:r w:rsidRPr="00FD4953">
        <w:t xml:space="preserve"> and a different understanding of whether attendance equated to participation. </w:t>
      </w:r>
      <w:r w:rsidR="000F2BD4" w:rsidRPr="00FD4953">
        <w:t xml:space="preserve">By thinking about </w:t>
      </w:r>
      <w:r w:rsidR="00BE74A8" w:rsidRPr="00FD4953">
        <w:t xml:space="preserve">Foucault’s </w:t>
      </w:r>
      <w:r w:rsidR="00F1576C" w:rsidRPr="00FD4953">
        <w:t xml:space="preserve">concept of </w:t>
      </w:r>
      <w:r w:rsidR="00BE74A8" w:rsidRPr="00FD4953">
        <w:t>discursive practices</w:t>
      </w:r>
      <w:r w:rsidR="00F1576C" w:rsidRPr="00FD4953">
        <w:t xml:space="preserve"> the role of the meeting can be seen in a different light.</w:t>
      </w:r>
      <w:r w:rsidR="00BE74A8" w:rsidRPr="00FD4953">
        <w:t xml:space="preserve"> </w:t>
      </w:r>
      <w:r w:rsidR="0045538D" w:rsidRPr="00FD4953">
        <w:t xml:space="preserve">Due to the nature of the meeting young people may chose not to participate in decision-making as they may feel that their contribution is neither valued </w:t>
      </w:r>
      <w:r w:rsidR="00BE7263" w:rsidRPr="00FD4953">
        <w:t>nor</w:t>
      </w:r>
      <w:r w:rsidR="0045538D" w:rsidRPr="00FD4953">
        <w:t xml:space="preserve"> heard. </w:t>
      </w:r>
      <w:r w:rsidRPr="00FD4953">
        <w:t>By being present at the</w:t>
      </w:r>
      <w:r>
        <w:t xml:space="preserve"> meeting</w:t>
      </w:r>
      <w:r w:rsidR="00C97128">
        <w:t>,</w:t>
      </w:r>
      <w:r>
        <w:t xml:space="preserve"> young people become constructed as </w:t>
      </w:r>
      <w:r w:rsidRPr="003D6C71">
        <w:rPr>
          <w:i/>
          <w:iCs/>
        </w:rPr>
        <w:t>participating subjects</w:t>
      </w:r>
      <w:r>
        <w:t xml:space="preserve"> by and within discourses. In other words, they convey feelings or thoughts from the subject positions available to them from within specific discursive practices that are constructed by social workers and social work practice.</w:t>
      </w:r>
    </w:p>
    <w:p w14:paraId="34A61A63" w14:textId="2C3CE12A" w:rsidR="00301A3B" w:rsidRDefault="00301A3B" w:rsidP="00301A3B">
      <w:r>
        <w:t xml:space="preserve">Holding multiple understandings of participation highlights how statutory review meetings can be understood as a discursive field. </w:t>
      </w:r>
      <w:r w:rsidRPr="004A174E">
        <w:t>Foucault’s concept of</w:t>
      </w:r>
      <w:r>
        <w:t xml:space="preserve"> </w:t>
      </w:r>
      <w:r w:rsidRPr="004A174E">
        <w:t>discursive practices,</w:t>
      </w:r>
      <w:r>
        <w:t xml:space="preserve"> </w:t>
      </w:r>
      <w:r w:rsidRPr="004A174E">
        <w:t>which</w:t>
      </w:r>
      <w:r>
        <w:t xml:space="preserve"> </w:t>
      </w:r>
      <w:r w:rsidRPr="004A174E">
        <w:lastRenderedPageBreak/>
        <w:t>combines</w:t>
      </w:r>
      <w:r>
        <w:t xml:space="preserve"> </w:t>
      </w:r>
      <w:r w:rsidRPr="004A174E">
        <w:t>corporality</w:t>
      </w:r>
      <w:r>
        <w:t xml:space="preserve"> </w:t>
      </w:r>
      <w:r w:rsidRPr="004A174E">
        <w:t>and</w:t>
      </w:r>
      <w:r>
        <w:t xml:space="preserve"> </w:t>
      </w:r>
      <w:r w:rsidRPr="004A174E">
        <w:t>language</w:t>
      </w:r>
      <w:r>
        <w:t>, offers a way of unpicking how young people experienced this meeting. O</w:t>
      </w:r>
      <w:r w:rsidRPr="00E92D5C">
        <w:t>rganisational activit</w:t>
      </w:r>
      <w:r>
        <w:t xml:space="preserve">ies </w:t>
      </w:r>
      <w:r w:rsidR="00F10B3D">
        <w:t>such as</w:t>
      </w:r>
      <w:r>
        <w:t xml:space="preserve"> the review meeting ‘</w:t>
      </w:r>
      <w:r w:rsidRPr="00E92D5C">
        <w:t xml:space="preserve">create </w:t>
      </w:r>
      <w:r>
        <w:t xml:space="preserve">the role of </w:t>
      </w:r>
      <w:r w:rsidRPr="00E92D5C">
        <w:t xml:space="preserve">service user and </w:t>
      </w:r>
      <w:r>
        <w:t xml:space="preserve">social </w:t>
      </w:r>
      <w:r w:rsidRPr="00E92D5C">
        <w:t>worker</w:t>
      </w:r>
      <w:r>
        <w:t>’</w:t>
      </w:r>
      <w:r w:rsidRPr="00E92D5C">
        <w:t xml:space="preserve"> through </w:t>
      </w:r>
      <w:r>
        <w:t xml:space="preserve">disciplinary techniques (Chambon, </w:t>
      </w:r>
      <w:r w:rsidRPr="00E92D5C">
        <w:t>p</w:t>
      </w:r>
      <w:r>
        <w:t>.</w:t>
      </w:r>
      <w:r w:rsidRPr="00E92D5C">
        <w:t xml:space="preserve"> 68</w:t>
      </w:r>
      <w:r>
        <w:t xml:space="preserve">, 1999). </w:t>
      </w:r>
      <w:r w:rsidR="00F10B3D">
        <w:t xml:space="preserve">This means </w:t>
      </w:r>
      <w:r>
        <w:t>that both social workers and young people operate within patterns of practice that are defined and reinforced through their use</w:t>
      </w:r>
      <w:r w:rsidR="00BE7263">
        <w:t>, i</w:t>
      </w:r>
      <w:r>
        <w:t>n this case</w:t>
      </w:r>
      <w:r w:rsidR="00E55C8E">
        <w:t>,</w:t>
      </w:r>
      <w:r>
        <w:t xml:space="preserve"> the review meeting was seen as pivotal to young people and their ability to make decisions</w:t>
      </w:r>
      <w:r w:rsidR="00BE7263">
        <w:t xml:space="preserve">. The emphasis on the review </w:t>
      </w:r>
      <w:r>
        <w:t>indicat</w:t>
      </w:r>
      <w:r w:rsidR="00BE7263">
        <w:t xml:space="preserve">es </w:t>
      </w:r>
      <w:r>
        <w:t xml:space="preserve">that </w:t>
      </w:r>
      <w:r w:rsidR="00BE7263">
        <w:t>the</w:t>
      </w:r>
      <w:r>
        <w:t xml:space="preserve"> meeting had been demarcated as </w:t>
      </w:r>
      <w:r w:rsidR="00BE7263">
        <w:t>the decision-making space</w:t>
      </w:r>
      <w:r>
        <w:t xml:space="preserve"> by their worker, carer and organisation. By positioning the meeting in this way</w:t>
      </w:r>
      <w:r w:rsidR="004D7601">
        <w:t>,</w:t>
      </w:r>
      <w:r>
        <w:t xml:space="preserve"> young people would be sensitised to confining their perspectives to the review in the same way that social workers would see it as </w:t>
      </w:r>
      <w:r w:rsidRPr="00291827">
        <w:rPr>
          <w:i/>
          <w:iCs/>
        </w:rPr>
        <w:t>the</w:t>
      </w:r>
      <w:r>
        <w:t xml:space="preserve"> vehicle for their involvement. Privileging the meeting in this way</w:t>
      </w:r>
      <w:r w:rsidR="00657E14">
        <w:t>,</w:t>
      </w:r>
      <w:r>
        <w:t xml:space="preserve"> builds the impression that it is critical to be involved but also lessens the possibility that there are other forums to talk and listen. </w:t>
      </w:r>
    </w:p>
    <w:p w14:paraId="6E468834" w14:textId="1EECCA89" w:rsidR="00301A3B" w:rsidRDefault="00301A3B" w:rsidP="00301A3B">
      <w:r w:rsidRPr="00E36EED">
        <w:t>Despite</w:t>
      </w:r>
      <w:r>
        <w:t xml:space="preserve"> this </w:t>
      </w:r>
      <w:r w:rsidRPr="003E0859">
        <w:t>elevat</w:t>
      </w:r>
      <w:r>
        <w:t xml:space="preserve">ed status, the meeting format for young people’s involvement was recognised as being problematic by participants in my study. Much like young people in other research, participants said that the environment felt alien and out of step with their </w:t>
      </w:r>
      <w:r w:rsidR="00BE7263">
        <w:t>everyday</w:t>
      </w:r>
      <w:r>
        <w:t xml:space="preserve"> lives (Roesch-Marsh, Gillies and Green, 201</w:t>
      </w:r>
      <w:r w:rsidR="00680E00">
        <w:t>7</w:t>
      </w:r>
      <w:r>
        <w:t>; Diaz, Pert and Thomas, 2018). In other studies, social workers and review managers were also aware of difficulties in contributing to a review meeting, noting that even when they felt that a young person had been well supported it was difficult to ‘create a space’ for them (Roesch-Marsh, Gillies and Green, p. 910, 201</w:t>
      </w:r>
      <w:r w:rsidR="00680E00">
        <w:t>7</w:t>
      </w:r>
      <w:r>
        <w:t>). Given that both young people and professionals can see these issues, the explanation for their continuation in the same format needs further examination. As the meeting was often identified as being the main site of decisions, the review meeting may take on a wider role in identifying whether or not a young person is capable of making meaningful contributions to significant issues in their lives.</w:t>
      </w:r>
      <w:r w:rsidR="0045538D">
        <w:t xml:space="preserve"> </w:t>
      </w:r>
      <w:r w:rsidR="009439ED">
        <w:t xml:space="preserve">As a result, </w:t>
      </w:r>
      <w:r w:rsidR="0045538D">
        <w:t>the young person’s influence in decision-making becomes limited.</w:t>
      </w:r>
    </w:p>
    <w:p w14:paraId="2524AD17" w14:textId="720CBAD1" w:rsidR="00301A3B" w:rsidRDefault="00301A3B" w:rsidP="00301A3B">
      <w:pPr>
        <w:autoSpaceDE w:val="0"/>
        <w:autoSpaceDN w:val="0"/>
        <w:adjustRightInd w:val="0"/>
      </w:pPr>
      <w:r>
        <w:t xml:space="preserve">Transposing recognisable and established adult working practice into a young person’s environment reflects the previously made </w:t>
      </w:r>
      <w:r w:rsidRPr="00866CD9">
        <w:t xml:space="preserve">point in </w:t>
      </w:r>
      <w:r w:rsidR="00866CD9" w:rsidRPr="00866CD9">
        <w:t>C</w:t>
      </w:r>
      <w:r w:rsidRPr="00866CD9">
        <w:t>hapter</w:t>
      </w:r>
      <w:r w:rsidR="00866CD9" w:rsidRPr="00866CD9">
        <w:t xml:space="preserve"> 5</w:t>
      </w:r>
      <w:r w:rsidRPr="00866CD9">
        <w:t xml:space="preserve"> </w:t>
      </w:r>
      <w:r w:rsidR="00157629">
        <w:t>highlighting the</w:t>
      </w:r>
      <w:r>
        <w:t xml:space="preserve"> </w:t>
      </w:r>
      <w:r w:rsidR="00157629">
        <w:t xml:space="preserve">discourse </w:t>
      </w:r>
      <w:r w:rsidR="004848AA">
        <w:t>of participation</w:t>
      </w:r>
      <w:r>
        <w:t xml:space="preserve"> and decision</w:t>
      </w:r>
      <w:r w:rsidR="00D53C94">
        <w:t>-</w:t>
      </w:r>
      <w:r>
        <w:t xml:space="preserve">making </w:t>
      </w:r>
      <w:r w:rsidR="00596CEF">
        <w:t xml:space="preserve">corresponding with an </w:t>
      </w:r>
      <w:r>
        <w:t xml:space="preserve">adult identity. Children or young people adhering to the practices of the meeting may be understood as having an ability to function in adult environments, whereas a lack of involvement may be perceived as immature or underdeveloped. This interpretation is problematic for young people </w:t>
      </w:r>
      <w:r w:rsidR="00457305">
        <w:t xml:space="preserve">making decisions about </w:t>
      </w:r>
      <w:r w:rsidR="00457305" w:rsidRPr="00457305">
        <w:rPr>
          <w:i/>
          <w:iCs/>
        </w:rPr>
        <w:t>Staying Put</w:t>
      </w:r>
      <w:r>
        <w:t xml:space="preserve"> who may not have had successful historical experiences in participating in their review meetings. If the review is designated as a site for assessing decision</w:t>
      </w:r>
      <w:r w:rsidR="00457305">
        <w:t>-</w:t>
      </w:r>
      <w:r>
        <w:t xml:space="preserve">making capabilities, struggling to take part may impact on their ability to be </w:t>
      </w:r>
      <w:r>
        <w:lastRenderedPageBreak/>
        <w:t>recognised as capable. Young people in my study reported ongoing concerns about the meeting format</w:t>
      </w:r>
      <w:r w:rsidR="00143A81">
        <w:t>,</w:t>
      </w:r>
      <w:r>
        <w:t xml:space="preserve"> or their role in the discussion</w:t>
      </w:r>
      <w:r w:rsidR="00143A81">
        <w:t>,</w:t>
      </w:r>
      <w:r>
        <w:t xml:space="preserve"> which sometimes led to self-examination about their ability to take part</w:t>
      </w:r>
      <w:r w:rsidR="00B74016">
        <w:t xml:space="preserve"> —</w:t>
      </w:r>
      <w:r>
        <w:t xml:space="preserve"> leading to questions about their own skills and worth. The impact of feeling excluded from decisions about their lives was consistent with the experiences of other children and young people in care. Internalised ideas of incompetency, feeling disregarded and disrespected and varying levels of confidence were common to studies by Gaskell (2010), </w:t>
      </w:r>
      <w:r w:rsidRPr="00A918F3">
        <w:t>Nybell</w:t>
      </w:r>
      <w:r>
        <w:t xml:space="preserve"> (</w:t>
      </w:r>
      <w:r w:rsidRPr="00A918F3">
        <w:t>2013</w:t>
      </w:r>
      <w:r>
        <w:t xml:space="preserve">), </w:t>
      </w:r>
      <w:r w:rsidRPr="00A918F3">
        <w:t>Goodyer</w:t>
      </w:r>
      <w:r>
        <w:t xml:space="preserve"> (</w:t>
      </w:r>
      <w:r w:rsidRPr="00A918F3">
        <w:t>2014</w:t>
      </w:r>
      <w:r>
        <w:t xml:space="preserve">) and </w:t>
      </w:r>
      <w:r w:rsidRPr="00A918F3">
        <w:t>Mateos et al.</w:t>
      </w:r>
      <w:r>
        <w:t xml:space="preserve"> (</w:t>
      </w:r>
      <w:r w:rsidRPr="00A918F3">
        <w:t>2017)</w:t>
      </w:r>
      <w:r>
        <w:t xml:space="preserve">. Rather than organisations and professionals adapting to recognise the issues young people face when part of a meeting structure, it appears that young people are expected to demonstrate their participative capabilities through their involvement in the meeting. It could be argued that maintaining the status quo reinforces the idea that participation in the meeting is synonymous with </w:t>
      </w:r>
      <w:r w:rsidRPr="00A36609">
        <w:t xml:space="preserve">discourses </w:t>
      </w:r>
      <w:r>
        <w:t xml:space="preserve">that </w:t>
      </w:r>
      <w:r w:rsidRPr="00A36609">
        <w:t xml:space="preserve">construct human beings as </w:t>
      </w:r>
      <w:r w:rsidR="009439ED">
        <w:t xml:space="preserve">independent, </w:t>
      </w:r>
      <w:r w:rsidRPr="00A36609">
        <w:t>autonomous and self-determining</w:t>
      </w:r>
      <w:r>
        <w:t xml:space="preserve"> (</w:t>
      </w:r>
      <w:r w:rsidRPr="001A256B">
        <w:rPr>
          <w:rStyle w:val="bibauth"/>
          <w:bdr w:val="none" w:sz="0" w:space="0" w:color="auto" w:frame="1"/>
          <w:shd w:val="clear" w:color="auto" w:fill="FFFFFF"/>
        </w:rPr>
        <w:t>Kjørholt</w:t>
      </w:r>
      <w:r>
        <w:rPr>
          <w:rStyle w:val="bibauth"/>
          <w:bdr w:val="none" w:sz="0" w:space="0" w:color="auto" w:frame="1"/>
          <w:shd w:val="clear" w:color="auto" w:fill="FFFFFF"/>
        </w:rPr>
        <w:t>, 2002).</w:t>
      </w:r>
      <w:r>
        <w:t xml:space="preserve"> Although as noted in </w:t>
      </w:r>
      <w:r w:rsidR="00866CD9" w:rsidRPr="00866CD9">
        <w:t>C</w:t>
      </w:r>
      <w:r w:rsidRPr="00866CD9">
        <w:t>hapter</w:t>
      </w:r>
      <w:r w:rsidR="00866CD9" w:rsidRPr="00866CD9">
        <w:t xml:space="preserve"> 4</w:t>
      </w:r>
      <w:r w:rsidRPr="00866CD9">
        <w:t>,</w:t>
      </w:r>
      <w:r>
        <w:t xml:space="preserve"> constructs of independence are problematic and do not allow for the nuances of gradual transition (</w:t>
      </w:r>
      <w:r w:rsidRPr="002B1EA9">
        <w:rPr>
          <w:rStyle w:val="bibauth"/>
          <w:bdr w:val="none" w:sz="0" w:space="0" w:color="auto" w:frame="1"/>
          <w:shd w:val="clear" w:color="auto" w:fill="FFFFFF"/>
        </w:rPr>
        <w:t>Storø</w:t>
      </w:r>
      <w:r>
        <w:rPr>
          <w:rStyle w:val="bibauth"/>
          <w:bdr w:val="none" w:sz="0" w:space="0" w:color="auto" w:frame="1"/>
          <w:shd w:val="clear" w:color="auto" w:fill="FFFFFF"/>
        </w:rPr>
        <w:t>, 2018</w:t>
      </w:r>
      <w:r>
        <w:t>). Moreover, it seems that young people’s participation is judged differently to adults, who equally might find meeting spaces difficult</w:t>
      </w:r>
      <w:r w:rsidR="00A46304">
        <w:t xml:space="preserve"> due to their own confidence or authority</w:t>
      </w:r>
      <w:r>
        <w:t>, but not to the point it leads to the</w:t>
      </w:r>
      <w:r w:rsidR="00A46304">
        <w:t>m being outside of the process</w:t>
      </w:r>
      <w:r>
        <w:t xml:space="preserve">. </w:t>
      </w:r>
    </w:p>
    <w:p w14:paraId="276313AA" w14:textId="06F01FE0" w:rsidR="00301A3B" w:rsidRDefault="00301A3B" w:rsidP="00301A3B">
      <w:r>
        <w:t xml:space="preserve">Prevailing methods of conducting and participating in meetings based on ‘anonymous, historical rules’ (Foucault, </w:t>
      </w:r>
      <w:r w:rsidR="00E83F72" w:rsidRPr="00795F4B">
        <w:t xml:space="preserve">1972. </w:t>
      </w:r>
      <w:r w:rsidRPr="00795F4B">
        <w:t>p.</w:t>
      </w:r>
      <w:r>
        <w:t xml:space="preserve"> 117)</w:t>
      </w:r>
      <w:r w:rsidR="001F6472">
        <w:t>,</w:t>
      </w:r>
      <w:r>
        <w:t xml:space="preserve"> creates an environment that makes it difficult for young people to disrupt. The review meeting space has become known through operational practice, policies and research. The technologies used, such as agenda setting, minute taking, participant reports or feedback are in place to ensure the review meeting maintains the conduct of the young person and is compatible with any aims of the organisation (Rose, 1999). In turn</w:t>
      </w:r>
      <w:r w:rsidR="00F608B1">
        <w:t>,</w:t>
      </w:r>
      <w:r>
        <w:t xml:space="preserve"> these factors operate to repeat, reflect and reinforce differ</w:t>
      </w:r>
      <w:r w:rsidR="00EF46E6">
        <w:t>ing</w:t>
      </w:r>
      <w:r>
        <w:t xml:space="preserve"> power relations within the meeting</w:t>
      </w:r>
      <w:r w:rsidR="00B815A8">
        <w:t>,</w:t>
      </w:r>
      <w:r>
        <w:t xml:space="preserve"> and in the wider organisation. Young people in my study chose to either take part or absent themselves from the meeting</w:t>
      </w:r>
      <w:r w:rsidR="00882529">
        <w:t>,</w:t>
      </w:r>
      <w:r>
        <w:t xml:space="preserve"> recognising that there was capacity to react to the strategies in place (Schirato, Danaher and Webb, 2012). Regardless of their involvement, t</w:t>
      </w:r>
      <w:r w:rsidRPr="007D60E8">
        <w:t>he meeting makes it possible to collect a</w:t>
      </w:r>
      <w:r>
        <w:t>n</w:t>
      </w:r>
      <w:r w:rsidRPr="007D60E8">
        <w:t>d constitute knowledge of the young perso</w:t>
      </w:r>
      <w:r>
        <w:t xml:space="preserve">n, making them </w:t>
      </w:r>
      <w:r w:rsidRPr="007D60E8">
        <w:t>seen and known through this</w:t>
      </w:r>
      <w:r>
        <w:t xml:space="preserve"> forum </w:t>
      </w:r>
      <w:r w:rsidRPr="007D60E8">
        <w:t>(Parton, 1999).</w:t>
      </w:r>
      <w:r w:rsidRPr="00F45749">
        <w:t xml:space="preserve"> </w:t>
      </w:r>
    </w:p>
    <w:p w14:paraId="62A0E5E3" w14:textId="7225A620" w:rsidR="00301A3B" w:rsidRDefault="00F30743" w:rsidP="00301A3B">
      <w:r w:rsidRPr="00FD4953">
        <w:t>Foucault’s u</w:t>
      </w:r>
      <w:r w:rsidR="008862E0" w:rsidRPr="00FD4953">
        <w:t xml:space="preserve">nderstanding </w:t>
      </w:r>
      <w:r w:rsidRPr="00FD4953">
        <w:t xml:space="preserve">of </w:t>
      </w:r>
      <w:r w:rsidR="008862E0" w:rsidRPr="00FD4953">
        <w:t>how k</w:t>
      </w:r>
      <w:r w:rsidR="006E2E4E" w:rsidRPr="00FD4953">
        <w:t xml:space="preserve">nowledge </w:t>
      </w:r>
      <w:r w:rsidRPr="00FD4953">
        <w:t xml:space="preserve">is </w:t>
      </w:r>
      <w:r w:rsidR="006E2E4E" w:rsidRPr="00FD4953">
        <w:t>developed through</w:t>
      </w:r>
      <w:r w:rsidR="004848AA" w:rsidRPr="00FD4953">
        <w:t xml:space="preserve"> </w:t>
      </w:r>
      <w:r w:rsidR="000C570D" w:rsidRPr="00FD4953">
        <w:t>power relations</w:t>
      </w:r>
      <w:r w:rsidRPr="00FD4953">
        <w:t xml:space="preserve"> (Chambon, 1999) </w:t>
      </w:r>
      <w:r w:rsidR="00FE484D" w:rsidRPr="00FD4953">
        <w:t>is a useful lens to consider how young people become known within the meeting structure.</w:t>
      </w:r>
      <w:r w:rsidR="006E2E4E" w:rsidRPr="00FD4953">
        <w:t xml:space="preserve"> </w:t>
      </w:r>
      <w:r w:rsidR="00301A3B" w:rsidRPr="00FD4953">
        <w:t>The young</w:t>
      </w:r>
      <w:r w:rsidR="00301A3B">
        <w:t xml:space="preserve"> people shared doubts about the accuracy of knowledge about them and questioned the perceived lack of insight or empathy shown by their supporting professionals. Issues or concerns they had about aspects of their care experience</w:t>
      </w:r>
      <w:r w:rsidR="005A1E41">
        <w:t>,</w:t>
      </w:r>
      <w:r w:rsidR="00301A3B">
        <w:t xml:space="preserve"> were </w:t>
      </w:r>
      <w:r w:rsidR="00301A3B">
        <w:lastRenderedPageBreak/>
        <w:t>seen to be overlooked in favour of their social worker or carer’s concerns. In Parton’s (1999) early analysis of risk</w:t>
      </w:r>
      <w:r w:rsidR="00F244FE">
        <w:t>,</w:t>
      </w:r>
      <w:r w:rsidR="00301A3B">
        <w:t xml:space="preserve"> he suggested that </w:t>
      </w:r>
      <w:r w:rsidR="00301A3B" w:rsidRPr="00B22650">
        <w:t>meeting</w:t>
      </w:r>
      <w:r w:rsidR="00301A3B">
        <w:t>s are</w:t>
      </w:r>
      <w:r w:rsidR="00301A3B" w:rsidRPr="00B22650">
        <w:t xml:space="preserve"> strateg</w:t>
      </w:r>
      <w:r w:rsidR="00301A3B">
        <w:t xml:space="preserve">ies to </w:t>
      </w:r>
      <w:r w:rsidR="00301A3B" w:rsidRPr="00B22650">
        <w:t xml:space="preserve">assess and manage risks within </w:t>
      </w:r>
      <w:r w:rsidR="00301A3B">
        <w:t>a</w:t>
      </w:r>
      <w:r w:rsidR="00301A3B" w:rsidRPr="00B22650">
        <w:t xml:space="preserve"> situation</w:t>
      </w:r>
      <w:r w:rsidR="00301A3B">
        <w:t xml:space="preserve">, which could explain why there is a gap between </w:t>
      </w:r>
      <w:r w:rsidR="00301A3B" w:rsidRPr="00B22650">
        <w:t>the young person</w:t>
      </w:r>
      <w:r w:rsidR="00301A3B">
        <w:t>’s</w:t>
      </w:r>
      <w:r w:rsidR="00301A3B" w:rsidRPr="00B22650">
        <w:t xml:space="preserve"> needs </w:t>
      </w:r>
      <w:r w:rsidR="00301A3B">
        <w:t>and the alternative agenda they felt was in place. Within the meeting</w:t>
      </w:r>
      <w:r w:rsidR="00325838">
        <w:t>,</w:t>
      </w:r>
      <w:r w:rsidR="00301A3B">
        <w:t xml:space="preserve"> problems or issues that young people ha</w:t>
      </w:r>
      <w:r w:rsidR="009439ED">
        <w:t>d</w:t>
      </w:r>
      <w:r w:rsidR="00325838">
        <w:t>,</w:t>
      </w:r>
      <w:r w:rsidR="00301A3B">
        <w:t xml:space="preserve"> may </w:t>
      </w:r>
      <w:r w:rsidR="009439ED">
        <w:t>have</w:t>
      </w:r>
      <w:r w:rsidR="00301A3B">
        <w:t xml:space="preserve"> become</w:t>
      </w:r>
      <w:r w:rsidR="00301A3B" w:rsidRPr="00F014E8">
        <w:t xml:space="preserve"> </w:t>
      </w:r>
      <w:r w:rsidR="00301A3B" w:rsidRPr="005747C0">
        <w:t>defined</w:t>
      </w:r>
      <w:r w:rsidR="00301A3B">
        <w:t>,</w:t>
      </w:r>
      <w:r w:rsidR="00301A3B" w:rsidRPr="005747C0">
        <w:t xml:space="preserve"> presented and prioritised </w:t>
      </w:r>
      <w:r w:rsidR="00301A3B">
        <w:t xml:space="preserve">within the </w:t>
      </w:r>
      <w:r w:rsidR="00301A3B" w:rsidRPr="005747C0">
        <w:t xml:space="preserve">framework of </w:t>
      </w:r>
      <w:r w:rsidR="00301A3B">
        <w:t xml:space="preserve">the </w:t>
      </w:r>
      <w:r w:rsidR="00301A3B" w:rsidRPr="005747C0">
        <w:t>organisation</w:t>
      </w:r>
      <w:r w:rsidR="00301A3B">
        <w:t>.</w:t>
      </w:r>
      <w:r w:rsidR="009439ED">
        <w:t xml:space="preserve"> Consequently, t</w:t>
      </w:r>
      <w:r w:rsidR="00301A3B">
        <w:t xml:space="preserve">his creates potential for </w:t>
      </w:r>
      <w:r w:rsidR="00301A3B" w:rsidRPr="003B690F">
        <w:t>decisions and discussion</w:t>
      </w:r>
      <w:r w:rsidR="00301A3B">
        <w:t xml:space="preserve">s to be </w:t>
      </w:r>
      <w:r w:rsidR="00301A3B" w:rsidRPr="003B690F">
        <w:t>framed and managed withi</w:t>
      </w:r>
      <w:r w:rsidR="00301A3B">
        <w:t>n</w:t>
      </w:r>
      <w:r w:rsidR="00301A3B" w:rsidRPr="003B690F">
        <w:t xml:space="preserve"> the meeting</w:t>
      </w:r>
      <w:r w:rsidR="009C2EE0">
        <w:t>,</w:t>
      </w:r>
      <w:r w:rsidR="00301A3B" w:rsidRPr="003B690F">
        <w:t xml:space="preserve"> so that time </w:t>
      </w:r>
      <w:r w:rsidR="00301A3B">
        <w:t xml:space="preserve">and space to explore the issue becomes </w:t>
      </w:r>
      <w:r w:rsidR="00301A3B" w:rsidRPr="003B690F">
        <w:t>limited</w:t>
      </w:r>
      <w:r w:rsidR="00301A3B">
        <w:t xml:space="preserve"> by alternative agendas. The young people talked about how difficult they found it when new information or decisions were presented</w:t>
      </w:r>
      <w:r w:rsidR="00AE3BCB">
        <w:t>,</w:t>
      </w:r>
      <w:r w:rsidR="00301A3B">
        <w:t xml:space="preserve"> suggesting that complex problems o</w:t>
      </w:r>
      <w:r w:rsidR="00EF46E6">
        <w:t>r</w:t>
      </w:r>
      <w:r w:rsidR="00301A3B">
        <w:t xml:space="preserve"> ideas had become</w:t>
      </w:r>
      <w:r w:rsidR="00301A3B" w:rsidRPr="003B690F">
        <w:t xml:space="preserve"> reduced to </w:t>
      </w:r>
      <w:r w:rsidR="00301A3B">
        <w:t xml:space="preserve">an </w:t>
      </w:r>
      <w:r w:rsidR="00301A3B" w:rsidRPr="003B690F">
        <w:t xml:space="preserve">agenda item within the review meeting process </w:t>
      </w:r>
      <w:r w:rsidR="0037323D">
        <w:t xml:space="preserve">— </w:t>
      </w:r>
      <w:r w:rsidR="00301A3B">
        <w:t>resulting in limited scope for participation in any discussion. Furthermore, by focusing on resolvable aspects of an issue in the confines of the meeting</w:t>
      </w:r>
      <w:r w:rsidR="00697D7E">
        <w:t>,</w:t>
      </w:r>
      <w:r w:rsidR="00301A3B">
        <w:t xml:space="preserve"> the problem can be seen and recorded as having been agreed</w:t>
      </w:r>
      <w:r w:rsidR="00D60E6F">
        <w:t>. Also</w:t>
      </w:r>
      <w:r w:rsidR="00301A3B">
        <w:t xml:space="preserve"> importantly</w:t>
      </w:r>
      <w:r w:rsidR="00D60E6F">
        <w:t>,</w:t>
      </w:r>
      <w:r w:rsidR="00301A3B">
        <w:t xml:space="preserve"> if present, the young person is seen to be part of the resolution. This disconnect highlighted by young people in my study suggests, the operation of discursive practices have defined the meeting as a visibly participative forum, illuminating how power can be produced in and around the meeting (Chambon, 2003). The meeting function u</w:t>
      </w:r>
      <w:r w:rsidR="00301A3B" w:rsidRPr="00F45749">
        <w:t>nderlin</w:t>
      </w:r>
      <w:r w:rsidR="00301A3B">
        <w:t>es</w:t>
      </w:r>
      <w:r w:rsidR="00301A3B" w:rsidRPr="00F45749">
        <w:t xml:space="preserve"> Foucault’s understanding of power</w:t>
      </w:r>
      <w:r w:rsidR="00D53C94">
        <w:t xml:space="preserve"> as relational</w:t>
      </w:r>
      <w:r w:rsidR="00301A3B">
        <w:t>. T</w:t>
      </w:r>
      <w:r w:rsidR="00301A3B" w:rsidRPr="00F45749">
        <w:t xml:space="preserve">hrough modes of discipline any attendee of the meeting could hold a powerful position as it is the mechanisms themselves rather than the person </w:t>
      </w:r>
      <w:r w:rsidR="008F39D3">
        <w:t>through which</w:t>
      </w:r>
      <w:r w:rsidR="00301A3B" w:rsidRPr="00F45749">
        <w:t xml:space="preserve"> power is exercised (Foucault, 1979).</w:t>
      </w:r>
    </w:p>
    <w:p w14:paraId="66D74D6D" w14:textId="6E5A372D" w:rsidR="00301A3B" w:rsidRPr="00F3267E" w:rsidRDefault="00301A3B" w:rsidP="00202ED0">
      <w:pPr>
        <w:pStyle w:val="Heading3"/>
      </w:pPr>
      <w:r w:rsidRPr="00E07539">
        <w:t>Veil of Participation</w:t>
      </w:r>
    </w:p>
    <w:p w14:paraId="6CC231BA" w14:textId="283A5D42" w:rsidR="00301A3B" w:rsidRDefault="00301A3B" w:rsidP="00301A3B">
      <w:r w:rsidRPr="00E07325">
        <w:t xml:space="preserve">So far, this chapter has focussed on the conditions </w:t>
      </w:r>
      <w:r>
        <w:t>and</w:t>
      </w:r>
      <w:r w:rsidRPr="00E07325">
        <w:t xml:space="preserve"> understandings of how young people </w:t>
      </w:r>
      <w:r w:rsidR="009439ED">
        <w:t xml:space="preserve">generally </w:t>
      </w:r>
      <w:r w:rsidRPr="00E07325">
        <w:t>felt excluded from decision</w:t>
      </w:r>
      <w:r w:rsidR="007B5BAE">
        <w:t>-</w:t>
      </w:r>
      <w:r w:rsidRPr="00E07325">
        <w:t>making during their care experience</w:t>
      </w:r>
      <w:r w:rsidR="007B5BAE">
        <w:t xml:space="preserve"> </w:t>
      </w:r>
      <w:r w:rsidR="009439ED">
        <w:t xml:space="preserve">and </w:t>
      </w:r>
      <w:r w:rsidR="007B5BAE">
        <w:t xml:space="preserve">relating to their decision about </w:t>
      </w:r>
      <w:r w:rsidR="007B5BAE" w:rsidRPr="007B5BAE">
        <w:rPr>
          <w:i/>
          <w:iCs/>
        </w:rPr>
        <w:t>Staying Put</w:t>
      </w:r>
      <w:r w:rsidRPr="00E07325">
        <w:t>. The accumulation of participative policies and intentions have not translated into young people feeling a sense of control or agency in decision</w:t>
      </w:r>
      <w:r w:rsidR="007B5BAE">
        <w:t>-</w:t>
      </w:r>
      <w:r w:rsidRPr="00E07325">
        <w:t xml:space="preserve">making. Foucault’s understanding of power offers a way to examine this discrepancy. Problematising common terms such as </w:t>
      </w:r>
      <w:r w:rsidRPr="00E07325">
        <w:rPr>
          <w:i/>
          <w:iCs/>
        </w:rPr>
        <w:t>participation</w:t>
      </w:r>
      <w:r w:rsidRPr="00E07325">
        <w:t xml:space="preserve"> and </w:t>
      </w:r>
      <w:r w:rsidR="00DC59B2">
        <w:rPr>
          <w:i/>
          <w:iCs/>
        </w:rPr>
        <w:t>decision-making</w:t>
      </w:r>
      <w:r w:rsidRPr="00E07325">
        <w:t xml:space="preserve"> enables focus on how practice can create or reproduce power relations between young people and social work professionals (Chambon, 1999). Examining these terms can move focus from individual experiences to ‘language, interaction and processes’ between young people and their supporting adults and organisations (Levin, 2007</w:t>
      </w:r>
      <w:r>
        <w:t>,</w:t>
      </w:r>
      <w:r w:rsidRPr="00EF434B">
        <w:t xml:space="preserve"> </w:t>
      </w:r>
      <w:r w:rsidRPr="00E07325">
        <w:t xml:space="preserve">p. 31). In previous chapters, the terms </w:t>
      </w:r>
      <w:r w:rsidRPr="00C145F7">
        <w:rPr>
          <w:i/>
          <w:iCs/>
        </w:rPr>
        <w:t>participation</w:t>
      </w:r>
      <w:r w:rsidRPr="00E07325">
        <w:t xml:space="preserve"> and </w:t>
      </w:r>
      <w:r w:rsidRPr="00C145F7">
        <w:rPr>
          <w:i/>
          <w:iCs/>
        </w:rPr>
        <w:t>decision</w:t>
      </w:r>
      <w:r w:rsidR="007B5BAE">
        <w:rPr>
          <w:i/>
          <w:iCs/>
        </w:rPr>
        <w:t>-</w:t>
      </w:r>
      <w:r w:rsidRPr="00F206E2">
        <w:rPr>
          <w:i/>
          <w:iCs/>
        </w:rPr>
        <w:t>making</w:t>
      </w:r>
      <w:r w:rsidRPr="00E07325">
        <w:t xml:space="preserve"> are used interchangeably</w:t>
      </w:r>
      <w:r>
        <w:t xml:space="preserve"> with other synonyms of involvement </w:t>
      </w:r>
      <w:r w:rsidR="00C703DF">
        <w:t>—</w:t>
      </w:r>
      <w:r w:rsidRPr="00E07325">
        <w:t xml:space="preserve"> reflecting other work in this field. The next section argues that the discourse of participation</w:t>
      </w:r>
      <w:r>
        <w:t xml:space="preserve">, and </w:t>
      </w:r>
      <w:r w:rsidRPr="00E07325">
        <w:t>the fluid use of terminology</w:t>
      </w:r>
      <w:r>
        <w:t xml:space="preserve">, </w:t>
      </w:r>
      <w:r w:rsidRPr="00E07325">
        <w:t xml:space="preserve">obfuscates the role of young people in </w:t>
      </w:r>
      <w:r w:rsidRPr="00E07325">
        <w:lastRenderedPageBreak/>
        <w:t>decision</w:t>
      </w:r>
      <w:r w:rsidR="007B5BAE">
        <w:t>-</w:t>
      </w:r>
      <w:r w:rsidRPr="00E07325">
        <w:t>making</w:t>
      </w:r>
      <w:r>
        <w:t xml:space="preserve"> and i</w:t>
      </w:r>
      <w:r w:rsidRPr="00E07325">
        <w:t xml:space="preserve">nfluences how young people are framed </w:t>
      </w:r>
      <w:r>
        <w:t xml:space="preserve">in binary terms </w:t>
      </w:r>
      <w:r w:rsidR="008637B0">
        <w:t>—</w:t>
      </w:r>
      <w:r>
        <w:t xml:space="preserve"> as</w:t>
      </w:r>
      <w:r w:rsidRPr="00E07325">
        <w:t xml:space="preserve"> active or passive participants in the process</w:t>
      </w:r>
      <w:r>
        <w:t>.</w:t>
      </w:r>
    </w:p>
    <w:p w14:paraId="57CC4767" w14:textId="31A7523F" w:rsidR="00301A3B" w:rsidRDefault="00301A3B" w:rsidP="00301A3B">
      <w:r>
        <w:t>Discourses formed through ‘social practices, forms of subjectivity and power relations’ (Weedon</w:t>
      </w:r>
      <w:r w:rsidR="00E609D9">
        <w:t xml:space="preserve">, </w:t>
      </w:r>
      <w:r>
        <w:t>1997</w:t>
      </w:r>
      <w:r w:rsidR="00E609D9">
        <w:t>, p. 104</w:t>
      </w:r>
      <w:r>
        <w:t xml:space="preserve">) </w:t>
      </w:r>
      <w:r w:rsidRPr="00866CD9">
        <w:t xml:space="preserve">produce meanings and interpretations of participation and </w:t>
      </w:r>
      <w:r w:rsidR="00DC59B2">
        <w:t>decision-making</w:t>
      </w:r>
      <w:r w:rsidRPr="00866CD9">
        <w:t xml:space="preserve"> specific to their time. In </w:t>
      </w:r>
      <w:r w:rsidR="00866CD9" w:rsidRPr="00866CD9">
        <w:t>C</w:t>
      </w:r>
      <w:r w:rsidRPr="00866CD9">
        <w:t>hapter</w:t>
      </w:r>
      <w:r w:rsidR="00866CD9" w:rsidRPr="00866CD9">
        <w:t xml:space="preserve"> 5</w:t>
      </w:r>
      <w:r w:rsidRPr="00866CD9">
        <w:t>,</w:t>
      </w:r>
      <w:r>
        <w:t xml:space="preserve"> an understanding of participation and children’s </w:t>
      </w:r>
      <w:r w:rsidR="00DC59B2">
        <w:t>decision-making</w:t>
      </w:r>
      <w:r>
        <w:t xml:space="preserve"> was set out. Participation was identified as a marker of good citizenship and functioning adulthood (Kjørholt, 2002) and a means to express children’s rights. Meanings of participation in social work practice centre on egalitarian notions of involvement and empowerment, where expertise is not a precursor</w:t>
      </w:r>
      <w:r w:rsidR="00A8101A">
        <w:t>,</w:t>
      </w:r>
      <w:r>
        <w:t xml:space="preserve"> and insight </w:t>
      </w:r>
      <w:r w:rsidR="00F10B3D">
        <w:t xml:space="preserve">is </w:t>
      </w:r>
      <w:r>
        <w:t xml:space="preserve">a shared endeavour (Hugman, 1991; Beresford, 2017). Participation’s amorphous conceptualisation detailed in the commentary in </w:t>
      </w:r>
      <w:r w:rsidR="00866CD9" w:rsidRPr="00866CD9">
        <w:t>C</w:t>
      </w:r>
      <w:r w:rsidRPr="00866CD9">
        <w:t>hapter</w:t>
      </w:r>
      <w:r w:rsidR="00866CD9" w:rsidRPr="00866CD9">
        <w:t xml:space="preserve"> 5</w:t>
      </w:r>
      <w:r w:rsidRPr="00866CD9">
        <w:t>, was</w:t>
      </w:r>
      <w:r>
        <w:t xml:space="preserve"> reflected in the experiences of the young people who appeared to struggle to identify what their participation looked like. Attending their review meeting, talking </w:t>
      </w:r>
      <w:r w:rsidR="00A45D07">
        <w:t>with</w:t>
      </w:r>
      <w:r>
        <w:t xml:space="preserve"> social workers and carers, and form filling were all cited as ways they participated. However, in these exchanges young people described experiences of exclusion, omission and being silenced</w:t>
      </w:r>
      <w:r w:rsidR="009D372F">
        <w:t xml:space="preserve">. </w:t>
      </w:r>
      <w:r w:rsidR="00F10B3D">
        <w:t>This s</w:t>
      </w:r>
      <w:r>
        <w:t>ugges</w:t>
      </w:r>
      <w:r w:rsidR="00F10B3D">
        <w:t xml:space="preserve">ts </w:t>
      </w:r>
      <w:r>
        <w:t>that being present at these junctures</w:t>
      </w:r>
      <w:r w:rsidR="009D372F">
        <w:t>,</w:t>
      </w:r>
      <w:r>
        <w:t xml:space="preserve"> or taking part in meetings</w:t>
      </w:r>
      <w:r w:rsidR="009D372F">
        <w:t>,</w:t>
      </w:r>
      <w:r>
        <w:t xml:space="preserve"> young people became constructed as participating subjects by default. How their participation started or ended was not clear to them, nor was the impact of their contribution.</w:t>
      </w:r>
    </w:p>
    <w:p w14:paraId="6194678B" w14:textId="302CE69F" w:rsidR="00301A3B" w:rsidRDefault="00301A3B" w:rsidP="00301A3B">
      <w:r>
        <w:t>In contrast to the uncertainty of participation, decision</w:t>
      </w:r>
      <w:r w:rsidR="00D53C94">
        <w:t>-</w:t>
      </w:r>
      <w:r>
        <w:t>making was seen by young people in a more defined way. They commonly associated a decision with a particular circumstance or event rather than a meeting or a discussion</w:t>
      </w:r>
      <w:r w:rsidR="007B5BAE">
        <w:t xml:space="preserve">, evident in how they saw the decision-making about </w:t>
      </w:r>
      <w:r w:rsidR="007B5BAE" w:rsidRPr="007B5BAE">
        <w:rPr>
          <w:i/>
          <w:iCs/>
        </w:rPr>
        <w:t>Staying Pu</w:t>
      </w:r>
      <w:r w:rsidR="007B5BAE">
        <w:t>t</w:t>
      </w:r>
      <w:r>
        <w:t xml:space="preserve">. Wider discourses of </w:t>
      </w:r>
      <w:r w:rsidR="00D53C94">
        <w:t xml:space="preserve">techno-rational </w:t>
      </w:r>
      <w:r>
        <w:t>decision</w:t>
      </w:r>
      <w:r w:rsidR="00D53C94">
        <w:t>-m</w:t>
      </w:r>
      <w:r>
        <w:t xml:space="preserve">aking interlink with ideas of control, agency and responsibility, which Rose and Miller (2010) associated with the neoliberal ideas of the entrepreneurial self. Being entrepreneurial in this sense marks individuals as autonomous, agentive and ‘controlling their destinies’ (Rose and Miller, 2010, p. 296). For social workers, their </w:t>
      </w:r>
      <w:r w:rsidR="00DC59B2">
        <w:t>decision-making</w:t>
      </w:r>
      <w:r>
        <w:t xml:space="preserve"> is also imbued with ideas of responsibility and ‘the art and science of professional judgement’ (Taylor, 2017, p. 2). Social work decisions have become significant sites of professional identification </w:t>
      </w:r>
      <w:r w:rsidR="00307D5E">
        <w:t>—</w:t>
      </w:r>
      <w:r>
        <w:t xml:space="preserve"> where the discursive formations of expertise, judgement and professionalism produce the identity of the practitioner and the profession. Social workers become subject through local and national scrutiny of </w:t>
      </w:r>
      <w:r w:rsidR="00D53C94">
        <w:t>decision-making</w:t>
      </w:r>
      <w:r>
        <w:t xml:space="preserve"> practice, affording them a professional standing (Gilbert and Powell, 2010).</w:t>
      </w:r>
    </w:p>
    <w:p w14:paraId="7C6F0D46" w14:textId="1B46C6F5" w:rsidR="00301A3B" w:rsidRDefault="00301A3B" w:rsidP="00301A3B">
      <w:r>
        <w:lastRenderedPageBreak/>
        <w:t>Given that making decisions is enmeshed with the social work role, extending this responsibility to children and young people requires the social worker to recognise decision</w:t>
      </w:r>
      <w:r w:rsidR="007B5BAE">
        <w:t>-</w:t>
      </w:r>
      <w:r>
        <w:t xml:space="preserve"> making in a different context.</w:t>
      </w:r>
      <w:r w:rsidR="00D53C94">
        <w:t xml:space="preserve"> </w:t>
      </w:r>
      <w:r w:rsidR="007B5BAE">
        <w:t xml:space="preserve">In relation to </w:t>
      </w:r>
      <w:r w:rsidR="00D53C94">
        <w:t xml:space="preserve">this study, the extension of responsibility is to young people deciding </w:t>
      </w:r>
      <w:r w:rsidR="00F95986">
        <w:t>to leave or to stay with their carers</w:t>
      </w:r>
      <w:r w:rsidR="00D53C94" w:rsidRPr="00D53C94">
        <w:rPr>
          <w:i/>
          <w:iCs/>
        </w:rPr>
        <w:t>.</w:t>
      </w:r>
      <w:r>
        <w:t xml:space="preserve"> Where a social worker has been educated and assessed as being expert in </w:t>
      </w:r>
      <w:r w:rsidR="00DC59B2">
        <w:t>decision-making</w:t>
      </w:r>
      <w:r>
        <w:t xml:space="preserve"> </w:t>
      </w:r>
      <w:r w:rsidR="00307D5E">
        <w:t>—</w:t>
      </w:r>
      <w:r>
        <w:t xml:space="preserve"> permitting them authority to express their views </w:t>
      </w:r>
      <w:r w:rsidR="00307D5E">
        <w:t>—</w:t>
      </w:r>
      <w:r>
        <w:t xml:space="preserve"> children and young people have not. A combination of a child’s novice position and their perceived need for protection (Shemmings, 2000) highlight the distinction in identity between the social worker and the child or young person with whom they work</w:t>
      </w:r>
      <w:r w:rsidR="00F95986">
        <w:t>, where the social worker is understood as skilled to make a decision and a child/young person is not</w:t>
      </w:r>
      <w:r>
        <w:t>. In this sense, children and young people are ‘the ultimate other’, where their decisions may be seen as naïve and needing the legitimisation of those who hold expertise (Ca</w:t>
      </w:r>
      <w:r w:rsidR="006C1845">
        <w:t>n</w:t>
      </w:r>
      <w:r>
        <w:t xml:space="preserve">nella, p. 36, </w:t>
      </w:r>
      <w:r w:rsidR="006C1845">
        <w:t>2000</w:t>
      </w:r>
      <w:r w:rsidR="00F95986">
        <w:t>). For</w:t>
      </w:r>
      <w:r w:rsidR="00D53C94">
        <w:t xml:space="preserve"> young people making decisions about where they will live after they have turned 18, social workers may not feel confident in permitting young people to make the decision without their input. </w:t>
      </w:r>
    </w:p>
    <w:p w14:paraId="50C3C515" w14:textId="49410885" w:rsidR="00301A3B" w:rsidRDefault="00301A3B" w:rsidP="00301A3B">
      <w:r>
        <w:t xml:space="preserve">Through the two distinct discourses </w:t>
      </w:r>
      <w:r w:rsidR="007B5BAE">
        <w:t xml:space="preserve">of involvement </w:t>
      </w:r>
      <w:r>
        <w:t>young people appear to be positioned as a participant or a decision maker. Based on the young people’s responses</w:t>
      </w:r>
      <w:r w:rsidR="00F95986">
        <w:t>,</w:t>
      </w:r>
      <w:r>
        <w:t xml:space="preserve"> participation seemed to be used as a veil either covering or revealing their involvement in decisions. Where young people felt that the social worker was confident in them or there was a consensus between young person, carer and worker, the social worker extended the role of decision maker to include the young person. In this instance, the veil or use of participation becomes less evident and the language of decision</w:t>
      </w:r>
      <w:r w:rsidR="007B5BAE">
        <w:t>-</w:t>
      </w:r>
      <w:r>
        <w:t xml:space="preserve">making is more present. Where there were no </w:t>
      </w:r>
      <w:r w:rsidR="009A3C4E">
        <w:t xml:space="preserve">articulated </w:t>
      </w:r>
      <w:r>
        <w:t xml:space="preserve">options, or the issues were perceived as too complex or contentious, young people’s involvement seemed to be limited. In these situations, the veil of participation is lowered, and decisions are less explicitly discussed. This was apparent when the young people talked about their decision to stay put. The clearer cut the situation the more explicitly they could identify their involvement. Conversely where the young person was told what to do, they were unclear about their involvement. When searching for possible examples of involvement they referred to meetings and discussions – emblems of participative discourse. </w:t>
      </w:r>
    </w:p>
    <w:p w14:paraId="3E172FF2" w14:textId="601A5ED9" w:rsidR="00301A3B" w:rsidRDefault="00301A3B" w:rsidP="00301A3B">
      <w:r>
        <w:t>Using the discourse of participation to mean decision</w:t>
      </w:r>
      <w:r w:rsidR="007B5BAE">
        <w:t>-</w:t>
      </w:r>
      <w:r>
        <w:t>making depending on the circumstance, may well persuade the young person into thinking that they are, or have the ability to make an independent choice. The performative aspects of participation such as attending meetings and completing paperwork infer that decision</w:t>
      </w:r>
      <w:r w:rsidR="007B5BAE">
        <w:t>-</w:t>
      </w:r>
      <w:r>
        <w:t xml:space="preserve">making is on the </w:t>
      </w:r>
      <w:r w:rsidR="009A3C4E">
        <w:t>table when</w:t>
      </w:r>
      <w:r>
        <w:t xml:space="preserve"> this might not be the case. Where young people choose not to take part in organisational activities, knowledge becomes established that the young person has opted </w:t>
      </w:r>
      <w:r>
        <w:lastRenderedPageBreak/>
        <w:t>out and can be explained or excused without critically considering why this is the case. The ambivalent perspective of agency can get lost between the discussion of participation and decision</w:t>
      </w:r>
      <w:r w:rsidR="007B5BAE">
        <w:t>-</w:t>
      </w:r>
      <w:r>
        <w:t xml:space="preserve">making, </w:t>
      </w:r>
      <w:r w:rsidR="007B5BAE">
        <w:t>which</w:t>
      </w:r>
      <w:r>
        <w:t xml:space="preserve"> can only be ‘determined by examining specific instances’ (Gallagher, 2019, p. 198). </w:t>
      </w:r>
    </w:p>
    <w:p w14:paraId="34C61E4B" w14:textId="176F8475" w:rsidR="00301A3B" w:rsidRDefault="00301A3B" w:rsidP="00301A3B">
      <w:r>
        <w:t xml:space="preserve">Although my study does not claim that social workers purposefully use the veil of participation to manage a young person’s involvement, the young people interviewed were able to recognise definite experiences of exclusion. The indication </w:t>
      </w:r>
      <w:r w:rsidR="007B5BAE">
        <w:t xml:space="preserve">being </w:t>
      </w:r>
      <w:r>
        <w:t>that participation has become merged with decision</w:t>
      </w:r>
      <w:r w:rsidR="007B5BAE">
        <w:t>-</w:t>
      </w:r>
      <w:r>
        <w:t xml:space="preserve">making, </w:t>
      </w:r>
      <w:r w:rsidR="007B5BAE">
        <w:t xml:space="preserve">which </w:t>
      </w:r>
      <w:r>
        <w:t>distracts from their valid and essential differences</w:t>
      </w:r>
      <w:r w:rsidR="00EF46E6">
        <w:t>,</w:t>
      </w:r>
      <w:r>
        <w:t xml:space="preserve"> </w:t>
      </w:r>
      <w:r w:rsidR="00EF46E6">
        <w:t>n</w:t>
      </w:r>
      <w:r>
        <w:t>amely that participation is intended to add useful insight and engagement to the act of decision</w:t>
      </w:r>
      <w:r w:rsidR="007B5BAE">
        <w:t>-</w:t>
      </w:r>
      <w:r>
        <w:t>making. With shared clarity, professionals could employ consistent and versatile practice methods leading to a young person who feels supported and has clear and realistic expectations</w:t>
      </w:r>
      <w:r w:rsidR="0045538D">
        <w:t xml:space="preserve">, leading to an increase in involvement with their decision-making about </w:t>
      </w:r>
      <w:r w:rsidR="0045538D" w:rsidRPr="0045538D">
        <w:rPr>
          <w:i/>
          <w:iCs/>
        </w:rPr>
        <w:t>Staying Put</w:t>
      </w:r>
      <w:r w:rsidR="0045538D">
        <w:t>.</w:t>
      </w:r>
    </w:p>
    <w:p w14:paraId="1BC008BC" w14:textId="28FACAFB" w:rsidR="00301A3B" w:rsidRPr="00C2384B" w:rsidRDefault="00301A3B" w:rsidP="006E3485">
      <w:pPr>
        <w:pStyle w:val="Heading2"/>
      </w:pPr>
      <w:bookmarkStart w:id="85" w:name="_Toc101108523"/>
      <w:r w:rsidRPr="00353D16">
        <w:t>Curated information</w:t>
      </w:r>
      <w:bookmarkEnd w:id="85"/>
      <w:r w:rsidRPr="00C2384B">
        <w:t xml:space="preserve"> </w:t>
      </w:r>
    </w:p>
    <w:p w14:paraId="15DC59CA" w14:textId="445C2FE8" w:rsidR="00301A3B" w:rsidRDefault="00301A3B" w:rsidP="00301A3B">
      <w:r>
        <w:t>T</w:t>
      </w:r>
      <w:r w:rsidRPr="00B641B4">
        <w:t xml:space="preserve">he next three sections focus on what </w:t>
      </w:r>
      <w:r>
        <w:t>my</w:t>
      </w:r>
      <w:r w:rsidRPr="00B641B4">
        <w:t xml:space="preserve"> study can contribute to the field of research about </w:t>
      </w:r>
      <w:r w:rsidRPr="00B641B4">
        <w:rPr>
          <w:i/>
          <w:iCs/>
        </w:rPr>
        <w:t>Staying Put</w:t>
      </w:r>
      <w:r w:rsidRPr="00B641B4">
        <w:t xml:space="preserve">. </w:t>
      </w:r>
      <w:r w:rsidRPr="00B641B4">
        <w:rPr>
          <w:i/>
          <w:iCs/>
        </w:rPr>
        <w:t>Staying Put</w:t>
      </w:r>
      <w:r w:rsidRPr="00B641B4">
        <w:t xml:space="preserve"> was designed to better replicate the transition experiences of young people in the wider population. Longer and less chronologically based transitions from care have been identified as a positive move for young people previously experiencing the ‘cliff edge’ model of support (Cameron et al., 2018). </w:t>
      </w:r>
      <w:r w:rsidR="00F95986" w:rsidRPr="00B641B4">
        <w:t>All</w:t>
      </w:r>
      <w:r w:rsidRPr="00B641B4">
        <w:t xml:space="preserve"> the young people in this study wanted t</w:t>
      </w:r>
      <w:r>
        <w:t>he</w:t>
      </w:r>
      <w:r w:rsidRPr="00B641B4">
        <w:t xml:space="preserve"> option to stay</w:t>
      </w:r>
      <w:r>
        <w:t>,</w:t>
      </w:r>
      <w:r w:rsidRPr="00B641B4">
        <w:t xml:space="preserve"> underlining that this scheme is important for young people leaving care.</w:t>
      </w:r>
      <w:r>
        <w:t xml:space="preserve"> However, wanting to stay was accompanied by a poor understanding of what </w:t>
      </w:r>
      <w:r w:rsidRPr="00BF46DE">
        <w:rPr>
          <w:i/>
          <w:iCs/>
        </w:rPr>
        <w:t>Staying Put</w:t>
      </w:r>
      <w:r>
        <w:t xml:space="preserve"> would mean for them and their foster carers</w:t>
      </w:r>
      <w:r w:rsidR="00954893">
        <w:t>, relevant when thinking about the factors that inform</w:t>
      </w:r>
      <w:r w:rsidR="009A3C4E">
        <w:t>ed</w:t>
      </w:r>
      <w:r w:rsidR="00954893">
        <w:t xml:space="preserve"> their decision-making</w:t>
      </w:r>
      <w:r>
        <w:t>.</w:t>
      </w:r>
    </w:p>
    <w:p w14:paraId="19E63BDF" w14:textId="4880A4B2" w:rsidR="00301A3B" w:rsidRDefault="00301A3B" w:rsidP="00301A3B">
      <w:r>
        <w:t xml:space="preserve">In </w:t>
      </w:r>
      <w:r w:rsidR="00866CD9" w:rsidRPr="002C5A99">
        <w:t>C</w:t>
      </w:r>
      <w:r w:rsidRPr="002C5A99">
        <w:t>hapter</w:t>
      </w:r>
      <w:r w:rsidR="00866CD9" w:rsidRPr="002C5A99">
        <w:t xml:space="preserve"> </w:t>
      </w:r>
      <w:r w:rsidR="006B36D6" w:rsidRPr="002C5A99">
        <w:t>8</w:t>
      </w:r>
      <w:r w:rsidRPr="002C5A99">
        <w:t>, the</w:t>
      </w:r>
      <w:r>
        <w:t xml:space="preserve"> young people’s accounts of facing incomplete information were noted. Their perceptions formed about their social worker</w:t>
      </w:r>
      <w:r w:rsidR="00EF46E6">
        <w:t>’s</w:t>
      </w:r>
      <w:r>
        <w:t xml:space="preserve"> or carer’s lack of awareness ranged from incompetence</w:t>
      </w:r>
      <w:r w:rsidR="00354108">
        <w:t>,</w:t>
      </w:r>
      <w:r>
        <w:t xml:space="preserve"> or uncaring</w:t>
      </w:r>
      <w:r w:rsidR="00354108">
        <w:t>,</w:t>
      </w:r>
      <w:r>
        <w:t xml:space="preserve"> to accepted confusion. Lacking information about their options reflects other leaving care research, where young people also felt in the dark when making plans to move on (</w:t>
      </w:r>
      <w:r w:rsidRPr="00917CDE">
        <w:t>Ayre et al., 2016</w:t>
      </w:r>
      <w:r>
        <w:t xml:space="preserve">) and confirming their need for well-trained carers and workers who could help them (Harder et al., 2020). Based on the young people’s experiences, the </w:t>
      </w:r>
      <w:r w:rsidRPr="003C0E89">
        <w:t>lack of clarity</w:t>
      </w:r>
      <w:r>
        <w:t xml:space="preserve"> about </w:t>
      </w:r>
      <w:r w:rsidRPr="00BF46DE">
        <w:rPr>
          <w:i/>
          <w:iCs/>
        </w:rPr>
        <w:t>Staying Put</w:t>
      </w:r>
      <w:r>
        <w:t xml:space="preserve"> was not exclusive to the </w:t>
      </w:r>
      <w:r w:rsidRPr="00CA37D3">
        <w:t>social worker</w:t>
      </w:r>
      <w:r>
        <w:t xml:space="preserve">, as </w:t>
      </w:r>
      <w:r w:rsidR="00954893">
        <w:t>r</w:t>
      </w:r>
      <w:r w:rsidR="00291E1D">
        <w:t>eview manager</w:t>
      </w:r>
      <w:r>
        <w:t>s and foster carers were also seemingly unsure about the mechanics of the scheme. A</w:t>
      </w:r>
      <w:r w:rsidRPr="00CA37D3">
        <w:t xml:space="preserve"> lack of foundational information and understanding</w:t>
      </w:r>
      <w:r>
        <w:t xml:space="preserve"> hindered the young people who were reliant on workers and carers to help them make sense of this decision and future </w:t>
      </w:r>
      <w:r>
        <w:lastRenderedPageBreak/>
        <w:t xml:space="preserve">arrangements once the decision had been made. The young people in my study were understanding about the gaps in their carer’s understanding. However, this understanding was not extended to their individual social worker who was expected to know the details of </w:t>
      </w:r>
      <w:r w:rsidRPr="00F009BD">
        <w:rPr>
          <w:i/>
          <w:iCs/>
        </w:rPr>
        <w:t>Staying Put</w:t>
      </w:r>
      <w:r>
        <w:t xml:space="preserve">. The need for their social worker to understand </w:t>
      </w:r>
      <w:r w:rsidRPr="00F009BD">
        <w:rPr>
          <w:i/>
          <w:iCs/>
        </w:rPr>
        <w:t>Staying Put</w:t>
      </w:r>
      <w:r>
        <w:t xml:space="preserve"> appeared critical to supporting their decision but also an indicator </w:t>
      </w:r>
      <w:r w:rsidR="009A3C4E">
        <w:t>of the potential of the relationship between social worker and young person</w:t>
      </w:r>
      <w:r>
        <w:t xml:space="preserve">. Some of the young people speculated that their social worker’s ignorance about </w:t>
      </w:r>
      <w:r w:rsidRPr="00BF46DE">
        <w:rPr>
          <w:i/>
          <w:iCs/>
        </w:rPr>
        <w:t>Staying Put</w:t>
      </w:r>
      <w:r>
        <w:t xml:space="preserve"> was typical of their response to leaving care issues but also symptomatic of the poor knowledge base in the wider profession. The lack of knowledge across the social workers discussed in my study, highlights concerns raised in other research about the change in practice focus. The lack of attention to the detail or impact of </w:t>
      </w:r>
      <w:r w:rsidRPr="00BF46DE">
        <w:rPr>
          <w:i/>
          <w:iCs/>
        </w:rPr>
        <w:t>Staying Put</w:t>
      </w:r>
      <w:r>
        <w:t xml:space="preserve"> reflects deeper concerns about the erosion of professional expertise and relational activity. Rather than equipping themselves with the knowledge relevant to young people they work with, social workers may be preoccupied with productivity and risk management (Butler and Drakeford, 2005). </w:t>
      </w:r>
    </w:p>
    <w:p w14:paraId="29F7EB71" w14:textId="514CAF98" w:rsidR="00301A3B" w:rsidRDefault="00301A3B" w:rsidP="00301A3B">
      <w:r>
        <w:t xml:space="preserve">Although the remit of </w:t>
      </w:r>
      <w:r w:rsidR="003514F4">
        <w:t>my</w:t>
      </w:r>
      <w:r>
        <w:t xml:space="preserve"> study was not specifically about the social work role, the views of the young people about differences they experienced between their social worker and personal advisor </w:t>
      </w:r>
      <w:r w:rsidR="00954893">
        <w:t>are relevant when thinking about factors that inform decision-making. R</w:t>
      </w:r>
      <w:r>
        <w:t xml:space="preserve">ole differentiation could be important when thinking about why </w:t>
      </w:r>
      <w:r w:rsidRPr="003C0E89">
        <w:t>social workers</w:t>
      </w:r>
      <w:r>
        <w:t xml:space="preserve"> appeared to misunderstand </w:t>
      </w:r>
      <w:r w:rsidRPr="00BF46DE">
        <w:rPr>
          <w:i/>
          <w:iCs/>
        </w:rPr>
        <w:t>Staying Put</w:t>
      </w:r>
      <w:r w:rsidR="00954893">
        <w:rPr>
          <w:i/>
          <w:iCs/>
        </w:rPr>
        <w:t xml:space="preserve">, </w:t>
      </w:r>
      <w:r w:rsidR="00954893" w:rsidRPr="00954893">
        <w:t>making them ill-informed when advising young people</w:t>
      </w:r>
      <w:r>
        <w:t xml:space="preserve">. Changes to organisational structures and staff turnover detailed in </w:t>
      </w:r>
      <w:r w:rsidR="00866CD9" w:rsidRPr="00866CD9">
        <w:t>C</w:t>
      </w:r>
      <w:r w:rsidRPr="00866CD9">
        <w:t>hapter</w:t>
      </w:r>
      <w:r w:rsidR="00866CD9" w:rsidRPr="00866CD9">
        <w:t xml:space="preserve"> 3</w:t>
      </w:r>
      <w:r>
        <w:t xml:space="preserve"> highlighted the transient and disparate nature of social work services. As a result, issue specific knowledge is divided between social workers and other professions, but then further siloed by the creation of specialisms within an organisation (Frost, 2017). The location of expertise about leaving care and specifically </w:t>
      </w:r>
      <w:r w:rsidRPr="00BF46DE">
        <w:rPr>
          <w:i/>
          <w:iCs/>
        </w:rPr>
        <w:t>Staying Put</w:t>
      </w:r>
      <w:r>
        <w:t xml:space="preserve"> may well indicate the operation of professional discourses in social work organisations. Discursive practices </w:t>
      </w:r>
      <w:r w:rsidR="00F10B3D">
        <w:t>such as</w:t>
      </w:r>
      <w:r>
        <w:t xml:space="preserve"> person specifications, service descriptions and departmental boundaries contribute to the formation of the individual socials worker’s subjectivity (Gilbert and Powell, 2010). In this instance</w:t>
      </w:r>
      <w:r w:rsidR="00911FE2">
        <w:t>,</w:t>
      </w:r>
      <w:r>
        <w:t xml:space="preserve"> social workers and personal advisors are distinct by their name and professional responsibilities, but also the chronological age of the people they work with </w:t>
      </w:r>
      <w:r w:rsidR="00BB14A5">
        <w:t xml:space="preserve">— </w:t>
      </w:r>
      <w:r>
        <w:t>social workers pre 18 and personal advisors post 18. Role expertise therefore becomes clearly demarcated, and task and function-based specialisms consequently define but also distinguish between the two positions. Distinct modes of objectification (Foucault, 1982) associated with each role, discourage social workers to bridge the gap between theirs and the personal advisor role</w:t>
      </w:r>
      <w:r w:rsidR="00CB21C1">
        <w:t>,</w:t>
      </w:r>
      <w:r>
        <w:t xml:space="preserve"> as there is a risk of diluting their identity (Kettle and Daly, 2018). Social workers may well </w:t>
      </w:r>
      <w:r>
        <w:lastRenderedPageBreak/>
        <w:t>perceive that all information relating to life post the young person’s 18</w:t>
      </w:r>
      <w:r w:rsidRPr="00003C1A">
        <w:rPr>
          <w:vertAlign w:val="superscript"/>
        </w:rPr>
        <w:t>th</w:t>
      </w:r>
      <w:r>
        <w:t xml:space="preserve"> birthday is outside of their domain, indicating that the </w:t>
      </w:r>
      <w:r w:rsidRPr="003C0E89">
        <w:t>compartmentalised services</w:t>
      </w:r>
      <w:r>
        <w:t xml:space="preserve"> could be problematic to young people trying to move across these islands of information. </w:t>
      </w:r>
    </w:p>
    <w:p w14:paraId="310830D0" w14:textId="2A3347B6" w:rsidR="00301A3B" w:rsidRPr="00B641B4" w:rsidRDefault="00301A3B" w:rsidP="00301A3B">
      <w:pPr>
        <w:tabs>
          <w:tab w:val="left" w:pos="7655"/>
        </w:tabs>
        <w:rPr>
          <w:bdr w:val="none" w:sz="0" w:space="0" w:color="auto" w:frame="1"/>
          <w:shd w:val="clear" w:color="auto" w:fill="FFFFFF"/>
        </w:rPr>
      </w:pPr>
      <w:r>
        <w:t xml:space="preserve">Lacking detail about </w:t>
      </w:r>
      <w:r w:rsidRPr="00BF46DE">
        <w:rPr>
          <w:i/>
          <w:iCs/>
        </w:rPr>
        <w:t>Staying Put</w:t>
      </w:r>
      <w:r>
        <w:t xml:space="preserve"> was one issue relating to the use of information, and as detailed </w:t>
      </w:r>
      <w:r w:rsidRPr="002C5A99">
        <w:t xml:space="preserve">in </w:t>
      </w:r>
      <w:r w:rsidR="00866CD9" w:rsidRPr="002C5A99">
        <w:t>C</w:t>
      </w:r>
      <w:r w:rsidRPr="002C5A99">
        <w:t>hapter</w:t>
      </w:r>
      <w:r w:rsidR="00866CD9" w:rsidRPr="002C5A99">
        <w:t xml:space="preserve"> </w:t>
      </w:r>
      <w:r w:rsidR="002C5A99" w:rsidRPr="002C5A99">
        <w:t>8</w:t>
      </w:r>
      <w:r w:rsidRPr="002C5A99">
        <w:t xml:space="preserve"> the</w:t>
      </w:r>
      <w:r>
        <w:t xml:space="preserve"> presentation of options about alternative housing or services was questioned by young people. One aspect of how information was curated could relate to the previous point about silos of expertise, however using Foucault’s conceptualisation of power offers another perspective. Recognised earlier in this chapter, </w:t>
      </w:r>
      <w:r w:rsidRPr="00207D6A">
        <w:t>young people</w:t>
      </w:r>
      <w:r>
        <w:t>’s ability or inability to take part in decisions were understood</w:t>
      </w:r>
      <w:r w:rsidRPr="00207D6A">
        <w:t xml:space="preserve"> through</w:t>
      </w:r>
      <w:r>
        <w:t xml:space="preserve"> discourses about being in or leaving care. </w:t>
      </w:r>
      <w:r w:rsidR="00954893">
        <w:t>E</w:t>
      </w:r>
      <w:r w:rsidRPr="00207D6A">
        <w:t>stablished research</w:t>
      </w:r>
      <w:r>
        <w:t xml:space="preserve"> about the adversities faced when leaving care</w:t>
      </w:r>
      <w:r w:rsidRPr="00207D6A">
        <w:t>, previous experiences</w:t>
      </w:r>
      <w:r>
        <w:t xml:space="preserve"> and </w:t>
      </w:r>
      <w:r w:rsidRPr="00207D6A">
        <w:t>legal framework</w:t>
      </w:r>
      <w:r>
        <w:t>s</w:t>
      </w:r>
      <w:r w:rsidR="00A874D4">
        <w:t>,</w:t>
      </w:r>
      <w:r>
        <w:t xml:space="preserve"> all </w:t>
      </w:r>
      <w:r w:rsidR="00954893">
        <w:t>contribute to constructions of young people as troubled or burdened. Consequently, these constructions form ‘</w:t>
      </w:r>
      <w:r>
        <w:t>regimes of truth’ (Foucault, 1975, p. 30) about the young person’s vulnerabilities. In turn</w:t>
      </w:r>
      <w:r w:rsidR="00A874D4">
        <w:t>,</w:t>
      </w:r>
      <w:r>
        <w:t xml:space="preserve"> concerns about vulnerabilities translate into ap</w:t>
      </w:r>
      <w:r w:rsidRPr="00207D6A">
        <w:t>proach</w:t>
      </w:r>
      <w:r>
        <w:t xml:space="preserve">es </w:t>
      </w:r>
      <w:r w:rsidRPr="00207D6A">
        <w:t>by social workers and carers</w:t>
      </w:r>
      <w:r>
        <w:t xml:space="preserve"> who become protective towards the young people they work with. This stance may well indicate a use of power that is not operating maliciously or as an ‘anti-authority struggle’ (Foucault, 1982, p. 780). Instead, information or options may well have been purposefully omitted to safeguard the young people </w:t>
      </w:r>
      <w:r w:rsidRPr="00207D6A">
        <w:t>from the impact of decision</w:t>
      </w:r>
      <w:r w:rsidR="00954893">
        <w:t>-</w:t>
      </w:r>
      <w:r w:rsidRPr="00207D6A">
        <w:t xml:space="preserve">making </w:t>
      </w:r>
      <w:r>
        <w:t>and</w:t>
      </w:r>
      <w:r w:rsidRPr="00207D6A">
        <w:t xml:space="preserve"> the rigors and burden of the decision</w:t>
      </w:r>
      <w:r>
        <w:t>. Curating information in this way indicates the productive exercise of power (O’Farrell, 2006) where s</w:t>
      </w:r>
      <w:r w:rsidRPr="00B641B4">
        <w:rPr>
          <w:rStyle w:val="bibauth"/>
          <w:bdr w:val="none" w:sz="0" w:space="0" w:color="auto" w:frame="1"/>
          <w:shd w:val="clear" w:color="auto" w:fill="FFFFFF"/>
        </w:rPr>
        <w:t xml:space="preserve">ocial </w:t>
      </w:r>
      <w:r>
        <w:rPr>
          <w:rStyle w:val="bibauth"/>
          <w:bdr w:val="none" w:sz="0" w:space="0" w:color="auto" w:frame="1"/>
          <w:shd w:val="clear" w:color="auto" w:fill="FFFFFF"/>
        </w:rPr>
        <w:t>w</w:t>
      </w:r>
      <w:r w:rsidRPr="00B641B4">
        <w:rPr>
          <w:rStyle w:val="bibauth"/>
          <w:bdr w:val="none" w:sz="0" w:space="0" w:color="auto" w:frame="1"/>
          <w:shd w:val="clear" w:color="auto" w:fill="FFFFFF"/>
        </w:rPr>
        <w:t xml:space="preserve">orkers and foster carers, </w:t>
      </w:r>
      <w:r w:rsidR="00D835EA">
        <w:rPr>
          <w:rStyle w:val="bibauth"/>
          <w:bdr w:val="none" w:sz="0" w:space="0" w:color="auto" w:frame="1"/>
          <w:shd w:val="clear" w:color="auto" w:fill="FFFFFF"/>
        </w:rPr>
        <w:t xml:space="preserve">could have </w:t>
      </w:r>
      <w:r w:rsidRPr="00B641B4">
        <w:rPr>
          <w:rStyle w:val="bibauth"/>
          <w:bdr w:val="none" w:sz="0" w:space="0" w:color="auto" w:frame="1"/>
          <w:shd w:val="clear" w:color="auto" w:fill="FFFFFF"/>
        </w:rPr>
        <w:t xml:space="preserve">purposely chosen not to talk about the young person’s transition for fear of upsetting them. </w:t>
      </w:r>
      <w:r>
        <w:rPr>
          <w:rStyle w:val="bibauth"/>
          <w:bdr w:val="none" w:sz="0" w:space="0" w:color="auto" w:frame="1"/>
          <w:shd w:val="clear" w:color="auto" w:fill="FFFFFF"/>
        </w:rPr>
        <w:t xml:space="preserve">That is not </w:t>
      </w:r>
      <w:r w:rsidR="00EF46E6">
        <w:rPr>
          <w:rStyle w:val="bibauth"/>
          <w:bdr w:val="none" w:sz="0" w:space="0" w:color="auto" w:frame="1"/>
          <w:shd w:val="clear" w:color="auto" w:fill="FFFFFF"/>
        </w:rPr>
        <w:t xml:space="preserve">to </w:t>
      </w:r>
      <w:r>
        <w:rPr>
          <w:rStyle w:val="bibauth"/>
          <w:bdr w:val="none" w:sz="0" w:space="0" w:color="auto" w:frame="1"/>
          <w:shd w:val="clear" w:color="auto" w:fill="FFFFFF"/>
        </w:rPr>
        <w:t>say that taking a protective approach is justifiable</w:t>
      </w:r>
      <w:r w:rsidR="0084353A">
        <w:rPr>
          <w:rStyle w:val="bibauth"/>
          <w:bdr w:val="none" w:sz="0" w:space="0" w:color="auto" w:frame="1"/>
          <w:shd w:val="clear" w:color="auto" w:fill="FFFFFF"/>
        </w:rPr>
        <w:t>,</w:t>
      </w:r>
      <w:r>
        <w:rPr>
          <w:rStyle w:val="bibauth"/>
          <w:bdr w:val="none" w:sz="0" w:space="0" w:color="auto" w:frame="1"/>
          <w:shd w:val="clear" w:color="auto" w:fill="FFFFFF"/>
        </w:rPr>
        <w:t xml:space="preserve"> as the basis of this approach is an assumption of incapacity</w:t>
      </w:r>
      <w:r w:rsidR="00A46304">
        <w:rPr>
          <w:rStyle w:val="bibauth"/>
          <w:bdr w:val="none" w:sz="0" w:space="0" w:color="auto" w:frame="1"/>
          <w:shd w:val="clear" w:color="auto" w:fill="FFFFFF"/>
        </w:rPr>
        <w:t>, reflecting wider persisting ideas of childhood discussed in Chapter 5</w:t>
      </w:r>
      <w:r>
        <w:rPr>
          <w:rStyle w:val="bibauth"/>
          <w:bdr w:val="none" w:sz="0" w:space="0" w:color="auto" w:frame="1"/>
          <w:shd w:val="clear" w:color="auto" w:fill="FFFFFF"/>
        </w:rPr>
        <w:t xml:space="preserve">. </w:t>
      </w:r>
    </w:p>
    <w:p w14:paraId="75D50945" w14:textId="12D4B2B5" w:rsidR="00301A3B" w:rsidRPr="00E07539" w:rsidRDefault="00301A3B" w:rsidP="006E3485">
      <w:pPr>
        <w:pStyle w:val="Heading2"/>
      </w:pPr>
      <w:bookmarkStart w:id="86" w:name="_Toc101108524"/>
      <w:r w:rsidRPr="00E07539">
        <w:t xml:space="preserve">The </w:t>
      </w:r>
      <w:r w:rsidR="00EF46E6">
        <w:t>i</w:t>
      </w:r>
      <w:r w:rsidRPr="00E07539">
        <w:t xml:space="preserve">nadvertent consequences </w:t>
      </w:r>
      <w:r w:rsidRPr="00595711">
        <w:t xml:space="preserve">of </w:t>
      </w:r>
      <w:r w:rsidRPr="00595711">
        <w:rPr>
          <w:i/>
          <w:iCs/>
        </w:rPr>
        <w:t>Staying Put</w:t>
      </w:r>
      <w:bookmarkEnd w:id="86"/>
      <w:r w:rsidRPr="00E07539">
        <w:t xml:space="preserve"> </w:t>
      </w:r>
    </w:p>
    <w:p w14:paraId="642FEC63" w14:textId="4816F804" w:rsidR="00301A3B" w:rsidRDefault="00301A3B" w:rsidP="00301A3B">
      <w:r>
        <w:t xml:space="preserve">Interpretations by young people of </w:t>
      </w:r>
      <w:r w:rsidRPr="00207A57">
        <w:rPr>
          <w:i/>
          <w:iCs/>
        </w:rPr>
        <w:t>Staying Put</w:t>
      </w:r>
      <w:r>
        <w:t xml:space="preserve"> extended beyond the practical matter of remaining with their </w:t>
      </w:r>
      <w:r w:rsidR="00D835EA">
        <w:t>carers and highlight the feelings young people had at the time of their decision</w:t>
      </w:r>
      <w:r w:rsidR="0045538D">
        <w:t>, responding to the third question for my study</w:t>
      </w:r>
      <w:r>
        <w:t>. There were two distinct elements stemming from the young people’s accounts of the time leading up to their 18</w:t>
      </w:r>
      <w:r w:rsidRPr="00A46FD6">
        <w:rPr>
          <w:vertAlign w:val="superscript"/>
        </w:rPr>
        <w:t>th</w:t>
      </w:r>
      <w:r>
        <w:t xml:space="preserve"> birthday: the impact of </w:t>
      </w:r>
      <w:r w:rsidRPr="00E24A76">
        <w:rPr>
          <w:i/>
          <w:iCs/>
        </w:rPr>
        <w:t>Staying Put</w:t>
      </w:r>
      <w:r>
        <w:t xml:space="preserve"> on family dynamics and the relationship between staying and their feelings of worthiness and belonging</w:t>
      </w:r>
      <w:r w:rsidR="00D835EA">
        <w:t xml:space="preserve"> </w:t>
      </w:r>
      <w:r w:rsidR="00060A88">
        <w:t xml:space="preserve">which </w:t>
      </w:r>
      <w:r w:rsidR="00D835EA">
        <w:t xml:space="preserve">develop the existing understanding of </w:t>
      </w:r>
      <w:r w:rsidR="00D835EA" w:rsidRPr="00D835EA">
        <w:rPr>
          <w:i/>
          <w:iCs/>
        </w:rPr>
        <w:t>Staying Put</w:t>
      </w:r>
      <w:r>
        <w:t xml:space="preserve">. Changes to their relationships with foster carers came about due to discussions about practicalities in converting their placement into an arrangement. The introduction of a payment was identified as a source of discomfort for foster carers by Action for Children, and </w:t>
      </w:r>
      <w:r>
        <w:lastRenderedPageBreak/>
        <w:t xml:space="preserve">their report recognised that payment arrangements could risk ‘disrupting the dynamic’ (2020, p. 30). My study confirms that their concerns are </w:t>
      </w:r>
      <w:r w:rsidR="00060A88">
        <w:t>founded,</w:t>
      </w:r>
      <w:r>
        <w:t xml:space="preserve"> and young people can experience these disrupted dynamics due to the unexpected financially driven discussions which left them feeling unsettled.</w:t>
      </w:r>
    </w:p>
    <w:p w14:paraId="2F444D2E" w14:textId="1C93838E" w:rsidR="00301A3B" w:rsidRDefault="00301A3B" w:rsidP="00301A3B">
      <w:r>
        <w:t xml:space="preserve">Aside from the issue of confusion about benefits and payments raised by young people, the </w:t>
      </w:r>
      <w:r w:rsidRPr="00B32365">
        <w:t>role of the contract and payment system seem</w:t>
      </w:r>
      <w:r>
        <w:t>ed</w:t>
      </w:r>
      <w:r w:rsidRPr="00B32365">
        <w:t xml:space="preserve"> to introduce an unnecessary schism in the relationship between the young people and their foster carers, at what was </w:t>
      </w:r>
      <w:r>
        <w:t xml:space="preserve">already </w:t>
      </w:r>
      <w:r w:rsidRPr="00B32365">
        <w:t>an uncertain time.</w:t>
      </w:r>
      <w:r>
        <w:t xml:space="preserve"> As already noted </w:t>
      </w:r>
      <w:r w:rsidRPr="002C5A99">
        <w:t xml:space="preserve">in </w:t>
      </w:r>
      <w:r w:rsidR="00866CD9" w:rsidRPr="002C5A99">
        <w:t>C</w:t>
      </w:r>
      <w:r w:rsidRPr="002C5A99">
        <w:t>hapter</w:t>
      </w:r>
      <w:r w:rsidR="00866CD9" w:rsidRPr="002C5A99">
        <w:t xml:space="preserve"> </w:t>
      </w:r>
      <w:r w:rsidR="002C5A99" w:rsidRPr="002C5A99">
        <w:t>9</w:t>
      </w:r>
      <w:r w:rsidRPr="002C5A99">
        <w:t>, the introduction</w:t>
      </w:r>
      <w:r>
        <w:t xml:space="preserve"> of a contract, contributed to a repositioning of their familial relationships with foster carers. Social workers tended to circumnavigate emotional aspects of </w:t>
      </w:r>
      <w:r w:rsidRPr="005033B6">
        <w:rPr>
          <w:i/>
          <w:iCs/>
        </w:rPr>
        <w:t>Staying Put</w:t>
      </w:r>
      <w:r>
        <w:t xml:space="preserve">, instead attention was given to transactional concerns to emphasise the distinction between care and post care. Here, Foucault’s theorisations of subjectivity provide a useful tool to examine this situation. </w:t>
      </w:r>
    </w:p>
    <w:p w14:paraId="5C4BEA46" w14:textId="75C9EE1D" w:rsidR="00301A3B" w:rsidRDefault="00301A3B" w:rsidP="00301A3B">
      <w:pPr>
        <w:tabs>
          <w:tab w:val="left" w:pos="7655"/>
        </w:tabs>
      </w:pPr>
      <w:r>
        <w:t>Dominant discourses about families and their role in social cohesion have filtered into social work policy concerning the promotion of foster care over residential care as the preferred placement option for children and young people (Garrett, 2018</w:t>
      </w:r>
      <w:r w:rsidR="00534F7E">
        <w:t>c</w:t>
      </w:r>
      <w:r w:rsidR="00423341">
        <w:t>; Cronin, 2019</w:t>
      </w:r>
      <w:r>
        <w:t xml:space="preserve">). Foster care and family placements built around ideas of reproducing family life have become intertwined with young people’s desires to feel </w:t>
      </w:r>
      <w:r w:rsidRPr="00355C87">
        <w:rPr>
          <w:i/>
          <w:iCs/>
        </w:rPr>
        <w:t xml:space="preserve">normal </w:t>
      </w:r>
      <w:r>
        <w:t>outside of their birth family (Biehal, 201</w:t>
      </w:r>
      <w:r w:rsidR="00991685">
        <w:t>4</w:t>
      </w:r>
      <w:r>
        <w:t xml:space="preserve">). Where adoption was not appropriate, concepts of permanence for children in long term foster care have also gained traction and </w:t>
      </w:r>
      <w:r w:rsidRPr="004F53FF">
        <w:rPr>
          <w:i/>
          <w:iCs/>
        </w:rPr>
        <w:t>Staying Put</w:t>
      </w:r>
      <w:r>
        <w:t xml:space="preserve"> reflects ideas of longer-term bonds by formally extending foster care relationships. The success of normalising foster care was evident from young people in </w:t>
      </w:r>
      <w:r w:rsidR="00991685">
        <w:t>my</w:t>
      </w:r>
      <w:r>
        <w:t xml:space="preserve"> study. Detailed </w:t>
      </w:r>
      <w:r w:rsidRPr="00866CD9">
        <w:t xml:space="preserve">in </w:t>
      </w:r>
      <w:r w:rsidR="00866CD9" w:rsidRPr="002C5A99">
        <w:t>C</w:t>
      </w:r>
      <w:r w:rsidRPr="002C5A99">
        <w:t>hapter</w:t>
      </w:r>
      <w:r w:rsidR="00866CD9" w:rsidRPr="002C5A99">
        <w:t xml:space="preserve"> </w:t>
      </w:r>
      <w:r w:rsidR="002C5A99" w:rsidRPr="002C5A99">
        <w:t>9</w:t>
      </w:r>
      <w:r w:rsidRPr="00866CD9">
        <w:t xml:space="preserve"> participants</w:t>
      </w:r>
      <w:r>
        <w:t xml:space="preserve"> all expressed a strong familial identity within their foster carer relationships, which jarred with the new language of arrangement, payment and contract. My study indicates that the intentions of elongating the transition may be undermined by the transformation of the </w:t>
      </w:r>
      <w:r w:rsidRPr="00823503">
        <w:rPr>
          <w:i/>
          <w:iCs/>
        </w:rPr>
        <w:t>family</w:t>
      </w:r>
      <w:r>
        <w:t xml:space="preserve"> into a transactional arrangement.</w:t>
      </w:r>
    </w:p>
    <w:p w14:paraId="02BBBF09" w14:textId="2BB2E385" w:rsidR="00301A3B" w:rsidRDefault="00E34FCF" w:rsidP="00301A3B">
      <w:pPr>
        <w:tabs>
          <w:tab w:val="left" w:pos="7655"/>
        </w:tabs>
      </w:pPr>
      <w:r w:rsidRPr="00FD4953">
        <w:t xml:space="preserve">Foucault’s concept of discursive practice </w:t>
      </w:r>
      <w:r w:rsidR="001C311C" w:rsidRPr="00FD4953">
        <w:t xml:space="preserve">helps to </w:t>
      </w:r>
      <w:r w:rsidRPr="00FD4953">
        <w:t xml:space="preserve">highlight the impact of </w:t>
      </w:r>
      <w:r w:rsidR="00C442DF" w:rsidRPr="00FD4953">
        <w:t xml:space="preserve">reconstructing and redefining </w:t>
      </w:r>
      <w:r w:rsidRPr="00FD4953">
        <w:t>a</w:t>
      </w:r>
      <w:r w:rsidR="00301A3B" w:rsidRPr="00FD4953">
        <w:t xml:space="preserve"> distinction </w:t>
      </w:r>
      <w:r w:rsidR="00C442DF" w:rsidRPr="00FD4953">
        <w:t>between</w:t>
      </w:r>
      <w:r w:rsidR="00301A3B" w:rsidRPr="00FD4953">
        <w:t xml:space="preserve"> the foster care placement and </w:t>
      </w:r>
      <w:r w:rsidR="00301A3B" w:rsidRPr="00FD4953">
        <w:rPr>
          <w:i/>
          <w:iCs/>
        </w:rPr>
        <w:t>Staying Put</w:t>
      </w:r>
      <w:r w:rsidR="00724656" w:rsidRPr="00FD4953">
        <w:rPr>
          <w:i/>
          <w:iCs/>
        </w:rPr>
        <w:t xml:space="preserve"> </w:t>
      </w:r>
      <w:r w:rsidR="00724656" w:rsidRPr="00FD4953">
        <w:t>arrangement.</w:t>
      </w:r>
      <w:r w:rsidR="00301A3B" w:rsidRPr="00FD4953">
        <w:t xml:space="preserve"> Changing the discourse of their relationships by using different terminology, processes and rules function as a means to redefine the young person’s subjectivity (Foucault, 1975</w:t>
      </w:r>
      <w:r w:rsidR="00301A3B">
        <w:t>). Therefore, the repositioning of the young person as a lodger or tenant changes how relationships are viewed from inside the family, but also by social workers and the wider organisation. The young person is no longer living within a foster family, instead their arrangements are aligned to neutral housing spaces arguably making it easier to monetise</w:t>
      </w:r>
      <w:r w:rsidR="00D835EA">
        <w:t xml:space="preserve"> </w:t>
      </w:r>
      <w:r w:rsidR="00D835EA">
        <w:lastRenderedPageBreak/>
        <w:t>and manage</w:t>
      </w:r>
      <w:r w:rsidR="00301A3B">
        <w:t>. Additionally, the change of tone and approach may well ease endings and transitions before or at the young person’s 21</w:t>
      </w:r>
      <w:r w:rsidR="00301A3B" w:rsidRPr="00131409">
        <w:rPr>
          <w:vertAlign w:val="superscript"/>
        </w:rPr>
        <w:t>st</w:t>
      </w:r>
      <w:r w:rsidR="00301A3B">
        <w:t xml:space="preserve"> birthday. Rather than moving on from a family, young people would be leaving a service or transaction making the ending more palatable for all involved.</w:t>
      </w:r>
    </w:p>
    <w:p w14:paraId="47D3BFEC" w14:textId="58B4489F" w:rsidR="00301A3B" w:rsidRPr="00B84E9B" w:rsidRDefault="00301A3B" w:rsidP="00B84E9B">
      <w:pPr>
        <w:rPr>
          <w:rStyle w:val="bibauth"/>
        </w:rPr>
      </w:pPr>
      <w:r>
        <w:t>Questions about identi</w:t>
      </w:r>
      <w:r w:rsidR="009256F4">
        <w:t>t</w:t>
      </w:r>
      <w:r>
        <w:t xml:space="preserve">y within the family were at the heart of the second perception of </w:t>
      </w:r>
      <w:r w:rsidRPr="00C725B5">
        <w:rPr>
          <w:i/>
          <w:iCs/>
        </w:rPr>
        <w:t>Staying Put</w:t>
      </w:r>
      <w:r>
        <w:t xml:space="preserve">. </w:t>
      </w:r>
      <w:r w:rsidRPr="00D835EA">
        <w:t xml:space="preserve">As detailed in </w:t>
      </w:r>
      <w:r w:rsidR="00866CD9" w:rsidRPr="00D835EA">
        <w:t>C</w:t>
      </w:r>
      <w:r w:rsidRPr="00D835EA">
        <w:t>hapter</w:t>
      </w:r>
      <w:r w:rsidR="00866CD9" w:rsidRPr="00D835EA">
        <w:t xml:space="preserve"> </w:t>
      </w:r>
      <w:r w:rsidR="00353D16" w:rsidRPr="00D835EA">
        <w:t>9</w:t>
      </w:r>
      <w:r w:rsidRPr="00D835EA">
        <w:t>, young people talked</w:t>
      </w:r>
      <w:r w:rsidR="00067E39">
        <w:t xml:space="preserve"> of</w:t>
      </w:r>
      <w:r w:rsidRPr="00D835EA">
        <w:t xml:space="preserve"> the context of luck and associated </w:t>
      </w:r>
      <w:r w:rsidR="00D835EA" w:rsidRPr="00D835EA">
        <w:rPr>
          <w:i/>
          <w:iCs/>
        </w:rPr>
        <w:t>S</w:t>
      </w:r>
      <w:r w:rsidRPr="00D835EA">
        <w:rPr>
          <w:i/>
          <w:iCs/>
        </w:rPr>
        <w:t>taying</w:t>
      </w:r>
      <w:r w:rsidR="00D835EA" w:rsidRPr="00D835EA">
        <w:rPr>
          <w:i/>
          <w:iCs/>
        </w:rPr>
        <w:t xml:space="preserve"> Put</w:t>
      </w:r>
      <w:r w:rsidRPr="00D835EA">
        <w:t>, with</w:t>
      </w:r>
      <w:r w:rsidR="00D835EA" w:rsidRPr="00D835EA">
        <w:t xml:space="preserve"> good fortune and</w:t>
      </w:r>
      <w:r w:rsidRPr="00D835EA">
        <w:t xml:space="preserve"> </w:t>
      </w:r>
      <w:r w:rsidR="00D835EA" w:rsidRPr="00D835EA">
        <w:t xml:space="preserve">an acknowledgement of </w:t>
      </w:r>
      <w:r w:rsidRPr="00D835EA">
        <w:t>their place in the family</w:t>
      </w:r>
      <w:r>
        <w:t>. In the broader leaving care research, feelings of rejection or abandonment by social workers and carers related to perceptions of care as a contractual obligation (Rogers, 2011; Hiles et al</w:t>
      </w:r>
      <w:r w:rsidR="00015D04">
        <w:t>.</w:t>
      </w:r>
      <w:r>
        <w:t xml:space="preserve">, 2013), and after they had turned 18 the obligation to care for them ended. My study expands on these earlier findings by recognising that internalised feelings of rejection were common to those who did not remain with their carers. The discourse of </w:t>
      </w:r>
      <w:r w:rsidRPr="00C725B5">
        <w:rPr>
          <w:i/>
          <w:iCs/>
        </w:rPr>
        <w:t>Staying Put</w:t>
      </w:r>
      <w:r>
        <w:t xml:space="preserve"> includes the realignment of ideas about the family as discussed in the previous section, but also successful continuation of a relationship. Where young people were denied the opportunity to stay, their explanations were personal and tapped into language of rejection or being unwanted. Carers who ended placements in other research</w:t>
      </w:r>
      <w:r w:rsidR="00FB6161">
        <w:t>,</w:t>
      </w:r>
      <w:r>
        <w:t xml:space="preserve"> were held responsible and young people framed this end as ‘betrayal’ (</w:t>
      </w:r>
      <w:r w:rsidRPr="001C44BD">
        <w:rPr>
          <w:rStyle w:val="bibauth"/>
          <w:bdr w:val="none" w:sz="0" w:space="0" w:color="auto" w:frame="1"/>
          <w:shd w:val="clear" w:color="auto" w:fill="FFFFFF"/>
        </w:rPr>
        <w:t>Schmitz</w:t>
      </w:r>
      <w:r>
        <w:rPr>
          <w:rStyle w:val="bibauth"/>
          <w:bdr w:val="none" w:sz="0" w:space="0" w:color="auto" w:frame="1"/>
          <w:shd w:val="clear" w:color="auto" w:fill="FFFFFF"/>
        </w:rPr>
        <w:t xml:space="preserve"> and </w:t>
      </w:r>
      <w:r w:rsidRPr="001C44BD">
        <w:rPr>
          <w:rStyle w:val="bibauth"/>
          <w:bdr w:val="none" w:sz="0" w:space="0" w:color="auto" w:frame="1"/>
          <w:shd w:val="clear" w:color="auto" w:fill="FFFFFF"/>
        </w:rPr>
        <w:t>Tyler</w:t>
      </w:r>
      <w:r>
        <w:rPr>
          <w:rStyle w:val="bibauth"/>
          <w:bdr w:val="none" w:sz="0" w:space="0" w:color="auto" w:frame="1"/>
          <w:shd w:val="clear" w:color="auto" w:fill="FFFFFF"/>
        </w:rPr>
        <w:t xml:space="preserve">, 2015). However, in my study young people tended not to hold their carer responsible for the end of the placement, instead they reflected on their own traits and behaviours in the absence of any other explanation. </w:t>
      </w:r>
      <w:r>
        <w:t>The accounts of young people feeling their place in the foster family is questioned also aligns with Biehal’s (2014) concept of ‘provisional belonging’ (p. 964) where children were uncertain about their position in the foster family.</w:t>
      </w:r>
      <w:r w:rsidR="00B84E9B">
        <w:t xml:space="preserve"> Their decision</w:t>
      </w:r>
      <w:r w:rsidR="00D835EA">
        <w:t>-</w:t>
      </w:r>
      <w:r w:rsidR="00B84E9B">
        <w:t xml:space="preserve">making about </w:t>
      </w:r>
      <w:r w:rsidR="00B84E9B" w:rsidRPr="00B84E9B">
        <w:rPr>
          <w:i/>
          <w:iCs/>
        </w:rPr>
        <w:t>Staying Put</w:t>
      </w:r>
      <w:r>
        <w:t xml:space="preserve"> </w:t>
      </w:r>
      <w:r w:rsidR="00B84E9B" w:rsidRPr="00B84E9B">
        <w:t xml:space="preserve">shows how ‘provisional belonging’ of young people in the </w:t>
      </w:r>
      <w:r w:rsidR="00B84E9B">
        <w:t xml:space="preserve">foster </w:t>
      </w:r>
      <w:r w:rsidR="00B84E9B" w:rsidRPr="00B84E9B">
        <w:t xml:space="preserve">family was brought to the fore </w:t>
      </w:r>
      <w:r w:rsidR="00B84E9B">
        <w:t>through</w:t>
      </w:r>
      <w:r w:rsidR="00B84E9B" w:rsidRPr="00B84E9B">
        <w:t xml:space="preserve"> discussions </w:t>
      </w:r>
      <w:r w:rsidR="00B84E9B">
        <w:t>about</w:t>
      </w:r>
      <w:r w:rsidR="00B84E9B" w:rsidRPr="00B84E9B">
        <w:t xml:space="preserve"> their </w:t>
      </w:r>
      <w:r w:rsidR="00D835EA">
        <w:t xml:space="preserve">sense of </w:t>
      </w:r>
      <w:r w:rsidR="00B84E9B" w:rsidRPr="00B84E9B">
        <w:t>place.</w:t>
      </w:r>
      <w:r w:rsidR="00B84E9B">
        <w:t xml:space="preserve"> </w:t>
      </w:r>
      <w:r>
        <w:t>In my study the ‘provisional’ element was introduced</w:t>
      </w:r>
      <w:r w:rsidR="00D835EA">
        <w:t xml:space="preserve"> through </w:t>
      </w:r>
      <w:r>
        <w:t xml:space="preserve">the possibility of </w:t>
      </w:r>
      <w:r w:rsidRPr="00C150D0">
        <w:rPr>
          <w:i/>
          <w:iCs/>
        </w:rPr>
        <w:t>Staying Put</w:t>
      </w:r>
      <w:r>
        <w:t xml:space="preserve">, resulting in young people having a precarious sense of where they fitted within the foster family. Although young people felt responsible for not </w:t>
      </w:r>
      <w:r w:rsidRPr="009A6007">
        <w:rPr>
          <w:i/>
          <w:iCs/>
        </w:rPr>
        <w:t>Staying Put</w:t>
      </w:r>
      <w:r>
        <w:rPr>
          <w:i/>
          <w:iCs/>
        </w:rPr>
        <w:t xml:space="preserve">, </w:t>
      </w:r>
      <w:r>
        <w:rPr>
          <w:rStyle w:val="bibauth"/>
          <w:bdr w:val="none" w:sz="0" w:space="0" w:color="auto" w:frame="1"/>
          <w:shd w:val="clear" w:color="auto" w:fill="FFFFFF"/>
        </w:rPr>
        <w:t xml:space="preserve">Action for Children (2020) found that the financial situation of the carers was more likely to </w:t>
      </w:r>
      <w:r w:rsidR="00EA0A73">
        <w:rPr>
          <w:rStyle w:val="bibauth"/>
          <w:bdr w:val="none" w:sz="0" w:space="0" w:color="auto" w:frame="1"/>
          <w:shd w:val="clear" w:color="auto" w:fill="FFFFFF"/>
        </w:rPr>
        <w:t xml:space="preserve">be </w:t>
      </w:r>
      <w:r>
        <w:rPr>
          <w:rStyle w:val="bibauth"/>
          <w:bdr w:val="none" w:sz="0" w:space="0" w:color="auto" w:frame="1"/>
          <w:shd w:val="clear" w:color="auto" w:fill="FFFFFF"/>
        </w:rPr>
        <w:t xml:space="preserve">the barrier, rather than any feelings about the young person. </w:t>
      </w:r>
    </w:p>
    <w:p w14:paraId="5EF500FC" w14:textId="66850AF0" w:rsidR="00301A3B" w:rsidRDefault="00301A3B" w:rsidP="00301A3B">
      <w:pPr>
        <w:tabs>
          <w:tab w:val="left" w:pos="7655"/>
        </w:tabs>
        <w:rPr>
          <w:rStyle w:val="bibauth"/>
          <w:bdr w:val="none" w:sz="0" w:space="0" w:color="auto" w:frame="1"/>
          <w:shd w:val="clear" w:color="auto" w:fill="FFFFFF"/>
        </w:rPr>
      </w:pPr>
      <w:r>
        <w:rPr>
          <w:rStyle w:val="bibauth"/>
          <w:bdr w:val="none" w:sz="0" w:space="0" w:color="auto" w:frame="1"/>
          <w:shd w:val="clear" w:color="auto" w:fill="FFFFFF"/>
        </w:rPr>
        <w:t>Understandings of foster care are suffused with notions of philanthropy (Kirton, et al., 2007; Barth, 2011) due to carers being approved rather than employed. Consequently, there is often a confused view of the professional standing of carers and the issue of fees when caring for children and young people. Research suggests that carers are motivated by contributing to society and enjoyment in being with children</w:t>
      </w:r>
      <w:r w:rsidRPr="00F76A84">
        <w:rPr>
          <w:rStyle w:val="bibauth"/>
          <w:bdr w:val="none" w:sz="0" w:space="0" w:color="auto" w:frame="1"/>
          <w:shd w:val="clear" w:color="auto" w:fill="FFFFFF"/>
        </w:rPr>
        <w:t xml:space="preserve"> </w:t>
      </w:r>
      <w:r>
        <w:rPr>
          <w:rStyle w:val="bibauth"/>
          <w:bdr w:val="none" w:sz="0" w:space="0" w:color="auto" w:frame="1"/>
          <w:shd w:val="clear" w:color="auto" w:fill="FFFFFF"/>
        </w:rPr>
        <w:t>(</w:t>
      </w:r>
      <w:r w:rsidRPr="00A16F2B">
        <w:rPr>
          <w:rStyle w:val="bibauth"/>
          <w:bdr w:val="none" w:sz="0" w:space="0" w:color="auto" w:frame="1"/>
          <w:shd w:val="clear" w:color="auto" w:fill="FFFFFF"/>
        </w:rPr>
        <w:t>Baer</w:t>
      </w:r>
      <w:r>
        <w:rPr>
          <w:rStyle w:val="bibauth"/>
          <w:bdr w:val="none" w:sz="0" w:space="0" w:color="auto" w:frame="1"/>
          <w:shd w:val="clear" w:color="auto" w:fill="FFFFFF"/>
        </w:rPr>
        <w:t xml:space="preserve"> and </w:t>
      </w:r>
      <w:r w:rsidRPr="00A16F2B">
        <w:rPr>
          <w:rStyle w:val="bibauth"/>
          <w:bdr w:val="none" w:sz="0" w:space="0" w:color="auto" w:frame="1"/>
          <w:shd w:val="clear" w:color="auto" w:fill="FFFFFF"/>
        </w:rPr>
        <w:t>Diehl</w:t>
      </w:r>
      <w:r>
        <w:rPr>
          <w:rStyle w:val="bibauth"/>
          <w:bdr w:val="none" w:sz="0" w:space="0" w:color="auto" w:frame="1"/>
          <w:shd w:val="clear" w:color="auto" w:fill="FFFFFF"/>
        </w:rPr>
        <w:t xml:space="preserve">, 2020), </w:t>
      </w:r>
      <w:r w:rsidR="00E4525D">
        <w:rPr>
          <w:rStyle w:val="bibauth"/>
          <w:bdr w:val="none" w:sz="0" w:space="0" w:color="auto" w:frame="1"/>
          <w:shd w:val="clear" w:color="auto" w:fill="FFFFFF"/>
        </w:rPr>
        <w:t xml:space="preserve">and </w:t>
      </w:r>
      <w:r>
        <w:rPr>
          <w:rStyle w:val="bibauth"/>
          <w:bdr w:val="none" w:sz="0" w:space="0" w:color="auto" w:frame="1"/>
          <w:shd w:val="clear" w:color="auto" w:fill="FFFFFF"/>
        </w:rPr>
        <w:lastRenderedPageBreak/>
        <w:t>money is more likely to be a facilitator than a motivator (The Fostering Network, 201</w:t>
      </w:r>
      <w:r w:rsidR="00463B4A">
        <w:rPr>
          <w:rStyle w:val="bibauth"/>
          <w:bdr w:val="none" w:sz="0" w:space="0" w:color="auto" w:frame="1"/>
          <w:shd w:val="clear" w:color="auto" w:fill="FFFFFF"/>
        </w:rPr>
        <w:t>3</w:t>
      </w:r>
      <w:r>
        <w:rPr>
          <w:rStyle w:val="bibauth"/>
          <w:bdr w:val="none" w:sz="0" w:space="0" w:color="auto" w:frame="1"/>
          <w:shd w:val="clear" w:color="auto" w:fill="FFFFFF"/>
        </w:rPr>
        <w:t xml:space="preserve">). </w:t>
      </w:r>
      <w:r w:rsidR="00EA0A73">
        <w:rPr>
          <w:rStyle w:val="bibauth"/>
          <w:bdr w:val="none" w:sz="0" w:space="0" w:color="auto" w:frame="1"/>
          <w:shd w:val="clear" w:color="auto" w:fill="FFFFFF"/>
        </w:rPr>
        <w:t>Therefore,</w:t>
      </w:r>
      <w:r>
        <w:rPr>
          <w:rStyle w:val="bibauth"/>
          <w:bdr w:val="none" w:sz="0" w:space="0" w:color="auto" w:frame="1"/>
          <w:shd w:val="clear" w:color="auto" w:fill="FFFFFF"/>
        </w:rPr>
        <w:t xml:space="preserve"> when financial matters limit </w:t>
      </w:r>
      <w:r w:rsidR="00E4525D">
        <w:rPr>
          <w:rStyle w:val="bibauth"/>
          <w:bdr w:val="none" w:sz="0" w:space="0" w:color="auto" w:frame="1"/>
          <w:shd w:val="clear" w:color="auto" w:fill="FFFFFF"/>
        </w:rPr>
        <w:t xml:space="preserve">the carer’s ability to agree to </w:t>
      </w:r>
      <w:r w:rsidR="00E4525D" w:rsidRPr="00E4525D">
        <w:rPr>
          <w:rStyle w:val="bibauth"/>
          <w:i/>
          <w:iCs/>
          <w:bdr w:val="none" w:sz="0" w:space="0" w:color="auto" w:frame="1"/>
          <w:shd w:val="clear" w:color="auto" w:fill="FFFFFF"/>
        </w:rPr>
        <w:t>Staying Put</w:t>
      </w:r>
      <w:r w:rsidR="00FE2CA1">
        <w:rPr>
          <w:rStyle w:val="bibauth"/>
          <w:bdr w:val="none" w:sz="0" w:space="0" w:color="auto" w:frame="1"/>
          <w:shd w:val="clear" w:color="auto" w:fill="FFFFFF"/>
        </w:rPr>
        <w:t>,</w:t>
      </w:r>
      <w:r>
        <w:rPr>
          <w:rStyle w:val="bibauth"/>
          <w:bdr w:val="none" w:sz="0" w:space="0" w:color="auto" w:frame="1"/>
          <w:shd w:val="clear" w:color="auto" w:fill="FFFFFF"/>
        </w:rPr>
        <w:t xml:space="preserve"> it may result in explanations being avoided for fear of being misinterpreted by the young person. </w:t>
      </w:r>
      <w:r w:rsidR="00F10B3D">
        <w:rPr>
          <w:rStyle w:val="bibauth"/>
          <w:bdr w:val="none" w:sz="0" w:space="0" w:color="auto" w:frame="1"/>
          <w:shd w:val="clear" w:color="auto" w:fill="FFFFFF"/>
        </w:rPr>
        <w:t>Perhaps</w:t>
      </w:r>
      <w:r>
        <w:rPr>
          <w:rStyle w:val="bibauth"/>
          <w:bdr w:val="none" w:sz="0" w:space="0" w:color="auto" w:frame="1"/>
          <w:shd w:val="clear" w:color="auto" w:fill="FFFFFF"/>
        </w:rPr>
        <w:t xml:space="preserve"> to protect young people from being seen as a financial burden</w:t>
      </w:r>
      <w:r w:rsidR="006E7D5B">
        <w:rPr>
          <w:rStyle w:val="bibauth"/>
          <w:bdr w:val="none" w:sz="0" w:space="0" w:color="auto" w:frame="1"/>
          <w:shd w:val="clear" w:color="auto" w:fill="FFFFFF"/>
        </w:rPr>
        <w:t>,</w:t>
      </w:r>
      <w:r>
        <w:rPr>
          <w:rStyle w:val="bibauth"/>
          <w:bdr w:val="none" w:sz="0" w:space="0" w:color="auto" w:frame="1"/>
          <w:shd w:val="clear" w:color="auto" w:fill="FFFFFF"/>
        </w:rPr>
        <w:t xml:space="preserve"> foster carers and social workers find it easier to leave the reason for not </w:t>
      </w:r>
      <w:r w:rsidRPr="00F623AA">
        <w:rPr>
          <w:rStyle w:val="bibauth"/>
          <w:i/>
          <w:iCs/>
          <w:bdr w:val="none" w:sz="0" w:space="0" w:color="auto" w:frame="1"/>
          <w:shd w:val="clear" w:color="auto" w:fill="FFFFFF"/>
        </w:rPr>
        <w:t>Staying Put</w:t>
      </w:r>
      <w:r>
        <w:rPr>
          <w:rStyle w:val="bibauth"/>
          <w:bdr w:val="none" w:sz="0" w:space="0" w:color="auto" w:frame="1"/>
          <w:shd w:val="clear" w:color="auto" w:fill="FFFFFF"/>
        </w:rPr>
        <w:t xml:space="preserve"> unexplained. However, my study suggests that the absence of explanation plants seeds of doubt about the young person’s role</w:t>
      </w:r>
      <w:r w:rsidR="00A46304">
        <w:rPr>
          <w:rStyle w:val="bibauth"/>
          <w:bdr w:val="none" w:sz="0" w:space="0" w:color="auto" w:frame="1"/>
          <w:shd w:val="clear" w:color="auto" w:fill="FFFFFF"/>
        </w:rPr>
        <w:t xml:space="preserve"> and status as a member of t</w:t>
      </w:r>
      <w:r>
        <w:rPr>
          <w:rStyle w:val="bibauth"/>
          <w:bdr w:val="none" w:sz="0" w:space="0" w:color="auto" w:frame="1"/>
          <w:shd w:val="clear" w:color="auto" w:fill="FFFFFF"/>
        </w:rPr>
        <w:t>he foster family.</w:t>
      </w:r>
    </w:p>
    <w:p w14:paraId="63C5259C" w14:textId="4D7CA8BE" w:rsidR="00301A3B" w:rsidRDefault="00301A3B" w:rsidP="006E3485">
      <w:pPr>
        <w:pStyle w:val="Heading2"/>
      </w:pPr>
      <w:bookmarkStart w:id="87" w:name="_Toc101108525"/>
      <w:r>
        <w:t>Leaving Care</w:t>
      </w:r>
      <w:bookmarkEnd w:id="87"/>
    </w:p>
    <w:p w14:paraId="5A83F2C3" w14:textId="05F92B4C" w:rsidR="00301A3B" w:rsidRDefault="00301A3B" w:rsidP="00301A3B">
      <w:pPr>
        <w:tabs>
          <w:tab w:val="left" w:pos="7655"/>
        </w:tabs>
      </w:pPr>
      <w:r w:rsidRPr="00E2648E">
        <w:t xml:space="preserve">The final section in this chapter </w:t>
      </w:r>
      <w:r>
        <w:t xml:space="preserve">summarises some key points about leaving care and </w:t>
      </w:r>
      <w:r w:rsidRPr="00F623AA">
        <w:rPr>
          <w:i/>
          <w:iCs/>
        </w:rPr>
        <w:t xml:space="preserve">Staying Put </w:t>
      </w:r>
      <w:r>
        <w:t>more generally</w:t>
      </w:r>
      <w:r w:rsidR="00B84E9B">
        <w:t xml:space="preserve"> which contribute to existing research in the field</w:t>
      </w:r>
      <w:r>
        <w:t xml:space="preserve">, starting with the use of independence as a destination. </w:t>
      </w:r>
      <w:r w:rsidR="00D835EA">
        <w:t>The feeling of b</w:t>
      </w:r>
      <w:r>
        <w:t xml:space="preserve">ecoming or being independent was routinely part of language used to describe leaving care by all the young people in my study. </w:t>
      </w:r>
      <w:r>
        <w:rPr>
          <w:rStyle w:val="bibauth"/>
          <w:bdr w:val="none" w:sz="0" w:space="0" w:color="auto" w:frame="1"/>
          <w:shd w:val="clear" w:color="auto" w:fill="FFFFFF"/>
        </w:rPr>
        <w:t>The goal of independence was seen as a distant</w:t>
      </w:r>
      <w:r w:rsidR="001E2FBC">
        <w:rPr>
          <w:rStyle w:val="bibauth"/>
          <w:bdr w:val="none" w:sz="0" w:space="0" w:color="auto" w:frame="1"/>
          <w:shd w:val="clear" w:color="auto" w:fill="FFFFFF"/>
        </w:rPr>
        <w:t>,</w:t>
      </w:r>
      <w:r>
        <w:rPr>
          <w:rStyle w:val="bibauth"/>
          <w:bdr w:val="none" w:sz="0" w:space="0" w:color="auto" w:frame="1"/>
          <w:shd w:val="clear" w:color="auto" w:fill="FFFFFF"/>
        </w:rPr>
        <w:t xml:space="preserve"> albeit worrying</w:t>
      </w:r>
      <w:r w:rsidR="001E2FBC">
        <w:rPr>
          <w:rStyle w:val="bibauth"/>
          <w:bdr w:val="none" w:sz="0" w:space="0" w:color="auto" w:frame="1"/>
          <w:shd w:val="clear" w:color="auto" w:fill="FFFFFF"/>
        </w:rPr>
        <w:t>,</w:t>
      </w:r>
      <w:r>
        <w:rPr>
          <w:rStyle w:val="bibauth"/>
          <w:bdr w:val="none" w:sz="0" w:space="0" w:color="auto" w:frame="1"/>
          <w:shd w:val="clear" w:color="auto" w:fill="FFFFFF"/>
        </w:rPr>
        <w:t xml:space="preserve"> part of life outside the foster care placement, for young people who were </w:t>
      </w:r>
      <w:r w:rsidRPr="00B444DD">
        <w:rPr>
          <w:rStyle w:val="bibauth"/>
          <w:i/>
          <w:iCs/>
          <w:bdr w:val="none" w:sz="0" w:space="0" w:color="auto" w:frame="1"/>
          <w:shd w:val="clear" w:color="auto" w:fill="FFFFFF"/>
        </w:rPr>
        <w:t>Staying Put</w:t>
      </w:r>
      <w:r>
        <w:rPr>
          <w:rStyle w:val="bibauth"/>
          <w:bdr w:val="none" w:sz="0" w:space="0" w:color="auto" w:frame="1"/>
          <w:shd w:val="clear" w:color="auto" w:fill="FFFFFF"/>
        </w:rPr>
        <w:t xml:space="preserve">. For those who had moved on, the reality was </w:t>
      </w:r>
      <w:r w:rsidR="00E4525D">
        <w:rPr>
          <w:rStyle w:val="bibauth"/>
          <w:bdr w:val="none" w:sz="0" w:space="0" w:color="auto" w:frame="1"/>
          <w:shd w:val="clear" w:color="auto" w:fill="FFFFFF"/>
        </w:rPr>
        <w:t xml:space="preserve">often </w:t>
      </w:r>
      <w:r>
        <w:rPr>
          <w:rStyle w:val="bibauth"/>
          <w:bdr w:val="none" w:sz="0" w:space="0" w:color="auto" w:frame="1"/>
          <w:shd w:val="clear" w:color="auto" w:fill="FFFFFF"/>
        </w:rPr>
        <w:t>described as difficult and lonely, as reflected in other research (</w:t>
      </w:r>
      <w:r w:rsidRPr="00FD3385">
        <w:rPr>
          <w:rStyle w:val="bibauth"/>
          <w:bdr w:val="none" w:sz="0" w:space="0" w:color="auto" w:frame="1"/>
          <w:shd w:val="clear" w:color="auto" w:fill="FFFFFF"/>
        </w:rPr>
        <w:t>Duncalf, 2010; Rogers, 2011; Hiles et al</w:t>
      </w:r>
      <w:r w:rsidR="00015D04">
        <w:rPr>
          <w:rStyle w:val="bibauth"/>
          <w:bdr w:val="none" w:sz="0" w:space="0" w:color="auto" w:frame="1"/>
          <w:shd w:val="clear" w:color="auto" w:fill="FFFFFF"/>
        </w:rPr>
        <w:t>.</w:t>
      </w:r>
      <w:r w:rsidRPr="00FD3385">
        <w:rPr>
          <w:rStyle w:val="bibauth"/>
          <w:bdr w:val="none" w:sz="0" w:space="0" w:color="auto" w:frame="1"/>
          <w:shd w:val="clear" w:color="auto" w:fill="FFFFFF"/>
        </w:rPr>
        <w:t>, 2013; Adley and Jupp Kina</w:t>
      </w:r>
      <w:r>
        <w:rPr>
          <w:rStyle w:val="bibauth"/>
          <w:bdr w:val="none" w:sz="0" w:space="0" w:color="auto" w:frame="1"/>
          <w:shd w:val="clear" w:color="auto" w:fill="FFFFFF"/>
        </w:rPr>
        <w:t xml:space="preserve">, </w:t>
      </w:r>
      <w:r w:rsidRPr="00FD3385">
        <w:rPr>
          <w:rStyle w:val="bibauth"/>
          <w:bdr w:val="none" w:sz="0" w:space="0" w:color="auto" w:frame="1"/>
          <w:shd w:val="clear" w:color="auto" w:fill="FFFFFF"/>
        </w:rPr>
        <w:t>2014</w:t>
      </w:r>
      <w:r>
        <w:rPr>
          <w:rStyle w:val="bibauth"/>
          <w:bdr w:val="none" w:sz="0" w:space="0" w:color="auto" w:frame="1"/>
          <w:shd w:val="clear" w:color="auto" w:fill="FFFFFF"/>
        </w:rPr>
        <w:t xml:space="preserve">; </w:t>
      </w:r>
      <w:r w:rsidRPr="00FD3385">
        <w:rPr>
          <w:rStyle w:val="bibauth"/>
          <w:bdr w:val="none" w:sz="0" w:space="0" w:color="auto" w:frame="1"/>
          <w:shd w:val="clear" w:color="auto" w:fill="FFFFFF"/>
        </w:rPr>
        <w:t>Baker, 2017; Liabo et al</w:t>
      </w:r>
      <w:r w:rsidR="00015D04">
        <w:rPr>
          <w:rStyle w:val="bibauth"/>
          <w:bdr w:val="none" w:sz="0" w:space="0" w:color="auto" w:frame="1"/>
          <w:shd w:val="clear" w:color="auto" w:fill="FFFFFF"/>
        </w:rPr>
        <w:t>.</w:t>
      </w:r>
      <w:r w:rsidRPr="00FD3385">
        <w:rPr>
          <w:rStyle w:val="bibauth"/>
          <w:bdr w:val="none" w:sz="0" w:space="0" w:color="auto" w:frame="1"/>
          <w:shd w:val="clear" w:color="auto" w:fill="FFFFFF"/>
        </w:rPr>
        <w:t>, 201</w:t>
      </w:r>
      <w:r w:rsidR="0032478B">
        <w:rPr>
          <w:rStyle w:val="bibauth"/>
          <w:bdr w:val="none" w:sz="0" w:space="0" w:color="auto" w:frame="1"/>
          <w:shd w:val="clear" w:color="auto" w:fill="FFFFFF"/>
        </w:rPr>
        <w:t>7</w:t>
      </w:r>
      <w:r>
        <w:rPr>
          <w:rStyle w:val="bibauth"/>
          <w:bdr w:val="none" w:sz="0" w:space="0" w:color="auto" w:frame="1"/>
          <w:shd w:val="clear" w:color="auto" w:fill="FFFFFF"/>
        </w:rPr>
        <w:t xml:space="preserve">). </w:t>
      </w:r>
      <w:r>
        <w:t xml:space="preserve">When applied to young people leaving care, independence is often discussed simultaneously with adulthood. For example, in the strategy </w:t>
      </w:r>
      <w:r w:rsidRPr="002823FC">
        <w:rPr>
          <w:i/>
          <w:iCs/>
        </w:rPr>
        <w:t>Keep on Caring</w:t>
      </w:r>
      <w:r>
        <w:t xml:space="preserve"> (</w:t>
      </w:r>
      <w:r w:rsidR="000B0D7E">
        <w:t>DfE</w:t>
      </w:r>
      <w:r>
        <w:t xml:space="preserve">, 2016) phrases like living independently, financial stability and emotional security all interrelate to describe a self-reliant life after care. Stein’s (2012) observation that independence-based approaches that foster self-reliance can be contrasted with </w:t>
      </w:r>
      <w:r w:rsidRPr="000D1370">
        <w:rPr>
          <w:i/>
          <w:iCs/>
        </w:rPr>
        <w:t>interdependent</w:t>
      </w:r>
      <w:r>
        <w:t xml:space="preserve"> models that advocate the prioritisation of inter-personal skills. In</w:t>
      </w:r>
      <w:r w:rsidRPr="00B658A0">
        <w:rPr>
          <w:rStyle w:val="bibauth"/>
          <w:bdr w:val="none" w:sz="0" w:space="0" w:color="auto" w:frame="1"/>
          <w:shd w:val="clear" w:color="auto" w:fill="FFFFFF"/>
        </w:rPr>
        <w:t xml:space="preserve"> </w:t>
      </w:r>
      <w:r w:rsidRPr="007107B9">
        <w:rPr>
          <w:rStyle w:val="bibauth"/>
          <w:bdr w:val="none" w:sz="0" w:space="0" w:color="auto" w:frame="1"/>
          <w:shd w:val="clear" w:color="auto" w:fill="FFFFFF"/>
        </w:rPr>
        <w:t>Storø</w:t>
      </w:r>
      <w:r>
        <w:rPr>
          <w:rStyle w:val="bibauth"/>
          <w:bdr w:val="none" w:sz="0" w:space="0" w:color="auto" w:frame="1"/>
          <w:shd w:val="clear" w:color="auto" w:fill="FFFFFF"/>
        </w:rPr>
        <w:t xml:space="preserve">’s, (2018) theoretical paper he </w:t>
      </w:r>
      <w:r>
        <w:t xml:space="preserve">suggests the paradigm of independence has dominated recent leaving care practice, which appears to be evident in the two participating local authorities. </w:t>
      </w:r>
    </w:p>
    <w:p w14:paraId="42C5C0B8" w14:textId="06F25455" w:rsidR="00301A3B" w:rsidRPr="00D72953" w:rsidRDefault="00301A3B" w:rsidP="00301A3B">
      <w:pPr>
        <w:tabs>
          <w:tab w:val="left" w:pos="7655"/>
        </w:tabs>
        <w:rPr>
          <w:rStyle w:val="bibauth"/>
          <w:bdr w:val="none" w:sz="0" w:space="0" w:color="auto" w:frame="1"/>
          <w:shd w:val="clear" w:color="auto" w:fill="FFFFFF"/>
        </w:rPr>
      </w:pPr>
      <w:r>
        <w:rPr>
          <w:rStyle w:val="bibauth"/>
          <w:bdr w:val="none" w:sz="0" w:space="0" w:color="auto" w:frame="1"/>
          <w:shd w:val="clear" w:color="auto" w:fill="FFFFFF"/>
        </w:rPr>
        <w:t>When talking about readiness to leave care, participants consistently associated independence with practical tasks, referring to the use of washing machines or cooking meals, often in conjunction with specific informal training sessions or conversations with foster carers. Achieving proficiency in these associated symbols of independence could be read as indicators of readiness, as they contribute to the idea that the young person can meet their own basic needs.</w:t>
      </w:r>
      <w:r w:rsidR="00591AB7">
        <w:rPr>
          <w:rStyle w:val="bibauth"/>
          <w:bdr w:val="none" w:sz="0" w:space="0" w:color="auto" w:frame="1"/>
          <w:shd w:val="clear" w:color="auto" w:fill="FFFFFF"/>
        </w:rPr>
        <w:t xml:space="preserve"> Us</w:t>
      </w:r>
      <w:r>
        <w:rPr>
          <w:rStyle w:val="bibauth"/>
          <w:bdr w:val="none" w:sz="0" w:space="0" w:color="auto" w:frame="1"/>
          <w:shd w:val="clear" w:color="auto" w:fill="FFFFFF"/>
        </w:rPr>
        <w:t xml:space="preserve">ing household skills as markers of independence arguably restricts broader thinking about leaving care and employing self-reliance as a planning tool appears to curtail what social workers or foster carers could do to better prepare young people. </w:t>
      </w:r>
      <w:r w:rsidR="00001675">
        <w:rPr>
          <w:rStyle w:val="bibauth"/>
          <w:bdr w:val="none" w:sz="0" w:space="0" w:color="auto" w:frame="1"/>
          <w:shd w:val="clear" w:color="auto" w:fill="FFFFFF"/>
        </w:rPr>
        <w:t>These i</w:t>
      </w:r>
      <w:r w:rsidR="004B6A76">
        <w:rPr>
          <w:rStyle w:val="bibauth"/>
          <w:bdr w:val="none" w:sz="0" w:space="0" w:color="auto" w:frame="1"/>
          <w:shd w:val="clear" w:color="auto" w:fill="FFFFFF"/>
        </w:rPr>
        <w:t xml:space="preserve">ndividualised approaches </w:t>
      </w:r>
      <w:r w:rsidR="00001675">
        <w:rPr>
          <w:rStyle w:val="bibauth"/>
          <w:bdr w:val="none" w:sz="0" w:space="0" w:color="auto" w:frame="1"/>
          <w:shd w:val="clear" w:color="auto" w:fill="FFFFFF"/>
        </w:rPr>
        <w:t>relate to Foucault’s thinking about ‘</w:t>
      </w:r>
      <w:r w:rsidR="00001675" w:rsidRPr="00001675">
        <w:rPr>
          <w:rStyle w:val="bibauth"/>
          <w:bdr w:val="none" w:sz="0" w:space="0" w:color="auto" w:frame="1"/>
          <w:shd w:val="clear" w:color="auto" w:fill="FFFFFF"/>
        </w:rPr>
        <w:t xml:space="preserve">government of </w:t>
      </w:r>
      <w:r w:rsidR="00001675" w:rsidRPr="00001675">
        <w:rPr>
          <w:rStyle w:val="bibauth"/>
          <w:bdr w:val="none" w:sz="0" w:space="0" w:color="auto" w:frame="1"/>
          <w:shd w:val="clear" w:color="auto" w:fill="FFFFFF"/>
        </w:rPr>
        <w:lastRenderedPageBreak/>
        <w:t>the self by the self</w:t>
      </w:r>
      <w:r w:rsidR="00001675">
        <w:rPr>
          <w:rStyle w:val="bibauth"/>
          <w:bdr w:val="none" w:sz="0" w:space="0" w:color="auto" w:frame="1"/>
          <w:shd w:val="clear" w:color="auto" w:fill="FFFFFF"/>
        </w:rPr>
        <w:t>’ (Gilbert and Powell, 2009, p. 7)</w:t>
      </w:r>
      <w:r w:rsidR="00001675" w:rsidRPr="00001675">
        <w:rPr>
          <w:rStyle w:val="bibauth"/>
          <w:bdr w:val="none" w:sz="0" w:space="0" w:color="auto" w:frame="1"/>
          <w:shd w:val="clear" w:color="auto" w:fill="FFFFFF"/>
        </w:rPr>
        <w:t>.</w:t>
      </w:r>
      <w:r w:rsidR="00001675">
        <w:rPr>
          <w:rStyle w:val="bibauth"/>
          <w:bdr w:val="none" w:sz="0" w:space="0" w:color="auto" w:frame="1"/>
          <w:shd w:val="clear" w:color="auto" w:fill="FFFFFF"/>
        </w:rPr>
        <w:t xml:space="preserve"> </w:t>
      </w:r>
      <w:r w:rsidR="00591AB7">
        <w:rPr>
          <w:rStyle w:val="bibauth"/>
          <w:bdr w:val="none" w:sz="0" w:space="0" w:color="auto" w:frame="1"/>
          <w:shd w:val="clear" w:color="auto" w:fill="FFFFFF"/>
        </w:rPr>
        <w:t xml:space="preserve">Creating </w:t>
      </w:r>
      <w:r w:rsidR="00723FD5">
        <w:rPr>
          <w:rStyle w:val="bibauth"/>
          <w:bdr w:val="none" w:sz="0" w:space="0" w:color="auto" w:frame="1"/>
          <w:shd w:val="clear" w:color="auto" w:fill="FFFFFF"/>
        </w:rPr>
        <w:t xml:space="preserve">a </w:t>
      </w:r>
      <w:r w:rsidR="00591AB7">
        <w:rPr>
          <w:rStyle w:val="bibauth"/>
          <w:bdr w:val="none" w:sz="0" w:space="0" w:color="auto" w:frame="1"/>
          <w:shd w:val="clear" w:color="auto" w:fill="FFFFFF"/>
        </w:rPr>
        <w:t>self-managing subjec</w:t>
      </w:r>
      <w:r w:rsidR="00723FD5">
        <w:rPr>
          <w:rStyle w:val="bibauth"/>
          <w:bdr w:val="none" w:sz="0" w:space="0" w:color="auto" w:frame="1"/>
          <w:shd w:val="clear" w:color="auto" w:fill="FFFFFF"/>
        </w:rPr>
        <w:t xml:space="preserve">t is a cornerstone of governmentality, where the </w:t>
      </w:r>
      <w:r w:rsidR="00D72953">
        <w:rPr>
          <w:rStyle w:val="bibauth"/>
          <w:bdr w:val="none" w:sz="0" w:space="0" w:color="auto" w:frame="1"/>
          <w:shd w:val="clear" w:color="auto" w:fill="FFFFFF"/>
        </w:rPr>
        <w:t>individual is able to conduct themselves without explicit direction</w:t>
      </w:r>
      <w:r w:rsidR="00723FD5">
        <w:rPr>
          <w:rStyle w:val="bibauth"/>
          <w:bdr w:val="none" w:sz="0" w:space="0" w:color="auto" w:frame="1"/>
          <w:shd w:val="clear" w:color="auto" w:fill="FFFFFF"/>
        </w:rPr>
        <w:t xml:space="preserve"> </w:t>
      </w:r>
      <w:r w:rsidR="00D72953" w:rsidRPr="00CB1A33">
        <w:rPr>
          <w:shd w:val="clear" w:color="auto" w:fill="FFFFFF"/>
        </w:rPr>
        <w:t>(Oksala, 2013)</w:t>
      </w:r>
      <w:r w:rsidR="00D72953">
        <w:rPr>
          <w:shd w:val="clear" w:color="auto" w:fill="FFFFFF"/>
        </w:rPr>
        <w:t xml:space="preserve">. Preparation for leaving care appears to </w:t>
      </w:r>
      <w:r w:rsidR="003D7897">
        <w:rPr>
          <w:shd w:val="clear" w:color="auto" w:fill="FFFFFF"/>
        </w:rPr>
        <w:t>align</w:t>
      </w:r>
      <w:r w:rsidR="00D72953">
        <w:rPr>
          <w:shd w:val="clear" w:color="auto" w:fill="FFFFFF"/>
        </w:rPr>
        <w:t xml:space="preserve"> </w:t>
      </w:r>
      <w:r w:rsidR="00E4525D">
        <w:rPr>
          <w:shd w:val="clear" w:color="auto" w:fill="FFFFFF"/>
        </w:rPr>
        <w:t>with</w:t>
      </w:r>
      <w:r w:rsidR="00D72953">
        <w:rPr>
          <w:shd w:val="clear" w:color="auto" w:fill="FFFFFF"/>
        </w:rPr>
        <w:t xml:space="preserve"> these ideas of </w:t>
      </w:r>
      <w:r w:rsidR="003D7897">
        <w:rPr>
          <w:shd w:val="clear" w:color="auto" w:fill="FFFFFF"/>
        </w:rPr>
        <w:t>self-sufficiency but a</w:t>
      </w:r>
      <w:r>
        <w:rPr>
          <w:rStyle w:val="bibauth"/>
          <w:bdr w:val="none" w:sz="0" w:space="0" w:color="auto" w:frame="1"/>
          <w:shd w:val="clear" w:color="auto" w:fill="FFFFFF"/>
        </w:rPr>
        <w:t xml:space="preserve">pplying </w:t>
      </w:r>
      <w:r>
        <w:t>goal-oriented conceptualisations of independence are problematic</w:t>
      </w:r>
      <w:r w:rsidR="003D7897">
        <w:t>. F</w:t>
      </w:r>
      <w:r>
        <w:t>or young people leaving care</w:t>
      </w:r>
      <w:r w:rsidR="003D7897">
        <w:t xml:space="preserve"> greater understanding</w:t>
      </w:r>
      <w:r>
        <w:t xml:space="preserve"> of </w:t>
      </w:r>
      <w:r w:rsidR="003D7897">
        <w:t xml:space="preserve">their </w:t>
      </w:r>
      <w:r>
        <w:t xml:space="preserve">experiences and feelings </w:t>
      </w:r>
      <w:r w:rsidR="003D7897">
        <w:t xml:space="preserve">often </w:t>
      </w:r>
      <w:r>
        <w:t>become compressed without regard to the reality of the</w:t>
      </w:r>
      <w:r w:rsidR="003D7897">
        <w:t>ir</w:t>
      </w:r>
      <w:r>
        <w:t xml:space="preserve"> situation (</w:t>
      </w:r>
      <w:r w:rsidRPr="007107B9">
        <w:rPr>
          <w:rStyle w:val="bibauth"/>
          <w:bdr w:val="none" w:sz="0" w:space="0" w:color="auto" w:frame="1"/>
          <w:shd w:val="clear" w:color="auto" w:fill="FFFFFF"/>
        </w:rPr>
        <w:t>Storø</w:t>
      </w:r>
      <w:r>
        <w:rPr>
          <w:rStyle w:val="bibauth"/>
          <w:bdr w:val="none" w:sz="0" w:space="0" w:color="auto" w:frame="1"/>
          <w:shd w:val="clear" w:color="auto" w:fill="FFFFFF"/>
        </w:rPr>
        <w:t xml:space="preserve">, 2018). </w:t>
      </w:r>
    </w:p>
    <w:p w14:paraId="225B4459" w14:textId="5EEE39F2" w:rsidR="00301A3B" w:rsidRPr="00E2648E" w:rsidRDefault="00301A3B" w:rsidP="00301A3B">
      <w:pPr>
        <w:tabs>
          <w:tab w:val="left" w:pos="7655"/>
        </w:tabs>
        <w:rPr>
          <w:bdr w:val="none" w:sz="0" w:space="0" w:color="auto" w:frame="1"/>
          <w:shd w:val="clear" w:color="auto" w:fill="FFFFFF"/>
        </w:rPr>
      </w:pPr>
      <w:r>
        <w:rPr>
          <w:rStyle w:val="bibauth"/>
          <w:bdr w:val="none" w:sz="0" w:space="0" w:color="auto" w:frame="1"/>
          <w:shd w:val="clear" w:color="auto" w:fill="FFFFFF"/>
        </w:rPr>
        <w:t>Although young people identified a need to learn the practical aspects of day-to-day living, they also felt that there were other gaps in their preparation</w:t>
      </w:r>
      <w:r w:rsidR="00E4525D">
        <w:rPr>
          <w:rStyle w:val="bibauth"/>
          <w:bdr w:val="none" w:sz="0" w:space="0" w:color="auto" w:frame="1"/>
          <w:shd w:val="clear" w:color="auto" w:fill="FFFFFF"/>
        </w:rPr>
        <w:t xml:space="preserve">, adding </w:t>
      </w:r>
      <w:r>
        <w:rPr>
          <w:rStyle w:val="bibauth"/>
          <w:bdr w:val="none" w:sz="0" w:space="0" w:color="auto" w:frame="1"/>
          <w:shd w:val="clear" w:color="auto" w:fill="FFFFFF"/>
        </w:rPr>
        <w:t xml:space="preserve">to existing work about preparation for leaving care. </w:t>
      </w:r>
      <w:r>
        <w:t xml:space="preserve">Young people </w:t>
      </w:r>
      <w:r>
        <w:rPr>
          <w:rStyle w:val="bibauth"/>
          <w:bdr w:val="none" w:sz="0" w:space="0" w:color="auto" w:frame="1"/>
          <w:shd w:val="clear" w:color="auto" w:fill="FFFFFF"/>
        </w:rPr>
        <w:t>suggested that their emotional needs and connections were not prioritised (</w:t>
      </w:r>
      <w:r w:rsidRPr="001F115F">
        <w:rPr>
          <w:rStyle w:val="bibauth"/>
          <w:bdr w:val="none" w:sz="0" w:space="0" w:color="auto" w:frame="1"/>
          <w:shd w:val="clear" w:color="auto" w:fill="FFFFFF"/>
        </w:rPr>
        <w:t>Adley and Jupp Kina, 2014;</w:t>
      </w:r>
      <w:r>
        <w:rPr>
          <w:rStyle w:val="bibauth"/>
          <w:bdr w:val="none" w:sz="0" w:space="0" w:color="auto" w:frame="1"/>
          <w:shd w:val="clear" w:color="auto" w:fill="FFFFFF"/>
        </w:rPr>
        <w:t xml:space="preserve"> Dima and Pinkerton, 2016) how emotionally ill prepared they had felt (</w:t>
      </w:r>
      <w:r w:rsidRPr="00917CDE">
        <w:t>Baker</w:t>
      </w:r>
      <w:r>
        <w:t xml:space="preserve">, </w:t>
      </w:r>
      <w:r w:rsidRPr="00917CDE">
        <w:t>2017</w:t>
      </w:r>
      <w:r>
        <w:t xml:space="preserve">), </w:t>
      </w:r>
      <w:r>
        <w:rPr>
          <w:rStyle w:val="bibauth"/>
          <w:bdr w:val="none" w:sz="0" w:space="0" w:color="auto" w:frame="1"/>
          <w:shd w:val="clear" w:color="auto" w:fill="FFFFFF"/>
        </w:rPr>
        <w:t>how they would have welcomed better emotional support (</w:t>
      </w:r>
      <w:r w:rsidRPr="00917CDE">
        <w:t>Harris, 2009; Rogers, 2011: Baker, 2017)</w:t>
      </w:r>
      <w:r>
        <w:t xml:space="preserve"> and how they wanted more time to prepare (</w:t>
      </w:r>
      <w:r w:rsidRPr="00917CDE">
        <w:t>Hiles et al</w:t>
      </w:r>
      <w:r>
        <w:t xml:space="preserve">., </w:t>
      </w:r>
      <w:r w:rsidRPr="00917CDE">
        <w:t>2014</w:t>
      </w:r>
      <w:r>
        <w:t>). Building on other studies it seems that young people continue to experience inconsistent or inadequate support to leave their care placement and continued representations of independence hamper progress in policy development. Arguably s</w:t>
      </w:r>
      <w:r>
        <w:rPr>
          <w:bdr w:val="none" w:sz="0" w:space="0" w:color="auto" w:frame="1"/>
          <w:shd w:val="clear" w:color="auto" w:fill="FFFFFF"/>
        </w:rPr>
        <w:t xml:space="preserve">hifting the paradigm of leaving care from independence to interdependence could encourage a move away from models of practice that sever ties with sources of support, to a model that focuses on the </w:t>
      </w:r>
      <w:r>
        <w:rPr>
          <w:rStyle w:val="bibauth"/>
          <w:bdr w:val="none" w:sz="0" w:space="0" w:color="auto" w:frame="1"/>
          <w:shd w:val="clear" w:color="auto" w:fill="FFFFFF"/>
        </w:rPr>
        <w:t>social ecology of the young person (Dima and Pinkerton, 2016).</w:t>
      </w:r>
    </w:p>
    <w:p w14:paraId="68BC5565" w14:textId="26220664" w:rsidR="00301A3B" w:rsidRPr="00E04BEB" w:rsidRDefault="00301A3B" w:rsidP="00301A3B">
      <w:pPr>
        <w:tabs>
          <w:tab w:val="left" w:pos="7655"/>
        </w:tabs>
        <w:rPr>
          <w:i/>
          <w:iCs/>
        </w:rPr>
      </w:pPr>
      <w:r>
        <w:t xml:space="preserve">The final section in this chapter returns to </w:t>
      </w:r>
      <w:r w:rsidRPr="00AF52E5">
        <w:rPr>
          <w:i/>
          <w:iCs/>
        </w:rPr>
        <w:t>Staying Put</w:t>
      </w:r>
      <w:r>
        <w:t>. As the emphasis was on the views of young people rather than the operational aspects of the scheme, structural barriers or facilitators</w:t>
      </w:r>
      <w:r w:rsidR="00DF0749">
        <w:t>,</w:t>
      </w:r>
      <w:r>
        <w:t xml:space="preserve"> and carer and worker perspectives were not explored; a gap which presents future opportunities for further research</w:t>
      </w:r>
      <w:r w:rsidR="00EF46E6">
        <w:t xml:space="preserve">, set out </w:t>
      </w:r>
      <w:r w:rsidR="00EF46E6" w:rsidRPr="002C5A99">
        <w:t>in Chapter 1</w:t>
      </w:r>
      <w:r w:rsidR="002C5A99" w:rsidRPr="002C5A99">
        <w:t>2</w:t>
      </w:r>
      <w:r w:rsidRPr="002C5A99">
        <w:t>. The</w:t>
      </w:r>
      <w:r>
        <w:t xml:space="preserve"> premise of </w:t>
      </w:r>
      <w:r w:rsidRPr="00AF52E5">
        <w:rPr>
          <w:i/>
          <w:iCs/>
        </w:rPr>
        <w:t>Staying Put</w:t>
      </w:r>
      <w:r>
        <w:t xml:space="preserve"> appeared to be valued by the young people, borne out by their aspiration to remain with their carers, reflecting earlier views in the original evaluation report (Munro et al., 2012). The policy to stay put formalised informal individual arrangements between carers and young people and reflected a change in policy that aimed to align care experiences with those of the wider population (van Breda et al., 2020). Exploring </w:t>
      </w:r>
      <w:r w:rsidRPr="00AF52E5">
        <w:rPr>
          <w:i/>
          <w:iCs/>
        </w:rPr>
        <w:t>Staying Put</w:t>
      </w:r>
      <w:r>
        <w:t xml:space="preserve"> through the views of young people enables closer examination of the policy beyond the technical change to practice (Parton, 1999). In this case, thinking about what the </w:t>
      </w:r>
      <w:r w:rsidR="0018772B">
        <w:t>g</w:t>
      </w:r>
      <w:r>
        <w:t xml:space="preserve">overnment intended through the introduction of </w:t>
      </w:r>
      <w:r w:rsidRPr="00AF52E5">
        <w:rPr>
          <w:i/>
          <w:iCs/>
        </w:rPr>
        <w:t>Staying Put</w:t>
      </w:r>
      <w:r w:rsidR="00B84E9B">
        <w:rPr>
          <w:i/>
          <w:iCs/>
        </w:rPr>
        <w:t xml:space="preserve">, </w:t>
      </w:r>
      <w:r w:rsidR="00B84E9B" w:rsidRPr="00B84E9B">
        <w:t>namely the option to delay transition from care</w:t>
      </w:r>
      <w:r w:rsidR="00B84E9B">
        <w:rPr>
          <w:i/>
          <w:iCs/>
        </w:rPr>
        <w:t xml:space="preserve">, </w:t>
      </w:r>
      <w:r>
        <w:t xml:space="preserve">what social change was anticipated but also how the process, actions and gathering of information makes </w:t>
      </w:r>
      <w:r w:rsidRPr="00AF52E5">
        <w:rPr>
          <w:i/>
          <w:iCs/>
        </w:rPr>
        <w:t>Staying Put</w:t>
      </w:r>
      <w:r>
        <w:t xml:space="preserve"> </w:t>
      </w:r>
      <w:r w:rsidRPr="006F0604">
        <w:t>known.</w:t>
      </w:r>
    </w:p>
    <w:p w14:paraId="4EFA0911" w14:textId="1E3900FE" w:rsidR="00301A3B" w:rsidRDefault="00301A3B" w:rsidP="00301A3B">
      <w:pPr>
        <w:tabs>
          <w:tab w:val="left" w:pos="7655"/>
        </w:tabs>
      </w:pPr>
      <w:r>
        <w:lastRenderedPageBreak/>
        <w:t xml:space="preserve">Discourse about </w:t>
      </w:r>
      <w:r w:rsidRPr="00AF52E5">
        <w:rPr>
          <w:i/>
          <w:iCs/>
        </w:rPr>
        <w:t>Staying Put</w:t>
      </w:r>
      <w:r>
        <w:t xml:space="preserve"> is under-developed as there is little research about young people’s experiences or organisational responses. Whilst my study begins to develop an understanding, there are already early concerns about the efficacy of </w:t>
      </w:r>
      <w:r w:rsidRPr="00DB6726">
        <w:rPr>
          <w:i/>
          <w:iCs/>
        </w:rPr>
        <w:t xml:space="preserve">Staying Put </w:t>
      </w:r>
      <w:r>
        <w:t xml:space="preserve">in delivering widespread change to leaving care experiences, evident in the numbers of young people extending their placement (Action for Children, 2020; </w:t>
      </w:r>
      <w:r w:rsidR="000B0D7E">
        <w:t>DfE</w:t>
      </w:r>
      <w:r>
        <w:t xml:space="preserve">, 2020). The young people’s accounts suggest that </w:t>
      </w:r>
      <w:r w:rsidRPr="00AA1C95">
        <w:rPr>
          <w:i/>
          <w:iCs/>
        </w:rPr>
        <w:t>Staying Put</w:t>
      </w:r>
      <w:r>
        <w:t xml:space="preserve"> may not fulfil the remit of changing practice through the introduction of a later transition. Young people were still highlighting similar issues to participants in other research as discussed earlier in this chapter. Arguably this is as a result of the financial and resource implications identified in </w:t>
      </w:r>
      <w:r w:rsidR="00866CD9" w:rsidRPr="00866CD9">
        <w:t>C</w:t>
      </w:r>
      <w:r w:rsidRPr="00866CD9">
        <w:t>hapter</w:t>
      </w:r>
      <w:r w:rsidR="00866CD9" w:rsidRPr="00866CD9">
        <w:t xml:space="preserve"> 3</w:t>
      </w:r>
      <w:r w:rsidRPr="00866CD9">
        <w:t xml:space="preserve"> and</w:t>
      </w:r>
      <w:r w:rsidRPr="00DB6726">
        <w:t xml:space="preserve"> </w:t>
      </w:r>
      <w:r>
        <w:t xml:space="preserve">in </w:t>
      </w:r>
      <w:r w:rsidRPr="00DB6726">
        <w:t>the recent report by Action for Children (2020).</w:t>
      </w:r>
      <w:r>
        <w:t xml:space="preserve"> Although the policy acts as a signifier that young people leaving care should not be cast out of their placement at 18, the infrastructure does not necessarily support this.</w:t>
      </w:r>
      <w:r w:rsidRPr="00B0494C">
        <w:t xml:space="preserve"> </w:t>
      </w:r>
      <w:r>
        <w:t xml:space="preserve">Recognising the biopolitical role policy plays in managing the population, the relational impacts of remaining with their carer appear to be passed over for the transactional concerns, underlined by the reliance of the contract as a vehicle to discuss and resolve </w:t>
      </w:r>
      <w:r w:rsidRPr="002E00F8">
        <w:rPr>
          <w:i/>
          <w:iCs/>
        </w:rPr>
        <w:t>Staying Put</w:t>
      </w:r>
      <w:r>
        <w:t>.</w:t>
      </w:r>
    </w:p>
    <w:p w14:paraId="445594BC" w14:textId="42FEA441" w:rsidR="006D0B75" w:rsidRDefault="00301A3B" w:rsidP="00301A3B">
      <w:pPr>
        <w:tabs>
          <w:tab w:val="left" w:pos="7655"/>
        </w:tabs>
      </w:pPr>
      <w:r w:rsidRPr="002E00F8">
        <w:rPr>
          <w:i/>
          <w:iCs/>
        </w:rPr>
        <w:t>Staying Put</w:t>
      </w:r>
      <w:r>
        <w:t xml:space="preserve"> may struggle to change the culture of early transition in its current form because of the language and nature of the policy. Young people in a </w:t>
      </w:r>
      <w:r w:rsidRPr="002E00F8">
        <w:rPr>
          <w:i/>
          <w:iCs/>
        </w:rPr>
        <w:t>Staying Put</w:t>
      </w:r>
      <w:r>
        <w:t xml:space="preserve"> arrangement are neither in care nor have they left it, instead they occupy a space in between. Language is developing to identify this space. Terms like extended care, </w:t>
      </w:r>
      <w:r w:rsidRPr="002E00F8">
        <w:rPr>
          <w:i/>
          <w:iCs/>
        </w:rPr>
        <w:t>Staying Put</w:t>
      </w:r>
      <w:r>
        <w:t xml:space="preserve"> and </w:t>
      </w:r>
      <w:r w:rsidRPr="002E00F8">
        <w:rPr>
          <w:i/>
          <w:iCs/>
        </w:rPr>
        <w:t>Staying Close</w:t>
      </w:r>
      <w:r>
        <w:t xml:space="preserve"> all refer to schemes or spaces which are separate from the existing discourses of the </w:t>
      </w:r>
      <w:r w:rsidRPr="00691CB5">
        <w:rPr>
          <w:i/>
          <w:iCs/>
        </w:rPr>
        <w:t>looked after</w:t>
      </w:r>
      <w:r>
        <w:t xml:space="preserve"> system.</w:t>
      </w:r>
      <w:r w:rsidR="00B128DF">
        <w:t xml:space="preserve"> </w:t>
      </w:r>
      <w:r w:rsidR="006D0B75" w:rsidRPr="006D0B75">
        <w:t xml:space="preserve">As noted in </w:t>
      </w:r>
      <w:r w:rsidR="00F11A97">
        <w:t>C</w:t>
      </w:r>
      <w:r w:rsidR="006D0B75" w:rsidRPr="006D0B75">
        <w:t>hapter</w:t>
      </w:r>
      <w:r w:rsidR="00F11A97">
        <w:t xml:space="preserve"> 1</w:t>
      </w:r>
      <w:r w:rsidR="006D0B75" w:rsidRPr="006D0B75">
        <w:t xml:space="preserve">, the language used to describe </w:t>
      </w:r>
      <w:r w:rsidR="006D0B75" w:rsidRPr="00F11A97">
        <w:rPr>
          <w:i/>
          <w:iCs/>
        </w:rPr>
        <w:t>Staying Put</w:t>
      </w:r>
      <w:r w:rsidR="006D0B75" w:rsidRPr="006D0B75">
        <w:t xml:space="preserve"> purposely distinguishes young people in foster care from young people in an arrangement and expectations are that foster carer</w:t>
      </w:r>
      <w:r w:rsidR="00B128DF">
        <w:t>s</w:t>
      </w:r>
      <w:r w:rsidR="006D0B75" w:rsidRPr="006D0B75">
        <w:t xml:space="preserve"> no longer provide the same level of support as they had previously. In practice this distinction might not be apparent to the young person in the way their carer supports them, however the services and support provided by the local authority will differ. Therefore, young people occupy a position that is generally disassociated from the usual care system, which is characterised by financial, emotional and parental support and responsibility. Consequently, leaving care means you are outside of the system but </w:t>
      </w:r>
      <w:r w:rsidR="006D0B75" w:rsidRPr="000C1156">
        <w:rPr>
          <w:i/>
          <w:iCs/>
        </w:rPr>
        <w:t>Staying Put</w:t>
      </w:r>
      <w:r w:rsidR="006D0B75" w:rsidRPr="006D0B75">
        <w:t xml:space="preserve"> does not mean you are on the inside. </w:t>
      </w:r>
    </w:p>
    <w:p w14:paraId="03FD8150" w14:textId="2300440A" w:rsidR="00301A3B" w:rsidRDefault="00301A3B" w:rsidP="00301A3B">
      <w:pPr>
        <w:tabs>
          <w:tab w:val="left" w:pos="7655"/>
        </w:tabs>
      </w:pPr>
      <w:r>
        <w:t xml:space="preserve">The application of </w:t>
      </w:r>
      <w:r w:rsidRPr="002E00F8">
        <w:rPr>
          <w:i/>
          <w:iCs/>
        </w:rPr>
        <w:t>Staying Put</w:t>
      </w:r>
      <w:r>
        <w:t xml:space="preserve"> in these two local authorities indicates that the policy also has the potential to create a transition within a transition. Young people explained how they felt </w:t>
      </w:r>
      <w:r w:rsidR="00E04BEB">
        <w:t>being</w:t>
      </w:r>
      <w:r>
        <w:t xml:space="preserve"> left in an indeterminate state whilst waiting or anticipating whether or not they could stay, described as a limbo state in other research (</w:t>
      </w:r>
      <w:r w:rsidRPr="00CA644C">
        <w:rPr>
          <w:rStyle w:val="publisher-name"/>
          <w:color w:val="000000"/>
        </w:rPr>
        <w:t>Hiles et al</w:t>
      </w:r>
      <w:r>
        <w:rPr>
          <w:rStyle w:val="publisher-name"/>
          <w:color w:val="000000"/>
        </w:rPr>
        <w:t xml:space="preserve">., </w:t>
      </w:r>
      <w:r w:rsidRPr="00CA644C">
        <w:rPr>
          <w:rStyle w:val="publisher-name"/>
          <w:color w:val="000000"/>
        </w:rPr>
        <w:t>2014</w:t>
      </w:r>
      <w:r>
        <w:rPr>
          <w:rStyle w:val="publisher-name"/>
          <w:color w:val="000000"/>
        </w:rPr>
        <w:t xml:space="preserve">). </w:t>
      </w:r>
      <w:r w:rsidRPr="005C3450">
        <w:rPr>
          <w:rStyle w:val="publisher-name"/>
          <w:color w:val="000000"/>
        </w:rPr>
        <w:t xml:space="preserve">Rather than reduce anxiety </w:t>
      </w:r>
      <w:r>
        <w:rPr>
          <w:rStyle w:val="publisher-name"/>
          <w:color w:val="000000"/>
        </w:rPr>
        <w:t>leading up to their 18</w:t>
      </w:r>
      <w:r w:rsidRPr="005C3450">
        <w:rPr>
          <w:rStyle w:val="publisher-name"/>
          <w:color w:val="000000"/>
          <w:vertAlign w:val="superscript"/>
        </w:rPr>
        <w:t>th</w:t>
      </w:r>
      <w:r>
        <w:rPr>
          <w:rStyle w:val="publisher-name"/>
          <w:color w:val="000000"/>
        </w:rPr>
        <w:t xml:space="preserve"> birthday, the young people appeared to be </w:t>
      </w:r>
      <w:r w:rsidRPr="005C3450">
        <w:rPr>
          <w:rStyle w:val="publisher-name"/>
          <w:color w:val="000000"/>
        </w:rPr>
        <w:t xml:space="preserve">introduced </w:t>
      </w:r>
      <w:r>
        <w:rPr>
          <w:rStyle w:val="publisher-name"/>
          <w:color w:val="000000"/>
        </w:rPr>
        <w:t xml:space="preserve">to </w:t>
      </w:r>
      <w:r w:rsidRPr="005C3450">
        <w:rPr>
          <w:rStyle w:val="publisher-name"/>
          <w:color w:val="000000"/>
        </w:rPr>
        <w:t xml:space="preserve">a </w:t>
      </w:r>
      <w:r w:rsidRPr="005C3450">
        <w:rPr>
          <w:rStyle w:val="publisher-name"/>
          <w:color w:val="000000"/>
        </w:rPr>
        <w:lastRenderedPageBreak/>
        <w:t>different form of worry</w:t>
      </w:r>
      <w:r>
        <w:rPr>
          <w:rStyle w:val="publisher-name"/>
          <w:color w:val="000000"/>
        </w:rPr>
        <w:t xml:space="preserve"> </w:t>
      </w:r>
      <w:r>
        <w:t xml:space="preserve">about their family relationships within their placement and their potential next steps. </w:t>
      </w:r>
    </w:p>
    <w:p w14:paraId="240B3521" w14:textId="582D6EA3" w:rsidR="00301A3B" w:rsidRDefault="00301A3B" w:rsidP="006E3485">
      <w:pPr>
        <w:pStyle w:val="Heading2"/>
      </w:pPr>
      <w:bookmarkStart w:id="88" w:name="_Toc101108526"/>
      <w:r>
        <w:t xml:space="preserve">Chapter </w:t>
      </w:r>
      <w:r w:rsidR="00866CD9">
        <w:t>Summary</w:t>
      </w:r>
      <w:bookmarkEnd w:id="88"/>
    </w:p>
    <w:p w14:paraId="1A4E7192" w14:textId="64B24DF1" w:rsidR="00301A3B" w:rsidRDefault="00301A3B" w:rsidP="006B36D6">
      <w:pPr>
        <w:tabs>
          <w:tab w:val="left" w:pos="7655"/>
        </w:tabs>
      </w:pPr>
      <w:r>
        <w:t xml:space="preserve">This chapter has identified the relationships between my </w:t>
      </w:r>
      <w:r w:rsidR="00A46304">
        <w:t>study</w:t>
      </w:r>
      <w:r>
        <w:t xml:space="preserve"> and other </w:t>
      </w:r>
      <w:r w:rsidR="00A46304">
        <w:t xml:space="preserve">leaving care and </w:t>
      </w:r>
      <w:r w:rsidR="00581906">
        <w:t>decision-making</w:t>
      </w:r>
      <w:r w:rsidR="00A46304">
        <w:t xml:space="preserve"> research</w:t>
      </w:r>
      <w:r>
        <w:t>. Generally, the experiences of young people in my study did not differ to participants in other work relating to leaving care and decision</w:t>
      </w:r>
      <w:r w:rsidR="00A05E47">
        <w:t>-</w:t>
      </w:r>
      <w:r>
        <w:t xml:space="preserve">making. Given the time span of research included in this chapter, a dispiriting picture of continued shortcomings appear to exist for some young people in and leaving care. In the use of a Foucauldian lens, I have attempted to shine a different light on </w:t>
      </w:r>
      <w:r w:rsidR="00F151C6">
        <w:t xml:space="preserve">some of </w:t>
      </w:r>
      <w:r>
        <w:t xml:space="preserve">these issues with the intention that alternative perspectives could provide further ways to engage with the </w:t>
      </w:r>
      <w:r w:rsidR="00F151C6">
        <w:t>problem</w:t>
      </w:r>
      <w:r>
        <w:t xml:space="preserve">. Before thinking about ways to address practice, the next chapter explores some of my reflections about the research and recognises some of the limitations of my study. </w:t>
      </w:r>
      <w:r>
        <w:br w:type="page"/>
      </w:r>
    </w:p>
    <w:p w14:paraId="4E67A27D" w14:textId="44B90BFC" w:rsidR="00301A3B" w:rsidRDefault="00301A3B" w:rsidP="00127FD5">
      <w:pPr>
        <w:pStyle w:val="ChapterHeading1"/>
      </w:pPr>
      <w:bookmarkStart w:id="89" w:name="_Toc76803454"/>
      <w:bookmarkStart w:id="90" w:name="_Toc101108527"/>
      <w:r>
        <w:lastRenderedPageBreak/>
        <w:t>Chapter 1</w:t>
      </w:r>
      <w:r w:rsidR="005B667D">
        <w:t>1</w:t>
      </w:r>
      <w:r>
        <w:t>: Reflections and Limitations</w:t>
      </w:r>
      <w:bookmarkEnd w:id="89"/>
      <w:bookmarkEnd w:id="90"/>
    </w:p>
    <w:p w14:paraId="4F0E95F7" w14:textId="570B6010" w:rsidR="00301A3B" w:rsidRDefault="00A05E47" w:rsidP="006E3485">
      <w:pPr>
        <w:pStyle w:val="Heading2"/>
      </w:pPr>
      <w:bookmarkStart w:id="91" w:name="_Toc101108528"/>
      <w:r>
        <w:t xml:space="preserve">Chapter </w:t>
      </w:r>
      <w:r w:rsidR="00301A3B">
        <w:t>Introduction</w:t>
      </w:r>
      <w:bookmarkEnd w:id="91"/>
    </w:p>
    <w:p w14:paraId="635FA5C5" w14:textId="7F03696C" w:rsidR="00301A3B" w:rsidRDefault="00301A3B" w:rsidP="00301A3B">
      <w:r>
        <w:t>Following on from the discussion</w:t>
      </w:r>
      <w:r w:rsidR="00A05E47">
        <w:t xml:space="preserve"> in Chapter </w:t>
      </w:r>
      <w:r w:rsidR="002C5A99">
        <w:t>10</w:t>
      </w:r>
      <w:r>
        <w:t>, this chapter looks back at the research experience and details some of my thinking about the research process</w:t>
      </w:r>
      <w:r w:rsidR="0031449D">
        <w:t>, s</w:t>
      </w:r>
      <w:r>
        <w:t>tarting with some general reflections</w:t>
      </w:r>
      <w:r w:rsidR="00A05E47">
        <w:t xml:space="preserve"> about the </w:t>
      </w:r>
      <w:r w:rsidR="002E41E9">
        <w:t>experience</w:t>
      </w:r>
      <w:r>
        <w:t xml:space="preserve"> and concluding with some limitations to the approach I took.</w:t>
      </w:r>
    </w:p>
    <w:p w14:paraId="40308C46" w14:textId="40FDC1C3" w:rsidR="00301A3B" w:rsidRDefault="00301A3B" w:rsidP="00301A3B">
      <w:r>
        <w:t xml:space="preserve">Undertaking doctoral study is primarily about furthering an understanding about a given subject, however the process is </w:t>
      </w:r>
      <w:r w:rsidRPr="00FD7633">
        <w:t>more than an output of learning</w:t>
      </w:r>
      <w:r>
        <w:t xml:space="preserve"> (Weatherall, 2018, p. 100). Fook (2019) promotes the use of critical reflection in practice research, to help think through questions about interpretations during the research journey. This</w:t>
      </w:r>
      <w:r w:rsidR="00A05E47">
        <w:t xml:space="preserve"> first</w:t>
      </w:r>
      <w:r>
        <w:t xml:space="preserve"> section highlights some of my personal reflections during my doctoral research. As </w:t>
      </w:r>
      <w:r w:rsidR="00991685">
        <w:t>my</w:t>
      </w:r>
      <w:r>
        <w:t xml:space="preserve"> study has been spread over a period of years it would not be feasible to include a complete account of my thinking during this time. Therefore, I have chosen two strands of thinking to present in this section</w:t>
      </w:r>
      <w:r w:rsidR="0097286A">
        <w:t>:</w:t>
      </w:r>
      <w:r>
        <w:t xml:space="preserve"> my professional identity</w:t>
      </w:r>
      <w:r w:rsidRPr="00857D55">
        <w:t xml:space="preserve"> </w:t>
      </w:r>
      <w:r>
        <w:t>and the research experience. Both elements represent areas of my thinking throughout the research process.</w:t>
      </w:r>
    </w:p>
    <w:p w14:paraId="278E52E0" w14:textId="77777777" w:rsidR="00301A3B" w:rsidRPr="0097286A" w:rsidRDefault="00301A3B" w:rsidP="006E3485">
      <w:pPr>
        <w:pStyle w:val="Heading3"/>
      </w:pPr>
      <w:r w:rsidRPr="0097286A">
        <w:t>Researcher, Social Worker or Educator?</w:t>
      </w:r>
    </w:p>
    <w:p w14:paraId="28F7CBE3" w14:textId="6C7D8D94" w:rsidR="00301A3B" w:rsidRDefault="00301A3B" w:rsidP="00301A3B">
      <w:r>
        <w:t xml:space="preserve">During my doctorate I moved from working in a local authority to a full-time position at a university. This transition raised questions for me about my professional identify as a social worker due to moving away from everyday practice. Whilst I recognise that social work identity is contested </w:t>
      </w:r>
      <w:r w:rsidR="00A05E47">
        <w:t xml:space="preserve">and has </w:t>
      </w:r>
      <w:r>
        <w:t>plural understandings (</w:t>
      </w:r>
      <w:r w:rsidRPr="00366C59">
        <w:rPr>
          <w:rStyle w:val="bibauth"/>
          <w:bdr w:val="none" w:sz="0" w:space="0" w:color="auto" w:frame="1"/>
          <w:shd w:val="clear" w:color="auto" w:fill="FFFFFF"/>
        </w:rPr>
        <w:t>Mackay,</w:t>
      </w:r>
      <w:r>
        <w:rPr>
          <w:rStyle w:val="bibauth"/>
          <w:bdr w:val="none" w:sz="0" w:space="0" w:color="auto" w:frame="1"/>
          <w:shd w:val="clear" w:color="auto" w:fill="FFFFFF"/>
        </w:rPr>
        <w:t xml:space="preserve"> and</w:t>
      </w:r>
      <w:r w:rsidRPr="00366C59">
        <w:rPr>
          <w:rStyle w:val="bibauth"/>
          <w:bdr w:val="none" w:sz="0" w:space="0" w:color="auto" w:frame="1"/>
          <w:shd w:val="clear" w:color="auto" w:fill="FFFFFF"/>
        </w:rPr>
        <w:t xml:space="preserve"> Zufferey</w:t>
      </w:r>
      <w:r>
        <w:rPr>
          <w:rStyle w:val="bibauth"/>
          <w:bdr w:val="none" w:sz="0" w:space="0" w:color="auto" w:frame="1"/>
          <w:shd w:val="clear" w:color="auto" w:fill="FFFFFF"/>
        </w:rPr>
        <w:t xml:space="preserve">, </w:t>
      </w:r>
      <w:r w:rsidRPr="00366C59">
        <w:rPr>
          <w:rStyle w:val="bibauth"/>
          <w:bdr w:val="none" w:sz="0" w:space="0" w:color="auto" w:frame="1"/>
          <w:shd w:val="clear" w:color="auto" w:fill="FFFFFF"/>
        </w:rPr>
        <w:t>201</w:t>
      </w:r>
      <w:r>
        <w:rPr>
          <w:rStyle w:val="bibauth"/>
          <w:bdr w:val="none" w:sz="0" w:space="0" w:color="auto" w:frame="1"/>
          <w:shd w:val="clear" w:color="auto" w:fill="FFFFFF"/>
        </w:rPr>
        <w:t>5</w:t>
      </w:r>
      <w:r>
        <w:t>),</w:t>
      </w:r>
      <w:r w:rsidR="00A05E47">
        <w:t xml:space="preserve"> undertaking doctoral study added an extra dimension and allowed me to critically appraise my roles as a social worker and a social work educator from another perspective</w:t>
      </w:r>
      <w:r>
        <w:t xml:space="preserve">. </w:t>
      </w:r>
      <w:r w:rsidR="00A05E47">
        <w:t>Initially I questioned</w:t>
      </w:r>
      <w:r>
        <w:t xml:space="preserve"> my</w:t>
      </w:r>
      <w:r w:rsidRPr="007262FF">
        <w:t xml:space="preserve"> authenticity </w:t>
      </w:r>
      <w:r>
        <w:t>as social worker, educator or researcher as</w:t>
      </w:r>
      <w:r w:rsidRPr="007262FF">
        <w:t xml:space="preserve"> I </w:t>
      </w:r>
      <w:r>
        <w:t>felt like a social work cuckoo</w:t>
      </w:r>
      <w:r w:rsidRPr="007262FF">
        <w:t xml:space="preserve"> </w:t>
      </w:r>
      <w:r>
        <w:t xml:space="preserve">in </w:t>
      </w:r>
      <w:r w:rsidRPr="007262FF">
        <w:t xml:space="preserve">a higher education </w:t>
      </w:r>
      <w:r>
        <w:t>nest</w:t>
      </w:r>
      <w:r w:rsidRPr="007262FF">
        <w:t xml:space="preserve">. </w:t>
      </w:r>
    </w:p>
    <w:p w14:paraId="7BD4C0CE" w14:textId="0CCD84F1" w:rsidR="00301A3B" w:rsidRDefault="00301A3B" w:rsidP="00301A3B">
      <w:r w:rsidRPr="007262FF">
        <w:t>Whilst Webb (2017), argues that professional identity is not a fixed position and changes in response to experiences and settings,</w:t>
      </w:r>
      <w:r>
        <w:t xml:space="preserve"> some writers have suggested that undertaking doctoral research is about changing from one identity to another (Bryd</w:t>
      </w:r>
      <w:r w:rsidR="001455D2">
        <w:t>o</w:t>
      </w:r>
      <w:r>
        <w:t xml:space="preserve">n and Fleming, 2011) and that there are periods of liminal space </w:t>
      </w:r>
      <w:r w:rsidR="000433BF">
        <w:softHyphen/>
        <w:t>—</w:t>
      </w:r>
      <w:r>
        <w:t xml:space="preserve"> where a person is between two separate roles (</w:t>
      </w:r>
      <w:r w:rsidRPr="005E52A5">
        <w:t>Adorno, Cronley</w:t>
      </w:r>
      <w:r>
        <w:t xml:space="preserve"> and </w:t>
      </w:r>
      <w:r w:rsidRPr="005E52A5">
        <w:t>Scott Smith</w:t>
      </w:r>
      <w:r>
        <w:t xml:space="preserve">, 2015). Often questions about </w:t>
      </w:r>
      <w:r w:rsidRPr="006A5E52">
        <w:rPr>
          <w:i/>
          <w:iCs/>
        </w:rPr>
        <w:t>being</w:t>
      </w:r>
      <w:r>
        <w:t xml:space="preserve"> academic stem from insecurities about whether someone has the emotional or intellectual capacity to do a doctorate (Thomson and Kamler, 2016). Although I have felt these insecurities, my </w:t>
      </w:r>
      <w:r>
        <w:lastRenderedPageBreak/>
        <w:t>uncertainties centred on concerns about a dilution of my social work self, which has been an integral part of my identity for more than 20 years.</w:t>
      </w:r>
    </w:p>
    <w:p w14:paraId="0705E9DA" w14:textId="7DACB858" w:rsidR="00301A3B" w:rsidRDefault="00301A3B" w:rsidP="00301A3B">
      <w:r>
        <w:t>Early in the process I grappled with the rotating triad of social worker, lecturer and researcher as if each would offer a distinct voice when making decisions about a task or thought process. As I progressed, I recognised that my social work experience impressed on every aspect of the research. Using reflective journals, supervision and organising a peer study group echoed measures I would use to problem solve in practice. Further reading highlighted that</w:t>
      </w:r>
      <w:r w:rsidR="000433BF">
        <w:t>,</w:t>
      </w:r>
      <w:r>
        <w:t xml:space="preserve"> other social workers involved in research also transposed social work approaches into their research experience often replicating methods employed in practice (</w:t>
      </w:r>
      <w:r w:rsidRPr="005E52A5">
        <w:t>Adorno, Cronley</w:t>
      </w:r>
      <w:r>
        <w:t xml:space="preserve"> and </w:t>
      </w:r>
      <w:r w:rsidRPr="005E52A5">
        <w:t>Scott Smith</w:t>
      </w:r>
      <w:r>
        <w:t xml:space="preserve">, 2015). I came to appreciate that becoming a researcher did not exclude my social work or lecturer self. Instead, this process galvanised my social work identity through the re-examination of practice issues and conceptual ideas. Rather than dismantling previous professional identities and reforming with a single sense of self, the doctorial journey has helped me reconcile three aspects of my professional role. As mentioned </w:t>
      </w:r>
      <w:r w:rsidRPr="00866CD9">
        <w:t xml:space="preserve">in </w:t>
      </w:r>
      <w:r w:rsidR="00866CD9" w:rsidRPr="00866CD9">
        <w:t>C</w:t>
      </w:r>
      <w:r w:rsidRPr="00866CD9">
        <w:t>hapter</w:t>
      </w:r>
      <w:r w:rsidR="00866CD9" w:rsidRPr="00866CD9">
        <w:t xml:space="preserve"> </w:t>
      </w:r>
      <w:r w:rsidR="002C5A99">
        <w:t>6</w:t>
      </w:r>
      <w:r w:rsidRPr="00866CD9">
        <w:t>, being</w:t>
      </w:r>
      <w:r>
        <w:t xml:space="preserve"> a social worker does not mean that interviews or analysing information are easier, but I did draw on my previous experiences to help prepare young people and provide support when they became distressed during the interviews. Also, </w:t>
      </w:r>
      <w:r w:rsidRPr="007262FF">
        <w:t xml:space="preserve">I </w:t>
      </w:r>
      <w:r>
        <w:t>was aware th</w:t>
      </w:r>
      <w:r w:rsidRPr="007262FF">
        <w:t xml:space="preserve">at the use of my social work identity </w:t>
      </w:r>
      <w:r>
        <w:t>was</w:t>
      </w:r>
      <w:r w:rsidRPr="007262FF">
        <w:t xml:space="preserve"> significant in gaining access to</w:t>
      </w:r>
      <w:r>
        <w:t xml:space="preserve"> different </w:t>
      </w:r>
      <w:r w:rsidRPr="007262FF">
        <w:t>gatekeepers</w:t>
      </w:r>
      <w:r>
        <w:t xml:space="preserve"> as I was able to draw on shared language and understanding of systems</w:t>
      </w:r>
      <w:r w:rsidRPr="007262FF">
        <w:t>.</w:t>
      </w:r>
      <w:r>
        <w:t xml:space="preserve"> Talking and thinking about social work so intensely has pushed me to think about my own actions as a social worker, manager and now as a lecturer shaping other’s practice. Although I still experience previously mentioned insecurities, I have a stronger sense of my identity as a social worker who teaches and carries out research. </w:t>
      </w:r>
    </w:p>
    <w:p w14:paraId="6E418F06" w14:textId="77777777" w:rsidR="00301A3B" w:rsidRPr="004466FD" w:rsidRDefault="00301A3B" w:rsidP="006E3485">
      <w:pPr>
        <w:pStyle w:val="Heading3"/>
      </w:pPr>
      <w:r w:rsidRPr="003C36CD">
        <w:t>Writing Myself into the Research</w:t>
      </w:r>
    </w:p>
    <w:p w14:paraId="27A8FE50" w14:textId="190B5E7D" w:rsidR="00301A3B" w:rsidRDefault="00301A3B" w:rsidP="00301A3B">
      <w:r>
        <w:t xml:space="preserve">Part of a developing research identity as a doctoral student is writing (Thomson and Kamler, 2016). I was mindful that I needed to adhere to the conventions of writing a thesis but wanted my approach to align with my ontological and epistemological positions. I started the process by writing in the third person following conventional thinking about academic contributions. In part this was based on my personal experience of academic writing and general advice, but also because of my apprehensions of </w:t>
      </w:r>
      <w:r w:rsidRPr="00D207A5">
        <w:rPr>
          <w:i/>
          <w:iCs/>
        </w:rPr>
        <w:t>owning</w:t>
      </w:r>
      <w:r>
        <w:t xml:space="preserve"> the thesis. </w:t>
      </w:r>
      <w:r w:rsidR="00EB7053">
        <w:t>Soon into the process</w:t>
      </w:r>
      <w:r>
        <w:t xml:space="preserve">, I quickly felt a dissonance between me as the writer and what I had written. Creating an air of objectivity is associated with positivist approaches, where removing the researcher is important to identifying the true answer (Given, 2008). This technique has also been criticised for erasing particular voices from academic writing as assumptions are made </w:t>
      </w:r>
      <w:r>
        <w:lastRenderedPageBreak/>
        <w:t>about a white male narrative if the writer is unseen (Thomson and Kamler, 2016). Using a third</w:t>
      </w:r>
      <w:r w:rsidR="00E04BEB">
        <w:t>-</w:t>
      </w:r>
      <w:r>
        <w:t xml:space="preserve">person </w:t>
      </w:r>
      <w:r w:rsidR="00E04BEB">
        <w:t>standpoint</w:t>
      </w:r>
      <w:r>
        <w:t xml:space="preserve"> felt that my part in the construction of how I had understood young people’s perspectives was hidden, and therefore not an honest representation of how information was interpreted. Using a first-person pronoun in my thesis was not to privilege my position, but to assert that my voice </w:t>
      </w:r>
      <w:r w:rsidR="00E22522">
        <w:t xml:space="preserve">is </w:t>
      </w:r>
      <w:r>
        <w:t>one of many in the thesis (Weatherall, 2018).</w:t>
      </w:r>
    </w:p>
    <w:p w14:paraId="5799849A" w14:textId="59B08665" w:rsidR="00301A3B" w:rsidRDefault="00301A3B" w:rsidP="00301A3B">
      <w:r>
        <w:t xml:space="preserve">Making the </w:t>
      </w:r>
      <w:r w:rsidRPr="00693D5C">
        <w:rPr>
          <w:i/>
          <w:iCs/>
        </w:rPr>
        <w:t>subjective</w:t>
      </w:r>
      <w:r>
        <w:t xml:space="preserve"> explicit in the thesis was more than referring to myself in the first person</w:t>
      </w:r>
      <w:r w:rsidR="00E04BEB">
        <w:t>. F</w:t>
      </w:r>
      <w:r>
        <w:t>or example, in the process of data analysis</w:t>
      </w:r>
      <w:r w:rsidR="00E04BEB">
        <w:t>, w</w:t>
      </w:r>
      <w:r>
        <w:t>hen reading and thinking about the young people’s experiences I recognised in early iterations of my analysis that I was focused on elements that would more easily be incorporated into changes of process or teaching materials. Working in a reflexive way meant drawing attention to the ‘knowledge making process’ by thinking about my use of self in the analysis stage (Fook, 2019, p. 63). Being active in recognising my subjectivity</w:t>
      </w:r>
      <w:r w:rsidR="009256F4">
        <w:t>,</w:t>
      </w:r>
      <w:r>
        <w:t xml:space="preserve"> I was able to revisit the analysis with awareness of areas I might be drawn to when generating initial themes (Braun and Clarke, 2019), for example becoming focussed on points made about social worker behaviour or traits.</w:t>
      </w:r>
    </w:p>
    <w:p w14:paraId="67A49F34" w14:textId="77777777" w:rsidR="00301A3B" w:rsidRDefault="00301A3B" w:rsidP="006E3485">
      <w:pPr>
        <w:pStyle w:val="Heading3"/>
      </w:pPr>
      <w:r w:rsidRPr="00BB1A34">
        <w:t>The Gates Behind the Gatekeepers</w:t>
      </w:r>
    </w:p>
    <w:p w14:paraId="1224C33D" w14:textId="5D70F185" w:rsidR="00301A3B" w:rsidRDefault="00301A3B" w:rsidP="00301A3B">
      <w:r>
        <w:t xml:space="preserve">Following on from some </w:t>
      </w:r>
      <w:r w:rsidRPr="00BB1A34">
        <w:t>personal reflections</w:t>
      </w:r>
      <w:r>
        <w:t xml:space="preserve">, the next section </w:t>
      </w:r>
      <w:r w:rsidR="007E1255">
        <w:t>relate</w:t>
      </w:r>
      <w:r w:rsidR="00F11A97">
        <w:t>s</w:t>
      </w:r>
      <w:r>
        <w:t xml:space="preserve"> to my thinking about two stages of the research</w:t>
      </w:r>
      <w:r w:rsidR="00F71A6F">
        <w:t>:</w:t>
      </w:r>
      <w:r>
        <w:t xml:space="preserve"> </w:t>
      </w:r>
      <w:r w:rsidRPr="00BB1A34">
        <w:t>the intractable route to talk with young people directly</w:t>
      </w:r>
      <w:r>
        <w:t xml:space="preserve"> and the impact of the interviews</w:t>
      </w:r>
      <w:r w:rsidRPr="00BB1A34">
        <w:t xml:space="preserve">. </w:t>
      </w:r>
    </w:p>
    <w:p w14:paraId="11D7DD9C" w14:textId="0287D872" w:rsidR="00301A3B" w:rsidRDefault="00301A3B" w:rsidP="00301A3B">
      <w:r w:rsidRPr="00BB1A34">
        <w:t>As a professional doctorate is</w:t>
      </w:r>
      <w:r>
        <w:t xml:space="preserve"> closely</w:t>
      </w:r>
      <w:r w:rsidRPr="00BB1A34">
        <w:t xml:space="preserve"> linked </w:t>
      </w:r>
      <w:r>
        <w:t>with</w:t>
      </w:r>
      <w:r w:rsidRPr="00BB1A34">
        <w:t xml:space="preserve"> practice, I initially had a nominated link </w:t>
      </w:r>
      <w:r>
        <w:t xml:space="preserve">person </w:t>
      </w:r>
      <w:r w:rsidRPr="00BB1A34">
        <w:t xml:space="preserve">within the local authority to </w:t>
      </w:r>
      <w:r>
        <w:t>facilitate contact with</w:t>
      </w:r>
      <w:r w:rsidRPr="00BB1A34">
        <w:t xml:space="preserve"> teams and ultimately young people.</w:t>
      </w:r>
      <w:r>
        <w:t xml:space="preserve"> Soon into the study</w:t>
      </w:r>
      <w:r w:rsidR="008B4E54">
        <w:t>,</w:t>
      </w:r>
      <w:r>
        <w:t xml:space="preserve"> the person left and what followed was a period of frustrating albeit understandable delays. </w:t>
      </w:r>
      <w:r w:rsidRPr="00BB1A34">
        <w:t xml:space="preserve">Given my links with </w:t>
      </w:r>
      <w:r>
        <w:t>both</w:t>
      </w:r>
      <w:r w:rsidRPr="00BB1A34">
        <w:t xml:space="preserve"> local authori</w:t>
      </w:r>
      <w:r>
        <w:t>ties</w:t>
      </w:r>
      <w:r w:rsidRPr="00BB1A34">
        <w:t>, I took for granted that my knowledge of the organisation would help me navigate systems to identify the right people in a timely way</w:t>
      </w:r>
      <w:r w:rsidR="006E3A5A">
        <w:t>. I had a</w:t>
      </w:r>
      <w:r w:rsidR="00452D19">
        <w:t xml:space="preserve">nticipated unanswered emails and phone calls, as </w:t>
      </w:r>
      <w:r w:rsidR="00452D19" w:rsidRPr="00BB1A34">
        <w:t xml:space="preserve">research is not </w:t>
      </w:r>
      <w:r w:rsidR="00452D19">
        <w:t>the</w:t>
      </w:r>
      <w:r w:rsidR="00452D19" w:rsidRPr="00BB1A34">
        <w:t xml:space="preserve"> primary task for local authorities (Munro, Holmes and Ward, 2005)</w:t>
      </w:r>
      <w:r w:rsidR="00452D19">
        <w:t>.</w:t>
      </w:r>
      <w:r w:rsidR="008F5626">
        <w:t xml:space="preserve"> </w:t>
      </w:r>
      <w:r w:rsidR="00EB7053">
        <w:t>Instead</w:t>
      </w:r>
      <w:r w:rsidRPr="00BB1A34">
        <w:t>, as reflected in Hayes</w:t>
      </w:r>
      <w:r>
        <w:t>’</w:t>
      </w:r>
      <w:r w:rsidRPr="00BB1A34">
        <w:t xml:space="preserve"> experience (2005) </w:t>
      </w:r>
      <w:r w:rsidR="00EB7053">
        <w:t>negotiating with gatekeepers</w:t>
      </w:r>
      <w:r w:rsidRPr="00BB1A34">
        <w:t xml:space="preserve"> proved to be </w:t>
      </w:r>
      <w:r w:rsidR="006E3A5A">
        <w:t xml:space="preserve">much </w:t>
      </w:r>
      <w:r w:rsidRPr="00BB1A34">
        <w:t>slow</w:t>
      </w:r>
      <w:r w:rsidR="00452D19">
        <w:t>er</w:t>
      </w:r>
      <w:r w:rsidRPr="00BB1A34">
        <w:t xml:space="preserve"> and </w:t>
      </w:r>
      <w:r w:rsidR="00452D19">
        <w:t xml:space="preserve">more </w:t>
      </w:r>
      <w:r w:rsidRPr="00BB1A34">
        <w:t>tim</w:t>
      </w:r>
      <w:r w:rsidR="00452D19">
        <w:t>e</w:t>
      </w:r>
      <w:r w:rsidRPr="00BB1A34">
        <w:t xml:space="preserve"> consuming</w:t>
      </w:r>
      <w:r w:rsidR="008F5626">
        <w:t xml:space="preserve"> as noted </w:t>
      </w:r>
      <w:r w:rsidR="008F5626" w:rsidRPr="002C5A99">
        <w:t>in Chapter</w:t>
      </w:r>
      <w:r w:rsidR="002C5A99" w:rsidRPr="002C5A99">
        <w:t xml:space="preserve"> 6</w:t>
      </w:r>
      <w:r w:rsidRPr="00BB1A34">
        <w:t xml:space="preserve">. </w:t>
      </w:r>
      <w:r>
        <w:t xml:space="preserve">Each local authority underwent </w:t>
      </w:r>
      <w:r w:rsidRPr="00BB1A34">
        <w:t xml:space="preserve">significant organisational change, </w:t>
      </w:r>
      <w:r>
        <w:t>meaning that established links or contacts became redundant as people moved role</w:t>
      </w:r>
      <w:r w:rsidRPr="00BB1A34">
        <w:t xml:space="preserve">. </w:t>
      </w:r>
      <w:r>
        <w:t>Once agreed</w:t>
      </w:r>
      <w:r w:rsidRPr="00BB1A34">
        <w:t>, both local authorities were encouraging and welcoming to my request and the ‘pay-off’ described by Corra and Willer (2002), involved sharing the research once it had concluded. There was no expectation of influence over the questions or management of dissemination experienced in some insider research (Mitchell, 2006)</w:t>
      </w:r>
      <w:r w:rsidR="0031449D">
        <w:t xml:space="preserve">, </w:t>
      </w:r>
      <w:r w:rsidR="0031449D">
        <w:lastRenderedPageBreak/>
        <w:t>p</w:t>
      </w:r>
      <w:r>
        <w:t>ossibly due to a level of trust about how I would carry out the research, or ambivalence due to other issues to manage.</w:t>
      </w:r>
    </w:p>
    <w:p w14:paraId="3C7263F0" w14:textId="1B613E52" w:rsidR="00301A3B" w:rsidRDefault="00301A3B" w:rsidP="00301A3B">
      <w:r>
        <w:t>There were two years between the original ethics approval and local authority consent, then a further four months until my first interview. As senior managers were so supportive, the delays led me to question what obstacles other than issues of time (Gilbertson, and Barber, 2002)</w:t>
      </w:r>
      <w:r w:rsidR="006E3A5A">
        <w:t xml:space="preserve"> could be at play</w:t>
      </w:r>
      <w:r>
        <w:t>. I was prepared for some barriers and took time to meet, email and talk with people to allay concerns, explain information and to give reassurances about the approach I was taking. However, I had not thought through the multiple layers of gatekeeping I needed to navigate</w:t>
      </w:r>
      <w:r w:rsidR="00452D19">
        <w:t xml:space="preserve"> depicted </w:t>
      </w:r>
      <w:r w:rsidR="00452D19" w:rsidRPr="0045538D">
        <w:t>in Figure</w:t>
      </w:r>
      <w:r w:rsidR="0045538D" w:rsidRPr="0045538D">
        <w:t xml:space="preserve"> 6</w:t>
      </w:r>
      <w:r w:rsidR="006E3A5A">
        <w:t>, Chapter 6</w:t>
      </w:r>
      <w:r w:rsidRPr="0045538D">
        <w:t>.</w:t>
      </w:r>
      <w:r w:rsidR="00452D19" w:rsidRPr="0045538D">
        <w:t xml:space="preserve"> </w:t>
      </w:r>
      <w:r w:rsidR="00EB7053" w:rsidRPr="0045538D">
        <w:t>W</w:t>
      </w:r>
      <w:r w:rsidRPr="0045538D">
        <w:t>hat</w:t>
      </w:r>
      <w:r>
        <w:t xml:space="preserve"> I was not aware of until after I had started the interviews was the interactions between the foster carer and young person. I underestimated the hidden aspects to the consent process that played out without my involvement. By focusing my attention on the two formal ethics processes and the young person, I missed the feelings of foster carers about their role in the process. The issue in accessing young participants is a familiar feature of social research (Groundwater-Smith, Dockett and Botterell, 2015), where concerns about involving vulnerable participants in research is seen as an ‘unnecessary intrusion’ (Munro, Holmes and Ward, 2005, p. 1027). </w:t>
      </w:r>
      <w:r w:rsidR="00EB7053">
        <w:t>Nevertheless</w:t>
      </w:r>
      <w:r>
        <w:t xml:space="preserve">, I had anticipated that as the young people were over 18, it would be their decision to take part once their worker had talked to them, as I was working from a rights-based stance. </w:t>
      </w:r>
    </w:p>
    <w:p w14:paraId="7DCB27D6" w14:textId="4FCCC8A0" w:rsidR="00301A3B" w:rsidRDefault="00301A3B" w:rsidP="00301A3B">
      <w:r>
        <w:t xml:space="preserve">Although the workers did not share this information with me until after the interviews concluded, I became aware of how much effort they had made to answer questions and offer reassurances to carers. Weighing up my involvement was considered at all points in the gatekeeping process, but for carers their consideration was more personal to the possible impact on their relationships and home circumstances. By failing to acknowledge the concerns </w:t>
      </w:r>
      <w:r w:rsidR="006E3A5A">
        <w:t>of</w:t>
      </w:r>
      <w:r>
        <w:t xml:space="preserve"> carers, I might have been perceived as naïve or ill-informed about the issues young people were facing. This experience emphasised that negotiating consent is neither linear nor a neutral interaction</w:t>
      </w:r>
      <w:r w:rsidR="006A3D2A">
        <w:t>,</w:t>
      </w:r>
      <w:r>
        <w:t xml:space="preserve"> and secondary levels of thinking and </w:t>
      </w:r>
      <w:r w:rsidR="006A3D2A">
        <w:t>discussion</w:t>
      </w:r>
      <w:r>
        <w:t xml:space="preserve"> take place outside of the researcher’s domain. These understandings will inform future research involving different elements to the gatekeeping process.</w:t>
      </w:r>
    </w:p>
    <w:p w14:paraId="03EA2719" w14:textId="4E9C1F6B" w:rsidR="00301A3B" w:rsidRPr="006A3D2A" w:rsidRDefault="00452D19" w:rsidP="006E3485">
      <w:pPr>
        <w:pStyle w:val="Heading3"/>
      </w:pPr>
      <w:r>
        <w:t xml:space="preserve">The benefits of </w:t>
      </w:r>
      <w:r w:rsidR="002A27EB">
        <w:t>P</w:t>
      </w:r>
      <w:r>
        <w:t xml:space="preserve">articipation and </w:t>
      </w:r>
      <w:r w:rsidR="002A27EB">
        <w:t>S</w:t>
      </w:r>
      <w:r>
        <w:t xml:space="preserve">ocial </w:t>
      </w:r>
      <w:r w:rsidR="002A27EB">
        <w:t>W</w:t>
      </w:r>
      <w:r>
        <w:t xml:space="preserve">ork </w:t>
      </w:r>
      <w:r w:rsidR="002A27EB">
        <w:t>E</w:t>
      </w:r>
      <w:r>
        <w:t>xperience</w:t>
      </w:r>
    </w:p>
    <w:p w14:paraId="69D99D92" w14:textId="3035C3A1" w:rsidR="00301A3B" w:rsidRDefault="00301A3B" w:rsidP="00301A3B">
      <w:r>
        <w:t>Consideration about the potential vulnerability of participants was a constant through the duration of the study. Concerns generally centred on the potential resurfacing of previous trauma (</w:t>
      </w:r>
      <w:r w:rsidRPr="003241B7">
        <w:t>Mendes, Snow and Baidawi</w:t>
      </w:r>
      <w:r>
        <w:t xml:space="preserve">, </w:t>
      </w:r>
      <w:r w:rsidRPr="003241B7">
        <w:t>2014</w:t>
      </w:r>
      <w:r>
        <w:t xml:space="preserve">), coercion to participate or being excluded </w:t>
      </w:r>
      <w:r>
        <w:lastRenderedPageBreak/>
        <w:t>(</w:t>
      </w:r>
      <w:r w:rsidRPr="00164567">
        <w:rPr>
          <w:rStyle w:val="bibauth"/>
          <w:bdr w:val="none" w:sz="0" w:space="0" w:color="auto" w:frame="1"/>
          <w:shd w:val="clear" w:color="auto" w:fill="FFFFFF"/>
        </w:rPr>
        <w:t>Garcia-Quiroga</w:t>
      </w:r>
      <w:r>
        <w:rPr>
          <w:rStyle w:val="bibauth"/>
          <w:bdr w:val="none" w:sz="0" w:space="0" w:color="auto" w:frame="1"/>
          <w:shd w:val="clear" w:color="auto" w:fill="FFFFFF"/>
        </w:rPr>
        <w:t xml:space="preserve"> and </w:t>
      </w:r>
      <w:r w:rsidRPr="00164567">
        <w:rPr>
          <w:rStyle w:val="bibauth"/>
          <w:bdr w:val="none" w:sz="0" w:space="0" w:color="auto" w:frame="1"/>
          <w:shd w:val="clear" w:color="auto" w:fill="FFFFFF"/>
        </w:rPr>
        <w:t>Agoglia,</w:t>
      </w:r>
      <w:r>
        <w:rPr>
          <w:rStyle w:val="bibauth"/>
          <w:bdr w:val="none" w:sz="0" w:space="0" w:color="auto" w:frame="1"/>
          <w:shd w:val="clear" w:color="auto" w:fill="FFFFFF"/>
        </w:rPr>
        <w:t xml:space="preserve"> </w:t>
      </w:r>
      <w:r w:rsidRPr="00164567">
        <w:rPr>
          <w:rStyle w:val="bibauth"/>
          <w:bdr w:val="none" w:sz="0" w:space="0" w:color="auto" w:frame="1"/>
          <w:shd w:val="clear" w:color="auto" w:fill="FFFFFF"/>
        </w:rPr>
        <w:t>2020</w:t>
      </w:r>
      <w:r>
        <w:t xml:space="preserve">). Research can </w:t>
      </w:r>
      <w:r w:rsidRPr="00EB76BF">
        <w:t xml:space="preserve">benefit </w:t>
      </w:r>
      <w:r w:rsidR="006E3A5A">
        <w:t xml:space="preserve">involved </w:t>
      </w:r>
      <w:r w:rsidRPr="00EB76BF">
        <w:t>children and young people</w:t>
      </w:r>
      <w:r>
        <w:t>, and shared skills and experiences s</w:t>
      </w:r>
      <w:r w:rsidRPr="00EB76BF">
        <w:t xml:space="preserve">hould </w:t>
      </w:r>
      <w:r>
        <w:t xml:space="preserve">be </w:t>
      </w:r>
      <w:r w:rsidRPr="00EB76BF">
        <w:t>acknowledge</w:t>
      </w:r>
      <w:r>
        <w:t>d</w:t>
      </w:r>
      <w:r w:rsidRPr="00CA120E">
        <w:t xml:space="preserve"> </w:t>
      </w:r>
      <w:r>
        <w:t>(</w:t>
      </w:r>
      <w:r w:rsidRPr="00EB76BF">
        <w:t>Alderson and Morrow</w:t>
      </w:r>
      <w:r>
        <w:t xml:space="preserve">, </w:t>
      </w:r>
      <w:r w:rsidRPr="00EB76BF">
        <w:t>2011).</w:t>
      </w:r>
      <w:r>
        <w:t xml:space="preserve"> </w:t>
      </w:r>
      <w:r w:rsidR="00B248B9">
        <w:t>Yet</w:t>
      </w:r>
      <w:r>
        <w:t xml:space="preserve">, these elements </w:t>
      </w:r>
      <w:r w:rsidR="006E3A5A">
        <w:t>were</w:t>
      </w:r>
      <w:r>
        <w:t xml:space="preserve"> not required in ethics applications, as processes tended to focus on deficits and risk management (Carey, 2019). My apprehension to get ethics applications right, probably steered my thinking away from </w:t>
      </w:r>
      <w:r w:rsidR="00452D19">
        <w:t xml:space="preserve">any positive </w:t>
      </w:r>
      <w:r w:rsidR="006E3A5A">
        <w:t>factors</w:t>
      </w:r>
      <w:r>
        <w:t xml:space="preserve">, which I was confronted with during the interviews. Although I did not explicitly ask the young people </w:t>
      </w:r>
      <w:r w:rsidR="00A4208E">
        <w:t>about benefits</w:t>
      </w:r>
      <w:r>
        <w:t xml:space="preserve"> they saw in taking part, all of the young people I spoke with expressed their desire to ‘make a difference’</w:t>
      </w:r>
      <w:r w:rsidR="00103E8D">
        <w:t xml:space="preserve"> </w:t>
      </w:r>
      <w:r>
        <w:t xml:space="preserve">(Cally) or to ‘get this out there’ (Jonathan). Whilst there was some scepticism about the ability of my research to make changes </w:t>
      </w:r>
      <w:r w:rsidR="00807612">
        <w:t>—</w:t>
      </w:r>
      <w:r>
        <w:t xml:space="preserve"> ‘will they listen?’ (Cally),</w:t>
      </w:r>
      <w:r w:rsidR="006E3A5A">
        <w:t xml:space="preserve"> </w:t>
      </w:r>
      <w:r>
        <w:t xml:space="preserve">all participants were keen to be involved. Their response contrasted with their supporting adults who were more hesitant and highlighted how important it is to think about gains within the research process as well as pitfalls when talking </w:t>
      </w:r>
      <w:r w:rsidR="00A45D07">
        <w:t>with</w:t>
      </w:r>
      <w:r>
        <w:t xml:space="preserve"> gatekeepers.</w:t>
      </w:r>
    </w:p>
    <w:p w14:paraId="3CDB2FAB" w14:textId="5A03F578" w:rsidR="00301A3B" w:rsidRDefault="00301A3B" w:rsidP="00301A3B">
      <w:r>
        <w:t xml:space="preserve">The final aspect I want to reflect on relates to the researcher’s role during the interview. Preparing for interviews involved attention to boundaries and how to present as a researcher to support the young person to feel comfortable and be able to respond or withdraw. Being focused on the transactional elements of the interview did not fully account for the relationship built with the young person. Talking </w:t>
      </w:r>
      <w:r w:rsidR="00A45D07">
        <w:t>with</w:t>
      </w:r>
      <w:r>
        <w:t xml:space="preserve"> young people about sensitive issues</w:t>
      </w:r>
      <w:r w:rsidR="001D1C45">
        <w:t>,</w:t>
      </w:r>
      <w:r>
        <w:t xml:space="preserve"> I was aware that regardless of the positive nature of our conversation</w:t>
      </w:r>
      <w:r w:rsidR="001D1C45">
        <w:t>,</w:t>
      </w:r>
      <w:r>
        <w:t xml:space="preserve"> I would be another transient encounter in their lives. Due to the nature of the personal information, they shared I deliberately </w:t>
      </w:r>
      <w:r w:rsidR="00452D19">
        <w:t xml:space="preserve">drew on my social work skills to </w:t>
      </w:r>
      <w:r>
        <w:t>help the young person reflect on what they were telling me and move on from more painful details</w:t>
      </w:r>
      <w:r w:rsidR="0031449D">
        <w:t>, f</w:t>
      </w:r>
      <w:r>
        <w:t xml:space="preserve">or example, using reflective and circular questions outside of the interview guide. Initially I was concerned that this approach muddied my role as a researcher, but I recalled Liabo, Ingold and Robert’s (2018, p. 5) suggestion that ethical guidelines ‘provide tools rather than rules’ about how the interview is conducted. I was confident that being kind and helpful during the interview was important to leave the young person feeling comfortable about what they shared. I have </w:t>
      </w:r>
      <w:r w:rsidR="00452D19">
        <w:t xml:space="preserve">subsequently </w:t>
      </w:r>
      <w:r w:rsidR="00F11A97">
        <w:t>thought</w:t>
      </w:r>
      <w:r>
        <w:t xml:space="preserve"> about more supportive ways to interview young people so that they are not left with feelings of loss or isolation with their issues. Some advocate that participatory research is a preferred model as it gives a voice to the participant (Lushey and Munro, 2014), however peer to peer models take more time and I am interested in whether there are alternatives that do</w:t>
      </w:r>
      <w:r w:rsidR="00F11A97">
        <w:t xml:space="preserve"> not</w:t>
      </w:r>
      <w:r>
        <w:t xml:space="preserve"> require young people committing time to longer term projects that also cannot sustain relationships. This is something I will continue to think about in future research. </w:t>
      </w:r>
    </w:p>
    <w:p w14:paraId="56EA0230" w14:textId="22B82FB3" w:rsidR="00301A3B" w:rsidRPr="00FF6DC2" w:rsidRDefault="00A46304" w:rsidP="006E3485">
      <w:pPr>
        <w:pStyle w:val="Heading2"/>
      </w:pPr>
      <w:bookmarkStart w:id="92" w:name="_Toc101108529"/>
      <w:r>
        <w:lastRenderedPageBreak/>
        <w:t xml:space="preserve">Research </w:t>
      </w:r>
      <w:r w:rsidR="00301A3B" w:rsidRPr="00FF6DC2">
        <w:t>Limitations</w:t>
      </w:r>
      <w:bookmarkEnd w:id="92"/>
    </w:p>
    <w:p w14:paraId="6B76181B" w14:textId="5A140F83" w:rsidR="00301A3B" w:rsidRPr="007A1401" w:rsidRDefault="00301A3B" w:rsidP="006E3485">
      <w:pPr>
        <w:pStyle w:val="Heading3"/>
      </w:pPr>
      <w:r w:rsidRPr="007A1401">
        <w:t xml:space="preserve">Entangled </w:t>
      </w:r>
      <w:r w:rsidR="002A27EB">
        <w:t>I</w:t>
      </w:r>
      <w:r w:rsidRPr="007A1401">
        <w:t>nvolvement</w:t>
      </w:r>
    </w:p>
    <w:p w14:paraId="6FD6547E" w14:textId="49E1D67C" w:rsidR="00301A3B" w:rsidRDefault="00301A3B" w:rsidP="00301A3B">
      <w:r>
        <w:t>In my thesis</w:t>
      </w:r>
      <w:r w:rsidR="00FF6DC2">
        <w:t>,</w:t>
      </w:r>
      <w:r>
        <w:t xml:space="preserve"> I have referred to the benefits of having an insider perspective and established relationships with each local authority. The possibility of collusion or missed nuance is higher where the researcher is familiar with the research field (Costley and Fulton, 2019)</w:t>
      </w:r>
      <w:r w:rsidR="00FF6DC2">
        <w:t>,</w:t>
      </w:r>
      <w:r>
        <w:t xml:space="preserve"> but also concerns that the researcher will identify issues that are not raised through the data (Chammas, 2020). </w:t>
      </w:r>
      <w:r w:rsidR="00F11A97">
        <w:t>T</w:t>
      </w:r>
      <w:r>
        <w:t xml:space="preserve">hese elements have been addressed in </w:t>
      </w:r>
      <w:r w:rsidR="00866CD9" w:rsidRPr="00866CD9">
        <w:t>C</w:t>
      </w:r>
      <w:r w:rsidRPr="00866CD9">
        <w:t>hapter</w:t>
      </w:r>
      <w:r w:rsidR="00866CD9" w:rsidRPr="00866CD9">
        <w:t xml:space="preserve"> </w:t>
      </w:r>
      <w:r w:rsidR="000D63C1">
        <w:t>6</w:t>
      </w:r>
      <w:r w:rsidRPr="00866CD9">
        <w:t xml:space="preserve"> as my</w:t>
      </w:r>
      <w:r>
        <w:t xml:space="preserve"> insider position changed and was relatively distant. </w:t>
      </w:r>
      <w:r w:rsidR="00B248B9">
        <w:t>I</w:t>
      </w:r>
      <w:r>
        <w:t>n my reflection I note</w:t>
      </w:r>
      <w:r w:rsidR="00F11A97">
        <w:t>d</w:t>
      </w:r>
      <w:r>
        <w:t xml:space="preserve"> the multiple stages and potential barriers to identifying </w:t>
      </w:r>
      <w:r w:rsidR="004D4840">
        <w:t>participants and</w:t>
      </w:r>
      <w:r>
        <w:t xml:space="preserve"> wonder if my involvement with each organisation </w:t>
      </w:r>
      <w:r w:rsidR="006E3A5A">
        <w:t>was significant</w:t>
      </w:r>
      <w:r>
        <w:t>. Undertaking a doctorate alongside other responsibilities meant that there was a pragmatic approach to the process, but my gratitude for the support of the local authority</w:t>
      </w:r>
      <w:r w:rsidR="00B7379C">
        <w:t>,</w:t>
      </w:r>
      <w:r>
        <w:t xml:space="preserve"> and lack of time</w:t>
      </w:r>
      <w:r w:rsidR="00B7379C">
        <w:t>,</w:t>
      </w:r>
      <w:r>
        <w:t xml:space="preserve"> may have prevented me from being more directive regarding timescales. Perhaps carrying out my research in a different local authority would</w:t>
      </w:r>
      <w:r w:rsidR="00F11A97">
        <w:t xml:space="preserve"> have</w:t>
      </w:r>
      <w:r>
        <w:t xml:space="preserve"> lessen</w:t>
      </w:r>
      <w:r w:rsidR="00F11A97">
        <w:t>ed</w:t>
      </w:r>
      <w:r>
        <w:t xml:space="preserve"> the </w:t>
      </w:r>
      <w:r w:rsidR="000D63C1">
        <w:t xml:space="preserve">negative impact of </w:t>
      </w:r>
      <w:r>
        <w:t>familiarity</w:t>
      </w:r>
      <w:r w:rsidR="000D63C1">
        <w:t>, where I felt concerned about being overly demanding and the local authority possibly assuming I would accept any delays in response</w:t>
      </w:r>
      <w:r>
        <w:t>.</w:t>
      </w:r>
    </w:p>
    <w:p w14:paraId="3FAA0D11" w14:textId="77777777" w:rsidR="00301A3B" w:rsidRDefault="00301A3B" w:rsidP="006E3485">
      <w:pPr>
        <w:pStyle w:val="Heading3"/>
      </w:pPr>
      <w:r>
        <w:t>Selection of Participants</w:t>
      </w:r>
    </w:p>
    <w:p w14:paraId="722C020A" w14:textId="42ADBF4D" w:rsidR="00301A3B" w:rsidRDefault="00301A3B" w:rsidP="00301A3B">
      <w:r>
        <w:t xml:space="preserve">I was mindful that the young people involved in the study were </w:t>
      </w:r>
      <w:r w:rsidR="00F11A97">
        <w:t>selected</w:t>
      </w:r>
      <w:r>
        <w:t xml:space="preserve"> by the social work teams as young people </w:t>
      </w:r>
      <w:r w:rsidR="009B5B6D">
        <w:t>needed to be</w:t>
      </w:r>
      <w:r>
        <w:t xml:space="preserve"> nominated by their worker as there was no agreed way to contact young people directly. I have acknowledged </w:t>
      </w:r>
      <w:r w:rsidR="000D63C1">
        <w:t xml:space="preserve">earlier in this chapter </w:t>
      </w:r>
      <w:r>
        <w:t xml:space="preserve">that the social worker and personal advisor’s involvement was very welcome in preparing the ground, especially </w:t>
      </w:r>
      <w:r w:rsidR="009B5B6D">
        <w:t>with f</w:t>
      </w:r>
      <w:r>
        <w:t xml:space="preserve">oster carers. </w:t>
      </w:r>
      <w:r w:rsidR="00B248B9">
        <w:t>Nevertheless</w:t>
      </w:r>
      <w:r>
        <w:t xml:space="preserve">, in making their selection </w:t>
      </w:r>
      <w:r w:rsidR="00BC54B4">
        <w:t>social workers and personal advisors</w:t>
      </w:r>
      <w:r>
        <w:t xml:space="preserve"> would have used an unwritten set of criteria for </w:t>
      </w:r>
      <w:r w:rsidR="00BC54B4">
        <w:t>the young people</w:t>
      </w:r>
      <w:r>
        <w:t xml:space="preserve"> they put forward. It could be that they purposely chose young people who had an axe to grind or who they felt had an interesting perspective. That being said</w:t>
      </w:r>
      <w:r w:rsidR="000F4EB4">
        <w:t>,</w:t>
      </w:r>
      <w:r>
        <w:t xml:space="preserve"> the numbers of young people </w:t>
      </w:r>
      <w:r w:rsidRPr="00071E88">
        <w:rPr>
          <w:i/>
          <w:iCs/>
        </w:rPr>
        <w:t>Staying Put</w:t>
      </w:r>
      <w:r>
        <w:t xml:space="preserve"> within each local authority was relatively low and therefore it would </w:t>
      </w:r>
      <w:r w:rsidR="00F11A97">
        <w:t xml:space="preserve">have </w:t>
      </w:r>
      <w:r>
        <w:t>be</w:t>
      </w:r>
      <w:r w:rsidR="00F11A97">
        <w:t>en</w:t>
      </w:r>
      <w:r>
        <w:t xml:space="preserve"> hard for the teams to be less selective. Furthermore, the range of experiences across the selected participants did </w:t>
      </w:r>
      <w:r w:rsidR="000D63C1">
        <w:t>enable</w:t>
      </w:r>
      <w:r>
        <w:t xml:space="preserve"> me to address my research aims.</w:t>
      </w:r>
    </w:p>
    <w:p w14:paraId="37AD8E02" w14:textId="77777777" w:rsidR="00301A3B" w:rsidRDefault="00301A3B" w:rsidP="006E3485">
      <w:pPr>
        <w:pStyle w:val="Heading3"/>
      </w:pPr>
      <w:r>
        <w:t>Methods</w:t>
      </w:r>
    </w:p>
    <w:p w14:paraId="2F12080E" w14:textId="77EE2C22" w:rsidR="00301A3B" w:rsidRDefault="00301A3B" w:rsidP="00301A3B">
      <w:r>
        <w:t xml:space="preserve">One of the </w:t>
      </w:r>
      <w:r w:rsidR="00F11A97">
        <w:t>limitations</w:t>
      </w:r>
      <w:r>
        <w:t xml:space="preserve"> of my study</w:t>
      </w:r>
      <w:r w:rsidR="004B380B">
        <w:t>,</w:t>
      </w:r>
      <w:r>
        <w:t xml:space="preserve"> was the </w:t>
      </w:r>
      <w:r w:rsidR="00F11A97">
        <w:t>restricted</w:t>
      </w:r>
      <w:r>
        <w:t xml:space="preserve"> time to involve young people more in the development of the research. Involving the advisory group was one element of the process where I was able to work with them to support a more inclusive approach. Despite the measures I took, and the attempts made to be open and supportive, the </w:t>
      </w:r>
      <w:r w:rsidR="009B5B6D">
        <w:t>terms of their involvement were shaped by me</w:t>
      </w:r>
      <w:r w:rsidR="00F45438">
        <w:t>,</w:t>
      </w:r>
      <w:r>
        <w:t xml:space="preserve"> whereas peer research would have enabled a different </w:t>
      </w:r>
      <w:r>
        <w:lastRenderedPageBreak/>
        <w:t xml:space="preserve">experience where young people might have felt more ownership of their contribution. Although my actions and intentions were to ensure that young people were central to the research, I </w:t>
      </w:r>
      <w:r w:rsidR="009B5B6D">
        <w:t>was</w:t>
      </w:r>
      <w:r>
        <w:t xml:space="preserve"> still the person steering and interpreting the issues discussed. </w:t>
      </w:r>
    </w:p>
    <w:p w14:paraId="09FA37FC" w14:textId="2BD6E6B8" w:rsidR="003914D5" w:rsidRPr="002C1DC6" w:rsidRDefault="003914D5" w:rsidP="003914D5">
      <w:pPr>
        <w:pStyle w:val="Heading3"/>
      </w:pPr>
      <w:r w:rsidRPr="002C1DC6">
        <w:t>Applying a Foucauldian Lens</w:t>
      </w:r>
    </w:p>
    <w:p w14:paraId="61CBC5F1" w14:textId="7A311C33" w:rsidR="00301A3B" w:rsidRDefault="00D83C6A" w:rsidP="00301A3B">
      <w:r w:rsidRPr="002C1DC6">
        <w:t xml:space="preserve">My intention to use Foucault’s work was </w:t>
      </w:r>
      <w:r w:rsidR="00310F20" w:rsidRPr="002C1DC6">
        <w:t xml:space="preserve">in the spirit of other writers such as </w:t>
      </w:r>
      <w:r w:rsidR="006E3DE5" w:rsidRPr="002C1DC6">
        <w:t>Chambon</w:t>
      </w:r>
      <w:r w:rsidR="000A6F8E" w:rsidRPr="002C1DC6">
        <w:t xml:space="preserve"> et al.</w:t>
      </w:r>
      <w:r w:rsidR="006E3DE5" w:rsidRPr="002C1DC6">
        <w:t xml:space="preserve"> (1999) and </w:t>
      </w:r>
      <w:r w:rsidR="00310F20" w:rsidRPr="002C1DC6">
        <w:t>Winter and Cree (</w:t>
      </w:r>
      <w:r w:rsidR="00CC336D" w:rsidRPr="002C1DC6">
        <w:t>2016</w:t>
      </w:r>
      <w:r w:rsidR="00310F20" w:rsidRPr="002C1DC6">
        <w:t>)</w:t>
      </w:r>
      <w:r w:rsidR="00CC336D" w:rsidRPr="002C1DC6">
        <w:t xml:space="preserve"> who were looking to explore previously understood </w:t>
      </w:r>
      <w:r w:rsidR="000A6F8E" w:rsidRPr="002C1DC6">
        <w:t xml:space="preserve">practice </w:t>
      </w:r>
      <w:r w:rsidR="00CC336D" w:rsidRPr="002C1DC6">
        <w:t>issues using</w:t>
      </w:r>
      <w:r w:rsidR="000A6F8E" w:rsidRPr="002C1DC6">
        <w:t xml:space="preserve"> a </w:t>
      </w:r>
      <w:r w:rsidR="006E3DE5" w:rsidRPr="002C1DC6">
        <w:t>differe</w:t>
      </w:r>
      <w:r w:rsidR="000A6F8E" w:rsidRPr="002C1DC6">
        <w:t xml:space="preserve">nt </w:t>
      </w:r>
      <w:r w:rsidR="0031073E" w:rsidRPr="002C1DC6">
        <w:t xml:space="preserve">critical lens. </w:t>
      </w:r>
      <w:r w:rsidR="00624BD7" w:rsidRPr="002C1DC6">
        <w:t>As described in Part One, m</w:t>
      </w:r>
      <w:r w:rsidR="0031073E" w:rsidRPr="002C1DC6">
        <w:t xml:space="preserve">uch of the literature about leaving care and </w:t>
      </w:r>
      <w:r w:rsidR="00624BD7" w:rsidRPr="002C1DC6">
        <w:t>decision-making</w:t>
      </w:r>
      <w:r w:rsidR="0031073E" w:rsidRPr="002C1DC6">
        <w:t xml:space="preserve"> </w:t>
      </w:r>
      <w:r w:rsidR="00624BD7" w:rsidRPr="002C1DC6">
        <w:t>reflect similar</w:t>
      </w:r>
      <w:r w:rsidR="0031073E" w:rsidRPr="002C1DC6">
        <w:t xml:space="preserve"> message</w:t>
      </w:r>
      <w:r w:rsidR="00624BD7" w:rsidRPr="002C1DC6">
        <w:t>s from and about young people’s expe</w:t>
      </w:r>
      <w:r w:rsidR="009C6623" w:rsidRPr="002C1DC6">
        <w:t>riences</w:t>
      </w:r>
      <w:r w:rsidR="00E26185" w:rsidRPr="002C1DC6">
        <w:t>, and</w:t>
      </w:r>
      <w:r w:rsidR="005C22EF" w:rsidRPr="002C1DC6">
        <w:t xml:space="preserve"> </w:t>
      </w:r>
      <w:r w:rsidR="00CF43A7" w:rsidRPr="002C1DC6">
        <w:t xml:space="preserve">using </w:t>
      </w:r>
      <w:r w:rsidR="00E26185" w:rsidRPr="002C1DC6">
        <w:t xml:space="preserve">Foucault’s </w:t>
      </w:r>
      <w:r w:rsidR="00B5243E" w:rsidRPr="002C1DC6">
        <w:t xml:space="preserve">conceptual ideas </w:t>
      </w:r>
      <w:r w:rsidR="005C22EF" w:rsidRPr="002C1DC6">
        <w:t xml:space="preserve">enabled an opportunity </w:t>
      </w:r>
      <w:r w:rsidR="00B5243E" w:rsidRPr="002C1DC6">
        <w:t xml:space="preserve">to </w:t>
      </w:r>
      <w:r w:rsidR="005C22EF" w:rsidRPr="002C1DC6">
        <w:t xml:space="preserve">re-examine </w:t>
      </w:r>
      <w:r w:rsidR="005F44D4" w:rsidRPr="002C1DC6">
        <w:t>the ‘taken for granted’ (Chambon, 1999). Howe</w:t>
      </w:r>
      <w:r w:rsidR="00B71705" w:rsidRPr="002C1DC6">
        <w:t xml:space="preserve">ver as highlighted in Chapter 5, using his work is not straightforward, not least because of the complexity of his ideas. </w:t>
      </w:r>
      <w:r w:rsidR="00B20AF4" w:rsidRPr="002C1DC6">
        <w:t>Foucault’s work has enabled me to think about</w:t>
      </w:r>
      <w:r w:rsidR="00CA69E9" w:rsidRPr="002C1DC6">
        <w:t xml:space="preserve"> routine elements of </w:t>
      </w:r>
      <w:r w:rsidR="00760711" w:rsidRPr="002C1DC6">
        <w:t>social work</w:t>
      </w:r>
      <w:r w:rsidR="00CA69E9" w:rsidRPr="002C1DC6">
        <w:t xml:space="preserve"> in a </w:t>
      </w:r>
      <w:r w:rsidR="009F6B28" w:rsidRPr="002C1DC6">
        <w:t xml:space="preserve">particular </w:t>
      </w:r>
      <w:r w:rsidR="00CA69E9" w:rsidRPr="002C1DC6">
        <w:t xml:space="preserve">way, which </w:t>
      </w:r>
      <w:r w:rsidR="00760711" w:rsidRPr="002C1DC6">
        <w:t>has</w:t>
      </w:r>
      <w:r w:rsidR="00CA69E9" w:rsidRPr="002C1DC6">
        <w:t xml:space="preserve"> </w:t>
      </w:r>
      <w:r w:rsidR="00153431" w:rsidRPr="002C1DC6">
        <w:t>led</w:t>
      </w:r>
      <w:r w:rsidR="00CA69E9" w:rsidRPr="002C1DC6">
        <w:t xml:space="preserve"> to different understandings of practices like the statu</w:t>
      </w:r>
      <w:r w:rsidR="008B1EB9" w:rsidRPr="002C1DC6">
        <w:t>tory review meeting</w:t>
      </w:r>
      <w:r w:rsidR="00760711" w:rsidRPr="002C1DC6">
        <w:t xml:space="preserve">. </w:t>
      </w:r>
      <w:r w:rsidR="00B02757" w:rsidRPr="002C1DC6">
        <w:t>Although</w:t>
      </w:r>
      <w:r w:rsidR="00F976D3" w:rsidRPr="002C1DC6">
        <w:t>,</w:t>
      </w:r>
      <w:r w:rsidR="00153431" w:rsidRPr="002C1DC6">
        <w:t xml:space="preserve"> the elements of </w:t>
      </w:r>
      <w:r w:rsidR="00196062" w:rsidRPr="002C1DC6">
        <w:t xml:space="preserve">Foucault’s </w:t>
      </w:r>
      <w:r w:rsidR="00153431" w:rsidRPr="002C1DC6">
        <w:t xml:space="preserve">work chosen </w:t>
      </w:r>
      <w:r w:rsidR="00F976D3" w:rsidRPr="002C1DC6">
        <w:t>for</w:t>
      </w:r>
      <w:r w:rsidR="00153431" w:rsidRPr="002C1DC6">
        <w:t xml:space="preserve"> this study </w:t>
      </w:r>
      <w:r w:rsidR="00C30583" w:rsidRPr="002C1DC6">
        <w:t>were not useful to examine all aspects of the young people’s experiences,</w:t>
      </w:r>
      <w:r w:rsidR="007D4F73" w:rsidRPr="002C1DC6">
        <w:t xml:space="preserve"> it does present opportunities </w:t>
      </w:r>
      <w:r w:rsidR="00196062" w:rsidRPr="002C1DC6">
        <w:t xml:space="preserve">to </w:t>
      </w:r>
      <w:r w:rsidR="007D4F73" w:rsidRPr="002C1DC6">
        <w:t xml:space="preserve">apply different </w:t>
      </w:r>
      <w:r w:rsidR="00196062" w:rsidRPr="002C1DC6">
        <w:t xml:space="preserve">concepts in future research; for example his work on </w:t>
      </w:r>
      <w:r w:rsidR="00540AC9" w:rsidRPr="002C1DC6">
        <w:t>surveillance</w:t>
      </w:r>
      <w:r w:rsidR="00F6558E" w:rsidRPr="002C1DC6">
        <w:t xml:space="preserve"> or normalisation</w:t>
      </w:r>
      <w:r w:rsidR="00196062" w:rsidRPr="002C1DC6">
        <w:t>.</w:t>
      </w:r>
    </w:p>
    <w:p w14:paraId="6175ABFB" w14:textId="77777777" w:rsidR="00301A3B" w:rsidRDefault="00301A3B" w:rsidP="00301A3B"/>
    <w:p w14:paraId="088CA533" w14:textId="77777777" w:rsidR="000D63C1" w:rsidRDefault="000D63C1">
      <w:pPr>
        <w:spacing w:after="0" w:line="240" w:lineRule="auto"/>
        <w:rPr>
          <w:rFonts w:eastAsiaTheme="majorEastAsia"/>
          <w:b/>
          <w:color w:val="000000" w:themeColor="text1"/>
          <w:sz w:val="36"/>
          <w:szCs w:val="32"/>
        </w:rPr>
      </w:pPr>
      <w:bookmarkStart w:id="93" w:name="_Toc76803455"/>
      <w:r>
        <w:br w:type="page"/>
      </w:r>
    </w:p>
    <w:p w14:paraId="7410F174" w14:textId="0D63B0DA" w:rsidR="00301A3B" w:rsidRDefault="00301A3B" w:rsidP="00127FD5">
      <w:pPr>
        <w:pStyle w:val="ChapterHeading1"/>
      </w:pPr>
      <w:bookmarkStart w:id="94" w:name="_Toc101108530"/>
      <w:r>
        <w:lastRenderedPageBreak/>
        <w:t>Chapter 1</w:t>
      </w:r>
      <w:r w:rsidR="005B667D">
        <w:t>2</w:t>
      </w:r>
      <w:r>
        <w:t>: Conclusion</w:t>
      </w:r>
      <w:bookmarkEnd w:id="93"/>
      <w:bookmarkEnd w:id="94"/>
    </w:p>
    <w:p w14:paraId="5270A38A" w14:textId="4E2BE45C" w:rsidR="00256D5C" w:rsidRPr="00256D5C" w:rsidRDefault="00256D5C" w:rsidP="00256D5C">
      <w:pPr>
        <w:pStyle w:val="Heading2"/>
      </w:pPr>
      <w:bookmarkStart w:id="95" w:name="_Toc101108531"/>
      <w:r w:rsidRPr="00256D5C">
        <w:t>Chapter Introduction</w:t>
      </w:r>
      <w:bookmarkEnd w:id="95"/>
    </w:p>
    <w:p w14:paraId="661880AF" w14:textId="4568C529" w:rsidR="00301A3B" w:rsidRPr="00982054" w:rsidRDefault="00301A3B" w:rsidP="00301A3B">
      <w:r w:rsidRPr="00982054">
        <w:t xml:space="preserve">In this final chapter, I summarise the thesis and return to the original research questions set out in </w:t>
      </w:r>
      <w:r w:rsidR="00866CD9" w:rsidRPr="00866CD9">
        <w:t>C</w:t>
      </w:r>
      <w:r w:rsidRPr="00866CD9">
        <w:t>hapter</w:t>
      </w:r>
      <w:r w:rsidR="00866CD9" w:rsidRPr="00866CD9">
        <w:t xml:space="preserve"> 1</w:t>
      </w:r>
      <w:r w:rsidRPr="00866CD9">
        <w:t>. Further</w:t>
      </w:r>
      <w:r w:rsidRPr="00982054">
        <w:t xml:space="preserve"> to the summary</w:t>
      </w:r>
      <w:r w:rsidR="00D40EA5">
        <w:t>,</w:t>
      </w:r>
      <w:r w:rsidRPr="00982054">
        <w:t xml:space="preserve"> I</w:t>
      </w:r>
      <w:r w:rsidR="000D63C1">
        <w:t xml:space="preserve"> refer to the original research questions and</w:t>
      </w:r>
      <w:r w:rsidRPr="00982054">
        <w:t xml:space="preserve"> </w:t>
      </w:r>
      <w:r w:rsidR="009B5B6D">
        <w:t>relate</w:t>
      </w:r>
      <w:r w:rsidR="000D63C1">
        <w:t xml:space="preserve"> </w:t>
      </w:r>
      <w:r w:rsidR="00600EA4">
        <w:t xml:space="preserve">my learning to </w:t>
      </w:r>
      <w:r w:rsidR="000D63C1">
        <w:t xml:space="preserve">each </w:t>
      </w:r>
      <w:r w:rsidR="009B5B6D">
        <w:t xml:space="preserve">research </w:t>
      </w:r>
      <w:r w:rsidR="000D63C1">
        <w:t xml:space="preserve">question. </w:t>
      </w:r>
      <w:r w:rsidR="009C0718">
        <w:t>The next section</w:t>
      </w:r>
      <w:r w:rsidR="000D63C1">
        <w:t xml:space="preserve"> </w:t>
      </w:r>
      <w:r w:rsidRPr="00982054">
        <w:t>detail</w:t>
      </w:r>
      <w:r w:rsidR="009C0718">
        <w:t>s</w:t>
      </w:r>
      <w:r w:rsidRPr="00982054">
        <w:t xml:space="preserve"> the contribution my study has made</w:t>
      </w:r>
      <w:r>
        <w:t xml:space="preserve"> to existing knowledge in the field</w:t>
      </w:r>
      <w:r w:rsidR="009C0718">
        <w:t xml:space="preserve"> and is followed by </w:t>
      </w:r>
      <w:r w:rsidR="00600EA4">
        <w:t xml:space="preserve">my </w:t>
      </w:r>
      <w:r w:rsidR="00600EA4" w:rsidRPr="00982054">
        <w:t>recommendations</w:t>
      </w:r>
      <w:r w:rsidRPr="00982054">
        <w:t xml:space="preserve"> developed from the research. In addition, I have includ</w:t>
      </w:r>
      <w:r w:rsidR="00ED3BC9">
        <w:t>ed</w:t>
      </w:r>
      <w:r w:rsidRPr="00982054">
        <w:t xml:space="preserve"> suggestions provided by some of the young people at the end of their interview to honour their requests to present their ideas to a wider audience. </w:t>
      </w:r>
    </w:p>
    <w:p w14:paraId="08D98D46" w14:textId="20561864" w:rsidR="00301A3B" w:rsidRPr="00D40EA5" w:rsidRDefault="00301A3B" w:rsidP="006E3485">
      <w:pPr>
        <w:pStyle w:val="Heading2"/>
      </w:pPr>
      <w:bookmarkStart w:id="96" w:name="_Toc101108532"/>
      <w:r w:rsidRPr="00D40EA5">
        <w:t>Summary</w:t>
      </w:r>
      <w:bookmarkEnd w:id="96"/>
    </w:p>
    <w:p w14:paraId="63F5E788" w14:textId="4DE87AC4" w:rsidR="00256D5C" w:rsidRDefault="00301A3B" w:rsidP="00301A3B">
      <w:r w:rsidRPr="00982054">
        <w:t xml:space="preserve">My study set out to </w:t>
      </w:r>
      <w:r w:rsidR="00256D5C">
        <w:t xml:space="preserve">explore </w:t>
      </w:r>
      <w:r w:rsidRPr="00982054">
        <w:t>the experiences of young people</w:t>
      </w:r>
      <w:r w:rsidR="009B5B6D">
        <w:t xml:space="preserve">’s decision-making about </w:t>
      </w:r>
      <w:r w:rsidR="009B5B6D" w:rsidRPr="009B5B6D">
        <w:rPr>
          <w:i/>
          <w:iCs/>
        </w:rPr>
        <w:t>Staying Put</w:t>
      </w:r>
      <w:r w:rsidR="00256D5C">
        <w:t xml:space="preserve"> and specifically:</w:t>
      </w:r>
    </w:p>
    <w:p w14:paraId="10613CC2" w14:textId="15127C30" w:rsidR="00256D5C" w:rsidRDefault="00256D5C" w:rsidP="00B3304A">
      <w:pPr>
        <w:pStyle w:val="ListParagraph"/>
      </w:pPr>
      <w:r>
        <w:t>The extent of the influence young people felt they had in making this decision.</w:t>
      </w:r>
    </w:p>
    <w:p w14:paraId="7D64A641" w14:textId="4A9B4B97" w:rsidR="00256D5C" w:rsidRDefault="00256D5C" w:rsidP="00B3304A">
      <w:pPr>
        <w:pStyle w:val="ListParagraph"/>
      </w:pPr>
      <w:r>
        <w:t xml:space="preserve">The factors that informed their thinking and how </w:t>
      </w:r>
      <w:r w:rsidR="009B5B6D">
        <w:t>t</w:t>
      </w:r>
      <w:r>
        <w:t>hose factors play</w:t>
      </w:r>
      <w:r w:rsidR="009B5B6D">
        <w:t>ed</w:t>
      </w:r>
      <w:r>
        <w:t xml:space="preserve"> out.</w:t>
      </w:r>
    </w:p>
    <w:p w14:paraId="0D7C47A4" w14:textId="3CF29F7D" w:rsidR="00256D5C" w:rsidRDefault="00256D5C" w:rsidP="00B3304A">
      <w:pPr>
        <w:pStyle w:val="ListParagraph"/>
      </w:pPr>
      <w:r>
        <w:t>Their thoughts and feelings about making this decision</w:t>
      </w:r>
      <w:r w:rsidR="00AE1923">
        <w:t>.</w:t>
      </w:r>
    </w:p>
    <w:p w14:paraId="25CD24A8" w14:textId="6AF14B70" w:rsidR="00301A3B" w:rsidRDefault="00301A3B" w:rsidP="00301A3B">
      <w:r w:rsidRPr="00982054">
        <w:t xml:space="preserve">At the time of writing there had been very few studies about </w:t>
      </w:r>
      <w:r w:rsidRPr="00982054">
        <w:rPr>
          <w:i/>
          <w:iCs/>
        </w:rPr>
        <w:t>Staying Put</w:t>
      </w:r>
      <w:r w:rsidRPr="00982054">
        <w:t>, a policy designed to extend the foster care placement until the young person’s 21</w:t>
      </w:r>
      <w:r w:rsidRPr="0031449D">
        <w:rPr>
          <w:vertAlign w:val="superscript"/>
        </w:rPr>
        <w:t>st</w:t>
      </w:r>
      <w:r w:rsidRPr="00982054">
        <w:t xml:space="preserve"> birthday. </w:t>
      </w:r>
      <w:r w:rsidRPr="008B351B">
        <w:rPr>
          <w:i/>
          <w:iCs/>
        </w:rPr>
        <w:t>Staying Put</w:t>
      </w:r>
      <w:r>
        <w:t xml:space="preserve"> and other extended care opportunities are in their relative infancy but are seen as a progressive step to counter the ongoing concerns about premature and difficult transitions from care (van Breda, 2020). </w:t>
      </w:r>
      <w:r w:rsidRPr="00493EE2">
        <w:t>I did not set out to uncover problems</w:t>
      </w:r>
      <w:r>
        <w:t xml:space="preserve"> about </w:t>
      </w:r>
      <w:r w:rsidRPr="008B351B">
        <w:rPr>
          <w:i/>
          <w:iCs/>
        </w:rPr>
        <w:t>Staying Put</w:t>
      </w:r>
      <w:r w:rsidRPr="00493EE2">
        <w:t xml:space="preserve">, </w:t>
      </w:r>
      <w:r>
        <w:t xml:space="preserve">but overwhelmingly young people described a care system dominated by process and inconsistencies. The young people I met during this study did have some levels of vulnerability, but they also had </w:t>
      </w:r>
      <w:r w:rsidRPr="00374437">
        <w:t>strengths, resilience, determination</w:t>
      </w:r>
      <w:r>
        <w:t xml:space="preserve"> and an appetite to tell social workers about their lives through the interviews. Their ability to cope with the many changes o</w:t>
      </w:r>
      <w:r w:rsidR="00061382">
        <w:t>f</w:t>
      </w:r>
      <w:r>
        <w:t xml:space="preserve"> worker, difficult meetings or awkward systems were attributed to their relationships with foster carers and some personal advisors, which were consistently described as positive, encouraging and committed.</w:t>
      </w:r>
    </w:p>
    <w:p w14:paraId="150A0DED" w14:textId="5E37C3F0" w:rsidR="00301A3B" w:rsidRDefault="00301A3B" w:rsidP="00301A3B">
      <w:r>
        <w:lastRenderedPageBreak/>
        <w:t>The r</w:t>
      </w:r>
      <w:r w:rsidRPr="00374437">
        <w:t xml:space="preserve">esearch </w:t>
      </w:r>
      <w:r>
        <w:t xml:space="preserve">was </w:t>
      </w:r>
      <w:r w:rsidRPr="00374437">
        <w:t xml:space="preserve">designed to focus on </w:t>
      </w:r>
      <w:r w:rsidRPr="008B351B">
        <w:rPr>
          <w:i/>
          <w:iCs/>
        </w:rPr>
        <w:t>Staying Put</w:t>
      </w:r>
      <w:r>
        <w:t xml:space="preserve">, </w:t>
      </w:r>
      <w:r w:rsidRPr="00374437">
        <w:t>and decision</w:t>
      </w:r>
      <w:r w:rsidR="009C0718">
        <w:t>-</w:t>
      </w:r>
      <w:r w:rsidRPr="00374437">
        <w:t>making as a</w:t>
      </w:r>
      <w:r>
        <w:t xml:space="preserve"> component part. Through the examination of decision</w:t>
      </w:r>
      <w:r w:rsidR="009B5B6D">
        <w:t>-making</w:t>
      </w:r>
      <w:r>
        <w:t>, I explored the</w:t>
      </w:r>
      <w:r w:rsidR="00B71C1E">
        <w:t xml:space="preserve"> young people’s</w:t>
      </w:r>
      <w:r>
        <w:t xml:space="preserve"> perceptions of </w:t>
      </w:r>
      <w:r w:rsidRPr="008B351B">
        <w:rPr>
          <w:i/>
          <w:iCs/>
        </w:rPr>
        <w:t>Staying Put</w:t>
      </w:r>
      <w:r>
        <w:t xml:space="preserve"> leading up to their 18</w:t>
      </w:r>
      <w:r w:rsidRPr="000B4191">
        <w:rPr>
          <w:vertAlign w:val="superscript"/>
        </w:rPr>
        <w:t>th</w:t>
      </w:r>
      <w:r>
        <w:t xml:space="preserve"> birthday. Combining the </w:t>
      </w:r>
      <w:r w:rsidR="00B71C1E">
        <w:t>topic</w:t>
      </w:r>
      <w:r>
        <w:t xml:space="preserve"> of leaving care with the young person’s right to make and participate in decisions</w:t>
      </w:r>
      <w:r w:rsidR="00230C01">
        <w:t>,</w:t>
      </w:r>
      <w:r>
        <w:t xml:space="preserve"> enabled me to think about both the application of a national policy </w:t>
      </w:r>
      <w:r w:rsidR="00B71C1E">
        <w:t xml:space="preserve">and </w:t>
      </w:r>
      <w:r>
        <w:t xml:space="preserve">the </w:t>
      </w:r>
      <w:r w:rsidR="00B71C1E">
        <w:t>young person’s</w:t>
      </w:r>
      <w:r>
        <w:t xml:space="preserve"> experience of executing </w:t>
      </w:r>
      <w:r w:rsidR="00B71C1E">
        <w:t>their</w:t>
      </w:r>
      <w:r>
        <w:t xml:space="preserve"> right to participate</w:t>
      </w:r>
      <w:r w:rsidR="009C0718">
        <w:t xml:space="preserve"> in decisions</w:t>
      </w:r>
      <w:r>
        <w:t>. To support my thinking, I drew on Foucault’s theorisation of power</w:t>
      </w:r>
      <w:r w:rsidR="009D67A9">
        <w:t>, discourse and subject</w:t>
      </w:r>
      <w:r>
        <w:t xml:space="preserve"> alongside literature that posits young people’s agency as a constructed concept. </w:t>
      </w:r>
      <w:r w:rsidRPr="00866CD9">
        <w:t>Foucault’s work did not provide a blueprint from which solutions could be drawn</w:t>
      </w:r>
      <w:r w:rsidR="009C0718">
        <w:t>, instead his ideas</w:t>
      </w:r>
      <w:r w:rsidRPr="009C0718">
        <w:t xml:space="preserve"> set out in </w:t>
      </w:r>
      <w:r w:rsidR="00866CD9" w:rsidRPr="009C0718">
        <w:t>C</w:t>
      </w:r>
      <w:r w:rsidRPr="009C0718">
        <w:t>hapter</w:t>
      </w:r>
      <w:r w:rsidR="00866CD9" w:rsidRPr="009C0718">
        <w:t xml:space="preserve"> 5</w:t>
      </w:r>
      <w:r w:rsidRPr="009C0718">
        <w:t xml:space="preserve"> and applied in </w:t>
      </w:r>
      <w:r w:rsidR="00866CD9" w:rsidRPr="009C0718">
        <w:t>C</w:t>
      </w:r>
      <w:r w:rsidRPr="009C0718">
        <w:t>hapter</w:t>
      </w:r>
      <w:r w:rsidR="00866CD9" w:rsidRPr="009C0718">
        <w:t xml:space="preserve"> </w:t>
      </w:r>
      <w:r w:rsidR="00692CA2">
        <w:t>10</w:t>
      </w:r>
      <w:r w:rsidRPr="009C0718">
        <w:t xml:space="preserve"> highlight</w:t>
      </w:r>
      <w:r w:rsidR="009C0718" w:rsidRPr="009C0718">
        <w:t xml:space="preserve">ed </w:t>
      </w:r>
      <w:r w:rsidRPr="009C0718">
        <w:t xml:space="preserve">how areas of his work </w:t>
      </w:r>
      <w:r w:rsidRPr="002C1DC6">
        <w:t xml:space="preserve">are valuable when examining established discourses in complex areas of </w:t>
      </w:r>
      <w:r w:rsidR="0031449D" w:rsidRPr="002C1DC6">
        <w:t xml:space="preserve">social work </w:t>
      </w:r>
      <w:r w:rsidRPr="002C1DC6">
        <w:t xml:space="preserve">practice. Applying his thinking prompted questions about the nature </w:t>
      </w:r>
      <w:r w:rsidR="007E1255" w:rsidRPr="002C1DC6">
        <w:t xml:space="preserve">of </w:t>
      </w:r>
      <w:r w:rsidRPr="002C1DC6">
        <w:t xml:space="preserve">participation, </w:t>
      </w:r>
      <w:r w:rsidR="00B347BF" w:rsidRPr="002C1DC6">
        <w:t>and how h</w:t>
      </w:r>
      <w:r w:rsidR="00625F55" w:rsidRPr="002C1DC6">
        <w:t>is work</w:t>
      </w:r>
      <w:r w:rsidR="00B347BF" w:rsidRPr="002C1DC6">
        <w:t xml:space="preserve"> recognises </w:t>
      </w:r>
      <w:r w:rsidR="00625F55" w:rsidRPr="002C1DC6">
        <w:t>that decisions are bounded by established discourses (</w:t>
      </w:r>
      <w:r w:rsidR="001829EE" w:rsidRPr="002C1DC6">
        <w:t xml:space="preserve">Hartung, 2017), </w:t>
      </w:r>
      <w:r w:rsidRPr="002C1DC6">
        <w:t>but also how social work and social workers operate within the wider social care system. The distinction</w:t>
      </w:r>
      <w:r>
        <w:t xml:space="preserve"> between a Foucauldian study and </w:t>
      </w:r>
      <w:r w:rsidR="008130BD">
        <w:t>my</w:t>
      </w:r>
      <w:r>
        <w:t xml:space="preserve"> study </w:t>
      </w:r>
      <w:r w:rsidR="008130BD">
        <w:t>using</w:t>
      </w:r>
      <w:r>
        <w:t xml:space="preserve"> a Foucauldian </w:t>
      </w:r>
      <w:r w:rsidR="008130BD">
        <w:t>lens,</w:t>
      </w:r>
      <w:r>
        <w:t xml:space="preserve"> is addressing what happens next. Foucault was not concerned with providing answers to difficult problems, as ‘they never remain fixed’ (Dean, 2010, p. 13). To progress practice, I argue that a constant circular debate is not appropriate in social work research, where service users have contributed their time, often with a view that they can make a difference to systems they have used. The </w:t>
      </w:r>
      <w:r w:rsidR="00256D5C">
        <w:t>i</w:t>
      </w:r>
      <w:r>
        <w:t>nterviews with 10 young people from two different local authorities, provided rich data about their time leading up to their 18</w:t>
      </w:r>
      <w:r w:rsidRPr="000E4EC8">
        <w:rPr>
          <w:vertAlign w:val="superscript"/>
        </w:rPr>
        <w:t>th</w:t>
      </w:r>
      <w:r>
        <w:t xml:space="preserve"> birthday and </w:t>
      </w:r>
      <w:r w:rsidRPr="00CA23BB">
        <w:t xml:space="preserve">contribute to existing understandings of </w:t>
      </w:r>
      <w:r>
        <w:t xml:space="preserve">leaving care related </w:t>
      </w:r>
      <w:r w:rsidRPr="00CA23BB">
        <w:t>issue</w:t>
      </w:r>
      <w:r>
        <w:t>s.</w:t>
      </w:r>
    </w:p>
    <w:p w14:paraId="3EA29451" w14:textId="0878EC20" w:rsidR="00301A3B" w:rsidRPr="00600EA4" w:rsidRDefault="006A4910" w:rsidP="006E3485">
      <w:pPr>
        <w:pStyle w:val="Heading2"/>
      </w:pPr>
      <w:bookmarkStart w:id="97" w:name="_Toc101108533"/>
      <w:r>
        <w:t>Learning from this Study</w:t>
      </w:r>
      <w:bookmarkEnd w:id="97"/>
    </w:p>
    <w:p w14:paraId="4B46CC7E" w14:textId="2F6C4C43" w:rsidR="00301A3B" w:rsidRPr="006E3485" w:rsidRDefault="00301A3B" w:rsidP="006E3485">
      <w:pPr>
        <w:pStyle w:val="Heading3"/>
      </w:pPr>
      <w:r w:rsidRPr="00600EA4">
        <w:t>The experiences of young people’s decision to stay put or leave their placement</w:t>
      </w:r>
    </w:p>
    <w:p w14:paraId="1A2CB90B" w14:textId="110E59F5" w:rsidR="00301A3B" w:rsidRDefault="00301A3B" w:rsidP="00301A3B">
      <w:r>
        <w:t xml:space="preserve">Overall, my study has identified that young people have varied experiences when making their decision to stay put. </w:t>
      </w:r>
      <w:r w:rsidRPr="00374437">
        <w:t>The</w:t>
      </w:r>
      <w:r>
        <w:t xml:space="preserve">ir individual circumstances were </w:t>
      </w:r>
      <w:r w:rsidRPr="00374437">
        <w:t>characteristically diverse</w:t>
      </w:r>
      <w:r w:rsidR="0031449D">
        <w:t xml:space="preserve"> – </w:t>
      </w:r>
      <w:r w:rsidRPr="00374437">
        <w:t>different ages and experiences in foster care</w:t>
      </w:r>
      <w:r w:rsidR="0031449D">
        <w:t xml:space="preserve"> – </w:t>
      </w:r>
      <w:r w:rsidRPr="00374437">
        <w:t>however some features of their interactions were consistent</w:t>
      </w:r>
      <w:r>
        <w:t xml:space="preserve">. </w:t>
      </w:r>
      <w:r w:rsidRPr="00374437">
        <w:t>All the young people had positive relationships with the</w:t>
      </w:r>
      <w:r>
        <w:t>ir</w:t>
      </w:r>
      <w:r w:rsidRPr="00374437">
        <w:t xml:space="preserve"> </w:t>
      </w:r>
      <w:r>
        <w:t xml:space="preserve">foster </w:t>
      </w:r>
      <w:r w:rsidRPr="00374437">
        <w:t>carers</w:t>
      </w:r>
      <w:r>
        <w:t>. W</w:t>
      </w:r>
      <w:r w:rsidRPr="00374437">
        <w:t xml:space="preserve">hether or not they </w:t>
      </w:r>
      <w:r>
        <w:t>could</w:t>
      </w:r>
      <w:r w:rsidRPr="00374437">
        <w:t>, all wanted to</w:t>
      </w:r>
      <w:r>
        <w:t xml:space="preserve"> </w:t>
      </w:r>
      <w:r w:rsidRPr="00374437">
        <w:t>stay,</w:t>
      </w:r>
      <w:r>
        <w:t xml:space="preserve"> and some wished they could return having moved out. </w:t>
      </w:r>
      <w:r w:rsidRPr="00374437">
        <w:t xml:space="preserve">Based on </w:t>
      </w:r>
      <w:r>
        <w:t>my</w:t>
      </w:r>
      <w:r w:rsidRPr="00374437">
        <w:t xml:space="preserve"> study</w:t>
      </w:r>
      <w:r w:rsidR="00957329">
        <w:t>,</w:t>
      </w:r>
      <w:r w:rsidRPr="00374437">
        <w:t xml:space="preserve"> the fostering system </w:t>
      </w:r>
      <w:r>
        <w:t>was</w:t>
      </w:r>
      <w:r w:rsidRPr="00374437">
        <w:t xml:space="preserve"> successful in providing </w:t>
      </w:r>
      <w:r>
        <w:t xml:space="preserve">the young people with </w:t>
      </w:r>
      <w:r w:rsidRPr="00374437">
        <w:t>a home rather than a placement</w:t>
      </w:r>
      <w:r>
        <w:t>, highlighting that f</w:t>
      </w:r>
      <w:r w:rsidRPr="00493EE2">
        <w:t>ami</w:t>
      </w:r>
      <w:r>
        <w:t>lial connections</w:t>
      </w:r>
      <w:r w:rsidRPr="00493EE2">
        <w:t xml:space="preserve"> can be created through foster care</w:t>
      </w:r>
      <w:r>
        <w:t xml:space="preserve">. I </w:t>
      </w:r>
      <w:r w:rsidR="00600EA4">
        <w:t xml:space="preserve">also </w:t>
      </w:r>
      <w:r>
        <w:t>identified that t</w:t>
      </w:r>
      <w:r w:rsidRPr="00374437">
        <w:t xml:space="preserve">he </w:t>
      </w:r>
      <w:r>
        <w:t>sense</w:t>
      </w:r>
      <w:r w:rsidRPr="00374437">
        <w:t xml:space="preserve"> of family stability and continuity can </w:t>
      </w:r>
      <w:r>
        <w:t xml:space="preserve">be </w:t>
      </w:r>
      <w:r w:rsidRPr="00374437">
        <w:t xml:space="preserve">disrupted by </w:t>
      </w:r>
      <w:r>
        <w:t>the decision to stay</w:t>
      </w:r>
      <w:r w:rsidR="00256D5C">
        <w:t>,</w:t>
      </w:r>
      <w:r>
        <w:t xml:space="preserve"> due to the f</w:t>
      </w:r>
      <w:r w:rsidRPr="00374437">
        <w:t xml:space="preserve">riction between administrative process and </w:t>
      </w:r>
      <w:r>
        <w:t xml:space="preserve">their </w:t>
      </w:r>
      <w:r w:rsidRPr="00374437">
        <w:t xml:space="preserve">lived </w:t>
      </w:r>
      <w:r w:rsidR="00256D5C">
        <w:t>experience</w:t>
      </w:r>
      <w:r>
        <w:t>.</w:t>
      </w:r>
      <w:r w:rsidR="00600EA4">
        <w:t xml:space="preserve"> </w:t>
      </w:r>
    </w:p>
    <w:p w14:paraId="29CD432A" w14:textId="3CFB6F66" w:rsidR="00301A3B" w:rsidRDefault="00301A3B" w:rsidP="006E3485">
      <w:pPr>
        <w:pStyle w:val="Heading3"/>
      </w:pPr>
      <w:r w:rsidRPr="007C51DB">
        <w:lastRenderedPageBreak/>
        <w:t>The influence</w:t>
      </w:r>
      <w:r w:rsidR="006E20B0" w:rsidRPr="007C51DB">
        <w:t xml:space="preserve"> a</w:t>
      </w:r>
      <w:r w:rsidRPr="007C51DB">
        <w:t xml:space="preserve"> young person had in making this decision</w:t>
      </w:r>
    </w:p>
    <w:p w14:paraId="42966D69" w14:textId="57F75584" w:rsidR="00301A3B" w:rsidRDefault="00301A3B" w:rsidP="00301A3B">
      <w:r w:rsidRPr="004A1372">
        <w:t xml:space="preserve">The decision faced by young people was complicated in that it was not always a decision </w:t>
      </w:r>
      <w:r>
        <w:t xml:space="preserve">for them to make. The discrepancy between the young person’s desire to stay and the eventual outcome highlighted that for some young people their influence was limited or </w:t>
      </w:r>
      <w:r w:rsidR="00EA0A73">
        <w:t>non-existent</w:t>
      </w:r>
      <w:r>
        <w:t>.</w:t>
      </w:r>
      <w:r w:rsidR="00DF7598">
        <w:t xml:space="preserve"> Although guidance suggests young people have a joint or primary role in the decision, the phrase ‘</w:t>
      </w:r>
      <w:r w:rsidR="00DF7598" w:rsidRPr="00D72962">
        <w:t>joint decision</w:t>
      </w:r>
      <w:r w:rsidR="00DF7598">
        <w:t>’</w:t>
      </w:r>
      <w:r w:rsidR="00DF7598" w:rsidRPr="00D72962">
        <w:t xml:space="preserve"> </w:t>
      </w:r>
      <w:r w:rsidR="00DF7598">
        <w:t>may</w:t>
      </w:r>
      <w:r w:rsidR="00283580">
        <w:t xml:space="preserve"> </w:t>
      </w:r>
      <w:r w:rsidR="00DF7598">
        <w:t xml:space="preserve">convey more agency than exists in practice (The Fostering Network, 2017, p. 5). </w:t>
      </w:r>
      <w:r>
        <w:t>Experiences of young people whose intentions matched their foster carers were still mixed in terms of their contribution to the final say.</w:t>
      </w:r>
      <w:r w:rsidR="00EA0A73">
        <w:t xml:space="preserve"> </w:t>
      </w:r>
      <w:r w:rsidR="0031449D">
        <w:t>My</w:t>
      </w:r>
      <w:r>
        <w:t xml:space="preserve"> research </w:t>
      </w:r>
      <w:r w:rsidR="0031449D">
        <w:t xml:space="preserve">also </w:t>
      </w:r>
      <w:r>
        <w:t xml:space="preserve">highlighted how </w:t>
      </w:r>
      <w:r w:rsidRPr="00493EE2">
        <w:t xml:space="preserve">young people’s </w:t>
      </w:r>
      <w:r>
        <w:t xml:space="preserve">role in </w:t>
      </w:r>
      <w:r w:rsidR="00DC59B2">
        <w:t>decision-making</w:t>
      </w:r>
      <w:r>
        <w:t xml:space="preserve"> </w:t>
      </w:r>
      <w:r w:rsidR="009D67A9" w:rsidRPr="002C1DC6">
        <w:t xml:space="preserve">was </w:t>
      </w:r>
      <w:r w:rsidR="00B844AE" w:rsidRPr="002C1DC6">
        <w:t xml:space="preserve">bounded and </w:t>
      </w:r>
      <w:r w:rsidRPr="002C1DC6">
        <w:t>fluctuated</w:t>
      </w:r>
      <w:r>
        <w:t xml:space="preserve"> throughout their care experiences and this variance was repeated in their decision to stay put. Decisions tended to be made by other adults and then presented for assent in meetings</w:t>
      </w:r>
      <w:r w:rsidR="009D7D7A">
        <w:t>,</w:t>
      </w:r>
      <w:r w:rsidR="00283580">
        <w:t xml:space="preserve"> and participation in decisions was generally limited</w:t>
      </w:r>
      <w:r>
        <w:t xml:space="preserve">. Young people sometimes exercised their rights </w:t>
      </w:r>
      <w:r w:rsidRPr="00493EE2">
        <w:t xml:space="preserve">through their refusal </w:t>
      </w:r>
      <w:r>
        <w:t xml:space="preserve">to attend </w:t>
      </w:r>
      <w:r w:rsidRPr="00493EE2">
        <w:t>or silence t</w:t>
      </w:r>
      <w:r>
        <w:t>o</w:t>
      </w:r>
      <w:r w:rsidRPr="00493EE2">
        <w:t xml:space="preserve"> absent themselves from </w:t>
      </w:r>
      <w:r>
        <w:t xml:space="preserve">official </w:t>
      </w:r>
      <w:r w:rsidR="0031449D">
        <w:t>decision-making</w:t>
      </w:r>
      <w:r>
        <w:t xml:space="preserve"> </w:t>
      </w:r>
      <w:r w:rsidRPr="00493EE2">
        <w:t>process</w:t>
      </w:r>
      <w:r>
        <w:t>es</w:t>
      </w:r>
      <w:r w:rsidRPr="00493EE2">
        <w:t>. Arguably systems that they absent themselves from</w:t>
      </w:r>
      <w:r w:rsidR="00785CBB">
        <w:t>,</w:t>
      </w:r>
      <w:r w:rsidRPr="00493EE2">
        <w:t xml:space="preserve"> </w:t>
      </w:r>
      <w:r>
        <w:t>were</w:t>
      </w:r>
      <w:r w:rsidRPr="00493EE2">
        <w:t xml:space="preserve"> constructed to </w:t>
      </w:r>
      <w:r w:rsidR="00256D5C">
        <w:t>manage</w:t>
      </w:r>
      <w:r w:rsidRPr="00493EE2">
        <w:t xml:space="preserve"> involvement </w:t>
      </w:r>
      <w:r>
        <w:t>r</w:t>
      </w:r>
      <w:r w:rsidRPr="00493EE2">
        <w:t>ather than enable it</w:t>
      </w:r>
      <w:r w:rsidR="00283580">
        <w:t xml:space="preserve"> – underlining established power relations. </w:t>
      </w:r>
    </w:p>
    <w:p w14:paraId="5D98C9C9" w14:textId="67D342A9" w:rsidR="00301A3B" w:rsidRPr="00547955" w:rsidRDefault="00301A3B" w:rsidP="006E3485">
      <w:pPr>
        <w:pStyle w:val="Heading3"/>
      </w:pPr>
      <w:r w:rsidRPr="00547955">
        <w:t>The factors that inform and influence this decision</w:t>
      </w:r>
    </w:p>
    <w:p w14:paraId="4BF4F7C6" w14:textId="7673F9E3" w:rsidR="00301A3B" w:rsidRDefault="00301A3B" w:rsidP="00301A3B">
      <w:r>
        <w:t>The influence of information and relationships featured in the thinking of young people making their decision. A</w:t>
      </w:r>
      <w:r w:rsidRPr="00374437">
        <w:t xml:space="preserve">n underlying theme was the dual interpretations, definitions and responses to and about aspects of </w:t>
      </w:r>
      <w:r>
        <w:t xml:space="preserve">leaving </w:t>
      </w:r>
      <w:r w:rsidRPr="00374437">
        <w:t xml:space="preserve">care. </w:t>
      </w:r>
      <w:r>
        <w:t>For example, information given to young people appeared incomplete</w:t>
      </w:r>
      <w:r w:rsidR="00D03117">
        <w:t>,</w:t>
      </w:r>
      <w:r>
        <w:t xml:space="preserve"> and c</w:t>
      </w:r>
      <w:r w:rsidRPr="00374437">
        <w:t>oncept</w:t>
      </w:r>
      <w:r>
        <w:t>s</w:t>
      </w:r>
      <w:r w:rsidRPr="00374437">
        <w:t xml:space="preserve"> of appropriate accommodation</w:t>
      </w:r>
      <w:r>
        <w:t xml:space="preserve"> or options were </w:t>
      </w:r>
      <w:r w:rsidRPr="00374437">
        <w:t>defin</w:t>
      </w:r>
      <w:r>
        <w:t>ed by social workers or carers depending on the course of events</w:t>
      </w:r>
      <w:r w:rsidRPr="00374437">
        <w:t xml:space="preserve">. </w:t>
      </w:r>
      <w:r w:rsidR="00DF6B6D">
        <w:t>For example, s</w:t>
      </w:r>
      <w:r w:rsidRPr="00374437">
        <w:t xml:space="preserve">ome young people </w:t>
      </w:r>
      <w:r w:rsidR="007C194D">
        <w:t>who did not stay put</w:t>
      </w:r>
      <w:r>
        <w:t xml:space="preserve">, felt social workers </w:t>
      </w:r>
      <w:r w:rsidR="007C194D">
        <w:t xml:space="preserve">positively </w:t>
      </w:r>
      <w:r>
        <w:t>promoted</w:t>
      </w:r>
      <w:r w:rsidR="007C194D">
        <w:t xml:space="preserve"> inappropriate</w:t>
      </w:r>
      <w:r>
        <w:t xml:space="preserve"> housing </w:t>
      </w:r>
      <w:r w:rsidR="007C194D">
        <w:t>options</w:t>
      </w:r>
      <w:r w:rsidR="00263BE8">
        <w:t>,</w:t>
      </w:r>
      <w:r w:rsidR="00CB10C7">
        <w:t xml:space="preserve"> as the worker had no choice but to find them somewhere to go</w:t>
      </w:r>
      <w:r>
        <w:t xml:space="preserve">. </w:t>
      </w:r>
      <w:r w:rsidR="0031449D">
        <w:t>Meanwhile</w:t>
      </w:r>
      <w:r w:rsidR="007C194D">
        <w:t xml:space="preserve"> </w:t>
      </w:r>
      <w:r w:rsidR="00DF6B6D">
        <w:t xml:space="preserve">other </w:t>
      </w:r>
      <w:r w:rsidR="007C194D">
        <w:t>y</w:t>
      </w:r>
      <w:r>
        <w:t>oung people who</w:t>
      </w:r>
      <w:r w:rsidR="00DF6B6D">
        <w:t xml:space="preserve"> did</w:t>
      </w:r>
      <w:r>
        <w:t xml:space="preserve"> stay</w:t>
      </w:r>
      <w:r w:rsidR="007C194D">
        <w:t xml:space="preserve"> put</w:t>
      </w:r>
      <w:r w:rsidR="00550CB5">
        <w:t>,</w:t>
      </w:r>
      <w:r>
        <w:t xml:space="preserve"> were presented with</w:t>
      </w:r>
      <w:r w:rsidR="00256D5C">
        <w:t xml:space="preserve"> the</w:t>
      </w:r>
      <w:r>
        <w:t xml:space="preserve"> same </w:t>
      </w:r>
      <w:r w:rsidR="007C194D">
        <w:t>housing</w:t>
      </w:r>
      <w:r w:rsidR="00D46228">
        <w:t xml:space="preserve"> in </w:t>
      </w:r>
      <w:r w:rsidR="00263BE8">
        <w:t xml:space="preserve">a </w:t>
      </w:r>
      <w:r w:rsidR="00D46228">
        <w:t>derogatory</w:t>
      </w:r>
      <w:r w:rsidR="00D46228" w:rsidDel="00DF6B6D">
        <w:t xml:space="preserve"> </w:t>
      </w:r>
      <w:r w:rsidR="00D46228">
        <w:t>way</w:t>
      </w:r>
      <w:r>
        <w:t xml:space="preserve">. Young people generally felt they were making decisions without an understanding </w:t>
      </w:r>
      <w:r w:rsidR="009D7D7A">
        <w:t>or</w:t>
      </w:r>
      <w:r w:rsidR="00600EA4">
        <w:t xml:space="preserve"> a</w:t>
      </w:r>
      <w:r>
        <w:t xml:space="preserve"> full picture of all possible living arrangements. Other factors included their anxieties about being ready, sometimes based on thinking they had not been given the advice or guidance needed to live alone. The other contributing factor was the influence of relationships with social workers and carers, where an absence of a trusting connection with the social worker meant that they felt alone in making the decision and sometimes selected the option they were presented with. As they all had close bonds with their carers, those relationships also shaped their decisions to stay, meaning they did not want to leave at the age of 18.</w:t>
      </w:r>
    </w:p>
    <w:p w14:paraId="0FD237B5" w14:textId="77777777" w:rsidR="00301A3B" w:rsidRPr="00547955" w:rsidRDefault="00301A3B" w:rsidP="006E3485">
      <w:pPr>
        <w:pStyle w:val="Heading3"/>
      </w:pPr>
      <w:r w:rsidRPr="00547955">
        <w:lastRenderedPageBreak/>
        <w:t>Their thoughts and feelings about making this decision</w:t>
      </w:r>
    </w:p>
    <w:p w14:paraId="086DCBC8" w14:textId="439E184C" w:rsidR="00301A3B" w:rsidRPr="00982054" w:rsidRDefault="00301A3B" w:rsidP="00301A3B">
      <w:r w:rsidRPr="00DA53D3">
        <w:t>The</w:t>
      </w:r>
      <w:r>
        <w:t xml:space="preserve"> consideration of the </w:t>
      </w:r>
      <w:r w:rsidRPr="00DA53D3">
        <w:rPr>
          <w:i/>
          <w:iCs/>
        </w:rPr>
        <w:t>Staying Put</w:t>
      </w:r>
      <w:r w:rsidRPr="00DA53D3">
        <w:t xml:space="preserve"> transition for young people appeared to be regarded as a test of the</w:t>
      </w:r>
      <w:r>
        <w:t xml:space="preserve"> young person’s </w:t>
      </w:r>
      <w:r w:rsidRPr="00DA53D3">
        <w:t>relationship</w:t>
      </w:r>
      <w:r>
        <w:t xml:space="preserve"> with their carers</w:t>
      </w:r>
      <w:r w:rsidRPr="00DA53D3">
        <w:t xml:space="preserve">. Young people couched their discussion in </w:t>
      </w:r>
      <w:r>
        <w:t xml:space="preserve">terms of </w:t>
      </w:r>
      <w:r w:rsidR="00283580">
        <w:t>‘</w:t>
      </w:r>
      <w:r>
        <w:t>luck</w:t>
      </w:r>
      <w:r w:rsidR="00283580">
        <w:t>’</w:t>
      </w:r>
      <w:r>
        <w:t xml:space="preserve"> and </w:t>
      </w:r>
      <w:r w:rsidR="00283580">
        <w:t>‘</w:t>
      </w:r>
      <w:r>
        <w:t>belonging</w:t>
      </w:r>
      <w:r w:rsidR="00283580">
        <w:t>’</w:t>
      </w:r>
      <w:r>
        <w:t xml:space="preserve"> as</w:t>
      </w:r>
      <w:r w:rsidRPr="00DA53D3">
        <w:t xml:space="preserve"> an indicator of how they were viewed by the</w:t>
      </w:r>
      <w:r>
        <w:t>ir</w:t>
      </w:r>
      <w:r w:rsidRPr="00DA53D3">
        <w:t xml:space="preserve"> </w:t>
      </w:r>
      <w:r>
        <w:t xml:space="preserve">foster </w:t>
      </w:r>
      <w:r w:rsidRPr="00DA53D3">
        <w:t>carers. Furthermore, the transition point change</w:t>
      </w:r>
      <w:r>
        <w:t>d</w:t>
      </w:r>
      <w:r w:rsidRPr="00DA53D3">
        <w:t xml:space="preserve"> the dynamics</w:t>
      </w:r>
      <w:r>
        <w:t xml:space="preserve"> of their relationships</w:t>
      </w:r>
      <w:r w:rsidRPr="00DA53D3">
        <w:t xml:space="preserve"> by </w:t>
      </w:r>
      <w:r w:rsidR="00283580">
        <w:t>transforming their familial relationship into a transaction. I</w:t>
      </w:r>
      <w:r w:rsidR="00283580" w:rsidRPr="00DA53D3">
        <w:t xml:space="preserve">n some cases, </w:t>
      </w:r>
      <w:r w:rsidRPr="00DA53D3">
        <w:t>introducing money and</w:t>
      </w:r>
      <w:r w:rsidR="00283580">
        <w:t xml:space="preserve"> contractual</w:t>
      </w:r>
      <w:r w:rsidRPr="00DA53D3">
        <w:t xml:space="preserve"> expectations alerted young people to the difference in their status within the house</w:t>
      </w:r>
      <w:r>
        <w:t>hold</w:t>
      </w:r>
      <w:r w:rsidRPr="00DA53D3">
        <w:t>. Where</w:t>
      </w:r>
      <w:r w:rsidR="00283580">
        <w:t xml:space="preserve"> previously </w:t>
      </w:r>
      <w:r w:rsidRPr="00DA53D3">
        <w:t xml:space="preserve">they had felt part of a family unit, the </w:t>
      </w:r>
      <w:r w:rsidR="00283580">
        <w:t xml:space="preserve">change of language and written agreement alerted young people to that </w:t>
      </w:r>
      <w:r w:rsidRPr="00DA53D3">
        <w:t>reality that this was a financial arrangement. The decision whether or not to stay also seemed to reflect the sense of preparedness for a change, whether that was about their own experiences and sense of self</w:t>
      </w:r>
      <w:r>
        <w:t>-</w:t>
      </w:r>
      <w:r w:rsidRPr="00DA53D3">
        <w:t>efficacy or the foundation they felt they had</w:t>
      </w:r>
      <w:r>
        <w:t xml:space="preserve"> to move on</w:t>
      </w:r>
      <w:r w:rsidRPr="00DA53D3">
        <w:t>. There appeared to be a discrepancy between the limited range of discussions and skills provided</w:t>
      </w:r>
      <w:r w:rsidR="002200B2">
        <w:t xml:space="preserve">, and </w:t>
      </w:r>
      <w:r w:rsidRPr="00DA53D3">
        <w:t>what they thought they might need</w:t>
      </w:r>
      <w:r w:rsidR="002200B2">
        <w:t>. This</w:t>
      </w:r>
      <w:r w:rsidRPr="00DA53D3">
        <w:t xml:space="preserve"> d</w:t>
      </w:r>
      <w:r w:rsidR="002200B2">
        <w:t>iscrepancy indicates</w:t>
      </w:r>
      <w:r w:rsidRPr="00DA53D3">
        <w:t xml:space="preserve"> a </w:t>
      </w:r>
      <w:r w:rsidR="00134760">
        <w:t>different</w:t>
      </w:r>
      <w:r w:rsidRPr="00DA53D3">
        <w:t xml:space="preserve"> understanding of </w:t>
      </w:r>
      <w:r w:rsidRPr="00DA53D3">
        <w:rPr>
          <w:i/>
          <w:iCs/>
        </w:rPr>
        <w:t>independence</w:t>
      </w:r>
      <w:r w:rsidRPr="00DA53D3">
        <w:t>, with adults focusing on a small number of key tasks and young people talking about complex feelings and resources.</w:t>
      </w:r>
    </w:p>
    <w:p w14:paraId="7424A6E1" w14:textId="0FC9AAE3" w:rsidR="00301A3B" w:rsidRDefault="00301A3B" w:rsidP="00301A3B">
      <w:pPr>
        <w:pStyle w:val="Heading2"/>
      </w:pPr>
      <w:bookmarkStart w:id="98" w:name="_Toc101108534"/>
      <w:bookmarkStart w:id="99" w:name="_Toc76803456"/>
      <w:r w:rsidRPr="00982054">
        <w:t xml:space="preserve">Contribution </w:t>
      </w:r>
      <w:r w:rsidR="006A4910">
        <w:t>to Knowledge</w:t>
      </w:r>
      <w:bookmarkEnd w:id="98"/>
      <w:r w:rsidR="006A4910">
        <w:t xml:space="preserve"> </w:t>
      </w:r>
      <w:bookmarkEnd w:id="99"/>
    </w:p>
    <w:p w14:paraId="185F2515" w14:textId="77777777" w:rsidR="00301A3B" w:rsidRPr="006E3485" w:rsidRDefault="00301A3B" w:rsidP="006E3485">
      <w:pPr>
        <w:pStyle w:val="Heading3"/>
        <w:rPr>
          <w:i/>
          <w:iCs/>
        </w:rPr>
      </w:pPr>
      <w:r w:rsidRPr="006E3485">
        <w:rPr>
          <w:i/>
          <w:iCs/>
        </w:rPr>
        <w:t>Staying Put</w:t>
      </w:r>
    </w:p>
    <w:p w14:paraId="4732F24A" w14:textId="317F9427" w:rsidR="00301A3B" w:rsidRDefault="00301A3B" w:rsidP="00301A3B">
      <w:r>
        <w:t xml:space="preserve">A strength of my study is the notable addition of a young person’s perspective about </w:t>
      </w:r>
      <w:r w:rsidRPr="009D400E">
        <w:rPr>
          <w:i/>
          <w:iCs/>
        </w:rPr>
        <w:t>Staying Put</w:t>
      </w:r>
      <w:r>
        <w:rPr>
          <w:i/>
          <w:iCs/>
        </w:rPr>
        <w:t>,</w:t>
      </w:r>
      <w:r>
        <w:t xml:space="preserve"> 9 years after the evaluation by Munro and colleagues (2012). Aside from some organisation led reports, there is limited research to date that foregrounds the young person’s views about </w:t>
      </w:r>
      <w:r w:rsidRPr="00701505">
        <w:rPr>
          <w:i/>
          <w:iCs/>
        </w:rPr>
        <w:t>Staying Put</w:t>
      </w:r>
      <w:r>
        <w:t xml:space="preserve"> or that explores the application of the policy more generally. My study provides some insights into the presentation of </w:t>
      </w:r>
      <w:r w:rsidRPr="00701505">
        <w:rPr>
          <w:i/>
          <w:iCs/>
        </w:rPr>
        <w:t>Staying Put</w:t>
      </w:r>
      <w:r>
        <w:t xml:space="preserve"> by social workers and how young people have felt disconcerted by discussions about finances and preparation for the future. The aim of staying with a foster carer was to facilitate a gradual transition for young people, which is evident in my study, however the execution of the policy seems to introduce a discontinuity through the mechanisms used to establish the arrangement. As well as the prominence of the young people’s perspective, my study also contributes to existing knowledge about extended care nationally and internationally, which currently does not have ‘a wider research base’ (Van Breda et al., 2020, p. 1). Adding to this smaller field of studies</w:t>
      </w:r>
      <w:r w:rsidR="00BC54B4">
        <w:t>, my research</w:t>
      </w:r>
      <w:r>
        <w:t xml:space="preserve"> </w:t>
      </w:r>
      <w:r w:rsidR="00BC54B4">
        <w:t xml:space="preserve">could </w:t>
      </w:r>
      <w:r>
        <w:t>inform</w:t>
      </w:r>
      <w:r w:rsidR="00BC54B4">
        <w:t xml:space="preserve"> </w:t>
      </w:r>
      <w:r>
        <w:t xml:space="preserve">new applications of extended care schemes in countries developing </w:t>
      </w:r>
      <w:r w:rsidR="00B77F11">
        <w:t>different</w:t>
      </w:r>
      <w:r>
        <w:t xml:space="preserve"> approaches.</w:t>
      </w:r>
      <w:r w:rsidRPr="00807887">
        <w:t xml:space="preserve"> </w:t>
      </w:r>
    </w:p>
    <w:p w14:paraId="1252BAD0" w14:textId="77777777" w:rsidR="00301A3B" w:rsidRPr="009865F6" w:rsidRDefault="00301A3B" w:rsidP="006E3485">
      <w:pPr>
        <w:pStyle w:val="Heading3"/>
      </w:pPr>
      <w:r w:rsidRPr="009865F6">
        <w:lastRenderedPageBreak/>
        <w:t>Care and Leaving Care</w:t>
      </w:r>
    </w:p>
    <w:p w14:paraId="679FF5E7" w14:textId="63473098" w:rsidR="00DE107B" w:rsidRPr="00F323D0" w:rsidRDefault="00301A3B" w:rsidP="00301A3B">
      <w:pPr>
        <w:rPr>
          <w:highlight w:val="green"/>
        </w:rPr>
      </w:pPr>
      <w:r w:rsidRPr="009865F6">
        <w:t xml:space="preserve">Through the exploration of </w:t>
      </w:r>
      <w:r w:rsidRPr="009865F6">
        <w:rPr>
          <w:i/>
          <w:iCs/>
        </w:rPr>
        <w:t>Staying Put,</w:t>
      </w:r>
      <w:r w:rsidRPr="009865F6">
        <w:t xml:space="preserve"> other issues relating to the wider care and leaving care system were raised which build on existing literature in each field. Specific to children in care, my study adds to existing literature about constructs of permanence and belonging in long term foster care, in particular Biehal’s (2014) typology of belongin</w:t>
      </w:r>
      <w:r w:rsidR="009865F6" w:rsidRPr="009865F6">
        <w:t>g where young people making their decisions about Staying Put felt a sense of ‘provisional belonging’ (p. 964) due to the uncertainty about their position in the foster family.</w:t>
      </w:r>
      <w:r w:rsidRPr="009865F6">
        <w:t xml:space="preserve"> </w:t>
      </w:r>
    </w:p>
    <w:p w14:paraId="7FC183C9" w14:textId="4BC6AFE2" w:rsidR="00DE107B" w:rsidRPr="009865F6" w:rsidRDefault="009865F6" w:rsidP="00301A3B">
      <w:r w:rsidRPr="009865F6">
        <w:t>The next contribution relates to the field of work about statutory review meetings. The</w:t>
      </w:r>
      <w:r w:rsidR="00301A3B" w:rsidRPr="009865F6">
        <w:t xml:space="preserve"> focus by young people on statutory review meetings contributes to previous understandings of young people’s experience of the meeting as a participative forum</w:t>
      </w:r>
      <w:r w:rsidR="006E3C1F" w:rsidRPr="009865F6">
        <w:t xml:space="preserve">, where other children and young people have shared their difficulties about attending their review (Roesch-Marsh, Gillies and Green, 2017; </w:t>
      </w:r>
      <w:r w:rsidR="006A4910" w:rsidRPr="009865F6">
        <w:t>Diaz, Pert and Thomas</w:t>
      </w:r>
      <w:r w:rsidR="006E3C1F" w:rsidRPr="009865F6">
        <w:t>, 2018)</w:t>
      </w:r>
      <w:r w:rsidR="00301A3B" w:rsidRPr="009865F6">
        <w:t xml:space="preserve">. The role of the statutory review meeting was perceived as an ineffective but </w:t>
      </w:r>
      <w:r w:rsidR="00386B8D" w:rsidRPr="009865F6">
        <w:t>designated</w:t>
      </w:r>
      <w:r w:rsidR="00BC54B4" w:rsidRPr="009865F6">
        <w:t xml:space="preserve"> </w:t>
      </w:r>
      <w:r w:rsidR="00DE74DF" w:rsidRPr="009865F6">
        <w:t>forum</w:t>
      </w:r>
      <w:r w:rsidR="00BC54B4" w:rsidRPr="009865F6">
        <w:t xml:space="preserve"> and site</w:t>
      </w:r>
      <w:r w:rsidR="00301A3B" w:rsidRPr="009865F6">
        <w:t xml:space="preserve"> </w:t>
      </w:r>
      <w:r w:rsidR="00BC54B4" w:rsidRPr="009865F6">
        <w:t xml:space="preserve">of </w:t>
      </w:r>
      <w:r w:rsidR="00301A3B" w:rsidRPr="009865F6">
        <w:t>information</w:t>
      </w:r>
      <w:r w:rsidR="00BC54B4" w:rsidRPr="009865F6">
        <w:t xml:space="preserve"> sharing</w:t>
      </w:r>
      <w:r w:rsidR="00301A3B" w:rsidRPr="009865F6">
        <w:t xml:space="preserve"> and </w:t>
      </w:r>
      <w:r w:rsidR="00DC59B2" w:rsidRPr="009865F6">
        <w:t>decision-making</w:t>
      </w:r>
      <w:r w:rsidR="00301A3B" w:rsidRPr="009865F6">
        <w:t>.</w:t>
      </w:r>
    </w:p>
    <w:p w14:paraId="3AEB0C75" w14:textId="0C79F280" w:rsidR="00301A3B" w:rsidRDefault="00301A3B" w:rsidP="00301A3B">
      <w:r w:rsidRPr="009865F6">
        <w:t xml:space="preserve">In relation to the wider leaving care research field, my study provides additional knowledge to the understanding of transition. </w:t>
      </w:r>
      <w:r w:rsidR="009865F6" w:rsidRPr="009865F6">
        <w:t xml:space="preserve">The experience of </w:t>
      </w:r>
      <w:r w:rsidRPr="009865F6">
        <w:t xml:space="preserve">transition for those young people not </w:t>
      </w:r>
      <w:r w:rsidR="009865F6" w:rsidRPr="009865F6">
        <w:rPr>
          <w:i/>
          <w:iCs/>
        </w:rPr>
        <w:t>S</w:t>
      </w:r>
      <w:r w:rsidRPr="009865F6">
        <w:rPr>
          <w:i/>
          <w:iCs/>
        </w:rPr>
        <w:t>taying</w:t>
      </w:r>
      <w:r w:rsidR="002168AF" w:rsidRPr="009865F6">
        <w:rPr>
          <w:i/>
          <w:iCs/>
        </w:rPr>
        <w:t xml:space="preserve"> </w:t>
      </w:r>
      <w:r w:rsidR="009865F6" w:rsidRPr="009865F6">
        <w:rPr>
          <w:i/>
          <w:iCs/>
        </w:rPr>
        <w:t>Put</w:t>
      </w:r>
      <w:r w:rsidR="009865F6" w:rsidRPr="009865F6">
        <w:t xml:space="preserve"> </w:t>
      </w:r>
      <w:r w:rsidRPr="009865F6">
        <w:t>reflect</w:t>
      </w:r>
      <w:r w:rsidR="009865F6" w:rsidRPr="009865F6">
        <w:t>ed</w:t>
      </w:r>
      <w:r w:rsidRPr="009865F6">
        <w:t xml:space="preserve"> other work highlighting problems with leaving care detailed in </w:t>
      </w:r>
      <w:r w:rsidR="006A4910" w:rsidRPr="009865F6">
        <w:t>C</w:t>
      </w:r>
      <w:r w:rsidRPr="009865F6">
        <w:t>hapter</w:t>
      </w:r>
      <w:r w:rsidR="006A4910" w:rsidRPr="009865F6">
        <w:t xml:space="preserve"> 4 (Pinkerton, 2011; Selwyn and Briheim-Crookall, 2017)</w:t>
      </w:r>
      <w:r w:rsidR="009865F6" w:rsidRPr="009865F6">
        <w:t>. M</w:t>
      </w:r>
      <w:r w:rsidRPr="009865F6">
        <w:t xml:space="preserve">y study provides </w:t>
      </w:r>
      <w:r w:rsidR="009865F6" w:rsidRPr="009865F6">
        <w:t>an</w:t>
      </w:r>
      <w:r w:rsidRPr="009865F6">
        <w:t xml:space="preserve"> </w:t>
      </w:r>
      <w:r w:rsidR="009865F6" w:rsidRPr="009865F6">
        <w:t>additional</w:t>
      </w:r>
      <w:r w:rsidRPr="009865F6">
        <w:t xml:space="preserve"> perspective about young people in longer term placements with consistent foster carers</w:t>
      </w:r>
      <w:r w:rsidR="009865F6" w:rsidRPr="009865F6">
        <w:t xml:space="preserve"> experiencing this change</w:t>
      </w:r>
      <w:r w:rsidRPr="009865F6">
        <w:t>.</w:t>
      </w:r>
    </w:p>
    <w:p w14:paraId="5AE37FB1" w14:textId="752E6A6B" w:rsidR="005F068C" w:rsidRDefault="005F068C" w:rsidP="005F068C">
      <w:pPr>
        <w:pStyle w:val="Heading3"/>
      </w:pPr>
      <w:r>
        <w:t>Policy and Practice</w:t>
      </w:r>
    </w:p>
    <w:p w14:paraId="12090829" w14:textId="2E6AD2E0" w:rsidR="005F068C" w:rsidRDefault="005F068C" w:rsidP="00301A3B">
      <w:r>
        <w:t xml:space="preserve">My study contributes to </w:t>
      </w:r>
      <w:r w:rsidR="00DE48A9">
        <w:t xml:space="preserve">the </w:t>
      </w:r>
      <w:r w:rsidR="00420294">
        <w:t>understanding of misuse</w:t>
      </w:r>
      <w:r w:rsidR="00DE48A9">
        <w:t xml:space="preserve"> of jargon when working with children and young people (Creeg</w:t>
      </w:r>
      <w:r w:rsidR="00F316CC">
        <w:t>a</w:t>
      </w:r>
      <w:r w:rsidR="00DE48A9">
        <w:t>n et al., 2006; Wright et al., 2006</w:t>
      </w:r>
      <w:r w:rsidR="00446A4D">
        <w:t>; TACT, 2019</w:t>
      </w:r>
      <w:r w:rsidR="00DE48A9">
        <w:t>)</w:t>
      </w:r>
      <w:r w:rsidR="00420294">
        <w:t xml:space="preserve">. The use and application of language and technical practices when making </w:t>
      </w:r>
      <w:r w:rsidR="00420294" w:rsidRPr="005F068C">
        <w:rPr>
          <w:i/>
          <w:iCs/>
        </w:rPr>
        <w:t>Staying Put</w:t>
      </w:r>
      <w:r w:rsidR="00420294">
        <w:t xml:space="preserve"> operational were found to be alienating and removed from the everyday experiences of young people.</w:t>
      </w:r>
      <w:r w:rsidR="00870894">
        <w:t xml:space="preserve"> The role of language also relates to more general issues about relationship building with children and young people. My research provides different perspectives</w:t>
      </w:r>
      <w:r w:rsidR="006F3263">
        <w:t xml:space="preserve"> about the sharing of personal information by social workers. </w:t>
      </w:r>
      <w:r w:rsidR="00A508EF">
        <w:t>T</w:t>
      </w:r>
      <w:r w:rsidR="006F3263">
        <w:t>he use of self</w:t>
      </w:r>
      <w:r w:rsidR="00A508EF">
        <w:t>-</w:t>
      </w:r>
      <w:r w:rsidR="006F3263">
        <w:t>disclosure has been framed as a</w:t>
      </w:r>
      <w:r w:rsidR="00A508EF">
        <w:t xml:space="preserve">n ethically </w:t>
      </w:r>
      <w:r w:rsidR="006F3263">
        <w:t>complex issue for practitioners</w:t>
      </w:r>
      <w:r w:rsidR="00A508EF">
        <w:t xml:space="preserve"> (Knight, 2012), and my study contributes further to the discussion by highlighting the impact </w:t>
      </w:r>
      <w:r w:rsidR="009D7D7A">
        <w:t xml:space="preserve">of social worker disclosure </w:t>
      </w:r>
      <w:r w:rsidR="00A508EF">
        <w:t xml:space="preserve">on young people leaving care. </w:t>
      </w:r>
      <w:r w:rsidR="00870894" w:rsidRPr="00870894">
        <w:t xml:space="preserve">Social workers sharing </w:t>
      </w:r>
      <w:r w:rsidR="00A508EF">
        <w:t>detail</w:t>
      </w:r>
      <w:r w:rsidR="00637A57">
        <w:t>s</w:t>
      </w:r>
      <w:r w:rsidR="00A508EF">
        <w:t xml:space="preserve"> </w:t>
      </w:r>
      <w:r w:rsidR="00870894" w:rsidRPr="00870894">
        <w:t xml:space="preserve">about their work </w:t>
      </w:r>
      <w:r w:rsidR="00A508EF">
        <w:t>appeared to inhibit rather than open up communication with the young person.</w:t>
      </w:r>
    </w:p>
    <w:p w14:paraId="37097CC7" w14:textId="5BBBE21B" w:rsidR="00301A3B" w:rsidRDefault="00301A3B" w:rsidP="006E3485">
      <w:pPr>
        <w:pStyle w:val="Heading3"/>
      </w:pPr>
      <w:r>
        <w:lastRenderedPageBreak/>
        <w:t>Decision</w:t>
      </w:r>
      <w:r w:rsidR="005F068C">
        <w:t>-</w:t>
      </w:r>
      <w:r>
        <w:t>Making</w:t>
      </w:r>
    </w:p>
    <w:p w14:paraId="0204B6CA" w14:textId="76FA7406" w:rsidR="00301A3B" w:rsidRDefault="00301A3B" w:rsidP="00301A3B">
      <w:r>
        <w:t>My study contributes to knowledge about the role of young people’s decision</w:t>
      </w:r>
      <w:r w:rsidR="006E3C1F">
        <w:t>-</w:t>
      </w:r>
      <w:r>
        <w:t>making as they are thinking about leaving care. Much of the leaving care research focuses on needs or outcomes rather than young people’s rights (Munro, 2019)</w:t>
      </w:r>
      <w:r w:rsidR="006E3C1F">
        <w:t xml:space="preserve"> or </w:t>
      </w:r>
      <w:r w:rsidR="003A0414">
        <w:t>decisions</w:t>
      </w:r>
      <w:r>
        <w:t>. The issues of limited information, opportunity and ability to make decisions ha</w:t>
      </w:r>
      <w:r w:rsidR="008B3709">
        <w:t>ve</w:t>
      </w:r>
      <w:r>
        <w:t xml:space="preserve"> been w</w:t>
      </w:r>
      <w:r w:rsidRPr="00807887">
        <w:t>ell made by many previous writers in the field</w:t>
      </w:r>
      <w:r>
        <w:t>. W</w:t>
      </w:r>
      <w:r w:rsidRPr="00807887">
        <w:t xml:space="preserve">here </w:t>
      </w:r>
      <w:r>
        <w:t>my study</w:t>
      </w:r>
      <w:r w:rsidRPr="00807887">
        <w:t xml:space="preserve"> differs is the specificity to </w:t>
      </w:r>
      <w:r>
        <w:t xml:space="preserve">leaving care and </w:t>
      </w:r>
      <w:r w:rsidRPr="00B33195">
        <w:rPr>
          <w:i/>
          <w:iCs/>
        </w:rPr>
        <w:t>Staying Put</w:t>
      </w:r>
      <w:r>
        <w:t xml:space="preserve"> and the difference in previously understood ideas of age being a barrier to participation concluded by several writers (</w:t>
      </w:r>
      <w:r w:rsidRPr="00E9190F">
        <w:t>Vis and Thomas, 2009; Križ &amp; Skivenes, 2017; Alfandari, 2017; Woodman, Roche, and McArthur, 2018, Rap, Verkroost and Bruning, 2019</w:t>
      </w:r>
      <w:r>
        <w:t xml:space="preserve">). </w:t>
      </w:r>
      <w:r w:rsidR="003A0414">
        <w:t>F</w:t>
      </w:r>
      <w:r w:rsidR="003A0414" w:rsidRPr="003A0414">
        <w:t>ocus</w:t>
      </w:r>
      <w:r w:rsidR="003A0414">
        <w:t>ing</w:t>
      </w:r>
      <w:r w:rsidR="003A0414" w:rsidRPr="003A0414">
        <w:t xml:space="preserve"> on power </w:t>
      </w:r>
      <w:r w:rsidR="003A0414">
        <w:t xml:space="preserve">enabled me to </w:t>
      </w:r>
      <w:r w:rsidR="003A0414" w:rsidRPr="003A0414">
        <w:t>highlight the complexities of children</w:t>
      </w:r>
      <w:r w:rsidR="003A0414">
        <w:t xml:space="preserve"> and </w:t>
      </w:r>
      <w:r w:rsidR="003A0414" w:rsidRPr="003A0414">
        <w:t>young people’s participation in institutional decision-making processes</w:t>
      </w:r>
      <w:r w:rsidR="003A0414">
        <w:t xml:space="preserve"> with social workers and foster carers</w:t>
      </w:r>
      <w:r w:rsidR="003A0414" w:rsidRPr="003A0414">
        <w:t xml:space="preserve">. By bringing together </w:t>
      </w:r>
      <w:r w:rsidR="003A0414">
        <w:t>the literature about participation</w:t>
      </w:r>
      <w:r w:rsidR="00391630">
        <w:t xml:space="preserve"> and</w:t>
      </w:r>
      <w:r w:rsidR="003A0414">
        <w:t xml:space="preserve"> </w:t>
      </w:r>
      <w:r w:rsidR="003A0414" w:rsidRPr="003A0414">
        <w:t>construction of childhood</w:t>
      </w:r>
      <w:r w:rsidR="00391630">
        <w:t>,</w:t>
      </w:r>
      <w:r w:rsidR="003A0414" w:rsidRPr="003A0414">
        <w:t xml:space="preserve"> with Foucault’s </w:t>
      </w:r>
      <w:r w:rsidR="003A0414" w:rsidRPr="002C1DC6">
        <w:t>theories of power</w:t>
      </w:r>
      <w:r w:rsidR="00391630" w:rsidRPr="002C1DC6">
        <w:t>,</w:t>
      </w:r>
      <w:r w:rsidR="003A0414" w:rsidRPr="002C1DC6">
        <w:t xml:space="preserve"> I provide different insights into young people’s experiences of decision-making and </w:t>
      </w:r>
      <w:r w:rsidR="00E569F6" w:rsidRPr="002C1DC6">
        <w:t xml:space="preserve">how their role in decisions appear bounded by discourses about what constitutes </w:t>
      </w:r>
      <w:r w:rsidR="00792DBB" w:rsidRPr="002C1DC6">
        <w:t>participation. These insights underline the</w:t>
      </w:r>
      <w:r w:rsidR="00E569F6" w:rsidRPr="002C1DC6">
        <w:t xml:space="preserve"> </w:t>
      </w:r>
      <w:r w:rsidR="003A0414" w:rsidRPr="002C1DC6">
        <w:t xml:space="preserve">tensions between </w:t>
      </w:r>
      <w:r w:rsidR="009C3BD9" w:rsidRPr="002C1DC6">
        <w:t>the prominence of</w:t>
      </w:r>
      <w:r w:rsidR="009C3BD9">
        <w:t xml:space="preserve"> participation in policy and the young person’s lived experience</w:t>
      </w:r>
      <w:r w:rsidR="003A0414">
        <w:t>.</w:t>
      </w:r>
      <w:r w:rsidR="00420294">
        <w:t xml:space="preserve"> In particular I contribute to the field of participation studies through my understanding of how participation and decision-making are conflated depending on the situation</w:t>
      </w:r>
      <w:r w:rsidR="00870894">
        <w:t xml:space="preserve"> (Leeson, 2007; Pauls</w:t>
      </w:r>
      <w:r w:rsidR="008126B8">
        <w:t>e</w:t>
      </w:r>
      <w:r w:rsidR="00870894">
        <w:t>n and Thomas, 2018)</w:t>
      </w:r>
      <w:r w:rsidR="00420294">
        <w:t>.</w:t>
      </w:r>
    </w:p>
    <w:p w14:paraId="31E4C78A" w14:textId="77777777" w:rsidR="00301A3B" w:rsidRDefault="00301A3B" w:rsidP="006E3485">
      <w:pPr>
        <w:pStyle w:val="Heading3"/>
      </w:pPr>
      <w:r>
        <w:t>Applying a Foucauldian lens</w:t>
      </w:r>
    </w:p>
    <w:p w14:paraId="1CA82EBF" w14:textId="77777777" w:rsidR="009C3BD9" w:rsidRDefault="00301A3B" w:rsidP="00301A3B">
      <w:r>
        <w:t xml:space="preserve">Criticisms have been made about </w:t>
      </w:r>
      <w:r w:rsidRPr="008966B3">
        <w:t>an under theorisation of the experience of leaving care (Stein, 2006c)</w:t>
      </w:r>
      <w:r w:rsidR="009C3BD9">
        <w:t xml:space="preserve"> and a</w:t>
      </w:r>
      <w:r w:rsidRPr="008966B3">
        <w:t xml:space="preserve">lthough there is a wealth of research about </w:t>
      </w:r>
      <w:r w:rsidR="009C3BD9">
        <w:t xml:space="preserve">young people’s </w:t>
      </w:r>
      <w:r w:rsidRPr="008966B3">
        <w:t xml:space="preserve">outcomes, </w:t>
      </w:r>
      <w:r>
        <w:t xml:space="preserve">some writers have </w:t>
      </w:r>
      <w:r w:rsidR="009C3BD9">
        <w:t xml:space="preserve">advocated for application </w:t>
      </w:r>
      <w:r w:rsidRPr="008966B3">
        <w:t>of theory to further understanding</w:t>
      </w:r>
      <w:r w:rsidR="009C3BD9">
        <w:t>s</w:t>
      </w:r>
      <w:r w:rsidRPr="008966B3">
        <w:t xml:space="preserve"> of the leaving care experience</w:t>
      </w:r>
      <w:r>
        <w:t xml:space="preserve"> in context (</w:t>
      </w:r>
      <w:r w:rsidRPr="008966B3">
        <w:t>Barratt, Appleton, and Pearson, 2020</w:t>
      </w:r>
      <w:r>
        <w:t xml:space="preserve">). Foucault’s work has been used to theorise a wide range of social work practice issues, </w:t>
      </w:r>
      <w:r w:rsidR="00816687" w:rsidRPr="009C3BD9">
        <w:t>however,</w:t>
      </w:r>
      <w:r w:rsidRPr="009C3BD9">
        <w:t xml:space="preserve"> not extensively to leaving care.</w:t>
      </w:r>
      <w:r>
        <w:t xml:space="preserve"> Therefore, my research adds to existing Foucauldian social work studies but also responds to </w:t>
      </w:r>
      <w:r w:rsidR="009C3BD9" w:rsidRPr="008966B3">
        <w:t>Barratt, Appleton, and Pearson</w:t>
      </w:r>
      <w:r w:rsidR="009C3BD9">
        <w:t>’s (</w:t>
      </w:r>
      <w:r w:rsidR="009C3BD9" w:rsidRPr="008966B3">
        <w:t>2020</w:t>
      </w:r>
      <w:r w:rsidR="009C3BD9">
        <w:t>) call to extend the use of theory to understand young people’s experiences</w:t>
      </w:r>
      <w:r>
        <w:t xml:space="preserve">. Thinking about </w:t>
      </w:r>
      <w:r w:rsidRPr="00B80AB6">
        <w:rPr>
          <w:i/>
          <w:iCs/>
        </w:rPr>
        <w:t>Staying Put</w:t>
      </w:r>
      <w:r>
        <w:t xml:space="preserve"> in the context of </w:t>
      </w:r>
      <w:r w:rsidRPr="00B80AB6">
        <w:t>Foucault’s theorising of power has offered</w:t>
      </w:r>
      <w:r>
        <w:t xml:space="preserve"> a different</w:t>
      </w:r>
      <w:r w:rsidRPr="00B80AB6">
        <w:t xml:space="preserve"> interpretation of practice</w:t>
      </w:r>
      <w:r>
        <w:t>, one example being</w:t>
      </w:r>
      <w:r w:rsidRPr="00B80AB6">
        <w:t xml:space="preserve"> that</w:t>
      </w:r>
      <w:r w:rsidR="00A43BB5">
        <w:t xml:space="preserve"> the</w:t>
      </w:r>
      <w:r w:rsidRPr="00B80AB6">
        <w:t xml:space="preserve"> involvement of young people is more complex tha</w:t>
      </w:r>
      <w:r>
        <w:t>n</w:t>
      </w:r>
      <w:r w:rsidRPr="00B80AB6">
        <w:t xml:space="preserve"> duties to compel</w:t>
      </w:r>
      <w:r>
        <w:t xml:space="preserve"> participation</w:t>
      </w:r>
      <w:r w:rsidRPr="00B80AB6">
        <w:t xml:space="preserve">. </w:t>
      </w:r>
      <w:r w:rsidR="009C3BD9">
        <w:t xml:space="preserve">Thinking about the research questions using a Foucauldian lens prompted important questions about power/knowledge and how it is exercised through institutions, discourses, policies, specifically </w:t>
      </w:r>
      <w:r w:rsidR="009C3BD9" w:rsidRPr="009C3BD9">
        <w:rPr>
          <w:i/>
          <w:iCs/>
        </w:rPr>
        <w:t>Staying Put</w:t>
      </w:r>
      <w:r w:rsidR="009C3BD9">
        <w:t>, which reproduces the subjectification of young people.</w:t>
      </w:r>
    </w:p>
    <w:p w14:paraId="7FFC9248" w14:textId="58212D37" w:rsidR="00301A3B" w:rsidRPr="00982054" w:rsidRDefault="00301A3B" w:rsidP="00301A3B">
      <w:pPr>
        <w:pStyle w:val="Heading2"/>
      </w:pPr>
      <w:bookmarkStart w:id="100" w:name="_Toc76803457"/>
      <w:bookmarkStart w:id="101" w:name="_Toc101108535"/>
      <w:r w:rsidRPr="00982054">
        <w:lastRenderedPageBreak/>
        <w:t>Messages for Practice</w:t>
      </w:r>
      <w:bookmarkEnd w:id="100"/>
      <w:bookmarkEnd w:id="101"/>
    </w:p>
    <w:p w14:paraId="5B35DD60" w14:textId="70BA7CB3" w:rsidR="00301A3B" w:rsidRPr="00982054" w:rsidRDefault="00301A3B" w:rsidP="00301A3B">
      <w:r>
        <w:t xml:space="preserve">As my study is one of only a few that have explored </w:t>
      </w:r>
      <w:r w:rsidRPr="00B33195">
        <w:rPr>
          <w:i/>
          <w:iCs/>
        </w:rPr>
        <w:t>Staying Put</w:t>
      </w:r>
      <w:r>
        <w:t>, the work I have presented is relevant to social workers,</w:t>
      </w:r>
      <w:r w:rsidR="005C1FA8">
        <w:t xml:space="preserve"> personal advisors,</w:t>
      </w:r>
      <w:r>
        <w:t xml:space="preserve"> foster carers, social work organisations and policy makers. </w:t>
      </w:r>
      <w:r w:rsidRPr="00982054">
        <w:t xml:space="preserve">Drawing recommendations to conclude the thesis exemplifies the convention of a professional </w:t>
      </w:r>
      <w:r w:rsidRPr="002C1DC6">
        <w:t>doctorate which maintains the relationship between research and practice (Fulton et al., 2013).</w:t>
      </w:r>
      <w:r w:rsidR="00565B29" w:rsidRPr="002C1DC6">
        <w:t xml:space="preserve"> </w:t>
      </w:r>
      <w:r w:rsidR="00E11390" w:rsidRPr="002C1DC6">
        <w:t xml:space="preserve">As this research </w:t>
      </w:r>
      <w:r w:rsidR="00077553" w:rsidRPr="002C1DC6">
        <w:t>is</w:t>
      </w:r>
      <w:r w:rsidR="00727A08" w:rsidRPr="002C1DC6">
        <w:t xml:space="preserve"> not user led, my recommendations</w:t>
      </w:r>
      <w:r w:rsidR="00077553" w:rsidRPr="002C1DC6">
        <w:t xml:space="preserve"> for practice</w:t>
      </w:r>
      <w:r w:rsidR="00727A08" w:rsidRPr="002C1DC6">
        <w:t xml:space="preserve"> sit alongside </w:t>
      </w:r>
      <w:r w:rsidR="00565B29" w:rsidRPr="002C1DC6">
        <w:t xml:space="preserve">the ideas drawn directly </w:t>
      </w:r>
      <w:r w:rsidR="00727A08" w:rsidRPr="002C1DC6">
        <w:t>from</w:t>
      </w:r>
      <w:r w:rsidR="00565B29" w:rsidRPr="002C1DC6">
        <w:t xml:space="preserve"> young people</w:t>
      </w:r>
      <w:r w:rsidR="00763A5C" w:rsidRPr="002C1DC6">
        <w:t xml:space="preserve"> based on my analysis of the issues they presented</w:t>
      </w:r>
      <w:r w:rsidR="00727A08" w:rsidRPr="002C1DC6">
        <w:t xml:space="preserve">. This positioning reflects my role in the </w:t>
      </w:r>
      <w:r w:rsidR="00745B02" w:rsidRPr="002C1DC6">
        <w:t>construction</w:t>
      </w:r>
      <w:r w:rsidR="00727A08" w:rsidRPr="002C1DC6">
        <w:t xml:space="preserve"> of the </w:t>
      </w:r>
      <w:r w:rsidR="00745B02" w:rsidRPr="002C1DC6">
        <w:t>data</w:t>
      </w:r>
      <w:r w:rsidR="00565B29" w:rsidRPr="002C1DC6">
        <w:t xml:space="preserve"> </w:t>
      </w:r>
      <w:r w:rsidR="00077553" w:rsidRPr="002C1DC6">
        <w:t xml:space="preserve">and </w:t>
      </w:r>
      <w:r w:rsidR="00426467" w:rsidRPr="002C1DC6">
        <w:t xml:space="preserve">does </w:t>
      </w:r>
      <w:r w:rsidR="00745B02" w:rsidRPr="002C1DC6">
        <w:t>not</w:t>
      </w:r>
      <w:r w:rsidR="00426467" w:rsidRPr="002C1DC6">
        <w:t xml:space="preserve"> set out to </w:t>
      </w:r>
      <w:r w:rsidR="00F92BE1" w:rsidRPr="002C1DC6">
        <w:t>undermine</w:t>
      </w:r>
      <w:r w:rsidR="00745B02" w:rsidRPr="002C1DC6">
        <w:t xml:space="preserve"> the young people’s </w:t>
      </w:r>
      <w:r w:rsidR="00F92BE1" w:rsidRPr="002C1DC6">
        <w:t>perspective</w:t>
      </w:r>
      <w:r w:rsidR="00745B02" w:rsidRPr="002C1DC6">
        <w:t xml:space="preserve"> by </w:t>
      </w:r>
      <w:r w:rsidR="007345CF" w:rsidRPr="002C1DC6">
        <w:t xml:space="preserve">mimicking </w:t>
      </w:r>
      <w:r w:rsidR="00077553" w:rsidRPr="002C1DC6">
        <w:t xml:space="preserve">the conventions of </w:t>
      </w:r>
      <w:r w:rsidR="007345CF" w:rsidRPr="002C1DC6">
        <w:t>‘adult research’ (Mann, Lilley and Kellett, 2014).</w:t>
      </w:r>
      <w:r w:rsidR="00565B29" w:rsidRPr="002C1DC6">
        <w:t xml:space="preserve"> </w:t>
      </w:r>
      <w:r w:rsidRPr="002C1DC6">
        <w:t>The challenge</w:t>
      </w:r>
      <w:r w:rsidRPr="00982054">
        <w:t xml:space="preserve"> </w:t>
      </w:r>
      <w:r w:rsidR="00077553">
        <w:t xml:space="preserve">of any recommendations </w:t>
      </w:r>
      <w:r w:rsidRPr="00982054">
        <w:t xml:space="preserve">is to highlight elements that are achievable and that reflect the conclusions of the </w:t>
      </w:r>
      <w:r>
        <w:t>research</w:t>
      </w:r>
      <w:r w:rsidRPr="00982054">
        <w:t xml:space="preserve">. </w:t>
      </w:r>
      <w:r>
        <w:t xml:space="preserve">My conclusion is that </w:t>
      </w:r>
      <w:r w:rsidR="00077553">
        <w:t xml:space="preserve">only </w:t>
      </w:r>
      <w:r w:rsidRPr="00982054">
        <w:t xml:space="preserve">suggesting measures that focus on training or small practice modifications feel inadequate. During this thesis I have set out over 20 years of policy and legislative changes and a wide range of research that have all reflected a similar narrative, </w:t>
      </w:r>
      <w:r>
        <w:t xml:space="preserve">resulting in </w:t>
      </w:r>
      <w:r w:rsidRPr="00982054">
        <w:t>small changes that accommodate shortcomings in the system</w:t>
      </w:r>
      <w:r>
        <w:t xml:space="preserve">. Existing research has evidenced that this incremental approach has only </w:t>
      </w:r>
      <w:r w:rsidRPr="002C1DC6">
        <w:t>been partially successful, with young people still feeling il</w:t>
      </w:r>
      <w:r w:rsidR="006F6005" w:rsidRPr="002C1DC6">
        <w:t>l</w:t>
      </w:r>
      <w:r w:rsidRPr="002C1DC6">
        <w:t xml:space="preserve"> prepared and unready for living alone. I</w:t>
      </w:r>
      <w:r w:rsidR="00A43BB5" w:rsidRPr="002C1DC6">
        <w:t xml:space="preserve">n </w:t>
      </w:r>
      <w:r w:rsidRPr="002C1DC6">
        <w:t>repeat</w:t>
      </w:r>
      <w:r w:rsidR="00A43BB5" w:rsidRPr="002C1DC6">
        <w:t>ing</w:t>
      </w:r>
      <w:r w:rsidRPr="002C1DC6">
        <w:t xml:space="preserve"> this pattern, I would not be reflecting what I have come to think through my research. Therefore, I </w:t>
      </w:r>
      <w:r w:rsidR="00A43BB5" w:rsidRPr="002C1DC6">
        <w:t xml:space="preserve">am </w:t>
      </w:r>
      <w:r w:rsidRPr="002C1DC6">
        <w:t>present</w:t>
      </w:r>
      <w:r w:rsidR="00A43BB5" w:rsidRPr="002C1DC6">
        <w:t>ing</w:t>
      </w:r>
      <w:r w:rsidRPr="002C1DC6">
        <w:t xml:space="preserve"> a larger, more radical </w:t>
      </w:r>
      <w:r w:rsidR="00FD0343" w:rsidRPr="002C1DC6">
        <w:t>talking point</w:t>
      </w:r>
      <w:r w:rsidRPr="002C1DC6">
        <w:t xml:space="preserve"> followed by</w:t>
      </w:r>
      <w:r w:rsidR="00FD0343" w:rsidRPr="002C1DC6">
        <w:t xml:space="preserve"> more specific </w:t>
      </w:r>
      <w:r w:rsidRPr="002C1DC6">
        <w:t xml:space="preserve">measures that could make a difference </w:t>
      </w:r>
      <w:r w:rsidR="00C6130F" w:rsidRPr="002C1DC6">
        <w:t xml:space="preserve">in the absence of </w:t>
      </w:r>
      <w:r w:rsidRPr="002C1DC6">
        <w:t>broader system change. The suggestions made</w:t>
      </w:r>
      <w:r>
        <w:t xml:space="preserve"> by young people are also noted and where they coincide with my recommendations</w:t>
      </w:r>
      <w:r w:rsidR="00440FE6">
        <w:t xml:space="preserve"> their name is indicated in brackets where we had similar suggestions</w:t>
      </w:r>
      <w:r>
        <w:t>. I have then included a separate section for th</w:t>
      </w:r>
      <w:r w:rsidR="00440FE6">
        <w:t>e young people’s</w:t>
      </w:r>
      <w:r>
        <w:t xml:space="preserve"> ideas that were distinct from mine.</w:t>
      </w:r>
    </w:p>
    <w:p w14:paraId="1CEB4D3D" w14:textId="6AC1C1D3" w:rsidR="00301A3B" w:rsidRPr="003531E4" w:rsidRDefault="00FD2D4F" w:rsidP="006E3485">
      <w:pPr>
        <w:pStyle w:val="Heading3"/>
      </w:pPr>
      <w:r w:rsidRPr="003531E4">
        <w:t>Talking Point</w:t>
      </w:r>
      <w:r w:rsidR="00301A3B" w:rsidRPr="003531E4">
        <w:t xml:space="preserve">: The end of </w:t>
      </w:r>
      <w:r w:rsidR="00301A3B" w:rsidRPr="003531E4">
        <w:rPr>
          <w:i/>
          <w:iCs/>
        </w:rPr>
        <w:t>Staying Put</w:t>
      </w:r>
      <w:r w:rsidR="00C52CF8" w:rsidRPr="003531E4">
        <w:rPr>
          <w:i/>
          <w:iCs/>
        </w:rPr>
        <w:t>?</w:t>
      </w:r>
    </w:p>
    <w:p w14:paraId="130C270F" w14:textId="470A962D" w:rsidR="00301A3B" w:rsidRPr="00982054" w:rsidRDefault="00653104" w:rsidP="00301A3B">
      <w:r w:rsidRPr="003531E4">
        <w:t xml:space="preserve">This concluding talking point stems from both the </w:t>
      </w:r>
      <w:r w:rsidR="00011DF0" w:rsidRPr="003531E4">
        <w:t>quote from Hannah (see page 1)</w:t>
      </w:r>
      <w:r w:rsidRPr="003531E4">
        <w:t xml:space="preserve"> and the young people’s views about </w:t>
      </w:r>
      <w:r w:rsidR="00970BCE" w:rsidRPr="003531E4">
        <w:rPr>
          <w:i/>
          <w:iCs/>
        </w:rPr>
        <w:t>Staying Put</w:t>
      </w:r>
      <w:r w:rsidR="00970BCE" w:rsidRPr="003531E4">
        <w:t xml:space="preserve"> </w:t>
      </w:r>
      <w:r w:rsidR="00C51601" w:rsidRPr="003531E4">
        <w:t>detailed in Part Three</w:t>
      </w:r>
      <w:r w:rsidR="00970BCE" w:rsidRPr="003531E4">
        <w:t xml:space="preserve">. Although </w:t>
      </w:r>
      <w:r w:rsidR="00970BCE" w:rsidRPr="003531E4">
        <w:rPr>
          <w:i/>
          <w:iCs/>
        </w:rPr>
        <w:t>Staying Put</w:t>
      </w:r>
      <w:r w:rsidR="00970BCE" w:rsidRPr="003531E4">
        <w:t xml:space="preserve"> has enabled young people to remain with their carers</w:t>
      </w:r>
      <w:r w:rsidR="00E37337" w:rsidRPr="003531E4">
        <w:t xml:space="preserve"> for longer</w:t>
      </w:r>
      <w:r w:rsidR="00293860" w:rsidRPr="003531E4">
        <w:t xml:space="preserve">, the application </w:t>
      </w:r>
      <w:r w:rsidR="00E37337" w:rsidRPr="003531E4">
        <w:t xml:space="preserve">of </w:t>
      </w:r>
      <w:r w:rsidR="006E03D2" w:rsidRPr="003531E4">
        <w:rPr>
          <w:i/>
          <w:iCs/>
        </w:rPr>
        <w:t>Staying Put</w:t>
      </w:r>
      <w:r w:rsidR="006E03D2" w:rsidRPr="003531E4">
        <w:t xml:space="preserve"> </w:t>
      </w:r>
      <w:r w:rsidR="00C51601" w:rsidRPr="003531E4">
        <w:t xml:space="preserve">in practice </w:t>
      </w:r>
      <w:r w:rsidR="00293860" w:rsidRPr="003531E4">
        <w:t xml:space="preserve">appears to have masked rather than resolved this transition point. </w:t>
      </w:r>
      <w:r w:rsidR="00AF46E6" w:rsidRPr="003531E4">
        <w:t>In order t</w:t>
      </w:r>
      <w:r w:rsidR="00301A3B" w:rsidRPr="003531E4">
        <w:t xml:space="preserve">o change the culture of early transition from care, </w:t>
      </w:r>
      <w:r w:rsidR="00AF46E6" w:rsidRPr="003531E4">
        <w:t xml:space="preserve">consideration </w:t>
      </w:r>
      <w:r w:rsidR="006E03D2" w:rsidRPr="003531E4">
        <w:t>c</w:t>
      </w:r>
      <w:r w:rsidR="00AF46E6" w:rsidRPr="003531E4">
        <w:t xml:space="preserve">ould be given to a more radical </w:t>
      </w:r>
      <w:r w:rsidR="00324130" w:rsidRPr="003531E4">
        <w:t xml:space="preserve">idea, namely that </w:t>
      </w:r>
      <w:r w:rsidR="00301A3B" w:rsidRPr="003531E4">
        <w:t>young people automatically remain in their placement until they are 21, unless they want to leave at an earlier point. By replacing</w:t>
      </w:r>
      <w:r w:rsidR="00301A3B" w:rsidRPr="00982054">
        <w:t xml:space="preserve"> </w:t>
      </w:r>
      <w:r w:rsidR="00301A3B" w:rsidRPr="00982054">
        <w:rPr>
          <w:i/>
          <w:iCs/>
        </w:rPr>
        <w:t>Staying Put</w:t>
      </w:r>
      <w:r w:rsidR="00301A3B" w:rsidRPr="00982054">
        <w:t xml:space="preserve"> with a care system that stretches into early adulthood, remaining in care would no longer be a matter of exception</w:t>
      </w:r>
      <w:r w:rsidR="00E648AA">
        <w:t>, and young people had more time to make this change</w:t>
      </w:r>
      <w:r w:rsidR="00301A3B" w:rsidRPr="00982054">
        <w:t xml:space="preserve">. </w:t>
      </w:r>
      <w:r w:rsidR="00301A3B" w:rsidRPr="00982054">
        <w:rPr>
          <w:i/>
          <w:iCs/>
        </w:rPr>
        <w:t>Staying Put</w:t>
      </w:r>
      <w:r w:rsidR="00301A3B" w:rsidRPr="00982054">
        <w:t xml:space="preserve"> was an attempt to align an intention to extend the transition period, but in practice having to find </w:t>
      </w:r>
      <w:r w:rsidR="00301A3B" w:rsidRPr="00982054">
        <w:lastRenderedPageBreak/>
        <w:t xml:space="preserve">ways around the language or existing legislation of care has contributed to a system with inbuilt disincentives and as identified in </w:t>
      </w:r>
      <w:r w:rsidR="00866CD9">
        <w:t>Part Three</w:t>
      </w:r>
      <w:r w:rsidR="00301A3B" w:rsidRPr="00982054">
        <w:t xml:space="preserve">, difficulties for young people. In making this change, the concept of </w:t>
      </w:r>
      <w:r w:rsidR="00891EE2">
        <w:t>S</w:t>
      </w:r>
      <w:r w:rsidR="00301A3B" w:rsidRPr="00982054">
        <w:rPr>
          <w:i/>
          <w:iCs/>
        </w:rPr>
        <w:t>taying</w:t>
      </w:r>
      <w:r w:rsidR="00891EE2">
        <w:rPr>
          <w:i/>
          <w:iCs/>
        </w:rPr>
        <w:t xml:space="preserve"> Put</w:t>
      </w:r>
      <w:r w:rsidR="00301A3B" w:rsidRPr="00982054">
        <w:t xml:space="preserve"> would become redundant as young people would remain in their placement (home) with their foster carers until they felt ready to leave. Executing an opt out rather than opt in system would aim to lessen the anxieties of young people as they reach 18. Conversations about leaving care would </w:t>
      </w:r>
      <w:r w:rsidR="00301A3B">
        <w:t xml:space="preserve">then </w:t>
      </w:r>
      <w:r w:rsidR="00301A3B" w:rsidRPr="00982054">
        <w:t xml:space="preserve">not need to take place during other periods of transition and young people would be able to make longer term plans for their education and/or employment with the stability of an ongoing place to live. </w:t>
      </w:r>
      <w:r w:rsidR="00440FE6" w:rsidRPr="00741800">
        <w:t>S</w:t>
      </w:r>
      <w:r w:rsidR="00301A3B" w:rsidRPr="00741800">
        <w:t>uch a change would require modifications to the Children Act 1989, fostering regulations and alterations to benefits systems as well as commitment to fund services for an additional period.</w:t>
      </w:r>
      <w:r w:rsidR="009250E5" w:rsidRPr="00741800">
        <w:t xml:space="preserve"> </w:t>
      </w:r>
      <w:r w:rsidR="00021C64" w:rsidRPr="00741800">
        <w:t>There are implications for the wider fostering service as an increase in young people remaining with their carers reduces the number of placements for other children</w:t>
      </w:r>
      <w:r w:rsidR="00C6130F" w:rsidRPr="00741800">
        <w:t>.</w:t>
      </w:r>
      <w:r w:rsidR="00021C64" w:rsidRPr="00741800">
        <w:t xml:space="preserve"> </w:t>
      </w:r>
      <w:r w:rsidR="009250E5" w:rsidRPr="00741800">
        <w:t xml:space="preserve">In the current financial and practice climate this fundamental change </w:t>
      </w:r>
      <w:r w:rsidR="005F5442" w:rsidRPr="00741800">
        <w:t>may seem unrealistic or unachievable, however this study</w:t>
      </w:r>
      <w:r w:rsidR="002E584D" w:rsidRPr="00741800">
        <w:t xml:space="preserve"> has </w:t>
      </w:r>
      <w:r w:rsidR="00486437" w:rsidRPr="00741800">
        <w:t xml:space="preserve">questioned </w:t>
      </w:r>
      <w:r w:rsidR="000A21A9" w:rsidRPr="00741800">
        <w:t>established ways of thinking about</w:t>
      </w:r>
      <w:r w:rsidR="008B0501" w:rsidRPr="00741800">
        <w:t xml:space="preserve"> </w:t>
      </w:r>
      <w:r w:rsidR="008B0501" w:rsidRPr="00741800">
        <w:rPr>
          <w:i/>
          <w:iCs/>
        </w:rPr>
        <w:t>Staying Put</w:t>
      </w:r>
      <w:r w:rsidR="008B0501" w:rsidRPr="00741800">
        <w:t xml:space="preserve">, through the young people’s perspectives. </w:t>
      </w:r>
      <w:r w:rsidR="00F41AC5" w:rsidRPr="00741800">
        <w:t>Y</w:t>
      </w:r>
      <w:r w:rsidR="00D0073B" w:rsidRPr="00741800">
        <w:t>oung people did not articulate this suggestion in the way I have presented it here,</w:t>
      </w:r>
      <w:r w:rsidR="00F41AC5" w:rsidRPr="00741800">
        <w:t xml:space="preserve"> </w:t>
      </w:r>
      <w:r w:rsidR="001C0950" w:rsidRPr="00741800">
        <w:t>however</w:t>
      </w:r>
      <w:r w:rsidR="00D0073B" w:rsidRPr="00741800">
        <w:t xml:space="preserve"> their </w:t>
      </w:r>
      <w:r w:rsidR="007E0504" w:rsidRPr="00741800">
        <w:t>s</w:t>
      </w:r>
      <w:r w:rsidR="00647CF1" w:rsidRPr="00741800">
        <w:t xml:space="preserve">ense of injustice and confusion </w:t>
      </w:r>
      <w:r w:rsidR="00C6130F" w:rsidRPr="00741800">
        <w:t xml:space="preserve">underlined by Hannah’s expectation to stay until they are ready to move on, </w:t>
      </w:r>
      <w:r w:rsidR="001C0950" w:rsidRPr="00741800">
        <w:t xml:space="preserve">underpins my </w:t>
      </w:r>
      <w:r w:rsidR="004D0E57" w:rsidRPr="00741800">
        <w:t>thinking</w:t>
      </w:r>
      <w:r w:rsidR="001C0950" w:rsidRPr="00741800">
        <w:t>.</w:t>
      </w:r>
      <w:r w:rsidR="00301A3B" w:rsidRPr="00741800">
        <w:t xml:space="preserve"> This call</w:t>
      </w:r>
      <w:r w:rsidR="00301A3B" w:rsidRPr="00982054">
        <w:t xml:space="preserve"> for such a radical step is in not a criticism of those who campaigned for </w:t>
      </w:r>
      <w:r w:rsidR="00301A3B" w:rsidRPr="00982054">
        <w:rPr>
          <w:i/>
          <w:iCs/>
        </w:rPr>
        <w:t>Staying Put</w:t>
      </w:r>
      <w:r w:rsidR="00301A3B" w:rsidRPr="00982054">
        <w:t xml:space="preserve"> to exist</w:t>
      </w:r>
      <w:r w:rsidR="00301A3B">
        <w:t>, nor is it to deny the value of the policy intentions</w:t>
      </w:r>
      <w:r w:rsidR="00301A3B" w:rsidRPr="00982054">
        <w:t>.</w:t>
      </w:r>
    </w:p>
    <w:p w14:paraId="76B1566B" w14:textId="10C2E98B" w:rsidR="00301A3B" w:rsidRPr="00965EAE" w:rsidRDefault="00301A3B" w:rsidP="006E3485">
      <w:pPr>
        <w:pStyle w:val="Heading3"/>
      </w:pPr>
      <w:r w:rsidRPr="00965EAE">
        <w:t xml:space="preserve">Recommendation 1: Preparation for Conversations </w:t>
      </w:r>
    </w:p>
    <w:p w14:paraId="0CE007E4" w14:textId="2B384C47" w:rsidR="00301A3B" w:rsidRDefault="00301A3B" w:rsidP="00301A3B">
      <w:r w:rsidRPr="00982054">
        <w:t xml:space="preserve">Social workers need to think </w:t>
      </w:r>
      <w:r>
        <w:t xml:space="preserve">more about </w:t>
      </w:r>
      <w:r w:rsidRPr="00982054">
        <w:t xml:space="preserve">the nature and frequency of their conversations with young people. I recommend that </w:t>
      </w:r>
      <w:r w:rsidR="00440FE6">
        <w:t xml:space="preserve">a </w:t>
      </w:r>
      <w:r w:rsidRPr="00982054">
        <w:t xml:space="preserve">simple </w:t>
      </w:r>
      <w:r>
        <w:t xml:space="preserve">reflective model </w:t>
      </w:r>
      <w:r w:rsidRPr="00982054">
        <w:t xml:space="preserve">could encourage social workers to think more critically about their approach when raising or discussing difficult issues and decisions. </w:t>
      </w:r>
      <w:r>
        <w:t xml:space="preserve">As there are a number of already established </w:t>
      </w:r>
      <w:r w:rsidRPr="00982054">
        <w:t xml:space="preserve">conceptual tools </w:t>
      </w:r>
      <w:r>
        <w:t xml:space="preserve">relating to the participation </w:t>
      </w:r>
      <w:r w:rsidR="00F311FB">
        <w:t xml:space="preserve">of </w:t>
      </w:r>
      <w:r>
        <w:t xml:space="preserve">children and young people, I have devised a model that builds on rather than replaces existing work. The framework I have selected is </w:t>
      </w:r>
      <w:r w:rsidRPr="00982054">
        <w:t xml:space="preserve">Lundy’s (2007) </w:t>
      </w:r>
      <w:r w:rsidRPr="008B2DE8">
        <w:rPr>
          <w:i/>
          <w:iCs/>
        </w:rPr>
        <w:t>everyday spaces model of participation</w:t>
      </w:r>
      <w:r w:rsidRPr="00982054">
        <w:t xml:space="preserve"> detailed </w:t>
      </w:r>
      <w:r w:rsidRPr="00692CA2">
        <w:t>in</w:t>
      </w:r>
      <w:r w:rsidR="00891EE2" w:rsidRPr="00692CA2">
        <w:t xml:space="preserve"> Chapter</w:t>
      </w:r>
      <w:r w:rsidR="00692CA2" w:rsidRPr="00692CA2">
        <w:t xml:space="preserve"> 4</w:t>
      </w:r>
      <w:r w:rsidR="00692CA2">
        <w:t xml:space="preserve">: </w:t>
      </w:r>
      <w:r w:rsidR="00440FE6" w:rsidRPr="00692CA2">
        <w:t>F</w:t>
      </w:r>
      <w:r w:rsidRPr="00692CA2">
        <w:t xml:space="preserve">igure </w:t>
      </w:r>
      <w:r w:rsidR="008437DA" w:rsidRPr="00692CA2">
        <w:t>4</w:t>
      </w:r>
      <w:r w:rsidRPr="00692CA2">
        <w:t>. This</w:t>
      </w:r>
      <w:r>
        <w:t xml:space="preserve"> is a rights-based model used across projects that promote individual and group participation. Whilst Lundy’s model raises some useful questions and prompts about participation, my adaptation relates to the social worker’s role in </w:t>
      </w:r>
      <w:r w:rsidRPr="00982054">
        <w:t>planning</w:t>
      </w:r>
      <w:r>
        <w:t xml:space="preserve"> conversations </w:t>
      </w:r>
      <w:r w:rsidR="00891EE2">
        <w:t xml:space="preserve">and </w:t>
      </w:r>
      <w:r w:rsidRPr="00982054">
        <w:t>incorporating space to talk and ask questions outside of formal meetings.</w:t>
      </w:r>
      <w:r>
        <w:t xml:space="preserve"> </w:t>
      </w:r>
      <w:r w:rsidRPr="00982054">
        <w:t xml:space="preserve">Combining tools to think about both the </w:t>
      </w:r>
      <w:r>
        <w:t>child/</w:t>
      </w:r>
      <w:r w:rsidRPr="00982054">
        <w:t xml:space="preserve">young person and the social worker, might support better communication </w:t>
      </w:r>
      <w:r>
        <w:t xml:space="preserve">about decisions, </w:t>
      </w:r>
      <w:r w:rsidRPr="00982054">
        <w:t xml:space="preserve">contentious or complex issues and also highlight any gaps in the social worker’s </w:t>
      </w:r>
      <w:r w:rsidRPr="00982054">
        <w:lastRenderedPageBreak/>
        <w:t xml:space="preserve">understanding </w:t>
      </w:r>
      <w:r>
        <w:t xml:space="preserve">in advance. </w:t>
      </w:r>
      <w:r w:rsidR="00891EE2">
        <w:t>The proposed tool</w:t>
      </w:r>
      <w:r w:rsidR="00DE33BA">
        <w:t>,</w:t>
      </w:r>
      <w:r w:rsidR="00891EE2">
        <w:t xml:space="preserve"> I have called a reflective conversation plan</w:t>
      </w:r>
      <w:r w:rsidR="00DE33BA">
        <w:t>,</w:t>
      </w:r>
      <w:r w:rsidR="00891EE2">
        <w:t xml:space="preserve"> is intended to support social workers and </w:t>
      </w:r>
      <w:r>
        <w:t xml:space="preserve">is set out </w:t>
      </w:r>
      <w:r w:rsidRPr="00866CD9">
        <w:t xml:space="preserve">in </w:t>
      </w:r>
      <w:r w:rsidR="00440FE6">
        <w:t>F</w:t>
      </w:r>
      <w:r w:rsidRPr="00866CD9">
        <w:t>igure</w:t>
      </w:r>
      <w:r w:rsidR="00866CD9" w:rsidRPr="00866CD9">
        <w:t xml:space="preserve"> </w:t>
      </w:r>
      <w:r w:rsidR="008437DA">
        <w:t>11</w:t>
      </w:r>
      <w:r w:rsidR="008B2DE8">
        <w:t xml:space="preserve">. </w:t>
      </w:r>
    </w:p>
    <w:p w14:paraId="1E8D325A" w14:textId="77777777" w:rsidR="005249C3" w:rsidRDefault="005249C3" w:rsidP="00301A3B"/>
    <w:p w14:paraId="682852E0" w14:textId="1B48A3F0" w:rsidR="00813B7F" w:rsidRDefault="0052090F" w:rsidP="002C0990">
      <w:pPr>
        <w:rPr>
          <w:lang w:eastAsia="en-GB"/>
        </w:rPr>
      </w:pPr>
      <w:r>
        <w:rPr>
          <w:noProof/>
          <w:lang w:eastAsia="en-GB"/>
        </w:rPr>
        <w:drawing>
          <wp:inline distT="0" distB="0" distL="0" distR="0" wp14:anchorId="4CC5FBAA" wp14:editId="61F0DD87">
            <wp:extent cx="5727700" cy="4047490"/>
            <wp:effectExtent l="0" t="0" r="0" b="3810"/>
            <wp:docPr id="9" name="Picture 9" descr="Chart, sunburst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Chart, sunburst chart&#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27700" cy="4047490"/>
                    </a:xfrm>
                    <a:prstGeom prst="rect">
                      <a:avLst/>
                    </a:prstGeom>
                  </pic:spPr>
                </pic:pic>
              </a:graphicData>
            </a:graphic>
          </wp:inline>
        </w:drawing>
      </w:r>
    </w:p>
    <w:p w14:paraId="7209BADC" w14:textId="0D643286" w:rsidR="00301A3B" w:rsidRDefault="00A57BF7" w:rsidP="00A57BF7">
      <w:pPr>
        <w:pStyle w:val="Caption"/>
      </w:pPr>
      <w:bookmarkStart w:id="102" w:name="_Toc101108551"/>
      <w:r>
        <w:t xml:space="preserve">Figure </w:t>
      </w:r>
      <w:fldSimple w:instr=" SEQ Figure \* ARABIC ">
        <w:r w:rsidR="00E26E21">
          <w:rPr>
            <w:noProof/>
          </w:rPr>
          <w:t>11</w:t>
        </w:r>
      </w:fldSimple>
      <w:r>
        <w:t>:</w:t>
      </w:r>
      <w:r w:rsidR="00E47DBE">
        <w:t xml:space="preserve"> </w:t>
      </w:r>
      <w:r w:rsidRPr="007937B4">
        <w:t>Reflective Conversation Plan</w:t>
      </w:r>
      <w:bookmarkEnd w:id="102"/>
    </w:p>
    <w:p w14:paraId="665A6DC0" w14:textId="774347BD" w:rsidR="00E10AE9" w:rsidRDefault="00E10AE9" w:rsidP="00E10AE9">
      <w:r>
        <w:t>The tool is designed to support the social worker to focus on their own thinking and what they know about the child/young person’s point of view:</w:t>
      </w:r>
    </w:p>
    <w:p w14:paraId="34C801CE" w14:textId="4CF5EE19" w:rsidR="007F5FA7" w:rsidRPr="007F5FA7" w:rsidRDefault="007F5FA7" w:rsidP="00E10AE9">
      <w:pPr>
        <w:pStyle w:val="ListParagraph"/>
        <w:numPr>
          <w:ilvl w:val="0"/>
          <w:numId w:val="29"/>
        </w:numPr>
      </w:pPr>
      <w:r w:rsidRPr="007F5FA7">
        <w:t>Social workers, personal advisors and foster carers should be encouraged through supervision or training to be more transparent and open in their conversations with young people about the future (Liam, Jonathan, Tyler, Cally, Carrie, Eshal, Beth)</w:t>
      </w:r>
      <w:r>
        <w:t>.</w:t>
      </w:r>
    </w:p>
    <w:p w14:paraId="0542FC27" w14:textId="20863045" w:rsidR="00301A3B" w:rsidRDefault="00301A3B" w:rsidP="006E3485">
      <w:pPr>
        <w:pStyle w:val="Heading3"/>
      </w:pPr>
      <w:r w:rsidRPr="00982054">
        <w:t xml:space="preserve">Recommendation </w:t>
      </w:r>
      <w:r>
        <w:t>2</w:t>
      </w:r>
      <w:r w:rsidRPr="00982054">
        <w:t xml:space="preserve">: </w:t>
      </w:r>
      <w:r>
        <w:t xml:space="preserve">Talking about </w:t>
      </w:r>
      <w:r w:rsidRPr="00BE7C19">
        <w:rPr>
          <w:i/>
          <w:iCs/>
        </w:rPr>
        <w:t>Staying Put</w:t>
      </w:r>
    </w:p>
    <w:p w14:paraId="4C21FB5D" w14:textId="3420ECF3" w:rsidR="00301A3B" w:rsidRDefault="00301A3B" w:rsidP="00301A3B">
      <w:r>
        <w:t xml:space="preserve">The </w:t>
      </w:r>
      <w:r w:rsidR="00DE33BA">
        <w:t>option</w:t>
      </w:r>
      <w:r>
        <w:t xml:space="preserve"> of</w:t>
      </w:r>
      <w:r w:rsidR="00440FE6">
        <w:t xml:space="preserve"> </w:t>
      </w:r>
      <w:r w:rsidRPr="00BE7C19">
        <w:rPr>
          <w:i/>
          <w:iCs/>
        </w:rPr>
        <w:t>Staying Put</w:t>
      </w:r>
      <w:r>
        <w:t xml:space="preserve"> was</w:t>
      </w:r>
      <w:r w:rsidR="00440FE6">
        <w:t xml:space="preserve"> raised </w:t>
      </w:r>
      <w:r>
        <w:t xml:space="preserve">at </w:t>
      </w:r>
      <w:r w:rsidR="00440FE6">
        <w:t>several points during the</w:t>
      </w:r>
      <w:r>
        <w:t xml:space="preserve"> young people</w:t>
      </w:r>
      <w:r w:rsidR="00440FE6">
        <w:t xml:space="preserve">’s care </w:t>
      </w:r>
      <w:r w:rsidR="0031449D">
        <w:t>pathway</w:t>
      </w:r>
      <w:r>
        <w:t xml:space="preserve">. In </w:t>
      </w:r>
      <w:r w:rsidR="00866CD9" w:rsidRPr="00692CA2">
        <w:t>C</w:t>
      </w:r>
      <w:r w:rsidRPr="00692CA2">
        <w:t>hapter</w:t>
      </w:r>
      <w:r w:rsidR="00866CD9" w:rsidRPr="00692CA2">
        <w:t xml:space="preserve"> </w:t>
      </w:r>
      <w:r w:rsidR="00692CA2" w:rsidRPr="00692CA2">
        <w:t>8</w:t>
      </w:r>
      <w:r w:rsidRPr="00692CA2">
        <w:t xml:space="preserve"> young people</w:t>
      </w:r>
      <w:r>
        <w:t xml:space="preserve"> described early conversations, no conversations, or late introductions to the </w:t>
      </w:r>
      <w:r w:rsidR="00CE6A81">
        <w:t>details</w:t>
      </w:r>
      <w:r w:rsidR="00440FE6">
        <w:t>. The following practice changes are recommended</w:t>
      </w:r>
      <w:r>
        <w:t>:</w:t>
      </w:r>
    </w:p>
    <w:p w14:paraId="4EB4EAFD" w14:textId="77777777" w:rsidR="00301A3B" w:rsidRPr="006E3485" w:rsidRDefault="00301A3B" w:rsidP="00B3304A">
      <w:pPr>
        <w:pStyle w:val="ListParagraph"/>
      </w:pPr>
      <w:r w:rsidRPr="00813E88">
        <w:lastRenderedPageBreak/>
        <w:t xml:space="preserve">Young people need to be made aware of </w:t>
      </w:r>
      <w:r w:rsidRPr="00440FE6">
        <w:rPr>
          <w:i/>
          <w:iCs/>
        </w:rPr>
        <w:t>Staying Put</w:t>
      </w:r>
      <w:r w:rsidRPr="00813E88">
        <w:t xml:space="preserve"> early in the foster care placement as this could offer reassurances that they do not have to leave at 18. Where possible before they are 16 to enable young people to make longer ter</w:t>
      </w:r>
      <w:r w:rsidRPr="006E3485">
        <w:t>m decision about their education (Jonathan).</w:t>
      </w:r>
    </w:p>
    <w:p w14:paraId="0DA7BB56" w14:textId="609E9AE9" w:rsidR="00301A3B" w:rsidRPr="006E3485" w:rsidRDefault="00CE6A81" w:rsidP="00B3304A">
      <w:pPr>
        <w:pStyle w:val="ListParagraph"/>
      </w:pPr>
      <w:r>
        <w:t>For transparency, y</w:t>
      </w:r>
      <w:r w:rsidR="00440FE6">
        <w:t xml:space="preserve">oung people need to be </w:t>
      </w:r>
      <w:r w:rsidR="00301A3B" w:rsidRPr="006E3485">
        <w:t xml:space="preserve">made aware that it </w:t>
      </w:r>
      <w:r w:rsidR="00D82B21">
        <w:t xml:space="preserve">is </w:t>
      </w:r>
      <w:r w:rsidR="00301A3B" w:rsidRPr="006E3485">
        <w:t>not just their decision.</w:t>
      </w:r>
    </w:p>
    <w:p w14:paraId="76CA9A65" w14:textId="65BA7710" w:rsidR="00301A3B" w:rsidRPr="006E3485" w:rsidRDefault="00301A3B" w:rsidP="00B3304A">
      <w:pPr>
        <w:pStyle w:val="ListParagraph"/>
      </w:pPr>
      <w:r w:rsidRPr="006E3485">
        <w:t>Where applicable</w:t>
      </w:r>
      <w:r w:rsidR="00D82B21">
        <w:t>,</w:t>
      </w:r>
      <w:r w:rsidRPr="006E3485">
        <w:t xml:space="preserve"> young people need to be informed why they are not able to stay</w:t>
      </w:r>
      <w:r w:rsidR="008B2DE8">
        <w:t>,</w:t>
      </w:r>
      <w:r w:rsidRPr="006E3485">
        <w:t xml:space="preserve"> in a supportive way. Delaying or avoiding this explanation can be detrimental to the young person’s relationship </w:t>
      </w:r>
      <w:r w:rsidR="00440FE6">
        <w:t xml:space="preserve">with their foster carer(s) </w:t>
      </w:r>
      <w:r w:rsidRPr="006E3485">
        <w:t xml:space="preserve">but also </w:t>
      </w:r>
      <w:r w:rsidR="00440FE6">
        <w:t xml:space="preserve">could lead to </w:t>
      </w:r>
      <w:r w:rsidRPr="006E3485">
        <w:t>misunder</w:t>
      </w:r>
      <w:r w:rsidR="00440FE6">
        <w:t>standings</w:t>
      </w:r>
      <w:r w:rsidRPr="006E3485">
        <w:t xml:space="preserve"> </w:t>
      </w:r>
      <w:r w:rsidR="00E6193A">
        <w:t>and</w:t>
      </w:r>
      <w:r w:rsidRPr="006E3485">
        <w:t xml:space="preserve"> internali</w:t>
      </w:r>
      <w:r w:rsidR="00440FE6">
        <w:t>s</w:t>
      </w:r>
      <w:r w:rsidR="00E6193A">
        <w:t>ed thinking about why they have to leave the placement.</w:t>
      </w:r>
    </w:p>
    <w:p w14:paraId="559211D2" w14:textId="56336E1A" w:rsidR="00301A3B" w:rsidRPr="006E3485" w:rsidRDefault="00E6193A" w:rsidP="00B3304A">
      <w:pPr>
        <w:pStyle w:val="ListParagraph"/>
      </w:pPr>
      <w:r w:rsidRPr="00E6193A">
        <w:rPr>
          <w:i/>
          <w:iCs/>
        </w:rPr>
        <w:t>Staying Put</w:t>
      </w:r>
      <w:r>
        <w:t xml:space="preserve"> t</w:t>
      </w:r>
      <w:r w:rsidR="00301A3B" w:rsidRPr="006E3485">
        <w:t>erminology needs to be revised to reflect the human aspect of the relationship. Regardless of an organisation’s systems, financial agreements</w:t>
      </w:r>
      <w:r>
        <w:t>, contracts or</w:t>
      </w:r>
      <w:r w:rsidR="00301A3B" w:rsidRPr="006E3485">
        <w:t xml:space="preserve"> licenses need to be incidental to the arrangement rather than the focus.</w:t>
      </w:r>
    </w:p>
    <w:p w14:paraId="5FC28C50" w14:textId="1D588D8A" w:rsidR="00301A3B" w:rsidRDefault="00301A3B" w:rsidP="00B3304A">
      <w:pPr>
        <w:pStyle w:val="ListParagraph"/>
      </w:pPr>
      <w:r w:rsidRPr="006E3485">
        <w:t xml:space="preserve">Social workers need to </w:t>
      </w:r>
      <w:r w:rsidR="00E6193A">
        <w:t>spend time individually with the y</w:t>
      </w:r>
      <w:r w:rsidRPr="006E3485">
        <w:t>oung people and foster carers</w:t>
      </w:r>
      <w:r w:rsidR="00E6193A">
        <w:t xml:space="preserve"> to establish </w:t>
      </w:r>
      <w:r w:rsidRPr="006E3485">
        <w:t xml:space="preserve">their thoughts and feelings about </w:t>
      </w:r>
      <w:r w:rsidRPr="006E3485">
        <w:rPr>
          <w:i/>
          <w:iCs/>
        </w:rPr>
        <w:t>Staying Put</w:t>
      </w:r>
      <w:r w:rsidRPr="004A5260">
        <w:t xml:space="preserve"> to help them understand the issues in the placement for all parties (Hannah).</w:t>
      </w:r>
    </w:p>
    <w:p w14:paraId="693AB2BC" w14:textId="10BA565F" w:rsidR="007F5FA7" w:rsidRPr="006E3485" w:rsidRDefault="007F5FA7" w:rsidP="00B3304A">
      <w:pPr>
        <w:pStyle w:val="ListParagraph"/>
      </w:pPr>
      <w:r>
        <w:t>When training and recruit</w:t>
      </w:r>
      <w:r w:rsidR="00155051">
        <w:t>ing</w:t>
      </w:r>
      <w:r>
        <w:t xml:space="preserve"> foster carers, </w:t>
      </w:r>
      <w:r w:rsidRPr="007F5FA7">
        <w:rPr>
          <w:i/>
          <w:iCs/>
        </w:rPr>
        <w:t>Staying Put</w:t>
      </w:r>
      <w:r>
        <w:t xml:space="preserve"> needs to be presented as a positive option and the practical aspects of the arrangement need to be explained. </w:t>
      </w:r>
    </w:p>
    <w:p w14:paraId="40F5A2EF" w14:textId="56F69870" w:rsidR="00301A3B" w:rsidRDefault="00301A3B" w:rsidP="005249C3">
      <w:pPr>
        <w:pStyle w:val="Heading3"/>
      </w:pPr>
      <w:r w:rsidRPr="005249C3">
        <w:t>Recommendation 3: Knowledge about Staying Put and other options</w:t>
      </w:r>
    </w:p>
    <w:p w14:paraId="6983E216" w14:textId="3D6B4480" w:rsidR="00301A3B" w:rsidRDefault="00301A3B" w:rsidP="00301A3B">
      <w:r w:rsidRPr="00692CA2">
        <w:t xml:space="preserve">In </w:t>
      </w:r>
      <w:r w:rsidR="00866CD9" w:rsidRPr="00692CA2">
        <w:t>C</w:t>
      </w:r>
      <w:r w:rsidRPr="00692CA2">
        <w:t>hapter</w:t>
      </w:r>
      <w:r w:rsidR="00866CD9" w:rsidRPr="00692CA2">
        <w:t xml:space="preserve"> </w:t>
      </w:r>
      <w:r w:rsidR="00692CA2" w:rsidRPr="00692CA2">
        <w:t>8</w:t>
      </w:r>
      <w:r w:rsidRPr="00866CD9">
        <w:t xml:space="preserve"> young</w:t>
      </w:r>
      <w:r>
        <w:t xml:space="preserve"> people talked about the lack of knowledge social workers had about </w:t>
      </w:r>
      <w:r w:rsidR="00E6193A" w:rsidRPr="00E6193A">
        <w:rPr>
          <w:i/>
          <w:iCs/>
        </w:rPr>
        <w:t>S</w:t>
      </w:r>
      <w:r w:rsidRPr="00E6193A">
        <w:rPr>
          <w:i/>
          <w:iCs/>
        </w:rPr>
        <w:t xml:space="preserve">taying </w:t>
      </w:r>
      <w:r w:rsidR="00E6193A" w:rsidRPr="00E6193A">
        <w:rPr>
          <w:i/>
          <w:iCs/>
        </w:rPr>
        <w:t>P</w:t>
      </w:r>
      <w:r w:rsidRPr="00E6193A">
        <w:rPr>
          <w:i/>
          <w:iCs/>
        </w:rPr>
        <w:t>ut</w:t>
      </w:r>
      <w:r>
        <w:t xml:space="preserve"> and alternative options post 18. As I </w:t>
      </w:r>
      <w:r w:rsidR="007F5FA7">
        <w:t xml:space="preserve">have </w:t>
      </w:r>
      <w:r>
        <w:t>suggested</w:t>
      </w:r>
      <w:r w:rsidR="00E7588D">
        <w:t>,</w:t>
      </w:r>
      <w:r>
        <w:t xml:space="preserve"> holding back information could have been purposeful, however another explanation could be gaps in understanding or awareness. Where a social worker has an established relationship, they are best placed to provide information to the young people and foster carers about </w:t>
      </w:r>
      <w:r w:rsidRPr="006E3485">
        <w:rPr>
          <w:i/>
          <w:iCs/>
        </w:rPr>
        <w:t>Staying Put</w:t>
      </w:r>
      <w:r>
        <w:t xml:space="preserve"> and other housing-based services because they will have insight into the young person’s apprehensions and circumstances. Therefore:</w:t>
      </w:r>
    </w:p>
    <w:p w14:paraId="03855DA8" w14:textId="77777777" w:rsidR="00301A3B" w:rsidRPr="006E3485" w:rsidRDefault="00301A3B" w:rsidP="00B3304A">
      <w:pPr>
        <w:pStyle w:val="ListParagraph"/>
      </w:pPr>
      <w:r w:rsidRPr="004A5260">
        <w:t>Social workers should ensure that they have prepared before meeting young people and foster carers to ensure that they have the relevant knowledge and information</w:t>
      </w:r>
      <w:r w:rsidRPr="006E3485">
        <w:t xml:space="preserve"> (Tyler, Liam, Jonathan, Hannah, Yannick, Beth, Cain).</w:t>
      </w:r>
    </w:p>
    <w:p w14:paraId="2E66AC95" w14:textId="139347BD" w:rsidR="00301A3B" w:rsidRPr="006E3485" w:rsidRDefault="00301A3B" w:rsidP="00B3304A">
      <w:pPr>
        <w:pStyle w:val="ListParagraph"/>
      </w:pPr>
      <w:r w:rsidRPr="006E3485">
        <w:lastRenderedPageBreak/>
        <w:t xml:space="preserve">Social workers </w:t>
      </w:r>
      <w:r w:rsidR="00E6193A">
        <w:t xml:space="preserve">should </w:t>
      </w:r>
      <w:r w:rsidRPr="006E3485">
        <w:t>provide all information in a neutral way to allow space for the young person to ask questions or think (Liam).</w:t>
      </w:r>
    </w:p>
    <w:p w14:paraId="33F78C99" w14:textId="3FC55641" w:rsidR="00301A3B" w:rsidRPr="00CE51A6" w:rsidRDefault="00301A3B" w:rsidP="00B3304A">
      <w:pPr>
        <w:pStyle w:val="ListParagraph"/>
      </w:pPr>
      <w:r w:rsidRPr="006E3485">
        <w:t xml:space="preserve">Social workers </w:t>
      </w:r>
      <w:r w:rsidR="00E6193A">
        <w:t xml:space="preserve">should </w:t>
      </w:r>
      <w:r w:rsidRPr="006E3485">
        <w:t>provide o</w:t>
      </w:r>
      <w:r w:rsidR="00892677">
        <w:t>r</w:t>
      </w:r>
      <w:r w:rsidRPr="006E3485">
        <w:t xml:space="preserve"> facilitate opportunities for young people to visit or meet other young people living in </w:t>
      </w:r>
      <w:r w:rsidRPr="00892677">
        <w:rPr>
          <w:i/>
          <w:iCs/>
        </w:rPr>
        <w:t>Staying Put</w:t>
      </w:r>
      <w:r w:rsidRPr="004A5260">
        <w:t xml:space="preserve"> arrang</w:t>
      </w:r>
      <w:r w:rsidRPr="00892677">
        <w:t xml:space="preserve">ements </w:t>
      </w:r>
      <w:r w:rsidR="007F5FA7">
        <w:t>and</w:t>
      </w:r>
      <w:r w:rsidRPr="00892677">
        <w:t xml:space="preserve"> housing services.</w:t>
      </w:r>
    </w:p>
    <w:p w14:paraId="3AD99376" w14:textId="6D45648D" w:rsidR="00301A3B" w:rsidRPr="00CE51A6" w:rsidRDefault="00301A3B" w:rsidP="00B3304A">
      <w:pPr>
        <w:pStyle w:val="ListParagraph"/>
      </w:pPr>
      <w:r w:rsidRPr="006E3485">
        <w:t xml:space="preserve">Social workers need to </w:t>
      </w:r>
      <w:r w:rsidR="00DA3F66">
        <w:t xml:space="preserve">be </w:t>
      </w:r>
      <w:r w:rsidRPr="00DA3F66">
        <w:t>proactive in providing support to young people who are unsure about what to do by asking open questions and being available to talk informally</w:t>
      </w:r>
      <w:r w:rsidRPr="00CE51A6">
        <w:t xml:space="preserve"> </w:t>
      </w:r>
      <w:r w:rsidR="008B2DE8">
        <w:t xml:space="preserve">outside of meeting </w:t>
      </w:r>
      <w:r w:rsidR="00F97CC4">
        <w:t>structures</w:t>
      </w:r>
      <w:r w:rsidR="00F97CC4" w:rsidRPr="00CE51A6">
        <w:t xml:space="preserve"> (</w:t>
      </w:r>
      <w:r w:rsidRPr="00CE51A6">
        <w:t>Tyler, Carrie, Cally, Yannick).</w:t>
      </w:r>
    </w:p>
    <w:p w14:paraId="015A7DF7" w14:textId="77777777" w:rsidR="00301A3B" w:rsidRPr="006E3485" w:rsidRDefault="00301A3B" w:rsidP="006E3485">
      <w:pPr>
        <w:pStyle w:val="Heading3"/>
      </w:pPr>
      <w:r w:rsidRPr="006E3485">
        <w:t>Recommendations from young people</w:t>
      </w:r>
    </w:p>
    <w:p w14:paraId="079F1186" w14:textId="5659B99C" w:rsidR="00301A3B" w:rsidRDefault="00301A3B" w:rsidP="00301A3B">
      <w:r>
        <w:t xml:space="preserve">During the interviews young people made the following suggestions that would </w:t>
      </w:r>
      <w:r w:rsidR="00E6193A">
        <w:t xml:space="preserve">have </w:t>
      </w:r>
      <w:r>
        <w:t>help</w:t>
      </w:r>
      <w:r w:rsidR="00E6193A">
        <w:t>ed</w:t>
      </w:r>
      <w:r>
        <w:t xml:space="preserve"> them</w:t>
      </w:r>
      <w:r w:rsidR="00E6193A">
        <w:t xml:space="preserve"> when making their decision about </w:t>
      </w:r>
      <w:r w:rsidR="00E6193A" w:rsidRPr="00E6193A">
        <w:rPr>
          <w:i/>
          <w:iCs/>
        </w:rPr>
        <w:t>Staying Put</w:t>
      </w:r>
      <w:r>
        <w:t>:</w:t>
      </w:r>
    </w:p>
    <w:p w14:paraId="6F2DF06B" w14:textId="1758C509" w:rsidR="00301A3B" w:rsidRPr="006E3485" w:rsidRDefault="00301A3B" w:rsidP="00B3304A">
      <w:pPr>
        <w:pStyle w:val="ListParagraph"/>
      </w:pPr>
      <w:r w:rsidRPr="00CE51A6">
        <w:t>Simplify and explain information give</w:t>
      </w:r>
      <w:r w:rsidR="00CE51A6">
        <w:t>n</w:t>
      </w:r>
      <w:r w:rsidRPr="00CE51A6">
        <w:t xml:space="preserve"> to young people about </w:t>
      </w:r>
      <w:r w:rsidRPr="006E3485">
        <w:rPr>
          <w:i/>
          <w:iCs/>
        </w:rPr>
        <w:t>Staying Put</w:t>
      </w:r>
      <w:r w:rsidRPr="00CE51A6">
        <w:t xml:space="preserve"> – especially any agreement involving money (Tyler, Jonathan).</w:t>
      </w:r>
    </w:p>
    <w:p w14:paraId="506D1927" w14:textId="142CE5C4" w:rsidR="00301A3B" w:rsidRPr="006E3485" w:rsidRDefault="00A727CB" w:rsidP="00B3304A">
      <w:pPr>
        <w:pStyle w:val="ListParagraph"/>
      </w:pPr>
      <w:r>
        <w:t xml:space="preserve">Provide a specific </w:t>
      </w:r>
      <w:r w:rsidR="00301A3B" w:rsidRPr="006E3485">
        <w:t xml:space="preserve">six-week </w:t>
      </w:r>
      <w:r>
        <w:t xml:space="preserve">group or individual </w:t>
      </w:r>
      <w:r w:rsidR="00301A3B" w:rsidRPr="006E3485">
        <w:t xml:space="preserve">programme </w:t>
      </w:r>
      <w:r>
        <w:t xml:space="preserve">to explain </w:t>
      </w:r>
      <w:r w:rsidR="00301A3B" w:rsidRPr="006E3485">
        <w:t xml:space="preserve">the basics of </w:t>
      </w:r>
      <w:r w:rsidR="00301A3B" w:rsidRPr="006E3485">
        <w:rPr>
          <w:i/>
          <w:iCs/>
        </w:rPr>
        <w:t>Staying Put</w:t>
      </w:r>
      <w:r w:rsidR="00301A3B" w:rsidRPr="00CE51A6">
        <w:t>, housing</w:t>
      </w:r>
      <w:r>
        <w:t xml:space="preserve"> services</w:t>
      </w:r>
      <w:r w:rsidR="00301A3B" w:rsidRPr="00CE51A6">
        <w:t>, independence skills and</w:t>
      </w:r>
      <w:r>
        <w:t xml:space="preserve"> </w:t>
      </w:r>
      <w:r w:rsidR="00301A3B" w:rsidRPr="00CE51A6">
        <w:t xml:space="preserve">learning to cope </w:t>
      </w:r>
      <w:r>
        <w:t>when living alone</w:t>
      </w:r>
      <w:r w:rsidR="00301A3B" w:rsidRPr="00CE51A6">
        <w:t xml:space="preserve">. </w:t>
      </w:r>
      <w:r>
        <w:t xml:space="preserve">The sessions </w:t>
      </w:r>
      <w:r w:rsidR="00301A3B" w:rsidRPr="00CE51A6">
        <w:t xml:space="preserve">should be fun and interactive and help young people build confidence by talking about the </w:t>
      </w:r>
      <w:r>
        <w:t xml:space="preserve">things that worry them </w:t>
      </w:r>
      <w:r w:rsidR="00301A3B" w:rsidRPr="006E3485">
        <w:t xml:space="preserve">before leaving their foster carers. The aim </w:t>
      </w:r>
      <w:r>
        <w:t xml:space="preserve">of the programme is to </w:t>
      </w:r>
      <w:r w:rsidR="007F5FA7">
        <w:t>help</w:t>
      </w:r>
      <w:r>
        <w:t xml:space="preserve"> identify who to go to for in</w:t>
      </w:r>
      <w:r w:rsidR="00301A3B" w:rsidRPr="006E3485">
        <w:t xml:space="preserve">itial help, meet </w:t>
      </w:r>
      <w:r>
        <w:t xml:space="preserve">other young </w:t>
      </w:r>
      <w:r w:rsidR="00301A3B" w:rsidRPr="006E3485">
        <w:t>people in the same situation, and talk about different options (Liam).</w:t>
      </w:r>
    </w:p>
    <w:p w14:paraId="046AD6BF" w14:textId="77777777" w:rsidR="00301A3B" w:rsidRPr="006E3485" w:rsidRDefault="00301A3B" w:rsidP="00B3304A">
      <w:pPr>
        <w:pStyle w:val="ListParagraph"/>
      </w:pPr>
      <w:r w:rsidRPr="006E3485">
        <w:t xml:space="preserve">Social workers need to be more positive about </w:t>
      </w:r>
      <w:r w:rsidRPr="006E3485">
        <w:rPr>
          <w:i/>
          <w:iCs/>
        </w:rPr>
        <w:t>Staying Put</w:t>
      </w:r>
      <w:r w:rsidRPr="00CE51A6">
        <w:t xml:space="preserve"> and university (Liam, </w:t>
      </w:r>
      <w:r w:rsidRPr="006E3485">
        <w:t>Hannah).</w:t>
      </w:r>
    </w:p>
    <w:p w14:paraId="11BD0E3E" w14:textId="14C8D3C3" w:rsidR="00301A3B" w:rsidRPr="006E3485" w:rsidRDefault="007F5FA7" w:rsidP="00B3304A">
      <w:pPr>
        <w:pStyle w:val="ListParagraph"/>
      </w:pPr>
      <w:r>
        <w:t xml:space="preserve">Have fewer changes of social worker/personal advisor and no </w:t>
      </w:r>
      <w:r w:rsidR="00301A3B" w:rsidRPr="006E3485">
        <w:t xml:space="preserve">change </w:t>
      </w:r>
      <w:r>
        <w:t xml:space="preserve">of </w:t>
      </w:r>
      <w:r w:rsidR="00301A3B" w:rsidRPr="006E3485">
        <w:t>worker at 18 (Hannah).</w:t>
      </w:r>
    </w:p>
    <w:p w14:paraId="1CD8247C" w14:textId="77777777" w:rsidR="00301A3B" w:rsidRPr="006E3485" w:rsidRDefault="00301A3B" w:rsidP="00B3304A">
      <w:pPr>
        <w:pStyle w:val="ListParagraph"/>
      </w:pPr>
      <w:r w:rsidRPr="006E3485">
        <w:t>Social workers need to be warmer and more human in their interactions and get to know young people (Hannah, Cally, Beth).</w:t>
      </w:r>
    </w:p>
    <w:p w14:paraId="2AFC7939" w14:textId="77777777" w:rsidR="00301A3B" w:rsidRPr="006E3485" w:rsidRDefault="00301A3B" w:rsidP="00B3304A">
      <w:pPr>
        <w:pStyle w:val="ListParagraph"/>
      </w:pPr>
      <w:r w:rsidRPr="006E3485">
        <w:t>Better preparation for leaving care by social workers and foster carers (Eshal, Carrie, Beth).</w:t>
      </w:r>
    </w:p>
    <w:p w14:paraId="32C340D2" w14:textId="11C1310B" w:rsidR="00301A3B" w:rsidRDefault="00301A3B" w:rsidP="00B3304A">
      <w:pPr>
        <w:pStyle w:val="ListParagraph"/>
      </w:pPr>
      <w:r w:rsidRPr="006E3485">
        <w:t>Social Workers should not announce things at meetings (Cally).</w:t>
      </w:r>
    </w:p>
    <w:p w14:paraId="37021E3A" w14:textId="743AC000" w:rsidR="00301A3B" w:rsidRPr="00982054" w:rsidRDefault="00301A3B" w:rsidP="006E3485">
      <w:pPr>
        <w:pStyle w:val="Heading2"/>
      </w:pPr>
      <w:bookmarkStart w:id="103" w:name="_Toc76803458"/>
      <w:bookmarkStart w:id="104" w:name="_Toc101108536"/>
      <w:r w:rsidRPr="00982054">
        <w:lastRenderedPageBreak/>
        <w:t>Suggestions for Further Research</w:t>
      </w:r>
      <w:bookmarkEnd w:id="103"/>
      <w:bookmarkEnd w:id="104"/>
    </w:p>
    <w:p w14:paraId="674E6C7D" w14:textId="77777777" w:rsidR="00301A3B" w:rsidRPr="00982054" w:rsidRDefault="00301A3B" w:rsidP="00301A3B">
      <w:r w:rsidRPr="00982054">
        <w:t>The intended focus o</w:t>
      </w:r>
      <w:r>
        <w:t>f</w:t>
      </w:r>
      <w:r w:rsidRPr="00982054">
        <w:t xml:space="preserve"> my research was a young person’s perspective on their experience of making their decision. However, as I have referenced, making decisions in social work is rarely a solitary exercise and whilst </w:t>
      </w:r>
      <w:r w:rsidRPr="00C81E81">
        <w:rPr>
          <w:i/>
          <w:iCs/>
        </w:rPr>
        <w:t>Staying Put</w:t>
      </w:r>
      <w:r w:rsidRPr="00982054">
        <w:t xml:space="preserve"> remains there are some specific areas of practice that could be further explored.</w:t>
      </w:r>
    </w:p>
    <w:p w14:paraId="5C5FFC30" w14:textId="77777777" w:rsidR="00301A3B" w:rsidRPr="006E3485" w:rsidRDefault="00301A3B" w:rsidP="006E3485">
      <w:pPr>
        <w:pStyle w:val="Heading3"/>
        <w:rPr>
          <w:i/>
          <w:iCs/>
        </w:rPr>
      </w:pPr>
      <w:r w:rsidRPr="000F51B7">
        <w:t xml:space="preserve">Research Related to </w:t>
      </w:r>
      <w:r w:rsidRPr="000F51B7">
        <w:rPr>
          <w:i/>
          <w:iCs/>
        </w:rPr>
        <w:t>Staying Put</w:t>
      </w:r>
    </w:p>
    <w:p w14:paraId="53B22D3B" w14:textId="39293C5B" w:rsidR="00301A3B" w:rsidRPr="00982054" w:rsidRDefault="00301A3B" w:rsidP="00301A3B">
      <w:r w:rsidRPr="00982054">
        <w:t>Exploring the experiences of young people from other local authorities could extend the understanding I have contributed through this research. As evident in other aspect</w:t>
      </w:r>
      <w:r>
        <w:t>s</w:t>
      </w:r>
      <w:r w:rsidRPr="00982054">
        <w:t xml:space="preserve"> of care</w:t>
      </w:r>
      <w:r>
        <w:t>,</w:t>
      </w:r>
      <w:r w:rsidRPr="00982054">
        <w:t xml:space="preserve"> national policy and statutory duties do not translate into uniform application and other local authorities may have a different approach to </w:t>
      </w:r>
      <w:r w:rsidRPr="00C81E81">
        <w:rPr>
          <w:i/>
          <w:iCs/>
        </w:rPr>
        <w:t>Staying Put</w:t>
      </w:r>
      <w:r w:rsidRPr="00982054">
        <w:t xml:space="preserve"> which impact</w:t>
      </w:r>
      <w:r w:rsidR="0066498F">
        <w:t>s</w:t>
      </w:r>
      <w:r>
        <w:t xml:space="preserve"> on</w:t>
      </w:r>
      <w:r w:rsidRPr="00982054">
        <w:t xml:space="preserve"> the experience of young people. </w:t>
      </w:r>
    </w:p>
    <w:p w14:paraId="703C68F6" w14:textId="780AA9A2" w:rsidR="00301A3B" w:rsidRPr="00982054" w:rsidRDefault="00301A3B" w:rsidP="006E3485">
      <w:pPr>
        <w:pStyle w:val="Heading3"/>
      </w:pPr>
      <w:r w:rsidRPr="00982054">
        <w:t>With Social Workers</w:t>
      </w:r>
      <w:r w:rsidR="00AC765E">
        <w:t>/Personal Advisors</w:t>
      </w:r>
    </w:p>
    <w:p w14:paraId="2FC5B779" w14:textId="18207D9C" w:rsidR="00301A3B" w:rsidRPr="00982054" w:rsidRDefault="00301A3B" w:rsidP="00301A3B">
      <w:r>
        <w:t>The a</w:t>
      </w:r>
      <w:r w:rsidRPr="00982054">
        <w:t>ctions of social workers were consistently referenced in Part Three and further</w:t>
      </w:r>
      <w:r>
        <w:t xml:space="preserve"> </w:t>
      </w:r>
      <w:r w:rsidRPr="00982054">
        <w:t>research with social workers</w:t>
      </w:r>
      <w:r w:rsidR="00AC765E">
        <w:t xml:space="preserve"> and personal advisors</w:t>
      </w:r>
      <w:r w:rsidRPr="00982054">
        <w:t xml:space="preserve"> could develop further understanding about t</w:t>
      </w:r>
      <w:r>
        <w:t>heir</w:t>
      </w:r>
      <w:r w:rsidRPr="00982054">
        <w:t xml:space="preserve"> role in leaving care and how they un</w:t>
      </w:r>
      <w:r>
        <w:t>derstand</w:t>
      </w:r>
      <w:r w:rsidRPr="00982054">
        <w:t xml:space="preserve"> the relationships between them, the young person and other involved professionals. Notwithstanding t</w:t>
      </w:r>
      <w:r>
        <w:t>h</w:t>
      </w:r>
      <w:r w:rsidRPr="00982054">
        <w:t>e barriers to participation from the social worker</w:t>
      </w:r>
      <w:r>
        <w:t>’</w:t>
      </w:r>
      <w:r w:rsidRPr="00982054">
        <w:t xml:space="preserve">s point of view discussed in </w:t>
      </w:r>
      <w:r w:rsidR="00866CD9" w:rsidRPr="00866CD9">
        <w:t>C</w:t>
      </w:r>
      <w:r w:rsidRPr="00866CD9">
        <w:t>hapter</w:t>
      </w:r>
      <w:r w:rsidR="00866CD9" w:rsidRPr="00866CD9">
        <w:t xml:space="preserve"> 4</w:t>
      </w:r>
      <w:r w:rsidRPr="00866CD9">
        <w:t>, examination</w:t>
      </w:r>
      <w:r w:rsidRPr="00982054">
        <w:t xml:space="preserve"> of their specific role with </w:t>
      </w:r>
      <w:r w:rsidRPr="00C81E81">
        <w:rPr>
          <w:i/>
          <w:iCs/>
        </w:rPr>
        <w:t>Staying Put</w:t>
      </w:r>
      <w:r w:rsidRPr="00982054">
        <w:t xml:space="preserve"> and the conversations they have had would offer an additional perspective and insight into how and why young people feel so removed</w:t>
      </w:r>
      <w:r>
        <w:t xml:space="preserve"> </w:t>
      </w:r>
      <w:r w:rsidRPr="00982054">
        <w:t>from the social worke</w:t>
      </w:r>
      <w:r>
        <w:t>r</w:t>
      </w:r>
      <w:r w:rsidRPr="00982054">
        <w:t xml:space="preserve"> during this time. An additional aspect of this would be the</w:t>
      </w:r>
      <w:r>
        <w:t xml:space="preserve"> </w:t>
      </w:r>
      <w:r w:rsidRPr="00982054">
        <w:t>conversation with young people who are not able to stay and what the</w:t>
      </w:r>
      <w:r>
        <w:t xml:space="preserve"> </w:t>
      </w:r>
      <w:r w:rsidRPr="00982054">
        <w:t xml:space="preserve">considerations </w:t>
      </w:r>
      <w:r>
        <w:t xml:space="preserve">are </w:t>
      </w:r>
      <w:r w:rsidRPr="00982054">
        <w:t>fr</w:t>
      </w:r>
      <w:r>
        <w:t>o</w:t>
      </w:r>
      <w:r w:rsidRPr="00982054">
        <w:t>m the</w:t>
      </w:r>
      <w:r>
        <w:t xml:space="preserve"> social worker’s</w:t>
      </w:r>
      <w:r w:rsidRPr="00982054">
        <w:t xml:space="preserve"> perspective.</w:t>
      </w:r>
    </w:p>
    <w:p w14:paraId="723ED45C" w14:textId="471F057F" w:rsidR="00301A3B" w:rsidRPr="00982054" w:rsidRDefault="00301A3B" w:rsidP="006E3485">
      <w:pPr>
        <w:pStyle w:val="Heading3"/>
      </w:pPr>
      <w:r w:rsidRPr="00982054">
        <w:t>With Foster Carers</w:t>
      </w:r>
    </w:p>
    <w:p w14:paraId="6F65BC17" w14:textId="5FE045FB" w:rsidR="00301A3B" w:rsidRPr="00982054" w:rsidRDefault="008B2DE8" w:rsidP="00301A3B">
      <w:r w:rsidRPr="00982054">
        <w:t>Similarly,</w:t>
      </w:r>
      <w:r w:rsidR="00301A3B" w:rsidRPr="00982054">
        <w:t xml:space="preserve"> to the social worker, an additional perspe</w:t>
      </w:r>
      <w:r w:rsidR="00301A3B">
        <w:t>c</w:t>
      </w:r>
      <w:r w:rsidR="00301A3B" w:rsidRPr="00982054">
        <w:t>t</w:t>
      </w:r>
      <w:r w:rsidR="00301A3B">
        <w:t>i</w:t>
      </w:r>
      <w:r w:rsidR="00301A3B" w:rsidRPr="00982054">
        <w:t>ve could</w:t>
      </w:r>
      <w:r w:rsidR="00301A3B">
        <w:t xml:space="preserve"> </w:t>
      </w:r>
      <w:r w:rsidR="00301A3B" w:rsidRPr="00982054">
        <w:t>be sought</w:t>
      </w:r>
      <w:r w:rsidR="00301A3B">
        <w:t xml:space="preserve"> </w:t>
      </w:r>
      <w:r w:rsidR="00301A3B" w:rsidRPr="00982054">
        <w:t>from the</w:t>
      </w:r>
      <w:r w:rsidR="00301A3B">
        <w:t xml:space="preserve"> </w:t>
      </w:r>
      <w:r w:rsidR="00301A3B" w:rsidRPr="00982054">
        <w:t>foster c</w:t>
      </w:r>
      <w:r w:rsidR="00301A3B">
        <w:t>a</w:t>
      </w:r>
      <w:r w:rsidR="00301A3B" w:rsidRPr="00982054">
        <w:t xml:space="preserve">rer to better appreciate the reasons for their decision </w:t>
      </w:r>
      <w:r w:rsidR="00301A3B">
        <w:t>regarding</w:t>
      </w:r>
      <w:r w:rsidR="00301A3B" w:rsidRPr="00982054">
        <w:t xml:space="preserve"> </w:t>
      </w:r>
      <w:r w:rsidR="00301A3B" w:rsidRPr="008C4FEF">
        <w:rPr>
          <w:i/>
          <w:iCs/>
        </w:rPr>
        <w:t>Staying Put</w:t>
      </w:r>
      <w:r w:rsidR="00301A3B" w:rsidRPr="00982054">
        <w:t xml:space="preserve">. Although foster carer perspectives were included in the original evaluation (Munro, et al., </w:t>
      </w:r>
      <w:r w:rsidR="00301A3B">
        <w:t>2012</w:t>
      </w:r>
      <w:r w:rsidR="00301A3B" w:rsidRPr="00982054">
        <w:t>), this was almost 10 years ago, and service</w:t>
      </w:r>
      <w:r w:rsidR="00301A3B">
        <w:t>s</w:t>
      </w:r>
      <w:r w:rsidR="00301A3B" w:rsidRPr="00982054">
        <w:t xml:space="preserve"> have</w:t>
      </w:r>
      <w:r w:rsidR="00301A3B">
        <w:t xml:space="preserve"> </w:t>
      </w:r>
      <w:r w:rsidR="00301A3B" w:rsidRPr="00982054">
        <w:t>change</w:t>
      </w:r>
      <w:r w:rsidR="00301A3B">
        <w:t>d</w:t>
      </w:r>
      <w:r w:rsidR="00301A3B" w:rsidRPr="00982054">
        <w:t xml:space="preserve"> due to austerity measures since this time. </w:t>
      </w:r>
    </w:p>
    <w:p w14:paraId="71373A09" w14:textId="77777777" w:rsidR="00301A3B" w:rsidRPr="00982054" w:rsidRDefault="00301A3B" w:rsidP="006E3485">
      <w:pPr>
        <w:pStyle w:val="Heading3"/>
      </w:pPr>
      <w:r w:rsidRPr="00982054">
        <w:t>Other issues</w:t>
      </w:r>
      <w:r>
        <w:t xml:space="preserve"> - </w:t>
      </w:r>
      <w:r w:rsidRPr="00982054">
        <w:t>Preparation for Leaving</w:t>
      </w:r>
    </w:p>
    <w:p w14:paraId="50BDDFEA" w14:textId="2EF87F6F" w:rsidR="009016B4" w:rsidRDefault="00301A3B">
      <w:r w:rsidRPr="00982054">
        <w:t>Poor preparation for leaving care was recognised in the research</w:t>
      </w:r>
      <w:r>
        <w:t xml:space="preserve"> </w:t>
      </w:r>
      <w:r w:rsidRPr="00B12A98">
        <w:t xml:space="preserve">viewed in </w:t>
      </w:r>
      <w:r w:rsidR="00866CD9" w:rsidRPr="00B12A98">
        <w:t>C</w:t>
      </w:r>
      <w:r w:rsidRPr="00B12A98">
        <w:t>hapter</w:t>
      </w:r>
      <w:r w:rsidR="00B12A98" w:rsidRPr="00B12A98">
        <w:t xml:space="preserve"> 4</w:t>
      </w:r>
      <w:r w:rsidRPr="00B12A98">
        <w:t>.</w:t>
      </w:r>
      <w:r w:rsidRPr="00982054">
        <w:t xml:space="preserve"> Preparing for leaving care sits across the range of people involved in a young person’s life</w:t>
      </w:r>
      <w:r w:rsidR="00DD35D5">
        <w:t>. H</w:t>
      </w:r>
      <w:r w:rsidRPr="00982054">
        <w:t>owever, there appear</w:t>
      </w:r>
      <w:r>
        <w:t>ed</w:t>
      </w:r>
      <w:r w:rsidRPr="00982054">
        <w:t xml:space="preserve"> to be little consistency or agreed approach to support young </w:t>
      </w:r>
      <w:r w:rsidRPr="00982054">
        <w:lastRenderedPageBreak/>
        <w:t xml:space="preserve">people in developing skills or check that they feel confident before </w:t>
      </w:r>
      <w:r w:rsidR="00F272BD">
        <w:t>‘</w:t>
      </w:r>
      <w:r w:rsidRPr="00982054">
        <w:t>leaving</w:t>
      </w:r>
      <w:r w:rsidR="00F272BD">
        <w:t>’</w:t>
      </w:r>
      <w:r w:rsidRPr="00982054">
        <w:t xml:space="preserve"> care. </w:t>
      </w:r>
      <w:r w:rsidRPr="00B12A98">
        <w:t xml:space="preserve">In </w:t>
      </w:r>
      <w:r w:rsidR="00B12A98" w:rsidRPr="00B12A98">
        <w:t>C</w:t>
      </w:r>
      <w:r w:rsidRPr="00692CA2">
        <w:t>hapter</w:t>
      </w:r>
      <w:r w:rsidR="00B12A98" w:rsidRPr="00692CA2">
        <w:t xml:space="preserve"> </w:t>
      </w:r>
      <w:r w:rsidR="00692CA2">
        <w:t>9</w:t>
      </w:r>
      <w:r w:rsidRPr="00B12A98">
        <w:t>, some of the young people talked about the approach taken by their foster carers in</w:t>
      </w:r>
      <w:r w:rsidRPr="00982054">
        <w:t xml:space="preserve"> supporting them to become more independent. Further research with young people about what has worked for them would be useful in sharing good practice but also in identifying what the gaps are in more detail. There are </w:t>
      </w:r>
      <w:r w:rsidR="00D16960">
        <w:t xml:space="preserve">a few </w:t>
      </w:r>
      <w:r w:rsidRPr="00982054">
        <w:t>angles that could be taken</w:t>
      </w:r>
      <w:r w:rsidR="00D16960">
        <w:t>,</w:t>
      </w:r>
      <w:r>
        <w:t xml:space="preserve"> </w:t>
      </w:r>
      <w:r w:rsidRPr="00982054">
        <w:t>one is solely to talk with young people or include foster carers to share their approaches. Another element which became apparent in my research was the absence of social workers in this role but also the active role of a personal advisor and it would be interesting to understand what role social workers and personal advisers think they should take in preparing young people to leave</w:t>
      </w:r>
      <w:r>
        <w:t>.</w:t>
      </w:r>
    </w:p>
    <w:p w14:paraId="69D4052C" w14:textId="5DF63765" w:rsidR="004D0E57" w:rsidRPr="00982054" w:rsidRDefault="004D0E57" w:rsidP="004D0E57">
      <w:pPr>
        <w:pStyle w:val="Heading3"/>
      </w:pPr>
      <w:r>
        <w:t xml:space="preserve">Using Foucault’s Work to </w:t>
      </w:r>
      <w:r w:rsidR="006F21BF">
        <w:t>Explore Leaving Care</w:t>
      </w:r>
    </w:p>
    <w:p w14:paraId="0E3D8996" w14:textId="0EE2248B" w:rsidR="004D0E57" w:rsidRDefault="00545B82">
      <w:r w:rsidRPr="00741800">
        <w:t xml:space="preserve">In recognition of the breadth of Foucault’s work, there is potential to </w:t>
      </w:r>
      <w:r w:rsidR="00C432FF" w:rsidRPr="00741800">
        <w:t xml:space="preserve">use other </w:t>
      </w:r>
      <w:r w:rsidR="00BF4E65" w:rsidRPr="00741800">
        <w:t>e</w:t>
      </w:r>
      <w:r w:rsidR="00C432FF" w:rsidRPr="00741800">
        <w:t xml:space="preserve">lements of his </w:t>
      </w:r>
      <w:r w:rsidR="00741800" w:rsidRPr="00741800">
        <w:t xml:space="preserve">thinking </w:t>
      </w:r>
      <w:r w:rsidR="00C432FF" w:rsidRPr="00741800">
        <w:t xml:space="preserve">to examine care and leaving care. For </w:t>
      </w:r>
      <w:r w:rsidR="00BF4E65" w:rsidRPr="00741800">
        <w:t>example,</w:t>
      </w:r>
      <w:r w:rsidR="00C432FF" w:rsidRPr="00741800">
        <w:t xml:space="preserve"> </w:t>
      </w:r>
      <w:r w:rsidR="00BF4E65" w:rsidRPr="00741800">
        <w:t>some of the issues raised by young people about growing up in a system could be examined through his work around surveillance</w:t>
      </w:r>
      <w:r w:rsidR="00E518BF" w:rsidRPr="00741800">
        <w:t xml:space="preserve"> or governmentality. Another possibility is the </w:t>
      </w:r>
      <w:r w:rsidR="00486437" w:rsidRPr="00741800">
        <w:t>use of</w:t>
      </w:r>
      <w:r w:rsidR="00E518BF" w:rsidRPr="00741800">
        <w:t xml:space="preserve"> Foucault’s </w:t>
      </w:r>
      <w:r w:rsidR="00EA1CC0" w:rsidRPr="00741800">
        <w:t xml:space="preserve">concept of genealogy </w:t>
      </w:r>
      <w:r w:rsidR="00486437" w:rsidRPr="00741800">
        <w:t xml:space="preserve">which </w:t>
      </w:r>
      <w:r w:rsidR="00EA1CC0" w:rsidRPr="00741800">
        <w:t xml:space="preserve">could be useful in </w:t>
      </w:r>
      <w:r w:rsidR="00D5779C" w:rsidRPr="00741800">
        <w:t>revisiting the history of leaving care services. As noted previously</w:t>
      </w:r>
      <w:r w:rsidR="00741800" w:rsidRPr="00741800">
        <w:t>,</w:t>
      </w:r>
      <w:r w:rsidR="00D5779C" w:rsidRPr="00741800">
        <w:t xml:space="preserve"> using a Foucauldian lens </w:t>
      </w:r>
      <w:r w:rsidR="000B74ED" w:rsidRPr="00741800">
        <w:t xml:space="preserve">may help to shine a new light on areas of social work </w:t>
      </w:r>
      <w:r w:rsidR="000079B3" w:rsidRPr="00741800">
        <w:t>where new thinking is required.</w:t>
      </w:r>
    </w:p>
    <w:p w14:paraId="42CFC477" w14:textId="0FD8AA94" w:rsidR="00A727CB" w:rsidRDefault="00A727CB" w:rsidP="008437DA">
      <w:pPr>
        <w:pStyle w:val="Heading2"/>
      </w:pPr>
      <w:bookmarkStart w:id="105" w:name="_Toc101108537"/>
      <w:r w:rsidRPr="00A727CB">
        <w:t>Chapter Summary</w:t>
      </w:r>
      <w:bookmarkEnd w:id="105"/>
    </w:p>
    <w:p w14:paraId="51567A1C" w14:textId="4D0DB365" w:rsidR="00F97CC4" w:rsidRDefault="00F97CC4" w:rsidP="00F97CC4">
      <w:pPr>
        <w:pStyle w:val="xmsonormal"/>
        <w:spacing w:after="240" w:line="360" w:lineRule="auto"/>
      </w:pPr>
      <w:r>
        <w:rPr>
          <w:rFonts w:ascii="Arial" w:hAnsi="Arial" w:cs="Arial"/>
        </w:rPr>
        <w:t xml:space="preserve">This chapter has brought together the summary of what my study set out to understand – the experiences of young people’s decision-making about </w:t>
      </w:r>
      <w:r>
        <w:rPr>
          <w:rFonts w:ascii="Arial" w:hAnsi="Arial" w:cs="Arial"/>
          <w:i/>
          <w:iCs/>
        </w:rPr>
        <w:t xml:space="preserve">Staying Put. </w:t>
      </w:r>
      <w:r>
        <w:rPr>
          <w:rFonts w:ascii="Arial" w:hAnsi="Arial" w:cs="Arial"/>
        </w:rPr>
        <w:t xml:space="preserve">Reflecting on Hannah’s quote at the beginning of the thesis outlining </w:t>
      </w:r>
      <w:r w:rsidRPr="00B62959">
        <w:rPr>
          <w:rFonts w:ascii="Arial" w:hAnsi="Arial" w:cs="Arial"/>
          <w:i/>
          <w:iCs/>
        </w:rPr>
        <w:t>Staying Put</w:t>
      </w:r>
      <w:r>
        <w:rPr>
          <w:rFonts w:ascii="Arial" w:hAnsi="Arial" w:cs="Arial"/>
        </w:rPr>
        <w:t xml:space="preserve"> as an </w:t>
      </w:r>
      <w:r w:rsidRPr="00275610">
        <w:rPr>
          <w:rFonts w:ascii="Arial" w:hAnsi="Arial" w:cs="Arial"/>
          <w:color w:val="000000" w:themeColor="text1"/>
        </w:rPr>
        <w:t>opportunity to ‘just stay there until you were comfortable to leave’, describes what S</w:t>
      </w:r>
      <w:r w:rsidRPr="00275610">
        <w:rPr>
          <w:rFonts w:ascii="Arial" w:hAnsi="Arial" w:cs="Arial"/>
          <w:i/>
          <w:iCs/>
          <w:color w:val="000000" w:themeColor="text1"/>
        </w:rPr>
        <w:t>taying Put</w:t>
      </w:r>
      <w:r w:rsidRPr="00275610">
        <w:rPr>
          <w:rFonts w:ascii="Arial" w:hAnsi="Arial" w:cs="Arial"/>
          <w:color w:val="000000" w:themeColor="text1"/>
        </w:rPr>
        <w:t xml:space="preserve"> should offer. My study has identified the complexity of translating the everyday experiences of young people</w:t>
      </w:r>
      <w:r>
        <w:rPr>
          <w:rFonts w:ascii="Arial" w:hAnsi="Arial" w:cs="Arial"/>
          <w:color w:val="000000" w:themeColor="text1"/>
        </w:rPr>
        <w:t xml:space="preserve"> living with their birth families</w:t>
      </w:r>
      <w:r w:rsidRPr="00275610">
        <w:rPr>
          <w:rFonts w:ascii="Arial" w:hAnsi="Arial" w:cs="Arial"/>
          <w:color w:val="000000" w:themeColor="text1"/>
        </w:rPr>
        <w:t xml:space="preserve"> into policy and associated practices</w:t>
      </w:r>
      <w:r>
        <w:rPr>
          <w:rFonts w:ascii="Arial" w:hAnsi="Arial" w:cs="Arial"/>
          <w:color w:val="000000" w:themeColor="text1"/>
        </w:rPr>
        <w:t xml:space="preserve"> for young people in care</w:t>
      </w:r>
      <w:r w:rsidRPr="00275610">
        <w:rPr>
          <w:rFonts w:ascii="Arial" w:hAnsi="Arial" w:cs="Arial"/>
          <w:color w:val="000000" w:themeColor="text1"/>
        </w:rPr>
        <w:t>. Reviewing the literature for the purpose of this study provided an overview of progress since early concerns about young people leaving care were raised in the 1970s. Whilst there have been some improvements</w:t>
      </w:r>
      <w:r>
        <w:rPr>
          <w:rFonts w:ascii="Arial" w:hAnsi="Arial" w:cs="Arial"/>
          <w:color w:val="000000" w:themeColor="text1"/>
        </w:rPr>
        <w:t>,</w:t>
      </w:r>
      <w:r w:rsidRPr="00275610">
        <w:rPr>
          <w:rFonts w:ascii="Arial" w:hAnsi="Arial" w:cs="Arial"/>
          <w:color w:val="000000" w:themeColor="text1"/>
        </w:rPr>
        <w:t xml:space="preserve"> for example the extension of support for young people until they are 25</w:t>
      </w:r>
      <w:r>
        <w:rPr>
          <w:rFonts w:ascii="Arial" w:hAnsi="Arial" w:cs="Arial"/>
          <w:color w:val="000000" w:themeColor="text1"/>
        </w:rPr>
        <w:t>,</w:t>
      </w:r>
      <w:r w:rsidRPr="00275610">
        <w:rPr>
          <w:rFonts w:ascii="Arial" w:hAnsi="Arial" w:cs="Arial"/>
          <w:color w:val="000000" w:themeColor="text1"/>
        </w:rPr>
        <w:t xml:space="preserve"> my research reflects previously raised concerns of young people’s feelings of uncertainty, feeling ill-prepared and limited participation in the process of decision</w:t>
      </w:r>
      <w:r>
        <w:rPr>
          <w:rFonts w:ascii="Arial" w:hAnsi="Arial" w:cs="Arial"/>
          <w:color w:val="000000" w:themeColor="text1"/>
        </w:rPr>
        <w:t>-</w:t>
      </w:r>
      <w:r w:rsidRPr="00275610">
        <w:rPr>
          <w:rFonts w:ascii="Arial" w:hAnsi="Arial" w:cs="Arial"/>
          <w:color w:val="000000" w:themeColor="text1"/>
        </w:rPr>
        <w:t>making.</w:t>
      </w:r>
      <w:r>
        <w:rPr>
          <w:rFonts w:ascii="Arial" w:hAnsi="Arial" w:cs="Arial"/>
          <w:color w:val="000000" w:themeColor="text1"/>
        </w:rPr>
        <w:t xml:space="preserve"> This </w:t>
      </w:r>
      <w:r w:rsidRPr="00275610">
        <w:rPr>
          <w:rFonts w:ascii="Arial" w:hAnsi="Arial" w:cs="Arial"/>
          <w:color w:val="000000" w:themeColor="text1"/>
        </w:rPr>
        <w:t xml:space="preserve">apparent </w:t>
      </w:r>
      <w:r>
        <w:rPr>
          <w:rFonts w:ascii="Arial" w:hAnsi="Arial" w:cs="Arial"/>
          <w:color w:val="000000" w:themeColor="text1"/>
        </w:rPr>
        <w:t>lack of systemic change</w:t>
      </w:r>
      <w:r w:rsidRPr="00275610">
        <w:rPr>
          <w:rFonts w:ascii="Arial" w:hAnsi="Arial" w:cs="Arial"/>
          <w:color w:val="000000" w:themeColor="text1"/>
        </w:rPr>
        <w:t xml:space="preserve"> means that young people still may not have the opportunities, resources, and environments in which to </w:t>
      </w:r>
      <w:r>
        <w:rPr>
          <w:rFonts w:ascii="Arial" w:hAnsi="Arial" w:cs="Arial"/>
          <w:color w:val="000000" w:themeColor="text1"/>
        </w:rPr>
        <w:t xml:space="preserve">leave care successfully and </w:t>
      </w:r>
      <w:r w:rsidRPr="00275610">
        <w:rPr>
          <w:rFonts w:ascii="Arial" w:hAnsi="Arial" w:cs="Arial"/>
          <w:color w:val="000000" w:themeColor="text1"/>
        </w:rPr>
        <w:t xml:space="preserve">meaningfully engage in those decisions that affect them most. The recommendations I have </w:t>
      </w:r>
      <w:r w:rsidRPr="00275610">
        <w:rPr>
          <w:rFonts w:ascii="Arial" w:hAnsi="Arial" w:cs="Arial"/>
          <w:color w:val="000000" w:themeColor="text1"/>
        </w:rPr>
        <w:lastRenderedPageBreak/>
        <w:t xml:space="preserve">made aim to offer ways to improve </w:t>
      </w:r>
      <w:r>
        <w:rPr>
          <w:rFonts w:ascii="Arial" w:hAnsi="Arial" w:cs="Arial"/>
          <w:color w:val="000000" w:themeColor="text1"/>
        </w:rPr>
        <w:t xml:space="preserve">practice with young people and </w:t>
      </w:r>
      <w:r w:rsidRPr="00275610">
        <w:rPr>
          <w:rFonts w:ascii="Arial" w:hAnsi="Arial" w:cs="Arial"/>
          <w:color w:val="000000" w:themeColor="text1"/>
        </w:rPr>
        <w:t xml:space="preserve">enhance decision-making processes. </w:t>
      </w:r>
      <w:r>
        <w:rPr>
          <w:rFonts w:ascii="Arial" w:hAnsi="Arial" w:cs="Arial"/>
          <w:color w:val="000000" w:themeColor="text1"/>
        </w:rPr>
        <w:t>However, t</w:t>
      </w:r>
      <w:r w:rsidRPr="00275610">
        <w:rPr>
          <w:rFonts w:ascii="Arial" w:hAnsi="Arial" w:cs="Arial"/>
          <w:color w:val="000000" w:themeColor="text1"/>
        </w:rPr>
        <w:t>here is a continuing need to challenge the problems that we know exist within the system</w:t>
      </w:r>
      <w:r>
        <w:rPr>
          <w:rFonts w:ascii="Arial" w:hAnsi="Arial" w:cs="Arial"/>
          <w:color w:val="000000" w:themeColor="text1"/>
        </w:rPr>
        <w:t xml:space="preserve"> to ensure y</w:t>
      </w:r>
      <w:r w:rsidRPr="00275610">
        <w:rPr>
          <w:rFonts w:ascii="Arial" w:hAnsi="Arial" w:cs="Arial"/>
          <w:color w:val="000000" w:themeColor="text1"/>
        </w:rPr>
        <w:t xml:space="preserve">oung people like Beth, Cain, Cally, </w:t>
      </w:r>
      <w:r w:rsidR="002814AA" w:rsidRPr="00275610">
        <w:rPr>
          <w:rFonts w:ascii="Arial" w:hAnsi="Arial" w:cs="Arial"/>
          <w:color w:val="000000" w:themeColor="text1"/>
        </w:rPr>
        <w:t>Carrie</w:t>
      </w:r>
      <w:r w:rsidRPr="00275610">
        <w:rPr>
          <w:rFonts w:ascii="Arial" w:hAnsi="Arial" w:cs="Arial"/>
          <w:color w:val="000000" w:themeColor="text1"/>
        </w:rPr>
        <w:t xml:space="preserve">, Eshal, Hannah, Jonathan, Liam, Tyler and Yannick </w:t>
      </w:r>
      <w:r>
        <w:rPr>
          <w:rFonts w:ascii="Arial" w:hAnsi="Arial" w:cs="Arial"/>
          <w:color w:val="000000" w:themeColor="text1"/>
        </w:rPr>
        <w:t xml:space="preserve">receive the </w:t>
      </w:r>
      <w:r w:rsidRPr="00275610">
        <w:rPr>
          <w:rFonts w:ascii="Arial" w:hAnsi="Arial" w:cs="Arial"/>
          <w:color w:val="000000" w:themeColor="text1"/>
        </w:rPr>
        <w:t xml:space="preserve">best </w:t>
      </w:r>
      <w:r>
        <w:rPr>
          <w:rFonts w:ascii="Arial" w:hAnsi="Arial" w:cs="Arial"/>
          <w:color w:val="000000" w:themeColor="text1"/>
        </w:rPr>
        <w:t>possible</w:t>
      </w:r>
      <w:r w:rsidR="008F306C">
        <w:rPr>
          <w:rFonts w:ascii="Arial" w:hAnsi="Arial" w:cs="Arial"/>
          <w:color w:val="000000" w:themeColor="text1"/>
        </w:rPr>
        <w:t xml:space="preserve"> support as they leave care</w:t>
      </w:r>
      <w:r>
        <w:rPr>
          <w:rFonts w:ascii="Arial" w:hAnsi="Arial" w:cs="Arial"/>
          <w:color w:val="000000" w:themeColor="text1"/>
        </w:rPr>
        <w:t xml:space="preserve">. </w:t>
      </w:r>
    </w:p>
    <w:p w14:paraId="66C01351" w14:textId="77777777" w:rsidR="0045538D" w:rsidRDefault="0045538D">
      <w:pPr>
        <w:spacing w:after="0" w:line="240" w:lineRule="auto"/>
        <w:rPr>
          <w:rFonts w:eastAsiaTheme="majorEastAsia"/>
          <w:b/>
          <w:color w:val="000000" w:themeColor="text1"/>
          <w:sz w:val="36"/>
          <w:szCs w:val="32"/>
        </w:rPr>
      </w:pPr>
      <w:r>
        <w:br w:type="page"/>
      </w:r>
    </w:p>
    <w:p w14:paraId="41ED6549" w14:textId="45F2F6E7" w:rsidR="005B667D" w:rsidRDefault="005B667D" w:rsidP="00127FD5">
      <w:pPr>
        <w:pStyle w:val="ChapterHeading1"/>
      </w:pPr>
      <w:bookmarkStart w:id="106" w:name="_Toc101108538"/>
      <w:r>
        <w:lastRenderedPageBreak/>
        <w:t>References</w:t>
      </w:r>
      <w:bookmarkEnd w:id="106"/>
    </w:p>
    <w:tbl>
      <w:tblPr>
        <w:tblW w:w="861" w:type="dxa"/>
        <w:tblCellSpacing w:w="15" w:type="dxa"/>
        <w:shd w:val="clear" w:color="auto" w:fill="FFFFFF"/>
        <w:tblCellMar>
          <w:top w:w="15" w:type="dxa"/>
          <w:left w:w="15" w:type="dxa"/>
          <w:bottom w:w="15" w:type="dxa"/>
          <w:right w:w="15" w:type="dxa"/>
        </w:tblCellMar>
        <w:tblLook w:val="04A0" w:firstRow="1" w:lastRow="0" w:firstColumn="1" w:lastColumn="0" w:noHBand="0" w:noVBand="1"/>
        <w:tblDescription w:val=""/>
      </w:tblPr>
      <w:tblGrid>
        <w:gridCol w:w="861"/>
      </w:tblGrid>
      <w:tr w:rsidR="00067907" w:rsidRPr="00067907" w14:paraId="20A51A3A" w14:textId="77777777" w:rsidTr="000A3B08">
        <w:trPr>
          <w:tblCellSpacing w:w="15" w:type="dxa"/>
        </w:trPr>
        <w:tc>
          <w:tcPr>
            <w:tcW w:w="0" w:type="auto"/>
            <w:shd w:val="clear" w:color="auto" w:fill="FFFFFF"/>
            <w:vAlign w:val="center"/>
            <w:hideMark/>
          </w:tcPr>
          <w:p w14:paraId="738717B3" w14:textId="77777777" w:rsidR="00067907" w:rsidRPr="00067907" w:rsidRDefault="00067907" w:rsidP="000A3B08">
            <w:pPr>
              <w:rPr>
                <w:color w:val="000000" w:themeColor="text1"/>
              </w:rPr>
            </w:pPr>
          </w:p>
        </w:tc>
      </w:tr>
    </w:tbl>
    <w:p w14:paraId="78EBE1A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Abebe, T., 2019. Reconceptualising Children’s Agency as Continuum and Interdependence.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Social Sciences,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8(81), pp. 1-16. https://doi.org/10.3390/socsci8030081.</w:t>
      </w:r>
    </w:p>
    <w:p w14:paraId="0C3BF765"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highlight w:val="magenta"/>
        </w:rPr>
      </w:pPr>
      <w:r w:rsidRPr="00067907">
        <w:rPr>
          <w:rFonts w:ascii="Arial" w:hAnsi="Arial" w:cs="Arial"/>
          <w:color w:val="000000" w:themeColor="text1"/>
          <w:sz w:val="22"/>
          <w:szCs w:val="22"/>
        </w:rPr>
        <w:t xml:space="preserve">Ackermann, L., Feeny, T., Hart, J. and Newman, J., 2003. </w:t>
      </w:r>
      <w:r w:rsidRPr="00067907">
        <w:rPr>
          <w:rFonts w:ascii="Arial" w:hAnsi="Arial" w:cs="Arial"/>
          <w:i/>
          <w:iCs/>
          <w:color w:val="000000" w:themeColor="text1"/>
          <w:sz w:val="22"/>
          <w:szCs w:val="22"/>
        </w:rPr>
        <w:t>Understanding and Evaluating Children’s Participation: A Review of Contemporary Literature: Children in Development.</w:t>
      </w:r>
      <w:r w:rsidRPr="00067907">
        <w:rPr>
          <w:rFonts w:ascii="Arial" w:hAnsi="Arial" w:cs="Arial"/>
          <w:color w:val="000000" w:themeColor="text1"/>
          <w:sz w:val="22"/>
          <w:szCs w:val="22"/>
        </w:rPr>
        <w:t xml:space="preserve">  Plan UK: Plan International. </w:t>
      </w:r>
    </w:p>
    <w:p w14:paraId="738E94C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Action for Children, 2020. </w:t>
      </w:r>
      <w:r w:rsidRPr="00067907">
        <w:rPr>
          <w:rFonts w:ascii="Arial" w:hAnsi="Arial" w:cs="Arial"/>
          <w:i/>
          <w:iCs/>
          <w:color w:val="000000" w:themeColor="text1"/>
          <w:sz w:val="22"/>
          <w:szCs w:val="22"/>
          <w:bdr w:val="none" w:sz="0" w:space="0" w:color="auto" w:frame="1"/>
          <w:shd w:val="clear" w:color="auto" w:fill="FFFFFF"/>
        </w:rPr>
        <w:t>Giving Care Leavers the Chance to Stay: Staying Put six years on.</w:t>
      </w:r>
      <w:r w:rsidRPr="00067907">
        <w:rPr>
          <w:rFonts w:ascii="Arial" w:hAnsi="Arial" w:cs="Arial"/>
          <w:color w:val="000000" w:themeColor="text1"/>
          <w:sz w:val="22"/>
          <w:szCs w:val="22"/>
          <w:bdr w:val="none" w:sz="0" w:space="0" w:color="auto" w:frame="1"/>
          <w:shd w:val="clear" w:color="auto" w:fill="FFFFFF"/>
        </w:rPr>
        <w:t xml:space="preserve"> [pdf] </w:t>
      </w:r>
      <w:r w:rsidRPr="00067907">
        <w:rPr>
          <w:rStyle w:val="bibauth"/>
          <w:rFonts w:ascii="Arial" w:eastAsiaTheme="majorEastAsia" w:hAnsi="Arial" w:cs="Arial"/>
          <w:color w:val="000000" w:themeColor="text1"/>
          <w:sz w:val="22"/>
          <w:szCs w:val="22"/>
          <w:bdr w:val="none" w:sz="0" w:space="0" w:color="auto" w:frame="1"/>
          <w:shd w:val="clear" w:color="auto" w:fill="FFFFFF"/>
        </w:rPr>
        <w:t>Available at &lt;https://media.actionforchildren.org.uk/documents/Staying_Put_six_years_on.pdf&gt; [Accessed 6 May 2021].</w:t>
      </w:r>
    </w:p>
    <w:p w14:paraId="3FEDEA16"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Adley, N., and Jupp Kina, V., 2017. Getting behind the closed door of care leavers: understanding the role of emotional support for young people leaving care. </w:t>
      </w:r>
      <w:r w:rsidRPr="00067907">
        <w:rPr>
          <w:rFonts w:ascii="Arial" w:hAnsi="Arial" w:cs="Arial"/>
          <w:i/>
          <w:iCs/>
          <w:color w:val="000000" w:themeColor="text1"/>
          <w:sz w:val="22"/>
          <w:szCs w:val="22"/>
          <w:bdr w:val="none" w:sz="0" w:space="0" w:color="auto" w:frame="1"/>
          <w:shd w:val="clear" w:color="auto" w:fill="FFFFFF"/>
        </w:rPr>
        <w:t>Child &amp; Family Social Work</w:t>
      </w:r>
      <w:r w:rsidRPr="00067907">
        <w:rPr>
          <w:rFonts w:ascii="Arial" w:hAnsi="Arial" w:cs="Arial"/>
          <w:color w:val="000000" w:themeColor="text1"/>
          <w:sz w:val="22"/>
          <w:szCs w:val="22"/>
          <w:bdr w:val="none" w:sz="0" w:space="0" w:color="auto" w:frame="1"/>
          <w:shd w:val="clear" w:color="auto" w:fill="FFFFFF"/>
        </w:rPr>
        <w:t>, [e-journal] 22, pp. 97– 105. doi: 10.1111/cfs.12203.</w:t>
      </w:r>
    </w:p>
    <w:p w14:paraId="253A218A"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Adorno, G., Cronley, C. and Scott Smith K., 2015. A different kind of animal: liminal experiences of social work doctoral students. </w:t>
      </w:r>
      <w:r w:rsidRPr="00067907">
        <w:rPr>
          <w:rFonts w:ascii="Arial" w:hAnsi="Arial" w:cs="Arial"/>
          <w:i/>
          <w:iCs/>
          <w:color w:val="000000" w:themeColor="text1"/>
          <w:sz w:val="22"/>
          <w:szCs w:val="22"/>
          <w:bdr w:val="none" w:sz="0" w:space="0" w:color="auto" w:frame="1"/>
          <w:shd w:val="clear" w:color="auto" w:fill="FFFFFF"/>
        </w:rPr>
        <w:t>Innovations in Education and Teaching International</w:t>
      </w:r>
      <w:r w:rsidRPr="00067907">
        <w:rPr>
          <w:rFonts w:ascii="Arial" w:hAnsi="Arial" w:cs="Arial"/>
          <w:color w:val="000000" w:themeColor="text1"/>
          <w:sz w:val="22"/>
          <w:szCs w:val="22"/>
          <w:bdr w:val="none" w:sz="0" w:space="0" w:color="auto" w:frame="1"/>
          <w:shd w:val="clear" w:color="auto" w:fill="FFFFFF"/>
        </w:rPr>
        <w:t>, [e-journal] 52(6), pp. 632-641. doi: 10.1080/14703297.2013.833130.</w:t>
      </w:r>
    </w:p>
    <w:p w14:paraId="422572E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Ainsworth, M. D. S., Blehar, M.C., Waters, E. and Wall, S., 1978. </w:t>
      </w:r>
      <w:r w:rsidRPr="00067907">
        <w:rPr>
          <w:rStyle w:val="bibauth"/>
          <w:rFonts w:ascii="Arial" w:eastAsiaTheme="majorEastAsia" w:hAnsi="Arial" w:cs="Arial"/>
          <w:i/>
          <w:color w:val="000000" w:themeColor="text1"/>
          <w:sz w:val="22"/>
          <w:szCs w:val="22"/>
          <w:bdr w:val="none" w:sz="0" w:space="0" w:color="auto" w:frame="1"/>
          <w:shd w:val="clear" w:color="auto" w:fill="FFFFFF"/>
        </w:rPr>
        <w:t>Patterns of Attachment: A psychological study of the strange situation</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Hillsdale: Erlbaum. </w:t>
      </w:r>
    </w:p>
    <w:p w14:paraId="31B6554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Akister, J., Owens, M. and Goodyer, I. M., 2010. Leaving Care and Mental Health: Outcomes for children in out-of-home care during the transition to adulthood. </w:t>
      </w:r>
      <w:r w:rsidRPr="00067907">
        <w:rPr>
          <w:rStyle w:val="bibauth"/>
          <w:rFonts w:ascii="Arial" w:eastAsiaTheme="majorEastAsia" w:hAnsi="Arial" w:cs="Arial"/>
          <w:i/>
          <w:color w:val="000000" w:themeColor="text1"/>
          <w:sz w:val="22"/>
          <w:szCs w:val="22"/>
          <w:bdr w:val="none" w:sz="0" w:space="0" w:color="auto" w:frame="1"/>
          <w:shd w:val="clear" w:color="auto" w:fill="FFFFFF"/>
        </w:rPr>
        <w:t>Health Research Policy and Systems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8(10), pp. 2–9. </w:t>
      </w:r>
      <w:hyperlink r:id="rId3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https://doi.org/10.1186/1478-4505-8-10</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AF319B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Alderson, P. and Morrow, V., 2011.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Ethics of Research with Children and Young People: a practical handbook</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1B2EDB9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Alderson, P. 2014. Children as Patients. In: G. Melton, A. Ben-Arieh, J. Cashmore, G. Goodman and N. and Worley (eds)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Sage Handbook of Child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 Ch.6.</w:t>
      </w:r>
    </w:p>
    <w:p w14:paraId="6FAB4D0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Alfandari, R., 2017. Evaluation of a national reform in the Israeli child protection practice designed to improve children’s participation in decision-making.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22, pp. 54–62. </w:t>
      </w:r>
      <w:hyperlink r:id="rId3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https://doi.org/10.1111/cfs.12261</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19B7EF1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Allen, A., 2012. </w:t>
      </w:r>
      <w:r w:rsidRPr="00067907">
        <w:rPr>
          <w:rStyle w:val="bibauth"/>
          <w:rFonts w:ascii="Arial" w:eastAsiaTheme="majorEastAsia" w:hAnsi="Arial" w:cs="Arial"/>
          <w:i/>
          <w:iCs/>
          <w:color w:val="000000" w:themeColor="text1"/>
          <w:sz w:val="22"/>
          <w:szCs w:val="22"/>
          <w:bdr w:val="none" w:sz="0" w:space="0" w:color="auto" w:frame="1"/>
          <w:shd w:val="clear" w:color="auto" w:fill="FFFFFF"/>
        </w:rPr>
        <w:t>Using Foucault in Education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[online] Available at: &lt;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https://www.bera.ac.uk/publication/using-foucault-in-education-research&gt; [Accessed 17 June 2019].</w:t>
      </w:r>
    </w:p>
    <w:p w14:paraId="405B6F6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Allen, N., 2005.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Making Sense of the Children Act 1989</w:t>
      </w:r>
      <w:r w:rsidRPr="00067907">
        <w:rPr>
          <w:rStyle w:val="bibauth"/>
          <w:rFonts w:ascii="Arial" w:eastAsiaTheme="majorEastAsia" w:hAnsi="Arial" w:cs="Arial"/>
          <w:color w:val="000000" w:themeColor="text1"/>
          <w:sz w:val="22"/>
          <w:szCs w:val="22"/>
          <w:bdr w:val="none" w:sz="0" w:space="0" w:color="auto" w:frame="1"/>
          <w:shd w:val="clear" w:color="auto" w:fill="FFFFFF"/>
        </w:rPr>
        <w:t>. London: Wiley.</w:t>
      </w:r>
    </w:p>
    <w:p w14:paraId="0ECE023D"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Style w:val="authors"/>
          <w:rFonts w:ascii="Arial" w:hAnsi="Arial" w:cs="Arial"/>
          <w:color w:val="000000" w:themeColor="text1"/>
          <w:sz w:val="22"/>
          <w:szCs w:val="22"/>
          <w:shd w:val="clear" w:color="auto" w:fill="FFFFFF"/>
        </w:rPr>
        <w:lastRenderedPageBreak/>
        <w:t>Allen, R. E. S., and Wiles</w:t>
      </w:r>
      <w:r w:rsidRPr="00067907">
        <w:rPr>
          <w:rFonts w:ascii="Arial" w:hAnsi="Arial" w:cs="Arial"/>
          <w:color w:val="000000" w:themeColor="text1"/>
          <w:sz w:val="22"/>
          <w:szCs w:val="22"/>
          <w:shd w:val="clear" w:color="auto" w:fill="FFFFFF"/>
        </w:rPr>
        <w:t>. J. L., 2016</w:t>
      </w:r>
      <w:r w:rsidRPr="00067907">
        <w:rPr>
          <w:rStyle w:val="Date1"/>
          <w:rFonts w:ascii="Arial" w:hAnsi="Arial" w:cs="Arial"/>
          <w:color w:val="000000" w:themeColor="text1"/>
          <w:sz w:val="22"/>
          <w:szCs w:val="22"/>
          <w:shd w:val="clear" w:color="auto" w:fill="FFFFFF"/>
        </w:rPr>
        <w:t>.</w:t>
      </w:r>
      <w:r w:rsidRPr="00067907">
        <w:rPr>
          <w:rFonts w:ascii="Arial" w:hAnsi="Arial" w:cs="Arial"/>
          <w:color w:val="000000" w:themeColor="text1"/>
          <w:sz w:val="22"/>
          <w:szCs w:val="22"/>
          <w:shd w:val="clear" w:color="auto" w:fill="FFFFFF"/>
        </w:rPr>
        <w:t> </w:t>
      </w:r>
      <w:r w:rsidRPr="00067907">
        <w:rPr>
          <w:rStyle w:val="arttitle"/>
          <w:rFonts w:ascii="Arial" w:hAnsi="Arial" w:cs="Arial"/>
          <w:color w:val="000000" w:themeColor="text1"/>
          <w:sz w:val="22"/>
          <w:szCs w:val="22"/>
          <w:shd w:val="clear" w:color="auto" w:fill="FFFFFF"/>
        </w:rPr>
        <w:t>A rose by any other name: participants choosing research pseudonyms.</w:t>
      </w:r>
      <w:r w:rsidRPr="00067907">
        <w:rPr>
          <w:rFonts w:ascii="Arial" w:hAnsi="Arial" w:cs="Arial"/>
          <w:color w:val="000000" w:themeColor="text1"/>
          <w:sz w:val="22"/>
          <w:szCs w:val="22"/>
          <w:shd w:val="clear" w:color="auto" w:fill="FFFFFF"/>
        </w:rPr>
        <w:t> </w:t>
      </w:r>
      <w:r w:rsidRPr="00067907">
        <w:rPr>
          <w:rStyle w:val="serialtitle"/>
          <w:rFonts w:ascii="Arial" w:hAnsi="Arial" w:cs="Arial"/>
          <w:i/>
          <w:iCs/>
          <w:color w:val="000000" w:themeColor="text1"/>
          <w:sz w:val="22"/>
          <w:szCs w:val="22"/>
          <w:shd w:val="clear" w:color="auto" w:fill="FFFFFF"/>
        </w:rPr>
        <w:t>Qualitative Research in Psychology</w:t>
      </w:r>
      <w:r w:rsidRPr="00067907">
        <w:rPr>
          <w:rStyle w:val="serialtitle"/>
          <w:rFonts w:ascii="Arial" w:hAnsi="Arial" w:cs="Arial"/>
          <w:color w:val="000000" w:themeColor="text1"/>
          <w:sz w:val="22"/>
          <w:szCs w:val="22"/>
          <w:shd w:val="clear" w:color="auto" w:fill="FFFFFF"/>
        </w:rPr>
        <w:t>,</w:t>
      </w:r>
      <w:r w:rsidRPr="00067907">
        <w:rPr>
          <w:rFonts w:ascii="Arial" w:hAnsi="Arial" w:cs="Arial"/>
          <w:color w:val="000000" w:themeColor="text1"/>
          <w:sz w:val="22"/>
          <w:szCs w:val="22"/>
          <w:shd w:val="clear" w:color="auto" w:fill="FFFFFF"/>
        </w:rPr>
        <w:t xml:space="preserve"> [e-journal] </w:t>
      </w:r>
      <w:r w:rsidRPr="00067907">
        <w:rPr>
          <w:rStyle w:val="volumeissue"/>
          <w:rFonts w:ascii="Arial" w:hAnsi="Arial" w:cs="Arial"/>
          <w:color w:val="000000" w:themeColor="text1"/>
          <w:sz w:val="22"/>
          <w:szCs w:val="22"/>
          <w:shd w:val="clear" w:color="auto" w:fill="FFFFFF"/>
        </w:rPr>
        <w:t>13(2), pp.</w:t>
      </w:r>
      <w:r w:rsidRPr="00067907">
        <w:rPr>
          <w:rFonts w:ascii="Arial" w:hAnsi="Arial" w:cs="Arial"/>
          <w:color w:val="000000" w:themeColor="text1"/>
          <w:sz w:val="22"/>
          <w:szCs w:val="22"/>
          <w:shd w:val="clear" w:color="auto" w:fill="FFFFFF"/>
        </w:rPr>
        <w:t> </w:t>
      </w:r>
      <w:r w:rsidRPr="00067907">
        <w:rPr>
          <w:rStyle w:val="pagerange"/>
          <w:rFonts w:ascii="Arial" w:hAnsi="Arial" w:cs="Arial"/>
          <w:color w:val="000000" w:themeColor="text1"/>
          <w:sz w:val="22"/>
          <w:szCs w:val="22"/>
          <w:shd w:val="clear" w:color="auto" w:fill="FFFFFF"/>
        </w:rPr>
        <w:t>149-165,</w:t>
      </w:r>
      <w:r w:rsidRPr="00067907">
        <w:rPr>
          <w:rFonts w:ascii="Arial" w:hAnsi="Arial" w:cs="Arial"/>
          <w:color w:val="000000" w:themeColor="text1"/>
          <w:sz w:val="22"/>
          <w:szCs w:val="22"/>
          <w:shd w:val="clear" w:color="auto" w:fill="FFFFFF"/>
        </w:rPr>
        <w:t> </w:t>
      </w:r>
      <w:r w:rsidRPr="00067907">
        <w:rPr>
          <w:rStyle w:val="doilink"/>
          <w:rFonts w:ascii="Arial" w:hAnsi="Arial" w:cs="Arial"/>
          <w:color w:val="000000" w:themeColor="text1"/>
          <w:sz w:val="22"/>
          <w:szCs w:val="22"/>
          <w:shd w:val="clear" w:color="auto" w:fill="FFFFFF"/>
        </w:rPr>
        <w:t>DOI: </w:t>
      </w:r>
      <w:hyperlink r:id="rId38" w:history="1">
        <w:r w:rsidRPr="00067907">
          <w:rPr>
            <w:rStyle w:val="Hyperlink"/>
            <w:rFonts w:ascii="Arial" w:eastAsiaTheme="majorEastAsia" w:hAnsi="Arial" w:cs="Arial"/>
            <w:color w:val="000000" w:themeColor="text1"/>
            <w:sz w:val="22"/>
            <w:szCs w:val="22"/>
            <w:u w:val="none"/>
          </w:rPr>
          <w:t>10.1080/14780887.2015.1133746</w:t>
        </w:r>
      </w:hyperlink>
      <w:r w:rsidRPr="00067907">
        <w:rPr>
          <w:rStyle w:val="Hyperlink"/>
          <w:rFonts w:ascii="Arial" w:eastAsiaTheme="majorEastAsia" w:hAnsi="Arial" w:cs="Arial"/>
          <w:color w:val="000000" w:themeColor="text1"/>
          <w:sz w:val="22"/>
          <w:szCs w:val="22"/>
          <w:u w:val="none"/>
        </w:rPr>
        <w:t>.</w:t>
      </w:r>
    </w:p>
    <w:p w14:paraId="103891A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Althusser, L., Jameson, F. and Brewster, B., 2006.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Lenin and Philosophy, and Other Essays.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Delhi: Aakar Books.</w:t>
      </w:r>
    </w:p>
    <w:p w14:paraId="6537EBE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Andrew, l., Mantovani, N. and Barn, R., 2005.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Life after care: The experiences of young people from different ethnic groups</w:t>
      </w:r>
      <w:r w:rsidRPr="00067907">
        <w:rPr>
          <w:rStyle w:val="bibauth"/>
          <w:rFonts w:ascii="Arial" w:eastAsiaTheme="majorEastAsia" w:hAnsi="Arial" w:cs="Arial"/>
          <w:color w:val="000000" w:themeColor="text1"/>
          <w:sz w:val="22"/>
          <w:szCs w:val="22"/>
          <w:bdr w:val="none" w:sz="0" w:space="0" w:color="auto" w:frame="1"/>
          <w:shd w:val="clear" w:color="auto" w:fill="FFFFFF"/>
        </w:rPr>
        <w:t>. York: The Joseph Rowntree Foundation.</w:t>
      </w:r>
    </w:p>
    <w:p w14:paraId="2D613CD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Angel, B. O., 2016. Client Self-Management: Promoting Self-Help for Parents of Children in Foster-Care.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46(4), pp. 1027–1043. </w:t>
      </w:r>
      <w:hyperlink r:id="rId3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https://doi.org/10.1093/bjsw/bcv025</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6686BCA"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Antonopoulou, P., Killian, M. and Forrester, D., 2017. Levels of stress and anxiety in child and family social work: Workers' perceptions of organizational structure, professional support and workplace opportunities in Children's Services in the UK. </w:t>
      </w:r>
      <w:r w:rsidRPr="00067907">
        <w:rPr>
          <w:rFonts w:ascii="Arial" w:hAnsi="Arial" w:cs="Arial"/>
          <w:i/>
          <w:iCs/>
          <w:color w:val="000000" w:themeColor="text1"/>
          <w:sz w:val="22"/>
          <w:szCs w:val="22"/>
          <w:bdr w:val="none" w:sz="0" w:space="0" w:color="auto" w:frame="1"/>
          <w:shd w:val="clear" w:color="auto" w:fill="FFFFFF"/>
        </w:rPr>
        <w:t>Children and Youth Services Review</w:t>
      </w:r>
      <w:r w:rsidRPr="00067907">
        <w:rPr>
          <w:rFonts w:ascii="Arial" w:hAnsi="Arial" w:cs="Arial"/>
          <w:color w:val="000000" w:themeColor="text1"/>
          <w:sz w:val="22"/>
          <w:szCs w:val="22"/>
          <w:bdr w:val="none" w:sz="0" w:space="0" w:color="auto" w:frame="1"/>
          <w:shd w:val="clear" w:color="auto" w:fill="FFFFFF"/>
        </w:rPr>
        <w:t>, [e-journal] 76, pp. 42-50. https://doi.org/10.1016/j.childyouth.2017.02.028.</w:t>
      </w:r>
    </w:p>
    <w:p w14:paraId="6EFBC9C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Appleton, P., 2020. Anchors for deliberation and shared deliberation: Understanding planning in young adults transitioning from out-of-home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19(5–6), pp.1130–1146. </w:t>
      </w:r>
      <w:hyperlink r:id="rId4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https://doi.org/10.1177/1473325019869810</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C787CE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Archard, D. and Skivenes, M., 2009, Hearing the child.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14(4), pp. 391-399. https://doi.org/10.1111/j.1365-2206.2008.00606.x.</w:t>
      </w:r>
    </w:p>
    <w:p w14:paraId="455CB15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Arendt, H., 1970.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On Violence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Allen Lane.</w:t>
      </w:r>
    </w:p>
    <w:p w14:paraId="100B2C86"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Ariès, P., 1962. </w:t>
      </w:r>
      <w:r w:rsidRPr="00067907">
        <w:rPr>
          <w:rFonts w:ascii="Arial" w:hAnsi="Arial" w:cs="Arial"/>
          <w:i/>
          <w:iCs/>
          <w:color w:val="000000" w:themeColor="text1"/>
          <w:sz w:val="22"/>
          <w:szCs w:val="22"/>
        </w:rPr>
        <w:t>Centuries of Childhood</w:t>
      </w:r>
      <w:r w:rsidRPr="00067907">
        <w:rPr>
          <w:rFonts w:ascii="Arial" w:hAnsi="Arial" w:cs="Arial"/>
          <w:color w:val="000000" w:themeColor="text1"/>
          <w:sz w:val="22"/>
          <w:szCs w:val="22"/>
        </w:rPr>
        <w:t>. London: Jonathan Cape.</w:t>
      </w:r>
    </w:p>
    <w:p w14:paraId="17B7B7B8"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Arnett, J. J., 2015. </w:t>
      </w:r>
      <w:r w:rsidRPr="00067907">
        <w:rPr>
          <w:rFonts w:ascii="Arial" w:hAnsi="Arial" w:cs="Arial"/>
          <w:i/>
          <w:iCs/>
          <w:color w:val="000000" w:themeColor="text1"/>
          <w:sz w:val="22"/>
          <w:szCs w:val="22"/>
          <w:bdr w:val="none" w:sz="0" w:space="0" w:color="auto" w:frame="1"/>
          <w:shd w:val="clear" w:color="auto" w:fill="FFFFFF"/>
        </w:rPr>
        <w:t>Emerging adulthood: The Winding Road from the Late Teens Through the Twenties</w:t>
      </w:r>
      <w:r w:rsidRPr="00067907">
        <w:rPr>
          <w:rFonts w:ascii="Arial" w:hAnsi="Arial" w:cs="Arial"/>
          <w:color w:val="000000" w:themeColor="text1"/>
          <w:sz w:val="22"/>
          <w:szCs w:val="22"/>
          <w:bdr w:val="none" w:sz="0" w:space="0" w:color="auto" w:frame="1"/>
          <w:shd w:val="clear" w:color="auto" w:fill="FFFFFF"/>
        </w:rPr>
        <w:t xml:space="preserve">. 2nd ed. Oxford: Oxford University Press. </w:t>
      </w:r>
    </w:p>
    <w:p w14:paraId="7E0FD9AB"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Arnstein. S., 1969. A Ladder of Citizen Participation. </w:t>
      </w:r>
      <w:r w:rsidRPr="00067907">
        <w:rPr>
          <w:rFonts w:ascii="Arial" w:hAnsi="Arial" w:cs="Arial"/>
          <w:i/>
          <w:iCs/>
          <w:color w:val="000000" w:themeColor="text1"/>
          <w:sz w:val="22"/>
          <w:szCs w:val="22"/>
          <w:bdr w:val="none" w:sz="0" w:space="0" w:color="auto" w:frame="1"/>
          <w:shd w:val="clear" w:color="auto" w:fill="FFFFFF"/>
        </w:rPr>
        <w:t>Journal of the American Institute of Planners</w:t>
      </w:r>
      <w:r w:rsidRPr="00067907">
        <w:rPr>
          <w:rFonts w:ascii="Arial" w:hAnsi="Arial" w:cs="Arial"/>
          <w:color w:val="000000" w:themeColor="text1"/>
          <w:sz w:val="22"/>
          <w:szCs w:val="22"/>
          <w:bdr w:val="none" w:sz="0" w:space="0" w:color="auto" w:frame="1"/>
          <w:shd w:val="clear" w:color="auto" w:fill="FFFFFF"/>
        </w:rPr>
        <w:t>, [e-journal] 35(4), pp. 216-224. doi: 10.1080/01944366908977225.</w:t>
      </w:r>
    </w:p>
    <w:p w14:paraId="411E6E6E"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Atkinson, C. and Hyde, R., 2019. Care leavers’ views about transition: a literature review. </w:t>
      </w:r>
      <w:r w:rsidRPr="00067907">
        <w:rPr>
          <w:rFonts w:ascii="Arial" w:hAnsi="Arial" w:cs="Arial"/>
          <w:i/>
          <w:iCs/>
          <w:color w:val="000000" w:themeColor="text1"/>
          <w:sz w:val="22"/>
          <w:szCs w:val="22"/>
          <w:bdr w:val="none" w:sz="0" w:space="0" w:color="auto" w:frame="1"/>
          <w:shd w:val="clear" w:color="auto" w:fill="FFFFFF"/>
        </w:rPr>
        <w:t>Journal of Children's Services</w:t>
      </w:r>
      <w:r w:rsidRPr="00067907">
        <w:rPr>
          <w:rFonts w:ascii="Arial" w:hAnsi="Arial" w:cs="Arial"/>
          <w:color w:val="000000" w:themeColor="text1"/>
          <w:sz w:val="22"/>
          <w:szCs w:val="22"/>
          <w:bdr w:val="none" w:sz="0" w:space="0" w:color="auto" w:frame="1"/>
          <w:shd w:val="clear" w:color="auto" w:fill="FFFFFF"/>
        </w:rPr>
        <w:t>, [e-journal] 14(1), pp. 42-58. https://doi.org/10.1108/JCS-05-2018-0013.</w:t>
      </w:r>
    </w:p>
    <w:p w14:paraId="477F4ECC"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Atwool, N., 2006. Participation in Decision-making: The Experience of New Zealand Children in Care. </w:t>
      </w:r>
      <w:r w:rsidRPr="00067907">
        <w:rPr>
          <w:rFonts w:ascii="Arial" w:hAnsi="Arial" w:cs="Arial"/>
          <w:i/>
          <w:iCs/>
          <w:color w:val="000000" w:themeColor="text1"/>
          <w:sz w:val="22"/>
          <w:szCs w:val="22"/>
          <w:bdr w:val="none" w:sz="0" w:space="0" w:color="auto" w:frame="1"/>
          <w:shd w:val="clear" w:color="auto" w:fill="FFFFFF"/>
        </w:rPr>
        <w:t>Child Care in Practice,</w:t>
      </w:r>
      <w:r w:rsidRPr="00067907">
        <w:rPr>
          <w:rFonts w:ascii="Arial" w:hAnsi="Arial" w:cs="Arial"/>
          <w:color w:val="000000" w:themeColor="text1"/>
          <w:sz w:val="22"/>
          <w:szCs w:val="22"/>
          <w:bdr w:val="none" w:sz="0" w:space="0" w:color="auto" w:frame="1"/>
          <w:shd w:val="clear" w:color="auto" w:fill="FFFFFF"/>
        </w:rPr>
        <w:t xml:space="preserve"> [e-journal] 12(3), pp. 259-267, doi: 10.1080/13575270600761727.</w:t>
      </w:r>
    </w:p>
    <w:p w14:paraId="79FEC3F8"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Aubrey, C. and Dahl, S., 2006. Children’s Voices: The Views of Vulnerable Children on Their Service Providers and the Relevance of Services They Receive. </w:t>
      </w:r>
      <w:r w:rsidRPr="00067907">
        <w:rPr>
          <w:rStyle w:val="bibauth"/>
          <w:rFonts w:ascii="Arial" w:eastAsiaTheme="majorEastAsia" w:hAnsi="Arial" w:cs="Arial"/>
          <w:i/>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36(1), pp. 21-39. </w:t>
      </w:r>
      <w:hyperlink r:id="rId4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https://doi.org/10.1093/bjsw/bch249</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DB0F575" w14:textId="10ECD081"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Ayre, D., Capron, L., Egan, H., French, A. and Gregg, L., 2016.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cost of being care free: The impact of poor financial education and removal of support on care leavers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w:t>
      </w: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Available at &lt;https://www.celcis.org/files/7014/7551/0328/The_cost_of_being_in_care.pdf&gt; [Accessed 8 June 2020].</w:t>
      </w:r>
    </w:p>
    <w:p w14:paraId="48C566C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Bacchi, C. and Bonham, J., 2014. Reclaiming discursive practices as an analytic focus: Political implications. Foucault Studies, [e-journal] 17, pp.173</w:t>
      </w:r>
      <w:r w:rsidRPr="00067907">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192. doi: 10.22439/fs.v0i17.4298. </w:t>
      </w:r>
    </w:p>
    <w:p w14:paraId="580532B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Bache, I., and Reardon, L., 2016.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Politics and Policy and Wellbeing</w:t>
      </w:r>
      <w:r w:rsidRPr="00067907">
        <w:rPr>
          <w:rStyle w:val="bibauth"/>
          <w:rFonts w:ascii="Arial" w:eastAsiaTheme="majorEastAsia" w:hAnsi="Arial" w:cs="Arial"/>
          <w:color w:val="000000" w:themeColor="text1"/>
          <w:sz w:val="22"/>
          <w:szCs w:val="22"/>
          <w:bdr w:val="none" w:sz="0" w:space="0" w:color="auto" w:frame="1"/>
          <w:shd w:val="clear" w:color="auto" w:fill="FFFFFF"/>
        </w:rPr>
        <w:t>. Cheltenham: Edward Elgar Publishing.</w:t>
      </w:r>
    </w:p>
    <w:p w14:paraId="5A768BF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Bachrach P. and Baratz M., 1970.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Power and Poverty: Theory and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New York: Oxford University Press.</w:t>
      </w:r>
    </w:p>
    <w:p w14:paraId="10E355A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Baer, L. and Diehl, D., 2019. Foster care for teenagers: Motivators, barriers, and strategies to overcome barriers.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103, pp. 264-277, </w:t>
      </w:r>
      <w:hyperlink r:id="rId4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https://doi.org/10.1016/j.childyouth.2019.06.004</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7C59848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Baginsky, M., Gorin, S. and Sands, C., 2017.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Fostering System in England: Evidence review</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&lt;https://assets.publishing.service.gov.uk/government/uploads/system/uploads/attachment_data/file/629383/The_fostering_system_in_England_Evidence_review.pdf&gt; [Accessed 3 June 2021].</w:t>
      </w:r>
    </w:p>
    <w:p w14:paraId="113D932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Baginsky, M., Ixer, G. and Manthorpe, J., 2021. Practice Frameworks in Children’s Services in England: An Attempt to Steer Social Work Back on Course?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33(1), pp. 3-19, doi: 10.1080/09503153.2019.1709634.</w:t>
      </w:r>
    </w:p>
    <w:p w14:paraId="0243C2F3" w14:textId="4B7F892F"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Bagnoli, A., 2009. Beyond the standard interview: the use of graphic elicitation and arts-based methods.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r w:rsidR="00F7070D">
        <w:rPr>
          <w:rStyle w:val="bibauth"/>
          <w:rFonts w:ascii="Arial" w:eastAsiaTheme="majorEastAsia" w:hAnsi="Arial" w:cs="Arial"/>
          <w:color w:val="000000" w:themeColor="text1"/>
          <w:sz w:val="22"/>
          <w:szCs w:val="22"/>
          <w:bdr w:val="none" w:sz="0" w:space="0" w:color="auto" w:frame="1"/>
          <w:shd w:val="clear" w:color="auto" w:fill="FFFFFF"/>
        </w:rPr>
        <w:t xml:space="preserve">[e-journal] </w:t>
      </w:r>
      <w:r w:rsidRPr="00067907">
        <w:rPr>
          <w:rStyle w:val="bibauth"/>
          <w:rFonts w:ascii="Arial" w:eastAsiaTheme="majorEastAsia" w:hAnsi="Arial" w:cs="Arial"/>
          <w:color w:val="000000" w:themeColor="text1"/>
          <w:sz w:val="22"/>
          <w:szCs w:val="22"/>
          <w:bdr w:val="none" w:sz="0" w:space="0" w:color="auto" w:frame="1"/>
          <w:shd w:val="clear" w:color="auto" w:fill="FFFFFF"/>
        </w:rPr>
        <w:t>9(5), pp. 547–570. https://doi.org/10.1177/1468794109343625.</w:t>
      </w:r>
    </w:p>
    <w:p w14:paraId="7C9A8E1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Baidawi, S., and Mendes, P., 2010. Young people transitioning from out-of-home care and problematic substance use: The views of young people and workers in Victoria.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Australia</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35, pp. 23 - 30. doi:10.1017/S1035077200001255.</w:t>
      </w:r>
    </w:p>
    <w:p w14:paraId="5049C97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Baker, C., 2017.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Care leavers’ views on their transition to adulthood: A rapid review of the evidence.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Coram Voice.</w:t>
      </w:r>
    </w:p>
    <w:p w14:paraId="39C2EB8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Ballinger, C., 2006. Demonstrating rigour and quality? In: L. Finlay and C. Ballinger (eds.) 2006,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research for allied health professionals</w:t>
      </w:r>
      <w:r w:rsidRPr="00067907">
        <w:rPr>
          <w:rStyle w:val="bibauth"/>
          <w:rFonts w:ascii="Arial" w:eastAsiaTheme="majorEastAsia" w:hAnsi="Arial" w:cs="Arial"/>
          <w:color w:val="000000" w:themeColor="text1"/>
          <w:sz w:val="22"/>
          <w:szCs w:val="22"/>
          <w:bdr w:val="none" w:sz="0" w:space="0" w:color="auto" w:frame="1"/>
          <w:shd w:val="clear" w:color="auto" w:fill="FFFFFF"/>
        </w:rPr>
        <w:t>: Challenging choices. West Sussex: John Wiley &amp; Sons. Ch.16.</w:t>
      </w:r>
    </w:p>
    <w:p w14:paraId="05D2088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Balsells, M., Fuentes-Peláez, N. and Pastor, C., 2017. Listening to the voices of children in decision-making: A challenge for the child protection system in Spain.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79, pp. 418-425, </w:t>
      </w:r>
      <w:hyperlink r:id="rId43"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https://doi.org/10.1016/j.childyouth.2017.06.055</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659D501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Bamford, T.,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 Contemporary History of Social Work: Learning from the Past</w:t>
      </w:r>
      <w:r w:rsidRPr="00067907">
        <w:rPr>
          <w:rStyle w:val="bibauth"/>
          <w:rFonts w:ascii="Arial" w:eastAsiaTheme="majorEastAsia" w:hAnsi="Arial" w:cs="Arial"/>
          <w:color w:val="000000" w:themeColor="text1"/>
          <w:sz w:val="22"/>
          <w:szCs w:val="22"/>
          <w:bdr w:val="none" w:sz="0" w:space="0" w:color="auto" w:frame="1"/>
          <w:shd w:val="clear" w:color="auto" w:fill="FFFFFF"/>
        </w:rPr>
        <w:t>. Bristol: Policy Press.</w:t>
      </w:r>
    </w:p>
    <w:p w14:paraId="5F16A5F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Barker, P., 1993. </w:t>
      </w:r>
      <w:r w:rsidRPr="00067907">
        <w:rPr>
          <w:rStyle w:val="bibauth"/>
          <w:rFonts w:ascii="Arial" w:eastAsiaTheme="majorEastAsia" w:hAnsi="Arial" w:cs="Arial"/>
          <w:i/>
          <w:iCs/>
          <w:color w:val="000000" w:themeColor="text1"/>
          <w:sz w:val="22"/>
          <w:szCs w:val="22"/>
          <w:bdr w:val="none" w:sz="0" w:space="0" w:color="auto" w:frame="1"/>
          <w:shd w:val="clear" w:color="auto" w:fill="FFFFFF"/>
        </w:rPr>
        <w:t>Michel Foucault: Subversions of the Subject</w:t>
      </w:r>
      <w:r w:rsidRPr="00067907">
        <w:rPr>
          <w:rStyle w:val="bibauth"/>
          <w:rFonts w:ascii="Arial" w:eastAsiaTheme="majorEastAsia" w:hAnsi="Arial" w:cs="Arial"/>
          <w:color w:val="000000" w:themeColor="text1"/>
          <w:sz w:val="22"/>
          <w:szCs w:val="22"/>
          <w:bdr w:val="none" w:sz="0" w:space="0" w:color="auto" w:frame="1"/>
          <w:shd w:val="clear" w:color="auto" w:fill="FFFFFF"/>
        </w:rPr>
        <w:t>. New York: St. Martin's Press.</w:t>
      </w:r>
    </w:p>
    <w:p w14:paraId="02EB1C7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Barnardo’s, 2014. </w:t>
      </w:r>
      <w:r w:rsidRPr="00067907">
        <w:rPr>
          <w:rStyle w:val="bibauth"/>
          <w:rFonts w:ascii="Arial" w:eastAsiaTheme="majorEastAsia" w:hAnsi="Arial" w:cs="Arial"/>
          <w:i/>
          <w:color w:val="000000" w:themeColor="text1"/>
          <w:sz w:val="22"/>
          <w:szCs w:val="22"/>
          <w:bdr w:val="none" w:sz="0" w:space="0" w:color="auto" w:frame="1"/>
          <w:shd w:val="clear" w:color="auto" w:fill="FFFFFF"/>
        </w:rPr>
        <w:t xml:space="preserve">Someone to Care: Experiences of leaving care, </w:t>
      </w:r>
      <w:r w:rsidRPr="00067907">
        <w:rPr>
          <w:rStyle w:val="bibauth"/>
          <w:rFonts w:ascii="Arial" w:eastAsiaTheme="majorEastAsia" w:hAnsi="Arial" w:cs="Arial"/>
          <w:color w:val="000000" w:themeColor="text1"/>
          <w:sz w:val="22"/>
          <w:szCs w:val="22"/>
          <w:bdr w:val="none" w:sz="0" w:space="0" w:color="auto" w:frame="1"/>
          <w:shd w:val="clear" w:color="auto" w:fill="FFFFFF"/>
        </w:rPr>
        <w:t>[pdf]. Available at &lt;</w:t>
      </w:r>
      <w:hyperlink r:id="rId4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http://www.barnardos.org.uk/someone_to_care_final_feb2014.pdf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6 June 2017].</w:t>
      </w:r>
    </w:p>
    <w:p w14:paraId="10AF487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Barnes, V., 2012. Social Work and Advocacy with Young People: Rights and Care in Practice.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42(7), pp. 1275–1292, </w:t>
      </w:r>
      <w:hyperlink r:id="rId4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https://doi.org/10.1093/bjsw/bcr142</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F7AB04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Barratt, C., Appleton, P. and Pearson, M., 2020. Exploring internal conversations to understand the experience of young adults transitioning out of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Youth Studies</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23(7), pp. 869-885. doi: 10.1080/13676261.2019.1645310.</w:t>
      </w:r>
    </w:p>
    <w:p w14:paraId="10CA72F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Barth, R., 2011. </w:t>
      </w:r>
      <w:r w:rsidRPr="00067907">
        <w:rPr>
          <w:rStyle w:val="bibauth"/>
          <w:rFonts w:ascii="Arial" w:eastAsiaTheme="majorEastAsia" w:hAnsi="Arial" w:cs="Arial"/>
          <w:i/>
          <w:iCs/>
          <w:color w:val="000000" w:themeColor="text1"/>
          <w:sz w:val="22"/>
          <w:szCs w:val="22"/>
          <w:bdr w:val="none" w:sz="0" w:space="0" w:color="auto" w:frame="1"/>
          <w:shd w:val="clear" w:color="auto" w:fill="FFFFFF"/>
        </w:rPr>
        <w:t>How Does Foster Care Work? International Evidence on Outcomes</w:t>
      </w:r>
      <w:r w:rsidRPr="00067907">
        <w:rPr>
          <w:rStyle w:val="bibauth"/>
          <w:rFonts w:ascii="Arial" w:eastAsiaTheme="majorEastAsia" w:hAnsi="Arial" w:cs="Arial"/>
          <w:color w:val="000000" w:themeColor="text1"/>
          <w:sz w:val="22"/>
          <w:szCs w:val="22"/>
          <w:bdr w:val="none" w:sz="0" w:space="0" w:color="auto" w:frame="1"/>
          <w:shd w:val="clear" w:color="auto" w:fill="FFFFFF"/>
        </w:rPr>
        <w:t>. London: Jessica Kingsley Publishers.</w:t>
      </w:r>
    </w:p>
    <w:p w14:paraId="41A9EE6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Bazalgette, L., Rahilly, T. and Trevelyon, G.,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Achieving Emotional Wellbeing for Looked After Children: A whole system approach</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hyperlink r:id="rId4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https://learning.nspcc.org.uk/research-resources/2015/achieving-emotional-wellbeing-looked-after-children-whole-system-approach</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17 June 2017].</w:t>
      </w:r>
    </w:p>
    <w:p w14:paraId="2F2CFDB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Bazeley, P.,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2007. </w:t>
      </w:r>
      <w:r w:rsidRPr="00C47DDD">
        <w:rPr>
          <w:rStyle w:val="bibauth"/>
          <w:rFonts w:ascii="Arial" w:eastAsiaTheme="majorEastAsia" w:hAnsi="Arial" w:cs="Arial"/>
          <w:i/>
          <w:color w:val="000000" w:themeColor="text1"/>
          <w:sz w:val="22"/>
          <w:szCs w:val="22"/>
          <w:bdr w:val="none" w:sz="0" w:space="0" w:color="auto" w:frame="1"/>
          <w:shd w:val="clear" w:color="auto" w:fill="FFFFFF"/>
        </w:rPr>
        <w:t>Qualitative Data Analysis with NVivo</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6C0DB303" w14:textId="35571309"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Becker, S., Bryman, A. and Ferguson, H., eds., 2012.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Understanding Research for Social Policy and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Bristol: The Policy Press.</w:t>
      </w:r>
    </w:p>
    <w:p w14:paraId="68821037" w14:textId="27BF38F2" w:rsidR="003E1160" w:rsidRPr="00C47DDD" w:rsidRDefault="003E1160"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Beckett, C. and Taylor, H.A., 2019.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Human </w:t>
      </w:r>
      <w:r w:rsidR="009C0AFE" w:rsidRPr="00C47DDD">
        <w:rPr>
          <w:rStyle w:val="bibauth"/>
          <w:rFonts w:ascii="Arial" w:eastAsiaTheme="majorEastAsia" w:hAnsi="Arial" w:cs="Arial"/>
          <w:i/>
          <w:iCs/>
          <w:color w:val="000000" w:themeColor="text1"/>
          <w:sz w:val="22"/>
          <w:szCs w:val="22"/>
          <w:bdr w:val="none" w:sz="0" w:space="0" w:color="auto" w:frame="1"/>
          <w:shd w:val="clear" w:color="auto" w:fill="FFFFFF"/>
        </w:rPr>
        <w:t>G</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rowth &amp; </w:t>
      </w:r>
      <w:r w:rsidR="009C0AFE" w:rsidRPr="00C47DDD">
        <w:rPr>
          <w:rStyle w:val="bibauth"/>
          <w:rFonts w:ascii="Arial" w:eastAsiaTheme="majorEastAsia" w:hAnsi="Arial" w:cs="Arial"/>
          <w:i/>
          <w:iCs/>
          <w:color w:val="000000" w:themeColor="text1"/>
          <w:sz w:val="22"/>
          <w:szCs w:val="22"/>
          <w:bdr w:val="none" w:sz="0" w:space="0" w:color="auto" w:frame="1"/>
          <w:shd w:val="clear" w:color="auto" w:fill="FFFFFF"/>
        </w:rPr>
        <w:t>D</w:t>
      </w:r>
      <w:r w:rsidRPr="00C47DDD">
        <w:rPr>
          <w:rStyle w:val="bibauth"/>
          <w:rFonts w:ascii="Arial" w:eastAsiaTheme="majorEastAsia" w:hAnsi="Arial" w:cs="Arial"/>
          <w:i/>
          <w:iCs/>
          <w:color w:val="000000" w:themeColor="text1"/>
          <w:sz w:val="22"/>
          <w:szCs w:val="22"/>
          <w:bdr w:val="none" w:sz="0" w:space="0" w:color="auto" w:frame="1"/>
          <w:shd w:val="clear" w:color="auto" w:fill="FFFFFF"/>
        </w:rPr>
        <w:t>evelopment</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r w:rsidR="009C0AF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64996503"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Style w:val="hlfld-contribauthor"/>
          <w:rFonts w:ascii="Arial" w:hAnsi="Arial" w:cs="Arial"/>
          <w:color w:val="000000" w:themeColor="text1"/>
          <w:sz w:val="22"/>
          <w:szCs w:val="22"/>
        </w:rPr>
        <w:t>Bell, </w:t>
      </w:r>
      <w:r w:rsidRPr="00C47DDD">
        <w:rPr>
          <w:rStyle w:val="nlmgiven-names"/>
          <w:rFonts w:ascii="Arial" w:hAnsi="Arial" w:cs="Arial"/>
          <w:color w:val="000000" w:themeColor="text1"/>
          <w:sz w:val="22"/>
          <w:szCs w:val="22"/>
        </w:rPr>
        <w:t>M.</w:t>
      </w:r>
      <w:r w:rsidRPr="00C47DDD">
        <w:rPr>
          <w:rFonts w:ascii="Arial" w:hAnsi="Arial" w:cs="Arial"/>
          <w:color w:val="000000" w:themeColor="text1"/>
          <w:sz w:val="22"/>
          <w:szCs w:val="22"/>
        </w:rPr>
        <w:t xml:space="preserve">, </w:t>
      </w:r>
      <w:r w:rsidRPr="00C47DDD">
        <w:rPr>
          <w:rStyle w:val="nlmyear"/>
          <w:rFonts w:ascii="Arial" w:hAnsi="Arial" w:cs="Arial"/>
          <w:color w:val="000000" w:themeColor="text1"/>
          <w:sz w:val="22"/>
          <w:szCs w:val="22"/>
        </w:rPr>
        <w:t>2011</w:t>
      </w:r>
      <w:r w:rsidRPr="00C47DDD">
        <w:rPr>
          <w:rFonts w:ascii="Arial" w:hAnsi="Arial" w:cs="Arial"/>
          <w:color w:val="000000" w:themeColor="text1"/>
          <w:sz w:val="22"/>
          <w:szCs w:val="22"/>
        </w:rPr>
        <w:t>. </w:t>
      </w:r>
      <w:r w:rsidRPr="00C47DDD">
        <w:rPr>
          <w:rFonts w:ascii="Arial" w:hAnsi="Arial" w:cs="Arial"/>
          <w:i/>
          <w:iCs/>
          <w:color w:val="000000" w:themeColor="text1"/>
          <w:sz w:val="22"/>
          <w:szCs w:val="22"/>
        </w:rPr>
        <w:t>Promoting Children's Rights in Social Work and Social</w:t>
      </w:r>
      <w:r w:rsidRPr="00067907">
        <w:rPr>
          <w:rFonts w:ascii="Arial" w:hAnsi="Arial" w:cs="Arial"/>
          <w:i/>
          <w:iCs/>
          <w:color w:val="000000" w:themeColor="text1"/>
          <w:sz w:val="22"/>
          <w:szCs w:val="22"/>
        </w:rPr>
        <w:t xml:space="preserve"> Care: A guide to participatory practice</w:t>
      </w:r>
      <w:r w:rsidRPr="00067907">
        <w:rPr>
          <w:rFonts w:ascii="Arial" w:hAnsi="Arial" w:cs="Arial"/>
          <w:color w:val="000000" w:themeColor="text1"/>
          <w:sz w:val="22"/>
          <w:szCs w:val="22"/>
        </w:rPr>
        <w:t>. </w:t>
      </w:r>
      <w:r w:rsidRPr="00067907">
        <w:rPr>
          <w:rStyle w:val="nlmpublisher-loc"/>
          <w:rFonts w:ascii="Arial" w:hAnsi="Arial" w:cs="Arial"/>
          <w:color w:val="000000" w:themeColor="text1"/>
          <w:sz w:val="22"/>
          <w:szCs w:val="22"/>
        </w:rPr>
        <w:t>London</w:t>
      </w:r>
      <w:r w:rsidRPr="00067907">
        <w:rPr>
          <w:rFonts w:ascii="Arial" w:hAnsi="Arial" w:cs="Arial"/>
          <w:color w:val="000000" w:themeColor="text1"/>
          <w:sz w:val="22"/>
          <w:szCs w:val="22"/>
        </w:rPr>
        <w:t>: </w:t>
      </w:r>
      <w:r w:rsidRPr="00067907">
        <w:rPr>
          <w:rStyle w:val="nlmpublisher-name"/>
          <w:rFonts w:ascii="Arial" w:hAnsi="Arial" w:cs="Arial"/>
          <w:color w:val="000000" w:themeColor="text1"/>
          <w:sz w:val="22"/>
          <w:szCs w:val="22"/>
        </w:rPr>
        <w:t>Jessica Kingsley Publishers</w:t>
      </w:r>
      <w:r w:rsidRPr="00067907">
        <w:rPr>
          <w:rFonts w:ascii="Arial" w:hAnsi="Arial" w:cs="Arial"/>
          <w:color w:val="000000" w:themeColor="text1"/>
          <w:sz w:val="22"/>
          <w:szCs w:val="22"/>
        </w:rPr>
        <w:t>.</w:t>
      </w:r>
    </w:p>
    <w:p w14:paraId="6BC505B8"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Beresford, P., 2012. Working on Well-Being: Researchers’ Experiences of a Participative Approach to Understanding the Subjective Well-Being of Disabled Young People. </w:t>
      </w:r>
      <w:r w:rsidRPr="00067907">
        <w:rPr>
          <w:rFonts w:ascii="Arial" w:hAnsi="Arial" w:cs="Arial"/>
          <w:i/>
          <w:iCs/>
          <w:color w:val="000000" w:themeColor="text1"/>
          <w:sz w:val="22"/>
          <w:szCs w:val="22"/>
        </w:rPr>
        <w:t>Children &amp; Society</w:t>
      </w:r>
      <w:r w:rsidRPr="00067907">
        <w:rPr>
          <w:rFonts w:ascii="Arial" w:hAnsi="Arial" w:cs="Arial"/>
          <w:color w:val="000000" w:themeColor="text1"/>
          <w:sz w:val="22"/>
          <w:szCs w:val="22"/>
        </w:rPr>
        <w:t>, [e-journal] 26(3), pp.234-240. https://doi.org/10.1111/j.1099-0860.2012.00436.x.</w:t>
      </w:r>
    </w:p>
    <w:p w14:paraId="007957B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Beresford, P., 2017. A Participatory Approach to Services and Support in Participation. In: A. H. Eide, S. Josephsson, K. Vik, eds. 2017. </w:t>
      </w:r>
      <w:r w:rsidRPr="00067907">
        <w:rPr>
          <w:rStyle w:val="bibauth"/>
          <w:rFonts w:ascii="Arial" w:eastAsiaTheme="majorEastAsia" w:hAnsi="Arial" w:cs="Arial"/>
          <w:i/>
          <w:color w:val="000000" w:themeColor="text1"/>
          <w:sz w:val="22"/>
          <w:szCs w:val="22"/>
          <w:bdr w:val="none" w:sz="0" w:space="0" w:color="auto" w:frame="1"/>
          <w:shd w:val="clear" w:color="auto" w:fill="FFFFFF"/>
        </w:rPr>
        <w:t>Health and Welfare Services: Professional Concepts and Lived Experience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Routledge. Ch.6.</w:t>
      </w:r>
    </w:p>
    <w:p w14:paraId="4A25A78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Berger, R., 2015. Now I see it, now I don’t: researcher’s position and reflexivity in qualitative research.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15(2), pp.219-234. https://doi.org/10.1177/1468794112468475.</w:t>
      </w:r>
    </w:p>
    <w:p w14:paraId="2198761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Berrick, J., Dickens, J., Pösö, T. and Skivenes, M., 2015. Corrigendum to Children's involvement in care order decision-making: A cross country analysis. </w:t>
      </w:r>
      <w:r w:rsidRPr="00067907">
        <w:rPr>
          <w:rStyle w:val="bibauth"/>
          <w:rFonts w:ascii="Arial" w:eastAsiaTheme="majorEastAsia" w:hAnsi="Arial" w:cs="Arial"/>
          <w:i/>
          <w:color w:val="000000" w:themeColor="text1"/>
          <w:sz w:val="22"/>
          <w:szCs w:val="22"/>
          <w:bdr w:val="none" w:sz="0" w:space="0" w:color="auto" w:frame="1"/>
          <w:shd w:val="clear" w:color="auto" w:fill="FFFFFF"/>
        </w:rPr>
        <w:t>Child Abuse &amp; Neglec</w:t>
      </w:r>
      <w:r w:rsidRPr="00067907">
        <w:rPr>
          <w:rStyle w:val="bibauth"/>
          <w:rFonts w:ascii="Arial" w:eastAsiaTheme="majorEastAsia" w:hAnsi="Arial" w:cs="Arial"/>
          <w:color w:val="000000" w:themeColor="text1"/>
          <w:sz w:val="22"/>
          <w:szCs w:val="22"/>
          <w:bdr w:val="none" w:sz="0" w:space="0" w:color="auto" w:frame="1"/>
          <w:shd w:val="clear" w:color="auto" w:fill="FFFFFF"/>
        </w:rPr>
        <w:t>t, [e-journal], 60, pp.128–141. DOI: 10.1016/j.chiabu.2016.10.002.</w:t>
      </w:r>
    </w:p>
    <w:p w14:paraId="70F6BD9F"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Berridge, D., 2012. Educating Young People in Care: What have we learned?’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34(6), pp.1171-1175. </w:t>
      </w:r>
      <w:hyperlink r:id="rId4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https://doi.org/10.1016/j.childyouth.2012.01.032</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4D56D3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Berzin, S. C., Singer, E. and Hokanson, K., 2014. ‘Emerging Versus Emancipating: The Transition to Adulthood for Youth in Foster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Adolescent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29(5), pp. 616–638. doi: 10.1177/0743558414528977.</w:t>
      </w:r>
    </w:p>
    <w:p w14:paraId="4ACC3CA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Bessell, S., 2011. Participation in decision-making in out-of-home care in Australia: What do young people say?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33(4), pp. 496–501. https://doi.org/10.1016/j.childyouth.2010.05.006.</w:t>
      </w:r>
    </w:p>
    <w:p w14:paraId="183F08A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Bevir, M. 1999. Foucault and Critique: Deploying Agency against Autonomy.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Political Theory</w:t>
      </w:r>
      <w:r w:rsidRPr="00067907">
        <w:rPr>
          <w:rStyle w:val="bibauth"/>
          <w:rFonts w:ascii="Arial" w:eastAsiaTheme="majorEastAsia" w:hAnsi="Arial" w:cs="Arial"/>
          <w:color w:val="000000" w:themeColor="text1"/>
          <w:sz w:val="22"/>
          <w:szCs w:val="22"/>
          <w:bdr w:val="none" w:sz="0" w:space="0" w:color="auto" w:frame="1"/>
          <w:shd w:val="clear" w:color="auto" w:fill="FFFFFF"/>
        </w:rPr>
        <w:t>, 27(1), pp. 65-84. [online] Available at: &lt;</w:t>
      </w:r>
      <w:hyperlink r:id="rId4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http://www.jstor.org/stable/192161</w:t>
        </w:r>
      </w:hyperlink>
      <w:r w:rsidRPr="00067907">
        <w:rPr>
          <w:rFonts w:ascii="Arial" w:hAnsi="Arial" w:cs="Arial"/>
          <w:color w:val="000000" w:themeColor="text1"/>
          <w:sz w:val="22"/>
          <w:szCs w:val="22"/>
          <w:bdr w:val="none" w:sz="0" w:space="0" w:color="auto" w:frame="1"/>
          <w:shd w:val="clear" w:color="auto" w:fill="FFFFFF"/>
        </w:rPr>
        <w:t>&gt;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[Accessed 12 September 2020].</w:t>
      </w:r>
    </w:p>
    <w:p w14:paraId="453B43B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Biehal, N. and Wade, J., 1996. Looking back, looking forward: care leavers, families and change. </w:t>
      </w:r>
      <w:r w:rsidRPr="00067907">
        <w:rPr>
          <w:rStyle w:val="bibauth"/>
          <w:rFonts w:ascii="Arial" w:eastAsiaTheme="majorEastAsia" w:hAnsi="Arial" w:cs="Arial"/>
          <w:i/>
          <w:color w:val="000000" w:themeColor="text1"/>
          <w:sz w:val="22"/>
          <w:szCs w:val="22"/>
          <w:bdr w:val="none" w:sz="0" w:space="0" w:color="auto" w:frame="1"/>
          <w:shd w:val="clear" w:color="auto" w:fill="FFFFFF"/>
        </w:rPr>
        <w:t xml:space="preserve">Children and Youth Services Review,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[e-journal] 18(4-5), pp. 425-446. https://doi.org/10.1016/0190-7409(96)00013-8. </w:t>
      </w:r>
    </w:p>
    <w:p w14:paraId="0DA25A1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Biehal, N., 2014. A Sense of Belonging: Meanings of family and home in long term foster care, </w:t>
      </w:r>
      <w:r w:rsidRPr="00067907">
        <w:rPr>
          <w:rStyle w:val="bibauth"/>
          <w:rFonts w:ascii="Arial" w:eastAsiaTheme="majorEastAsia" w:hAnsi="Arial" w:cs="Arial"/>
          <w:i/>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44(4), pp. 955-971.</w:t>
      </w:r>
      <w:r w:rsidRPr="00067907">
        <w:rPr>
          <w:rFonts w:ascii="Arial" w:hAnsi="Arial" w:cs="Arial"/>
          <w:color w:val="000000" w:themeColor="text1"/>
          <w:sz w:val="22"/>
          <w:szCs w:val="22"/>
        </w:rPr>
        <w:t xml:space="preserve"> </w:t>
      </w:r>
      <w:hyperlink r:id="rId4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http://dx.doi.org/10.1093/bjsw/bcs177</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p>
    <w:p w14:paraId="2865FEB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Biehal, N., Clayden, M., Stein, M., and Wade, J., 1995. </w:t>
      </w:r>
      <w:r w:rsidRPr="00067907">
        <w:rPr>
          <w:rStyle w:val="bibauth"/>
          <w:rFonts w:ascii="Arial" w:eastAsiaTheme="majorEastAsia" w:hAnsi="Arial" w:cs="Arial"/>
          <w:i/>
          <w:color w:val="000000" w:themeColor="text1"/>
          <w:sz w:val="22"/>
          <w:szCs w:val="22"/>
          <w:bdr w:val="none" w:sz="0" w:space="0" w:color="auto" w:frame="1"/>
          <w:shd w:val="clear" w:color="auto" w:fill="FFFFFF"/>
        </w:rPr>
        <w:t>Moving On: Young people and leaving care schemes.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HMSO Press.</w:t>
      </w:r>
    </w:p>
    <w:p w14:paraId="6BE88ED6" w14:textId="565324CC" w:rsid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Biehal, N., Ellison, S., Baker, C. and Sinclair, I., 2010. </w:t>
      </w:r>
      <w:r w:rsidRPr="00067907">
        <w:rPr>
          <w:rStyle w:val="bibauth"/>
          <w:rFonts w:ascii="Arial" w:eastAsiaTheme="majorEastAsia" w:hAnsi="Arial" w:cs="Arial"/>
          <w:i/>
          <w:color w:val="000000" w:themeColor="text1"/>
          <w:sz w:val="22"/>
          <w:szCs w:val="22"/>
          <w:bdr w:val="none" w:sz="0" w:space="0" w:color="auto" w:frame="1"/>
          <w:shd w:val="clear" w:color="auto" w:fill="FFFFFF"/>
        </w:rPr>
        <w:t>Belonging and Permanence: Outcomes in long-term foster care and adoption</w:t>
      </w:r>
      <w:r w:rsidRPr="00067907">
        <w:rPr>
          <w:rStyle w:val="bibauth"/>
          <w:rFonts w:ascii="Arial" w:eastAsiaTheme="majorEastAsia" w:hAnsi="Arial" w:cs="Arial"/>
          <w:color w:val="000000" w:themeColor="text1"/>
          <w:sz w:val="22"/>
          <w:szCs w:val="22"/>
          <w:bdr w:val="none" w:sz="0" w:space="0" w:color="auto" w:frame="1"/>
          <w:shd w:val="clear" w:color="auto" w:fill="FFFFFF"/>
        </w:rPr>
        <w:t>. BAAF, London.</w:t>
      </w:r>
    </w:p>
    <w:p w14:paraId="4EB7795B" w14:textId="77B2E84E" w:rsidR="00EC6132" w:rsidRPr="00067907" w:rsidRDefault="00EC6132"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Birks, M. 2014. Quality in Qualitative Research. In J. Mills and M. Birks (eds) 2014.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w:t>
      </w:r>
      <w:r w:rsidR="000D0EFD" w:rsidRPr="00C47DDD">
        <w:rPr>
          <w:rStyle w:val="bibauth"/>
          <w:rFonts w:ascii="Arial" w:eastAsiaTheme="majorEastAsia" w:hAnsi="Arial" w:cs="Arial"/>
          <w:i/>
          <w:iCs/>
          <w:color w:val="000000" w:themeColor="text1"/>
          <w:sz w:val="22"/>
          <w:szCs w:val="22"/>
          <w:bdr w:val="none" w:sz="0" w:space="0" w:color="auto" w:frame="1"/>
          <w:shd w:val="clear" w:color="auto" w:fill="FFFFFF"/>
        </w:rPr>
        <w:t>itative Methodology</w:t>
      </w:r>
      <w:r w:rsidR="000D0EFD" w:rsidRPr="00C47DDD">
        <w:rPr>
          <w:rStyle w:val="bibauth"/>
          <w:rFonts w:ascii="Arial" w:eastAsiaTheme="majorEastAsia" w:hAnsi="Arial" w:cs="Arial"/>
          <w:color w:val="000000" w:themeColor="text1"/>
          <w:sz w:val="22"/>
          <w:szCs w:val="22"/>
          <w:bdr w:val="none" w:sz="0" w:space="0" w:color="auto" w:frame="1"/>
          <w:shd w:val="clear" w:color="auto" w:fill="FFFFFF"/>
        </w:rPr>
        <w:t>. London: SAGE. Ch.13.</w:t>
      </w:r>
    </w:p>
    <w:p w14:paraId="53BC8CF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Birt, L., Scott, S., Cavers, D., Campbell, C., and Walter, F., 2016. Member checking: a tool to enhance trustworthiness or merely a nod to validation?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Health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26(13), pp. 1802-1811.https://doi.org/10.1177/1049732316654870.</w:t>
      </w:r>
    </w:p>
    <w:p w14:paraId="0378EF3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Blyth, M.,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Moving on from Munro: Improving Children's Services</w:t>
      </w:r>
      <w:r w:rsidRPr="00067907">
        <w:rPr>
          <w:rStyle w:val="bibauth"/>
          <w:rFonts w:ascii="Arial" w:eastAsiaTheme="majorEastAsia" w:hAnsi="Arial" w:cs="Arial"/>
          <w:color w:val="000000" w:themeColor="text1"/>
          <w:sz w:val="22"/>
          <w:szCs w:val="22"/>
          <w:bdr w:val="none" w:sz="0" w:space="0" w:color="auto" w:frame="1"/>
          <w:shd w:val="clear" w:color="auto" w:fill="FFFFFF"/>
        </w:rPr>
        <w:t>. Bristol: Policy Press.</w:t>
      </w:r>
    </w:p>
    <w:p w14:paraId="517E0B1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Body, A., 2019. The Commissioners Perspective: The Lived Realities of Commissioning Children’s Preventative Services in England and the Role of Discretion.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Voluntary Sector Review</w:t>
      </w:r>
      <w:r w:rsidRPr="00067907">
        <w:rPr>
          <w:rStyle w:val="bibauth"/>
          <w:rFonts w:ascii="Arial" w:eastAsiaTheme="majorEastAsia" w:hAnsi="Arial" w:cs="Arial"/>
          <w:color w:val="000000" w:themeColor="text1"/>
          <w:sz w:val="22"/>
          <w:szCs w:val="22"/>
          <w:bdr w:val="none" w:sz="0" w:space="0" w:color="auto" w:frame="1"/>
          <w:shd w:val="clear" w:color="auto" w:fill="FFFFFF"/>
        </w:rPr>
        <w:t>, [e-journal]10(3). pp. 253-271. doi:10.1332/204080519X15718896711502.</w:t>
      </w:r>
    </w:p>
    <w:p w14:paraId="6B7D343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Bolin, A., 2016. Children's agency in Interprofessional Collaborative Meetings in Child Welfare Work.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21, pp. 502–51. </w:t>
      </w:r>
      <w:hyperlink r:id="rId5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http://dx.doi.org/10.1111/cfs.12167</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p>
    <w:p w14:paraId="3D493CA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Bowlby, J., 1969. </w:t>
      </w:r>
      <w:r w:rsidRPr="00067907">
        <w:rPr>
          <w:rStyle w:val="bibauth"/>
          <w:rFonts w:ascii="Arial" w:eastAsiaTheme="majorEastAsia" w:hAnsi="Arial" w:cs="Arial"/>
          <w:i/>
          <w:color w:val="000000" w:themeColor="text1"/>
          <w:sz w:val="22"/>
          <w:szCs w:val="22"/>
          <w:bdr w:val="none" w:sz="0" w:space="0" w:color="auto" w:frame="1"/>
          <w:shd w:val="clear" w:color="auto" w:fill="FFFFFF"/>
        </w:rPr>
        <w:t>Attachment and Loss. Vol. I: Attachment</w:t>
      </w:r>
      <w:r w:rsidRPr="00067907">
        <w:rPr>
          <w:rStyle w:val="bibauth"/>
          <w:rFonts w:ascii="Arial" w:eastAsiaTheme="majorEastAsia" w:hAnsi="Arial" w:cs="Arial"/>
          <w:color w:val="000000" w:themeColor="text1"/>
          <w:sz w:val="22"/>
          <w:szCs w:val="22"/>
          <w:bdr w:val="none" w:sz="0" w:space="0" w:color="auto" w:frame="1"/>
          <w:shd w:val="clear" w:color="auto" w:fill="FFFFFF"/>
        </w:rPr>
        <w:t>. London: Penguin Books.</w:t>
      </w:r>
    </w:p>
    <w:p w14:paraId="3DA7E91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Bowyer, S. and Roe A.,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Social work recruitment and retention: Strategic Briefing</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Dartington: Research in Practice.</w:t>
      </w:r>
    </w:p>
    <w:p w14:paraId="6DA61A2E" w14:textId="0EB37CEA"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Bradbury-Jones, C. and Taylor, J., 2015. Engaging with children as co-researchers: challenges, counter</w:t>
      </w:r>
      <w:r w:rsidR="005C5158">
        <w:rPr>
          <w:rStyle w:val="bibauth"/>
          <w:rFonts w:ascii="Arial" w:eastAsiaTheme="majorEastAsia" w:hAnsi="Arial" w:cs="Arial"/>
          <w:color w:val="000000" w:themeColor="text1"/>
          <w:sz w:val="22"/>
          <w:szCs w:val="22"/>
          <w:bdr w:val="none" w:sz="0" w:space="0" w:color="auto" w:frame="1"/>
          <w:shd w:val="clear" w:color="auto" w:fill="FFFFFF"/>
        </w:rPr>
        <w:t xml:space="preserve"> –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challenges and solutions. </w:t>
      </w:r>
      <w:r w:rsidRPr="00F7070D">
        <w:rPr>
          <w:rStyle w:val="bibauth"/>
          <w:rFonts w:ascii="Arial" w:eastAsiaTheme="majorEastAsia" w:hAnsi="Arial" w:cs="Arial"/>
          <w:i/>
          <w:iCs/>
          <w:color w:val="000000" w:themeColor="text1"/>
          <w:sz w:val="22"/>
          <w:szCs w:val="22"/>
          <w:bdr w:val="none" w:sz="0" w:space="0" w:color="auto" w:frame="1"/>
          <w:shd w:val="clear" w:color="auto" w:fill="FFFFFF"/>
        </w:rPr>
        <w:t>International Journal of Social Research Methodology</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18(2), pp. 161-173. DOI: 10.1080/13645579.2013.864589.</w:t>
      </w:r>
    </w:p>
    <w:p w14:paraId="1847361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Brady, E. and Gilligan, R., 2019. Supporting care</w:t>
      </w:r>
      <w:r w:rsidRPr="00067907">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experienced adults' educational journeys: “Linked lives” over the life course.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25(2), pp. 221–229. </w:t>
      </w:r>
      <w:hyperlink r:id="rId5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https://doi.org/10.1111/cfs.12677</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7EF3196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Brammer, A., 2020.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Social Work Law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Pearson. </w:t>
      </w:r>
    </w:p>
    <w:p w14:paraId="4F22405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Brandon, M., Sidebotham, P., Bailey, S., Belderson, P., Hawley, C., Ellis, C. and Megson, M., 2012. </w:t>
      </w:r>
      <w:r w:rsidRPr="00067907">
        <w:rPr>
          <w:rStyle w:val="bibauth"/>
          <w:rFonts w:ascii="Arial" w:eastAsiaTheme="majorEastAsia" w:hAnsi="Arial" w:cs="Arial"/>
          <w:i/>
          <w:iCs/>
          <w:color w:val="000000" w:themeColor="text1"/>
          <w:sz w:val="22"/>
          <w:szCs w:val="22"/>
          <w:bdr w:val="none" w:sz="0" w:space="0" w:color="auto" w:frame="1"/>
          <w:shd w:val="clear" w:color="auto" w:fill="FFFFFF"/>
        </w:rPr>
        <w:t>New Learning from Serious Case reviews</w:t>
      </w:r>
      <w:r w:rsidRPr="00067907">
        <w:rPr>
          <w:rStyle w:val="bibauth"/>
          <w:rFonts w:ascii="Arial" w:eastAsiaTheme="majorEastAsia" w:hAnsi="Arial" w:cs="Arial"/>
          <w:color w:val="000000" w:themeColor="text1"/>
          <w:sz w:val="22"/>
          <w:szCs w:val="22"/>
          <w:bdr w:val="none" w:sz="0" w:space="0" w:color="auto" w:frame="1"/>
          <w:shd w:val="clear" w:color="auto" w:fill="FFFFFF"/>
        </w:rPr>
        <w:t>. Department for Education. [pdf] Available at: &lt;</w:t>
      </w:r>
      <w:r w:rsidRPr="00067907">
        <w:rPr>
          <w:rFonts w:ascii="Arial" w:hAnsi="Arial" w:cs="Arial"/>
          <w:color w:val="000000" w:themeColor="text1"/>
          <w:sz w:val="22"/>
          <w:szCs w:val="22"/>
        </w:rPr>
        <w:t xml:space="preserve"> </w:t>
      </w:r>
      <w:hyperlink r:id="rId5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https://assets.publishing.service.gov.uk/government/uploads/system/uploads/attachment_data/file/184053/DFE-RR226_Report.pdf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12 May 2018].</w:t>
      </w:r>
    </w:p>
    <w:p w14:paraId="700BEF3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Braun, V., and Clarke, V., 2013.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Successful Qualitative Research: A Practical Guide for Beginners.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w:t>
      </w:r>
    </w:p>
    <w:p w14:paraId="14E63E5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Braun, V., and Clarke, V., 2019. Reflecting on reflexive thematic analysis.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Research in Sport, Exercise and Health</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11(4), pp. 589–597. https://doi.org/10.1080/2159676x.2019.1628806.</w:t>
      </w:r>
    </w:p>
    <w:p w14:paraId="5FF1A22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Brihelm-Crookall, L., Michelmore, O., Baker, C., Oni, O., Taylor, S. and Selwyn, J., 2020.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What Makes Life Good?: Care leavers’ views on their well-being</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hyperlink r:id="rId53" w:history="1">
        <w:r w:rsidRPr="00067907">
          <w:rPr>
            <w:rStyle w:val="Hyperlink"/>
            <w:rFonts w:ascii="Arial" w:eastAsiaTheme="majorEastAsia" w:hAnsi="Arial" w:cs="Arial"/>
            <w:color w:val="000000" w:themeColor="text1"/>
            <w:sz w:val="22"/>
            <w:szCs w:val="22"/>
            <w:u w:val="none"/>
          </w:rPr>
          <w:t>https://coramvoice.org.uk/wp-content/uploads/2020/11/1883-CV-What-Makes-Life-Good-Report-final.pdf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12 December 2020].</w:t>
      </w:r>
    </w:p>
    <w:p w14:paraId="53E5E41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British Association for Social Work, 2018.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Code of Ethics for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hyperlink r:id="rId54" w:history="1">
        <w:r w:rsidRPr="00067907">
          <w:rPr>
            <w:rStyle w:val="Hyperlink"/>
            <w:rFonts w:ascii="Arial" w:eastAsiaTheme="majorEastAsia" w:hAnsi="Arial" w:cs="Arial"/>
            <w:color w:val="000000" w:themeColor="text1"/>
            <w:sz w:val="22"/>
            <w:szCs w:val="22"/>
            <w:u w:val="none"/>
          </w:rPr>
          <w:t>https://www.basw.co.uk/system/files/resources/Code%20of%20Ethics%20Aug18.pdf</w:t>
        </w:r>
      </w:hyperlink>
      <w:r w:rsidRPr="00067907">
        <w:rPr>
          <w:rFonts w:ascii="Arial" w:hAnsi="Arial" w:cs="Arial"/>
          <w:color w:val="000000" w:themeColor="text1"/>
          <w:sz w:val="22"/>
          <w:szCs w:val="22"/>
        </w:rPr>
        <w:t>&gt;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[Accessed 20 October 2020].</w:t>
      </w:r>
    </w:p>
    <w:p w14:paraId="356C3C3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Broad, B., 1998.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Young People Leaving Care: Life after the Children Act 1989</w:t>
      </w:r>
      <w:r w:rsidRPr="00067907">
        <w:rPr>
          <w:rStyle w:val="bibauth"/>
          <w:rFonts w:ascii="Arial" w:eastAsiaTheme="majorEastAsia" w:hAnsi="Arial" w:cs="Arial"/>
          <w:color w:val="000000" w:themeColor="text1"/>
          <w:sz w:val="22"/>
          <w:szCs w:val="22"/>
          <w:bdr w:val="none" w:sz="0" w:space="0" w:color="auto" w:frame="1"/>
          <w:shd w:val="clear" w:color="auto" w:fill="FFFFFF"/>
        </w:rPr>
        <w:t>. London: Jessica Kingsley Press.</w:t>
      </w:r>
    </w:p>
    <w:p w14:paraId="144EFF7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Broad, B., 2005. Young people leaving care: implementing the children (Leaving Care) Act 2000?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19(5), pp.371-384. </w:t>
      </w:r>
      <w:hyperlink r:id="rId5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https://doi.org/10.1002/chi.839</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35AB713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Brown, L., 2015. A Lasting Legacy? Sustaining Innovation in a Social Work Context.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45(1), pp. 138–152. https://doi.org/10.1093/bjsw/bct107.</w:t>
      </w:r>
    </w:p>
    <w:p w14:paraId="0D24186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Browne, A., 2008. Life After Care [online] Available at:&lt;https://secure.toolkitfiles.co.uk/clients/23786/sitedata/files/NCLW_Report_LifeAfterCare_.pdf&gt; [Accessed 21 June 2021].</w:t>
      </w:r>
    </w:p>
    <w:p w14:paraId="3CC9598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Brunsson, N., 2007. </w:t>
      </w:r>
      <w:r w:rsidRPr="00067907">
        <w:rPr>
          <w:rStyle w:val="bibauth"/>
          <w:rFonts w:ascii="Arial" w:eastAsiaTheme="majorEastAsia" w:hAnsi="Arial" w:cs="Arial"/>
          <w:i/>
          <w:color w:val="000000" w:themeColor="text1"/>
          <w:sz w:val="22"/>
          <w:szCs w:val="22"/>
          <w:bdr w:val="none" w:sz="0" w:space="0" w:color="auto" w:frame="1"/>
          <w:shd w:val="clear" w:color="auto" w:fill="FFFFFF"/>
        </w:rPr>
        <w:t>The Consequences of Decision-Making</w:t>
      </w:r>
      <w:r w:rsidRPr="00067907">
        <w:rPr>
          <w:rStyle w:val="bibauth"/>
          <w:rFonts w:ascii="Arial" w:eastAsiaTheme="majorEastAsia" w:hAnsi="Arial" w:cs="Arial"/>
          <w:color w:val="000000" w:themeColor="text1"/>
          <w:sz w:val="22"/>
          <w:szCs w:val="22"/>
          <w:bdr w:val="none" w:sz="0" w:space="0" w:color="auto" w:frame="1"/>
          <w:shd w:val="clear" w:color="auto" w:fill="FFFFFF"/>
        </w:rPr>
        <w:t>. Oxford: Oxford University Press.</w:t>
      </w:r>
    </w:p>
    <w:p w14:paraId="137C3A4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Brydon, K. and Fleming, J., 2011. The Journey Around My PhD: Pitfalls, Insights and Diamonds.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Social Work Education</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30(8), pp. 995-1011. doi: 10.1080/02615479.2010.527936.</w:t>
      </w:r>
    </w:p>
    <w:p w14:paraId="1FD586E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Bryman, A., 2016, </w:t>
      </w:r>
      <w:r w:rsidRPr="00067907">
        <w:rPr>
          <w:rStyle w:val="bibauth"/>
          <w:rFonts w:ascii="Arial" w:eastAsiaTheme="majorEastAsia" w:hAnsi="Arial" w:cs="Arial"/>
          <w:i/>
          <w:color w:val="000000" w:themeColor="text1"/>
          <w:sz w:val="22"/>
          <w:szCs w:val="22"/>
          <w:bdr w:val="none" w:sz="0" w:space="0" w:color="auto" w:frame="1"/>
          <w:shd w:val="clear" w:color="auto" w:fill="FFFFFF"/>
        </w:rPr>
        <w:t>Social Research Methods</w:t>
      </w:r>
      <w:r w:rsidRPr="00067907">
        <w:rPr>
          <w:rStyle w:val="bibauth"/>
          <w:rFonts w:ascii="Arial" w:eastAsiaTheme="majorEastAsia" w:hAnsi="Arial" w:cs="Arial"/>
          <w:color w:val="000000" w:themeColor="text1"/>
          <w:sz w:val="22"/>
          <w:szCs w:val="22"/>
          <w:bdr w:val="none" w:sz="0" w:space="0" w:color="auto" w:frame="1"/>
          <w:shd w:val="clear" w:color="auto" w:fill="FFFFFF"/>
        </w:rPr>
        <w:t>. Oxford: Oxford University Press.</w:t>
      </w:r>
    </w:p>
    <w:p w14:paraId="5DA4E0B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Bucknall, S., 2014. Doing Qualitative Research with children and Young People. In: A. Clark, A., R. Flewitt, M. Hammersley and M. Robb, eds., 2014</w:t>
      </w:r>
      <w:r w:rsidRPr="00067907">
        <w:rPr>
          <w:rStyle w:val="bibauth"/>
          <w:rFonts w:ascii="Arial" w:eastAsiaTheme="majorEastAsia" w:hAnsi="Arial" w:cs="Arial"/>
          <w:i/>
          <w:iCs/>
          <w:color w:val="000000" w:themeColor="text1"/>
          <w:sz w:val="22"/>
          <w:szCs w:val="22"/>
          <w:bdr w:val="none" w:sz="0" w:space="0" w:color="auto" w:frame="1"/>
          <w:shd w:val="clear" w:color="auto" w:fill="FFFFFF"/>
        </w:rPr>
        <w:t>. Understanding Research with Children and Young People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 Ch. 4. </w:t>
      </w:r>
    </w:p>
    <w:p w14:paraId="194EEC4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Bullock, R., 2018. The limits of Organisational Change.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Adoption &amp; Fostering</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42(2), pp. 105–107. </w:t>
      </w:r>
      <w:hyperlink r:id="rId5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https://doi.org/10.1177/0308575918773598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3CA76E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Burns, K. and Christie, A., 2013. Employment mobility or turnover? An analysis of child welfare and protection employee retention. </w:t>
      </w:r>
      <w:r w:rsidRPr="00F7070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35(2), pp. 340-346. https://doi.org/10.1016/j.childyouth.2012.11.014.</w:t>
      </w:r>
    </w:p>
    <w:p w14:paraId="093FFDA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Butler, I., 2002. A Code of Ethics for Social Work and Social Care Research.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32(2), pp.239-248. http:// doi: 10.1093/bjsw/32.2.239.</w:t>
      </w:r>
    </w:p>
    <w:p w14:paraId="76F25D3C" w14:textId="345FDB63" w:rsid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Butler, I., and Drakeford, M., 2005. Trusting in Social Work.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 Special issue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35(5), pp. 639–653. </w:t>
      </w:r>
      <w:hyperlink r:id="rId5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https://doi.org/10.1093/bjsw/bch302</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5C703357" w14:textId="20EF107B" w:rsidR="00FE6263" w:rsidRPr="00067907" w:rsidRDefault="00FE6263"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FE6263">
        <w:rPr>
          <w:rStyle w:val="bibauth"/>
          <w:rFonts w:ascii="Arial" w:eastAsiaTheme="majorEastAsia" w:hAnsi="Arial" w:cs="Arial"/>
          <w:color w:val="000000" w:themeColor="text1"/>
          <w:sz w:val="22"/>
          <w:szCs w:val="22"/>
          <w:bdr w:val="none" w:sz="0" w:space="0" w:color="auto" w:frame="1"/>
          <w:shd w:val="clear" w:color="auto" w:fill="FFFFFF"/>
        </w:rPr>
        <w:t xml:space="preserve">Butler, I., </w:t>
      </w:r>
      <w:r>
        <w:rPr>
          <w:rStyle w:val="bibauth"/>
          <w:rFonts w:ascii="Arial" w:eastAsiaTheme="majorEastAsia" w:hAnsi="Arial" w:cs="Arial"/>
          <w:color w:val="000000" w:themeColor="text1"/>
          <w:sz w:val="22"/>
          <w:szCs w:val="22"/>
          <w:bdr w:val="none" w:sz="0" w:space="0" w:color="auto" w:frame="1"/>
          <w:shd w:val="clear" w:color="auto" w:fill="FFFFFF"/>
        </w:rPr>
        <w:t>and</w:t>
      </w:r>
      <w:r w:rsidRPr="00FE6263">
        <w:rPr>
          <w:rStyle w:val="bibauth"/>
          <w:rFonts w:ascii="Arial" w:eastAsiaTheme="majorEastAsia" w:hAnsi="Arial" w:cs="Arial"/>
          <w:color w:val="000000" w:themeColor="text1"/>
          <w:sz w:val="22"/>
          <w:szCs w:val="22"/>
          <w:bdr w:val="none" w:sz="0" w:space="0" w:color="auto" w:frame="1"/>
          <w:shd w:val="clear" w:color="auto" w:fill="FFFFFF"/>
        </w:rPr>
        <w:t xml:space="preserve"> Drakeford, M.</w:t>
      </w:r>
      <w:r>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FE6263">
        <w:rPr>
          <w:rStyle w:val="bibauth"/>
          <w:rFonts w:ascii="Arial" w:eastAsiaTheme="majorEastAsia" w:hAnsi="Arial" w:cs="Arial"/>
          <w:color w:val="000000" w:themeColor="text1"/>
          <w:sz w:val="22"/>
          <w:szCs w:val="22"/>
          <w:bdr w:val="none" w:sz="0" w:space="0" w:color="auto" w:frame="1"/>
          <w:shd w:val="clear" w:color="auto" w:fill="FFFFFF"/>
        </w:rPr>
        <w:t>2011. Social work on trial: The Colwell Inquiry and the state of welfare. Bristol</w:t>
      </w:r>
      <w:r>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FE6263">
        <w:rPr>
          <w:rStyle w:val="bibauth"/>
          <w:rFonts w:ascii="Arial" w:eastAsiaTheme="majorEastAsia" w:hAnsi="Arial" w:cs="Arial"/>
          <w:color w:val="000000" w:themeColor="text1"/>
          <w:sz w:val="22"/>
          <w:szCs w:val="22"/>
          <w:bdr w:val="none" w:sz="0" w:space="0" w:color="auto" w:frame="1"/>
          <w:shd w:val="clear" w:color="auto" w:fill="FFFFFF"/>
        </w:rPr>
        <w:t>Bristol University Press</w:t>
      </w:r>
      <w:r>
        <w:rPr>
          <w:rStyle w:val="bibauth"/>
          <w:rFonts w:ascii="Arial" w:eastAsiaTheme="majorEastAsia" w:hAnsi="Arial" w:cs="Arial"/>
          <w:color w:val="000000" w:themeColor="text1"/>
          <w:sz w:val="22"/>
          <w:szCs w:val="22"/>
          <w:bdr w:val="none" w:sz="0" w:space="0" w:color="auto" w:frame="1"/>
          <w:shd w:val="clear" w:color="auto" w:fill="FFFFFF"/>
        </w:rPr>
        <w:t>.</w:t>
      </w:r>
    </w:p>
    <w:p w14:paraId="4AEFACC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Butterworth, S., Singh, S. P., Birchwood, M., Islam, Z., Munro, E. R., Vostanis, P., Paul, M., Khan, A. and Simkiss, D., 2016. Transitioning care-leavers with mental health needs: ‘they set you up to fail!’</w:t>
      </w:r>
      <w:r w:rsidRPr="00067907">
        <w:rPr>
          <w:rStyle w:val="bibauth"/>
          <w:rFonts w:ascii="Arial" w:eastAsiaTheme="majorEastAsia" w:hAnsi="Arial" w:cs="Arial"/>
          <w:i/>
          <w:color w:val="000000" w:themeColor="text1"/>
          <w:sz w:val="22"/>
          <w:szCs w:val="22"/>
          <w:bdr w:val="none" w:sz="0" w:space="0" w:color="auto" w:frame="1"/>
          <w:shd w:val="clear" w:color="auto" w:fill="FFFFFF"/>
        </w:rPr>
        <w:t>. Child and Adolescent Mental Health,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http://doi: 10.1111/camh.12171.</w:t>
      </w:r>
    </w:p>
    <w:p w14:paraId="67C40A0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Cafcass, 2012.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Three Weeks in November…three years on: Cafcass care application study 2012</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w:t>
      </w:r>
      <w:hyperlink r:id="rId5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https://dera.ioe.ac.uk/14891/7/Cafcass%20Care%20Application%20Study%202012%20FINAL_Redacted.pdf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&gt; [Accessed 1 June 2021].</w:t>
      </w:r>
    </w:p>
    <w:p w14:paraId="66C0E603" w14:textId="6D7E4036"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Cafcass, 2021.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Public Law Data</w:t>
      </w:r>
      <w:r w:rsidRPr="00067907">
        <w:rPr>
          <w:rStyle w:val="bibauth"/>
          <w:rFonts w:ascii="Arial" w:eastAsiaTheme="majorEastAsia" w:hAnsi="Arial" w:cs="Arial"/>
          <w:color w:val="000000" w:themeColor="text1"/>
          <w:sz w:val="22"/>
          <w:szCs w:val="22"/>
          <w:bdr w:val="none" w:sz="0" w:space="0" w:color="auto" w:frame="1"/>
          <w:shd w:val="clear" w:color="auto" w:fill="FFFFFF"/>
        </w:rPr>
        <w:t>. [online] Available at: &lt;</w:t>
      </w:r>
      <w:hyperlink r:id="rId5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https://www.cafcass.gov.uk/about-cafcass/research-and-data/public-law-data</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28 June 2021]</w:t>
      </w:r>
      <w:r w:rsidR="00F7070D">
        <w:rPr>
          <w:rStyle w:val="bibauth"/>
          <w:rFonts w:ascii="Arial" w:eastAsiaTheme="majorEastAsia" w:hAnsi="Arial" w:cs="Arial"/>
          <w:color w:val="000000" w:themeColor="text1"/>
          <w:sz w:val="22"/>
          <w:szCs w:val="22"/>
          <w:bdr w:val="none" w:sz="0" w:space="0" w:color="auto" w:frame="1"/>
          <w:shd w:val="clear" w:color="auto" w:fill="FFFFFF"/>
        </w:rPr>
        <w:t>.</w:t>
      </w:r>
    </w:p>
    <w:p w14:paraId="1144E18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Cameron, C., Hollingworth, K., Schoon, I., van Santen, E., Schröer, W., Ristikari, T. and Heino, T., 2018. Care leavers in early adulthood: How do they fare in Britain, Finland and Germany?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87, pp. 163-172. 10.1016/j.childyouth.2018.02.031.</w:t>
      </w:r>
    </w:p>
    <w:p w14:paraId="1A8CA2C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Cannella, G., 2000. The Scientific Discourse of Education: predetermining the lives of others – Foucault, education, and children.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Contemporary Issues in Early Childhood</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1(1), pp. 36-44.</w:t>
      </w:r>
      <w:r w:rsidRPr="00067907">
        <w:rPr>
          <w:rFonts w:ascii="Arial" w:hAnsi="Arial" w:cs="Arial"/>
          <w:color w:val="000000" w:themeColor="text1"/>
          <w:sz w:val="22"/>
          <w:szCs w:val="22"/>
        </w:rPr>
        <w:t xml:space="preserve"> </w:t>
      </w:r>
      <w:hyperlink r:id="rId6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https://doi.org/10.2304/ciec.2000.1.1.6</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p>
    <w:p w14:paraId="204C8E1F"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Carey, M., 2019. The Tyranny of Ethics? Political Challenges and Tensions When Applying Ethical Governance to Qualitative Social Work Research. </w:t>
      </w:r>
      <w:r w:rsidRPr="00067907">
        <w:rPr>
          <w:rFonts w:ascii="Arial" w:hAnsi="Arial" w:cs="Arial"/>
          <w:i/>
          <w:iCs/>
          <w:color w:val="000000" w:themeColor="text1"/>
          <w:sz w:val="22"/>
          <w:szCs w:val="22"/>
          <w:bdr w:val="none" w:sz="0" w:space="0" w:color="auto" w:frame="1"/>
          <w:shd w:val="clear" w:color="auto" w:fill="FFFFFF"/>
        </w:rPr>
        <w:t>Ethics and Social Welfare</w:t>
      </w:r>
      <w:r w:rsidRPr="00067907">
        <w:rPr>
          <w:rFonts w:ascii="Arial" w:hAnsi="Arial" w:cs="Arial"/>
          <w:color w:val="000000" w:themeColor="text1"/>
          <w:sz w:val="22"/>
          <w:szCs w:val="22"/>
          <w:bdr w:val="none" w:sz="0" w:space="0" w:color="auto" w:frame="1"/>
          <w:shd w:val="clear" w:color="auto" w:fill="FFFFFF"/>
        </w:rPr>
        <w:t>, [e-journal] 13(2), pp. 150-162, doi: 10.1080/17496535.2018.1548630.</w:t>
      </w:r>
    </w:p>
    <w:p w14:paraId="33F5041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Carr, H. and Goosey, D., 2021. </w:t>
      </w:r>
      <w:r w:rsidRPr="00067907">
        <w:rPr>
          <w:rStyle w:val="bibauth"/>
          <w:rFonts w:ascii="Arial" w:eastAsiaTheme="majorEastAsia" w:hAnsi="Arial" w:cs="Arial"/>
          <w:i/>
          <w:color w:val="000000" w:themeColor="text1"/>
          <w:sz w:val="22"/>
          <w:szCs w:val="22"/>
          <w:bdr w:val="none" w:sz="0" w:space="0" w:color="auto" w:frame="1"/>
          <w:shd w:val="clear" w:color="auto" w:fill="FFFFFF"/>
        </w:rPr>
        <w:t>Law for Social Workers</w:t>
      </w:r>
      <w:r w:rsidRPr="00067907">
        <w:rPr>
          <w:rStyle w:val="bibauth"/>
          <w:rFonts w:ascii="Arial" w:eastAsiaTheme="majorEastAsia" w:hAnsi="Arial" w:cs="Arial"/>
          <w:color w:val="000000" w:themeColor="text1"/>
          <w:sz w:val="22"/>
          <w:szCs w:val="22"/>
          <w:bdr w:val="none" w:sz="0" w:space="0" w:color="auto" w:frame="1"/>
          <w:shd w:val="clear" w:color="auto" w:fill="FFFFFF"/>
        </w:rPr>
        <w:t>. 16</w:t>
      </w:r>
      <w:r w:rsidRPr="00067907">
        <w:rPr>
          <w:rStyle w:val="bibauth"/>
          <w:rFonts w:ascii="Arial" w:eastAsiaTheme="majorEastAsia" w:hAnsi="Arial" w:cs="Arial"/>
          <w:color w:val="000000" w:themeColor="text1"/>
          <w:sz w:val="22"/>
          <w:szCs w:val="22"/>
          <w:bdr w:val="none" w:sz="0" w:space="0" w:color="auto" w:frame="1"/>
          <w:shd w:val="clear" w:color="auto" w:fill="FFFFFF"/>
          <w:vertAlign w:val="superscript"/>
        </w:rPr>
        <w:t>th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ed. Oxford: Oxford University Press.</w:t>
      </w:r>
    </w:p>
    <w:p w14:paraId="59AAD57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Cashmore, J., 2002. Promoting the participation of children and young people in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Abuse &amp; Neglect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26(8), pp.837–847. </w:t>
      </w:r>
      <w:hyperlink r:id="rId6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https://doi.org/10.1016/S0145-2134(02)00353-8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9CC6B1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Cashmore, J., 2011. Children’s participation in family law decision-making: Theoretical approaches to understanding children’s views.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 journal] 33(4), pp. 515–520. </w:t>
      </w:r>
      <w:hyperlink r:id="rId6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https://doi.org/10.1016/j.childyouth.2010.05.008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235D71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Centre for Social Justice,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Finding Their Feet: Equipping care leavers to reach their potential</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hyperlink r:id="rId63"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https://www.centreforsocialjustice.org.uk/library/finding-their-feet-equipping-care-leavers-to-reach-their-potential</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2 July 2019].</w:t>
      </w:r>
    </w:p>
    <w:p w14:paraId="6689062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Chambon, A. S., 1999. Foucault’s Approach: Making the Familiar Visible. In: A. S. Chambon, A. Irving and L. Epstein (eds)1999.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 xml:space="preserve">Reading Foucault for Social Work.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New York: Columbia University Press. Ch.3.  </w:t>
      </w:r>
    </w:p>
    <w:p w14:paraId="31BE425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Chambon, A.S., 2003. Socially Committed Discourse Analysis and Social Work Practice. In: C. Schweppe C. (ed) 2003,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Forschung in der Sozialpädagogik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VS Verlag für Sozialwissenschaften, Wiesbaden. [online], Available at: </w:t>
      </w:r>
      <w:hyperlink r:id="rId6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https://doi.org/10.1007/978-3-663-11215-0_11</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[Accessed 2 June 2021].</w:t>
      </w:r>
    </w:p>
    <w:p w14:paraId="6B02EBB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Chammas, G., 2020. The Insider-Researcher Status: A challenge for social work practice research.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Qualitative Report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25(2), pp. 537-552. </w:t>
      </w:r>
      <w:hyperlink r:id="rId6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https://doi.org/10.46743/2160-3715/2020.3928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6A1A114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Chase, E., 2010. Agency and Silence: Young People Seeking Asylum Alone in the UK,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40(7), pp. 2050–2068. </w:t>
      </w:r>
      <w:hyperlink r:id="rId6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https://doi.org/10.1093/bjsw/bcp103</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516321B"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Child Care Act 1980. [online]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Available at :&lt; </w:t>
      </w:r>
      <w:hyperlink r:id="rId67" w:history="1">
        <w:r w:rsidRPr="00067907">
          <w:rPr>
            <w:rStyle w:val="Hyperlink"/>
            <w:rFonts w:ascii="Arial" w:eastAsiaTheme="majorEastAsia" w:hAnsi="Arial" w:cs="Arial"/>
            <w:color w:val="000000" w:themeColor="text1"/>
            <w:sz w:val="22"/>
            <w:szCs w:val="22"/>
            <w:u w:val="none"/>
          </w:rPr>
          <w:t>https://www.legislation.gov.uk/ukpga/1980/5/section/18/enacted</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19 February 2021]. </w:t>
      </w:r>
      <w:r w:rsidRPr="00067907">
        <w:rPr>
          <w:rFonts w:ascii="Arial" w:hAnsi="Arial" w:cs="Arial"/>
          <w:color w:val="000000" w:themeColor="text1"/>
          <w:sz w:val="22"/>
          <w:szCs w:val="22"/>
        </w:rPr>
        <w:t xml:space="preserve"> </w:t>
      </w:r>
    </w:p>
    <w:p w14:paraId="3F8CF0B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Children (Leaving Care) Act 2000. [online] Available at :&lt; </w:t>
      </w:r>
      <w:hyperlink r:id="rId6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http://www.legislation.gov.uk/ukpga/2000/35/contents</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3 March 2019]. </w:t>
      </w:r>
    </w:p>
    <w:p w14:paraId="1CFAFA6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Children Act 1948.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[online] Available at :&lt; </w:t>
      </w:r>
      <w:hyperlink r:id="rId6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https://www.legislation.gov.uk/ukpga/1963/37/schedule/3/crossheading/the-children-act-1948/enacted</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12 February 2021]. </w:t>
      </w:r>
    </w:p>
    <w:p w14:paraId="63648F5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Children Act 1975.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[online] Available at :&lt; </w:t>
      </w:r>
      <w:hyperlink r:id="rId7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https://www.legislation.gov.uk/ukpga/1975/72/part/III/crossheading/children-in-care-of-local-authorities/enacted</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12 February 2021]. </w:t>
      </w:r>
    </w:p>
    <w:p w14:paraId="23DCD61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Children Act 1989. [online] Available at :&lt; </w:t>
      </w:r>
      <w:hyperlink r:id="rId7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http://www.legislation.gov.uk/ukpga/1989/41/contents</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3 March 2019].</w:t>
      </w:r>
    </w:p>
    <w:p w14:paraId="6A0E6BD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Children Act 2004. [online] Available at: &lt;https://www.legislation.gov.uk/ukpga/2004/31/contents&gt; [Accessed 3 March 2019].</w:t>
      </w:r>
    </w:p>
    <w:p w14:paraId="464B695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Children and Families Act 2014. [online] Available at: &lt;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https://www.legislation.gov.uk/ukpga/2014/6/contents/enacted&gt; [Accessed 3 March 2019].</w:t>
      </w:r>
    </w:p>
    <w:p w14:paraId="56146FA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Children and Social Work Act 2017. [online] Available at :&lt; </w:t>
      </w:r>
      <w:hyperlink r:id="rId7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https://www.legislation.gov.uk/ukpga/2017/16/contents/enacted</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6 March 2019].</w:t>
      </w:r>
    </w:p>
    <w:p w14:paraId="690CB6C7"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Children and Young Persons Act 1963.</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[online] Available at :&lt; </w:t>
      </w:r>
      <w:hyperlink r:id="rId73" w:history="1">
        <w:r w:rsidRPr="00067907">
          <w:rPr>
            <w:rStyle w:val="Hyperlink"/>
            <w:rFonts w:ascii="Arial" w:eastAsiaTheme="majorEastAsia" w:hAnsi="Arial" w:cs="Arial"/>
            <w:color w:val="000000" w:themeColor="text1"/>
            <w:sz w:val="22"/>
            <w:szCs w:val="22"/>
            <w:u w:val="none"/>
          </w:rPr>
          <w:t>https://www.legislation.gov.uk/ukpga/1963/37/enacted</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12 February 2021]. </w:t>
      </w:r>
      <w:r w:rsidRPr="00067907">
        <w:rPr>
          <w:rFonts w:ascii="Arial" w:hAnsi="Arial" w:cs="Arial"/>
          <w:color w:val="000000" w:themeColor="text1"/>
          <w:sz w:val="22"/>
          <w:szCs w:val="22"/>
        </w:rPr>
        <w:t xml:space="preserve"> </w:t>
      </w:r>
    </w:p>
    <w:p w14:paraId="27CCF152"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Children and Young Persons Act 1969.</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[online] Available at :&lt; </w:t>
      </w:r>
      <w:hyperlink r:id="rId74" w:history="1">
        <w:r w:rsidRPr="00067907">
          <w:rPr>
            <w:rStyle w:val="Hyperlink"/>
            <w:rFonts w:ascii="Arial" w:eastAsiaTheme="majorEastAsia" w:hAnsi="Arial" w:cs="Arial"/>
            <w:color w:val="000000" w:themeColor="text1"/>
            <w:sz w:val="22"/>
            <w:szCs w:val="22"/>
            <w:u w:val="none"/>
          </w:rPr>
          <w:t>https://www.legislation.gov.uk/ukpga/1969/54/contents/enacted</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12 February 2021].</w:t>
      </w:r>
      <w:r w:rsidRPr="00067907">
        <w:rPr>
          <w:rFonts w:ascii="Arial" w:hAnsi="Arial" w:cs="Arial"/>
          <w:color w:val="000000" w:themeColor="text1"/>
          <w:sz w:val="22"/>
          <w:szCs w:val="22"/>
        </w:rPr>
        <w:t xml:space="preserve"> </w:t>
      </w:r>
    </w:p>
    <w:p w14:paraId="7C52A862" w14:textId="75B63FBD"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Children and Young Persons Act 2008. [online] Available at :&lt; http:// </w:t>
      </w:r>
      <w:hyperlink r:id="rId7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www.legislation.gov.uk/ukpga/2008/23/contents</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3 March 201</w:t>
      </w:r>
      <w:r w:rsidR="00C3401E">
        <w:rPr>
          <w:rStyle w:val="bibauth"/>
          <w:rFonts w:ascii="Arial" w:eastAsiaTheme="majorEastAsia" w:hAnsi="Arial" w:cs="Arial"/>
          <w:color w:val="000000" w:themeColor="text1"/>
          <w:sz w:val="22"/>
          <w:szCs w:val="22"/>
          <w:bdr w:val="none" w:sz="0" w:space="0" w:color="auto" w:frame="1"/>
          <w:shd w:val="clear" w:color="auto" w:fill="FFFFFF"/>
        </w:rPr>
        <w:t>7</w:t>
      </w:r>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A12B064"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Clark, A., 2014. </w:t>
      </w:r>
      <w:r w:rsidRPr="00067907">
        <w:rPr>
          <w:rFonts w:ascii="Arial" w:hAnsi="Arial" w:cs="Arial"/>
          <w:i/>
          <w:iCs/>
          <w:color w:val="000000" w:themeColor="text1"/>
          <w:sz w:val="22"/>
          <w:szCs w:val="22"/>
        </w:rPr>
        <w:t>Understanding Research with Children and Young People</w:t>
      </w:r>
      <w:r w:rsidRPr="00067907">
        <w:rPr>
          <w:rFonts w:ascii="Arial" w:hAnsi="Arial" w:cs="Arial"/>
          <w:color w:val="000000" w:themeColor="text1"/>
          <w:sz w:val="22"/>
          <w:szCs w:val="22"/>
        </w:rPr>
        <w:t>. London: SAGE.</w:t>
      </w:r>
    </w:p>
    <w:p w14:paraId="0A059851"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t>Clark, A., Flewitt, R., Hammersley, M. and Robb, M., 2014. </w:t>
      </w:r>
      <w:r w:rsidRPr="00067907">
        <w:rPr>
          <w:rFonts w:ascii="Arial" w:hAnsi="Arial" w:cs="Arial"/>
          <w:i/>
          <w:iCs/>
          <w:color w:val="000000" w:themeColor="text1"/>
          <w:sz w:val="22"/>
          <w:szCs w:val="22"/>
          <w:shd w:val="clear" w:color="auto" w:fill="FFFFFF"/>
        </w:rPr>
        <w:t>Understanding Research with Children and Young People</w:t>
      </w:r>
      <w:r w:rsidRPr="00067907">
        <w:rPr>
          <w:rFonts w:ascii="Arial" w:hAnsi="Arial" w:cs="Arial"/>
          <w:color w:val="000000" w:themeColor="text1"/>
          <w:sz w:val="22"/>
          <w:szCs w:val="22"/>
          <w:shd w:val="clear" w:color="auto" w:fill="FFFFFF"/>
        </w:rPr>
        <w:t>. London: The Open University with SAGE.</w:t>
      </w:r>
    </w:p>
    <w:p w14:paraId="13B10072"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Style w:val="cls-response"/>
          <w:rFonts w:ascii="Arial" w:hAnsi="Arial" w:cs="Arial"/>
          <w:color w:val="000000" w:themeColor="text1"/>
          <w:sz w:val="22"/>
          <w:szCs w:val="22"/>
        </w:rPr>
        <w:t xml:space="preserve">Clark, T., 2008. `We’re Over-Researched Here!’: Exploring Accounts of Research Fatigue within Qualitative Research Engagements. </w:t>
      </w:r>
      <w:r w:rsidRPr="00067907">
        <w:rPr>
          <w:rStyle w:val="cls-response"/>
          <w:rFonts w:ascii="Arial" w:hAnsi="Arial" w:cs="Arial"/>
          <w:i/>
          <w:iCs/>
          <w:color w:val="000000" w:themeColor="text1"/>
          <w:sz w:val="22"/>
          <w:szCs w:val="22"/>
        </w:rPr>
        <w:t>Sociology</w:t>
      </w:r>
      <w:r w:rsidRPr="00067907">
        <w:rPr>
          <w:rStyle w:val="cls-response"/>
          <w:rFonts w:ascii="Arial" w:hAnsi="Arial" w:cs="Arial"/>
          <w:color w:val="000000" w:themeColor="text1"/>
          <w:sz w:val="22"/>
          <w:szCs w:val="22"/>
        </w:rPr>
        <w:t xml:space="preserve">, [e-journal] </w:t>
      </w:r>
      <w:r w:rsidRPr="00067907">
        <w:rPr>
          <w:rStyle w:val="cls-response"/>
          <w:rFonts w:ascii="Arial" w:hAnsi="Arial" w:cs="Arial"/>
          <w:i/>
          <w:iCs/>
          <w:color w:val="000000" w:themeColor="text1"/>
          <w:sz w:val="22"/>
          <w:szCs w:val="22"/>
        </w:rPr>
        <w:t>42</w:t>
      </w:r>
      <w:r w:rsidRPr="00067907">
        <w:rPr>
          <w:rStyle w:val="cls-response"/>
          <w:rFonts w:ascii="Arial" w:hAnsi="Arial" w:cs="Arial"/>
          <w:color w:val="000000" w:themeColor="text1"/>
          <w:sz w:val="22"/>
          <w:szCs w:val="22"/>
        </w:rPr>
        <w:t xml:space="preserve">(5), pp. 953–970. </w:t>
      </w:r>
      <w:hyperlink r:id="rId76" w:history="1">
        <w:r w:rsidRPr="00067907">
          <w:rPr>
            <w:rStyle w:val="Hyperlink"/>
            <w:rFonts w:ascii="Arial" w:eastAsiaTheme="majorEastAsia" w:hAnsi="Arial" w:cs="Arial"/>
            <w:color w:val="000000" w:themeColor="text1"/>
            <w:sz w:val="22"/>
            <w:szCs w:val="22"/>
            <w:u w:val="none"/>
          </w:rPr>
          <w:t>https://doi.org/10.1177/0038038508094573</w:t>
        </w:r>
      </w:hyperlink>
      <w:r w:rsidRPr="00067907">
        <w:rPr>
          <w:rStyle w:val="Hyperlink"/>
          <w:rFonts w:ascii="Arial" w:eastAsiaTheme="majorEastAsia" w:hAnsi="Arial" w:cs="Arial"/>
          <w:color w:val="000000" w:themeColor="text1"/>
          <w:sz w:val="22"/>
          <w:szCs w:val="22"/>
          <w:u w:val="none"/>
        </w:rPr>
        <w:t>.</w:t>
      </w:r>
    </w:p>
    <w:p w14:paraId="086ABE8E"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t xml:space="preserve">Clarke, J., 1998. Doing the Right Thing? Managerialism and Social Welfare. In: P. Abbott and L. Meerabeau (eds), 1998. </w:t>
      </w:r>
      <w:r w:rsidRPr="00067907">
        <w:rPr>
          <w:rFonts w:ascii="Arial" w:hAnsi="Arial" w:cs="Arial"/>
          <w:i/>
          <w:iCs/>
          <w:color w:val="000000" w:themeColor="text1"/>
          <w:sz w:val="22"/>
          <w:szCs w:val="22"/>
          <w:shd w:val="clear" w:color="auto" w:fill="FFFFFF"/>
        </w:rPr>
        <w:t>The Sociology of the Caring Professions</w:t>
      </w:r>
      <w:r w:rsidRPr="00067907">
        <w:rPr>
          <w:rFonts w:ascii="Arial" w:hAnsi="Arial" w:cs="Arial"/>
          <w:color w:val="000000" w:themeColor="text1"/>
          <w:sz w:val="22"/>
          <w:szCs w:val="22"/>
          <w:shd w:val="clear" w:color="auto" w:fill="FFFFFF"/>
        </w:rPr>
        <w:t>. Oxford: Routledge. Ch.12.</w:t>
      </w:r>
    </w:p>
    <w:p w14:paraId="021CF65A"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Clarke, J., 2004. Dissolving the Public Realm? The Logics and Limits of Neo-liberalism. </w:t>
      </w:r>
      <w:r w:rsidRPr="00067907">
        <w:rPr>
          <w:rFonts w:ascii="Arial" w:hAnsi="Arial" w:cs="Arial"/>
          <w:i/>
          <w:iCs/>
          <w:color w:val="000000" w:themeColor="text1"/>
          <w:sz w:val="22"/>
          <w:szCs w:val="22"/>
          <w:bdr w:val="none" w:sz="0" w:space="0" w:color="auto" w:frame="1"/>
          <w:shd w:val="clear" w:color="auto" w:fill="FFFFFF"/>
        </w:rPr>
        <w:t>Journal of Social Policy</w:t>
      </w:r>
      <w:r w:rsidRPr="00067907">
        <w:rPr>
          <w:rFonts w:ascii="Arial" w:hAnsi="Arial" w:cs="Arial"/>
          <w:color w:val="000000" w:themeColor="text1"/>
          <w:sz w:val="22"/>
          <w:szCs w:val="22"/>
          <w:bdr w:val="none" w:sz="0" w:space="0" w:color="auto" w:frame="1"/>
          <w:shd w:val="clear" w:color="auto" w:fill="FFFFFF"/>
        </w:rPr>
        <w:t>, [e-journal] 33(1), pp. 27-48. doi:10.1017/S0047279403007244.</w:t>
      </w:r>
    </w:p>
    <w:p w14:paraId="2C2386FB"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Clarke, T., 2020. </w:t>
      </w:r>
      <w:r w:rsidRPr="00067907">
        <w:rPr>
          <w:rFonts w:ascii="Arial" w:hAnsi="Arial" w:cs="Arial"/>
          <w:i/>
          <w:iCs/>
          <w:color w:val="000000" w:themeColor="text1"/>
          <w:sz w:val="22"/>
          <w:szCs w:val="22"/>
          <w:bdr w:val="none" w:sz="0" w:space="0" w:color="auto" w:frame="1"/>
          <w:shd w:val="clear" w:color="auto" w:fill="FFFFFF"/>
        </w:rPr>
        <w:t>Stability Index 2020: Technical Report</w:t>
      </w:r>
      <w:r w:rsidRPr="00067907">
        <w:rPr>
          <w:rFonts w:ascii="Arial" w:hAnsi="Arial" w:cs="Arial"/>
          <w:color w:val="000000" w:themeColor="text1"/>
          <w:sz w:val="22"/>
          <w:szCs w:val="22"/>
          <w:bdr w:val="none" w:sz="0" w:space="0" w:color="auto" w:frame="1"/>
          <w:shd w:val="clear" w:color="auto" w:fill="FFFFFF"/>
        </w:rPr>
        <w:t>. [pdf] Available at: &lt;</w:t>
      </w:r>
      <w:r w:rsidRPr="00067907">
        <w:rPr>
          <w:rFonts w:ascii="Arial" w:hAnsi="Arial" w:cs="Arial"/>
          <w:color w:val="000000" w:themeColor="text1"/>
          <w:sz w:val="22"/>
          <w:szCs w:val="22"/>
        </w:rPr>
        <w:t xml:space="preserve"> </w:t>
      </w:r>
      <w:hyperlink r:id="rId7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https://www.childrenscommissioner.gov.uk/wp-content/uploads/2020/11/cco-stability-index-2020.pdf</w:t>
        </w:r>
      </w:hyperlink>
      <w:r w:rsidRPr="00067907">
        <w:rPr>
          <w:rFonts w:ascii="Arial" w:hAnsi="Arial" w:cs="Arial"/>
          <w:color w:val="000000" w:themeColor="text1"/>
          <w:sz w:val="22"/>
          <w:szCs w:val="22"/>
          <w:bdr w:val="none" w:sz="0" w:space="0" w:color="auto" w:frame="1"/>
          <w:shd w:val="clear" w:color="auto" w:fill="FFFFFF"/>
        </w:rPr>
        <w:t>&gt; [Accessed 12 February 2021].</w:t>
      </w:r>
    </w:p>
    <w:p w14:paraId="69FE0C1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Cleary, T., 2018. Social Work Education and the Marketisation of UK Universities.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48(8), pp. 2253–2271. </w:t>
      </w:r>
      <w:hyperlink r:id="rId7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https://doi.org/10.1093/bjsw/bcx158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52220AE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Cleaver, H., Walker, S. and Meadows, P., 2004.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Assessing Children's Needs and Circumstances: The Impact of the Assessment Framework</w:t>
      </w:r>
      <w:r w:rsidRPr="00067907">
        <w:rPr>
          <w:rStyle w:val="bibauth"/>
          <w:rFonts w:ascii="Arial" w:eastAsiaTheme="majorEastAsia" w:hAnsi="Arial" w:cs="Arial"/>
          <w:color w:val="000000" w:themeColor="text1"/>
          <w:sz w:val="22"/>
          <w:szCs w:val="22"/>
          <w:bdr w:val="none" w:sz="0" w:space="0" w:color="auto" w:frame="1"/>
          <w:shd w:val="clear" w:color="auto" w:fill="FFFFFF"/>
        </w:rPr>
        <w:t>. London: Jessica Kingsley Press.</w:t>
      </w:r>
    </w:p>
    <w:p w14:paraId="7F09C74A" w14:textId="3C475DE9" w:rsid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Clifford, D., 2017. Charitable Organisations, the Great Recession and the Age of Austerity: Longitudinal Evidence for England and Wales. </w:t>
      </w:r>
      <w:r w:rsidRPr="00067907">
        <w:rPr>
          <w:rFonts w:ascii="Arial" w:hAnsi="Arial" w:cs="Arial"/>
          <w:i/>
          <w:iCs/>
          <w:color w:val="000000" w:themeColor="text1"/>
          <w:sz w:val="22"/>
          <w:szCs w:val="22"/>
          <w:bdr w:val="none" w:sz="0" w:space="0" w:color="auto" w:frame="1"/>
          <w:shd w:val="clear" w:color="auto" w:fill="FFFFFF"/>
        </w:rPr>
        <w:t>Journal of Social Policy</w:t>
      </w:r>
      <w:r w:rsidRPr="00067907">
        <w:rPr>
          <w:rFonts w:ascii="Arial" w:hAnsi="Arial" w:cs="Arial"/>
          <w:color w:val="000000" w:themeColor="text1"/>
          <w:sz w:val="22"/>
          <w:szCs w:val="22"/>
          <w:bdr w:val="none" w:sz="0" w:space="0" w:color="auto" w:frame="1"/>
          <w:shd w:val="clear" w:color="auto" w:fill="FFFFFF"/>
        </w:rPr>
        <w:t>, [e-journal] 46(1), pp. 1-30. doi:10.1017/S0047279416000325.</w:t>
      </w:r>
    </w:p>
    <w:p w14:paraId="3FAA6578" w14:textId="77777777" w:rsidR="007D4701" w:rsidRPr="007D4701" w:rsidRDefault="007D4701" w:rsidP="007D4701">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p>
    <w:p w14:paraId="070382FD" w14:textId="77777777" w:rsidR="007D4701" w:rsidRPr="007D4701" w:rsidRDefault="007D4701" w:rsidP="007D4701">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p>
    <w:p w14:paraId="2CC4E7F2" w14:textId="77777777" w:rsidR="007D4701" w:rsidRPr="007D4701" w:rsidRDefault="007D4701" w:rsidP="007D4701">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7D4701">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 </w:t>
      </w:r>
    </w:p>
    <w:p w14:paraId="1903060F" w14:textId="77777777" w:rsidR="007D4701" w:rsidRPr="007D4701" w:rsidRDefault="007D4701" w:rsidP="007D4701">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p>
    <w:p w14:paraId="0C440879" w14:textId="73D81474" w:rsidR="007D4701" w:rsidRDefault="007D4701" w:rsidP="007D4701">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Cocker, C., Cooper, A., Holmes, D. and Bateman, F., 2021. Transitional Safeguarding: presenting the case for developing Making Safeguarding Personal for young people in England.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Journal of Adult Protection</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23(3), pp.144–157. https://doi.org/10.1108/JAP-09-2020-0043.</w:t>
      </w:r>
    </w:p>
    <w:p w14:paraId="301867B2" w14:textId="59AAE5F0" w:rsidR="001219A1" w:rsidRPr="00067907" w:rsidRDefault="001219A1" w:rsidP="007D4701">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Cocker, C. and Hafford-Letchfield, T., 2014. </w:t>
      </w:r>
      <w:r w:rsidRPr="007D4701">
        <w:rPr>
          <w:rStyle w:val="bibauth"/>
          <w:rFonts w:ascii="Arial" w:eastAsiaTheme="majorEastAsia" w:hAnsi="Arial" w:cs="Arial"/>
          <w:i/>
          <w:iCs/>
          <w:color w:val="000000" w:themeColor="text1"/>
          <w:sz w:val="22"/>
          <w:szCs w:val="22"/>
          <w:bdr w:val="none" w:sz="0" w:space="0" w:color="auto" w:frame="1"/>
          <w:shd w:val="clear" w:color="auto" w:fill="FFFFFF"/>
        </w:rPr>
        <w:t>Rethinking Anti-Discriminatory &amp; Anti-Oppressive Theories for Social Work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Basingstoke: Palgrave Macmillan.</w:t>
      </w:r>
    </w:p>
    <w:p w14:paraId="352F4DA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Coghlan, D. and Brannick, T.,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Doing Action Research in Your Own Organisation</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72C1FB1E"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shd w:val="clear" w:color="auto" w:fill="FFFFFF"/>
        </w:rPr>
      </w:pPr>
      <w:r w:rsidRPr="00067907">
        <w:rPr>
          <w:rFonts w:ascii="Arial" w:hAnsi="Arial" w:cs="Arial"/>
          <w:color w:val="000000" w:themeColor="text1"/>
          <w:sz w:val="22"/>
          <w:szCs w:val="22"/>
          <w:shd w:val="clear" w:color="auto" w:fill="FFFFFF"/>
        </w:rPr>
        <w:t xml:space="preserve">Collings, S., Grace, R. and Llewellyn, G., 2016, Negotiating with Gatekeepers in Research with Disadvantaged Children: A Case Study of Children of Mothers with Intellectual Disability. </w:t>
      </w:r>
      <w:r w:rsidRPr="00067907">
        <w:rPr>
          <w:rFonts w:ascii="Arial" w:hAnsi="Arial" w:cs="Arial"/>
          <w:i/>
          <w:iCs/>
          <w:color w:val="000000" w:themeColor="text1"/>
          <w:sz w:val="22"/>
          <w:szCs w:val="22"/>
          <w:shd w:val="clear" w:color="auto" w:fill="FFFFFF"/>
        </w:rPr>
        <w:t>Children &amp; Society,</w:t>
      </w:r>
      <w:r w:rsidRPr="00067907">
        <w:rPr>
          <w:rFonts w:ascii="Arial" w:hAnsi="Arial" w:cs="Arial"/>
          <w:color w:val="000000" w:themeColor="text1"/>
          <w:sz w:val="22"/>
          <w:szCs w:val="22"/>
          <w:shd w:val="clear" w:color="auto" w:fill="FFFFFF"/>
        </w:rPr>
        <w:t xml:space="preserve"> [e-journal], 30, pp.499-509. doi:</w:t>
      </w:r>
      <w:hyperlink r:id="rId79" w:history="1">
        <w:r w:rsidRPr="00067907">
          <w:rPr>
            <w:rStyle w:val="Hyperlink"/>
            <w:rFonts w:ascii="Arial" w:eastAsiaTheme="majorEastAsia" w:hAnsi="Arial" w:cs="Arial"/>
            <w:color w:val="000000" w:themeColor="text1"/>
            <w:sz w:val="22"/>
            <w:szCs w:val="22"/>
            <w:u w:val="none"/>
            <w:shd w:val="clear" w:color="auto" w:fill="FFFFFF"/>
          </w:rPr>
          <w:t>10.1111/chso.12163</w:t>
        </w:r>
      </w:hyperlink>
      <w:r w:rsidRPr="00067907">
        <w:rPr>
          <w:rStyle w:val="Hyperlink"/>
          <w:rFonts w:ascii="Arial" w:eastAsiaTheme="majorEastAsia" w:hAnsi="Arial" w:cs="Arial"/>
          <w:color w:val="000000" w:themeColor="text1"/>
          <w:sz w:val="22"/>
          <w:szCs w:val="22"/>
          <w:u w:val="none"/>
          <w:shd w:val="clear" w:color="auto" w:fill="FFFFFF"/>
        </w:rPr>
        <w:t>.</w:t>
      </w:r>
    </w:p>
    <w:p w14:paraId="16CBA1BE"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rPr>
        <w:t xml:space="preserve">Collins, C. S., and Stockton, C. M., 2018. The Central Role of Theory in Qualitative Research. </w:t>
      </w:r>
      <w:r w:rsidRPr="00067907">
        <w:rPr>
          <w:rFonts w:ascii="Arial" w:hAnsi="Arial" w:cs="Arial"/>
          <w:i/>
          <w:iCs/>
          <w:color w:val="000000" w:themeColor="text1"/>
          <w:sz w:val="22"/>
          <w:szCs w:val="22"/>
        </w:rPr>
        <w:t>International Journal of Qualitative Methods</w:t>
      </w:r>
      <w:r w:rsidRPr="00067907">
        <w:rPr>
          <w:rFonts w:ascii="Arial" w:hAnsi="Arial" w:cs="Arial"/>
          <w:color w:val="000000" w:themeColor="text1"/>
          <w:sz w:val="22"/>
          <w:szCs w:val="22"/>
        </w:rPr>
        <w:t xml:space="preserve">, [e-journal] 17(1) </w:t>
      </w:r>
      <w:hyperlink r:id="rId80" w:history="1">
        <w:r w:rsidRPr="00067907">
          <w:rPr>
            <w:rStyle w:val="Hyperlink"/>
            <w:rFonts w:ascii="Arial" w:eastAsiaTheme="majorEastAsia" w:hAnsi="Arial" w:cs="Arial"/>
            <w:color w:val="000000" w:themeColor="text1"/>
            <w:sz w:val="22"/>
            <w:szCs w:val="22"/>
            <w:u w:val="none"/>
          </w:rPr>
          <w:t>https://doi.org/10.1177/1609406918797475</w:t>
        </w:r>
      </w:hyperlink>
      <w:r w:rsidRPr="00067907">
        <w:rPr>
          <w:rStyle w:val="Hyperlink"/>
          <w:rFonts w:ascii="Arial" w:eastAsiaTheme="majorEastAsia" w:hAnsi="Arial" w:cs="Arial"/>
          <w:color w:val="000000" w:themeColor="text1"/>
          <w:sz w:val="22"/>
          <w:szCs w:val="22"/>
          <w:u w:val="none"/>
        </w:rPr>
        <w:t>.</w:t>
      </w:r>
    </w:p>
    <w:p w14:paraId="1D08A29C"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Collins, T. M., Rizzini, I. and Mayhew, A., 2020. Fostering global dialogue: Conceptualisations of children's rights to participation and protection. </w:t>
      </w:r>
      <w:r w:rsidRPr="00067907">
        <w:rPr>
          <w:rFonts w:ascii="Arial" w:hAnsi="Arial" w:cs="Arial"/>
          <w:i/>
          <w:iCs/>
          <w:color w:val="000000" w:themeColor="text1"/>
          <w:sz w:val="22"/>
          <w:szCs w:val="22"/>
          <w:bdr w:val="none" w:sz="0" w:space="0" w:color="auto" w:frame="1"/>
          <w:shd w:val="clear" w:color="auto" w:fill="FFFFFF"/>
        </w:rPr>
        <w:t>Children &amp; Society</w:t>
      </w:r>
      <w:r w:rsidRPr="00067907">
        <w:rPr>
          <w:rFonts w:ascii="Arial" w:hAnsi="Arial" w:cs="Arial"/>
          <w:color w:val="000000" w:themeColor="text1"/>
          <w:sz w:val="22"/>
          <w:szCs w:val="22"/>
          <w:bdr w:val="none" w:sz="0" w:space="0" w:color="auto" w:frame="1"/>
          <w:shd w:val="clear" w:color="auto" w:fill="FFFFFF"/>
        </w:rPr>
        <w:t>, [e-journal] 35, pp. 295– 310. https://doi.org/10.1111/chso.12437.</w:t>
      </w:r>
    </w:p>
    <w:p w14:paraId="6F52F111"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Cook, D. T., 2020. </w:t>
      </w:r>
      <w:r w:rsidRPr="00067907">
        <w:rPr>
          <w:rFonts w:ascii="Arial" w:hAnsi="Arial" w:cs="Arial"/>
          <w:i/>
          <w:iCs/>
          <w:color w:val="000000" w:themeColor="text1"/>
          <w:sz w:val="22"/>
          <w:szCs w:val="22"/>
          <w:bdr w:val="none" w:sz="0" w:space="0" w:color="auto" w:frame="1"/>
          <w:shd w:val="clear" w:color="auto" w:fill="FFFFFF"/>
        </w:rPr>
        <w:t xml:space="preserve">The Moral Project of Childhood: Motherhood, material life, and early </w:t>
      </w:r>
      <w:r w:rsidRPr="00C47DDD">
        <w:rPr>
          <w:rFonts w:ascii="Arial" w:hAnsi="Arial" w:cs="Arial"/>
          <w:i/>
          <w:iCs/>
          <w:color w:val="000000" w:themeColor="text1"/>
          <w:sz w:val="22"/>
          <w:szCs w:val="22"/>
          <w:bdr w:val="none" w:sz="0" w:space="0" w:color="auto" w:frame="1"/>
          <w:shd w:val="clear" w:color="auto" w:fill="FFFFFF"/>
        </w:rPr>
        <w:t>children's consumer culture</w:t>
      </w:r>
      <w:r w:rsidRPr="00C47DDD">
        <w:rPr>
          <w:rFonts w:ascii="Arial" w:hAnsi="Arial" w:cs="Arial"/>
          <w:color w:val="000000" w:themeColor="text1"/>
          <w:sz w:val="22"/>
          <w:szCs w:val="22"/>
          <w:bdr w:val="none" w:sz="0" w:space="0" w:color="auto" w:frame="1"/>
          <w:shd w:val="clear" w:color="auto" w:fill="FFFFFF"/>
        </w:rPr>
        <w:t>. New York: University Press.</w:t>
      </w:r>
    </w:p>
    <w:p w14:paraId="5BF7146E" w14:textId="77777777" w:rsidR="00067907" w:rsidRPr="00C47DDD" w:rsidRDefault="00067907" w:rsidP="00B6099C">
      <w:pPr>
        <w:pStyle w:val="NormalWeb"/>
        <w:spacing w:line="240" w:lineRule="auto"/>
        <w:ind w:left="142" w:right="-52" w:hanging="142"/>
        <w:rPr>
          <w:rStyle w:val="cls-response"/>
          <w:rFonts w:ascii="Arial" w:hAnsi="Arial" w:cs="Arial"/>
          <w:color w:val="000000" w:themeColor="text1"/>
          <w:sz w:val="22"/>
          <w:szCs w:val="22"/>
        </w:rPr>
      </w:pPr>
      <w:r w:rsidRPr="00C47DDD">
        <w:rPr>
          <w:rStyle w:val="cls-response"/>
          <w:rFonts w:ascii="Arial" w:hAnsi="Arial" w:cs="Arial"/>
          <w:color w:val="000000" w:themeColor="text1"/>
          <w:sz w:val="22"/>
          <w:szCs w:val="22"/>
        </w:rPr>
        <w:t xml:space="preserve">Corra, M. and Willer, D., 2002. ‘The Gatekeeper’. </w:t>
      </w:r>
      <w:r w:rsidRPr="00C47DDD">
        <w:rPr>
          <w:rStyle w:val="cls-response"/>
          <w:rFonts w:ascii="Arial" w:hAnsi="Arial" w:cs="Arial"/>
          <w:i/>
          <w:iCs/>
          <w:color w:val="000000" w:themeColor="text1"/>
          <w:sz w:val="22"/>
          <w:szCs w:val="22"/>
        </w:rPr>
        <w:t>Sociological Theory</w:t>
      </w:r>
      <w:r w:rsidRPr="00C47DDD">
        <w:rPr>
          <w:rStyle w:val="cls-response"/>
          <w:rFonts w:ascii="Arial" w:hAnsi="Arial" w:cs="Arial"/>
          <w:color w:val="000000" w:themeColor="text1"/>
          <w:sz w:val="22"/>
          <w:szCs w:val="22"/>
        </w:rPr>
        <w:t xml:space="preserve">, [e-journal] 20(2), pp.180–207. doi: </w:t>
      </w:r>
      <w:hyperlink r:id="rId81" w:history="1">
        <w:r w:rsidRPr="00C47DDD">
          <w:rPr>
            <w:rStyle w:val="Hyperlink"/>
            <w:rFonts w:ascii="Arial" w:eastAsiaTheme="majorEastAsia" w:hAnsi="Arial" w:cs="Arial"/>
            <w:color w:val="000000" w:themeColor="text1"/>
            <w:sz w:val="22"/>
            <w:szCs w:val="22"/>
            <w:u w:val="none"/>
          </w:rPr>
          <w:t>10.1111/1467-9558.00158</w:t>
        </w:r>
      </w:hyperlink>
      <w:r w:rsidRPr="00C47DDD">
        <w:rPr>
          <w:rStyle w:val="cls-response"/>
          <w:rFonts w:ascii="Arial" w:hAnsi="Arial" w:cs="Arial"/>
          <w:color w:val="000000" w:themeColor="text1"/>
          <w:sz w:val="22"/>
          <w:szCs w:val="22"/>
        </w:rPr>
        <w:t>.</w:t>
      </w:r>
    </w:p>
    <w:p w14:paraId="10B996A5" w14:textId="1DE699DE" w:rsidR="005946F4" w:rsidRDefault="007E1C86"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Cosis Brown</w:t>
      </w:r>
      <w:r w:rsidR="005946F4"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H., 2011. </w:t>
      </w:r>
      <w:r w:rsidR="005946F4" w:rsidRPr="00C47DDD">
        <w:rPr>
          <w:rStyle w:val="bibauth"/>
          <w:rFonts w:ascii="Arial" w:eastAsiaTheme="majorEastAsia" w:hAnsi="Arial" w:cs="Arial"/>
          <w:i/>
          <w:iCs/>
          <w:color w:val="000000" w:themeColor="text1"/>
          <w:sz w:val="22"/>
          <w:szCs w:val="22"/>
          <w:bdr w:val="none" w:sz="0" w:space="0" w:color="auto" w:frame="1"/>
          <w:shd w:val="clear" w:color="auto" w:fill="FFFFFF"/>
        </w:rPr>
        <w:t>Foster Carer Reviews: Process, Practicalities and Best Practice</w:t>
      </w:r>
      <w:r w:rsidR="005946F4" w:rsidRPr="00C47DDD">
        <w:rPr>
          <w:rStyle w:val="bibauth"/>
          <w:rFonts w:ascii="Arial" w:eastAsiaTheme="majorEastAsia" w:hAnsi="Arial" w:cs="Arial"/>
          <w:color w:val="000000" w:themeColor="text1"/>
          <w:sz w:val="22"/>
          <w:szCs w:val="22"/>
          <w:bdr w:val="none" w:sz="0" w:space="0" w:color="auto" w:frame="1"/>
          <w:shd w:val="clear" w:color="auto" w:fill="FFFFFF"/>
        </w:rPr>
        <w:t>. London: CoramBAAF.</w:t>
      </w:r>
    </w:p>
    <w:p w14:paraId="30D7B886" w14:textId="2CCB5CF3"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Cossar, J., Brandon, M., and Jordan, P., 2016. ‘You've got to trust her and she's got to trust you’: children's views on participation in the child protection system. </w:t>
      </w:r>
      <w:r w:rsidRPr="00067907">
        <w:rPr>
          <w:rStyle w:val="bibauth"/>
          <w:rFonts w:ascii="Arial" w:eastAsiaTheme="majorEastAsia" w:hAnsi="Arial" w:cs="Arial"/>
          <w:i/>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21, pp. 103–112.</w:t>
      </w:r>
      <w:r w:rsidRPr="00067907">
        <w:rPr>
          <w:rFonts w:ascii="Arial" w:hAnsi="Arial" w:cs="Arial"/>
          <w:color w:val="000000" w:themeColor="text1"/>
          <w:sz w:val="22"/>
          <w:szCs w:val="22"/>
        </w:rPr>
        <w:t xml:space="preserve"> </w:t>
      </w:r>
      <w:hyperlink r:id="rId8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http://dx.doi.org/10.1111/cfs.12115</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5ECEAA1F"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Cossar, J. and Long, C., 2008. </w:t>
      </w:r>
      <w:r w:rsidRPr="00067907">
        <w:rPr>
          <w:rFonts w:ascii="Arial" w:hAnsi="Arial" w:cs="Arial"/>
          <w:i/>
          <w:iCs/>
          <w:color w:val="000000" w:themeColor="text1"/>
          <w:sz w:val="22"/>
          <w:szCs w:val="22"/>
          <w:bdr w:val="none" w:sz="0" w:space="0" w:color="auto" w:frame="1"/>
          <w:shd w:val="clear" w:color="auto" w:fill="FFFFFF"/>
        </w:rPr>
        <w:t>Children and Young People’s Involvement in Child Protection Processes in Cambridgeshire</w:t>
      </w:r>
      <w:r w:rsidRPr="00067907">
        <w:rPr>
          <w:rFonts w:ascii="Arial" w:hAnsi="Arial" w:cs="Arial"/>
          <w:color w:val="000000" w:themeColor="text1"/>
          <w:sz w:val="22"/>
          <w:szCs w:val="22"/>
          <w:bdr w:val="none" w:sz="0" w:space="0" w:color="auto" w:frame="1"/>
          <w:shd w:val="clear" w:color="auto" w:fill="FFFFFF"/>
        </w:rPr>
        <w:t>. Leeds: Children’s Workforce Development Council.</w:t>
      </w:r>
    </w:p>
    <w:p w14:paraId="39613F0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Costley, C., Elliot, G. and Gibbs, P., 2010. </w:t>
      </w:r>
      <w:r w:rsidRPr="00067907">
        <w:rPr>
          <w:rStyle w:val="bibauth"/>
          <w:rFonts w:ascii="Arial" w:eastAsiaTheme="majorEastAsia" w:hAnsi="Arial" w:cs="Arial"/>
          <w:i/>
          <w:color w:val="000000" w:themeColor="text1"/>
          <w:sz w:val="22"/>
          <w:szCs w:val="22"/>
          <w:bdr w:val="none" w:sz="0" w:space="0" w:color="auto" w:frame="1"/>
          <w:shd w:val="clear" w:color="auto" w:fill="FFFFFF"/>
        </w:rPr>
        <w:t>Doing Work Based Research: Approaches to Enquiry for Insider-Researchers</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62BAD7BD"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Cotton, D., Nash, P. and Kneale, P., 2014. The Experience of Care leavers in UK Higher Education. </w:t>
      </w:r>
      <w:r w:rsidRPr="00067907">
        <w:rPr>
          <w:rStyle w:val="bibauth"/>
          <w:rFonts w:ascii="Arial" w:eastAsiaTheme="majorEastAsia" w:hAnsi="Arial" w:cs="Arial"/>
          <w:i/>
          <w:color w:val="000000" w:themeColor="text1"/>
          <w:sz w:val="22"/>
          <w:szCs w:val="22"/>
          <w:bdr w:val="none" w:sz="0" w:space="0" w:color="auto" w:frame="1"/>
          <w:shd w:val="clear" w:color="auto" w:fill="FFFFFF"/>
        </w:rPr>
        <w:t>Widening Participation and Lifelong Learning</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16(3), pp.5-21. </w:t>
      </w:r>
      <w:hyperlink r:id="rId83"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http://dx.doi.org/10.5456/wpll.16.3.5</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4F3475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Coulter, S., Houston, S., Mooney, S., Devaney, J. and Davidson, G., 2020. Attaining Theoretical Coherence Within Relationship-Based Practice in Child and Family Social Work: The Systemic Perspective.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50(4), pp. 1219–1237, </w:t>
      </w:r>
      <w:hyperlink r:id="rId8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https://doi.org/10.1093/bjsw/bcz110</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4050B6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Courtney M.,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Do the benefits of extending foster care to age 21 outweigh the costs? Evidence from Illinois, Iowa, and Wisconsin’</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https://www.purdue.edu/hhs/hdfs/fii/wp-content/uploads/2015/10/CourtneyReportChapter.pdf&gt; [Accessed 20 December 2020].</w:t>
      </w:r>
    </w:p>
    <w:p w14:paraId="00945C9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Courtney M., 2019. The benefits of extending state care to young adults: Evidence from the United States of America. In: V. R. Mann-Feeder and M. Goyette. 2019.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Leaving Care and the Transition to Adulthood: international contributions to theory, research and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Oxford: Oxford University Press. Ch.7.  </w:t>
      </w:r>
    </w:p>
    <w:p w14:paraId="56B100C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Coy, M., 2009. “Moved around like bags of rubbish nobody wants”: how multiple placement moves can make young women vulnerable to sexual exploitation. </w:t>
      </w:r>
      <w:r w:rsidRPr="00067907">
        <w:rPr>
          <w:rStyle w:val="bibauth"/>
          <w:rFonts w:ascii="Arial" w:eastAsiaTheme="majorEastAsia" w:hAnsi="Arial" w:cs="Arial"/>
          <w:i/>
          <w:color w:val="000000" w:themeColor="text1"/>
          <w:sz w:val="22"/>
          <w:szCs w:val="22"/>
          <w:bdr w:val="none" w:sz="0" w:space="0" w:color="auto" w:frame="1"/>
          <w:shd w:val="clear" w:color="auto" w:fill="FFFFFF"/>
        </w:rPr>
        <w:t>Child Abuse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18(4), pp.254-266, </w:t>
      </w:r>
      <w:hyperlink r:id="rId8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https://dx.doi.org/10.1002/car.1064</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5F775F5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Coyne, D., 2013. </w:t>
      </w:r>
      <w:r w:rsidRPr="00067907">
        <w:rPr>
          <w:rStyle w:val="bibauth"/>
          <w:rFonts w:ascii="Arial" w:eastAsiaTheme="majorEastAsia" w:hAnsi="Arial" w:cs="Arial"/>
          <w:i/>
          <w:color w:val="000000" w:themeColor="text1"/>
          <w:sz w:val="22"/>
          <w:szCs w:val="22"/>
          <w:bdr w:val="none" w:sz="0" w:space="0" w:color="auto" w:frame="1"/>
          <w:shd w:val="clear" w:color="auto" w:fill="FFFFFF"/>
        </w:rPr>
        <w:t>Care Leavers, Looked After Children and the Criminal Justice System: A multi-agency round table discussion. Foundations: Pathways to Success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at:&lt; </w:t>
      </w:r>
      <w:hyperlink r:id="rId8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www.clinks.org/sites/default/files/Care%20Leavers%2C%20Looked%20After%20Children%20%26%20the%20Criminal%20Justice%20System%20-%20Seminar%20Report.pdf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20 December 2020]. </w:t>
      </w:r>
    </w:p>
    <w:p w14:paraId="0191160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Cree, V.E., Kay, H. and Tisdall, K., 2002. Research with children: sharing the dilemmas.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7(1), pp. 47-56. </w:t>
      </w:r>
      <w:hyperlink r:id="rId8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https://doi.org/10.1046/j.1365-2206.2002.00223.x</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36079FD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Creegan, C., Henderson, G. and King, C., 2006. Big Words and Big Tables: Children and Young People’s Experiences of Advocacy Support and Participation in the Children’s Hearings System. [pdf] Available at: &lt;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https://www.scra.gov.uk/wp-content/uploads/2017/02/Big-Words-and-Big-Tables.pdf&gt; [Accessed 27 May 2021].</w:t>
      </w:r>
    </w:p>
    <w:p w14:paraId="5D8C51B3"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Cremonesi, L., Irrera, O., Lorenzini, D. and Tazziol, D., 2016. </w:t>
      </w:r>
      <w:r w:rsidRPr="00067907">
        <w:rPr>
          <w:rFonts w:ascii="Arial" w:hAnsi="Arial" w:cs="Arial"/>
          <w:i/>
          <w:iCs/>
          <w:color w:val="000000" w:themeColor="text1"/>
          <w:sz w:val="22"/>
          <w:szCs w:val="22"/>
        </w:rPr>
        <w:t>Foucault and the Making of Subjects</w:t>
      </w:r>
      <w:r w:rsidRPr="00067907">
        <w:rPr>
          <w:rFonts w:ascii="Arial" w:hAnsi="Arial" w:cs="Arial"/>
          <w:color w:val="000000" w:themeColor="text1"/>
          <w:sz w:val="22"/>
          <w:szCs w:val="22"/>
        </w:rPr>
        <w:t>. Lanham: Rowman &amp; Littlefield International.</w:t>
      </w:r>
    </w:p>
    <w:p w14:paraId="6B272DB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Cresswell, J. and Poth, C., 2017.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Inquiry and Research Design: Choosing Among Five Approaches</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1F265F4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Croisdale-Appleby, D.,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Re-visioning Social Work Education: An Independent Review</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https://assets.publishing.service.gov.uk/government/uploads/system/uploads/attachment_data/file/285788/DCA_Accessible.pdf &gt; [Accessed 1 April 2019]. </w:t>
      </w:r>
    </w:p>
    <w:p w14:paraId="1E22128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Cronin M. 2019. Looked After Children: The Reluctant State and Moral Salvation.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Genealogy,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3(2), pp. 1-16. </w:t>
      </w:r>
      <w:hyperlink r:id="rId8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https://doi.org/10.3390/genealogy3020016</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1C2E199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Cummins, I., 2018.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Poverty, Inequality and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Bristol: Policy Press.</w:t>
      </w:r>
    </w:p>
    <w:p w14:paraId="2F9981F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Curran, T., 2010. Social Work and Disabled Children's Childhoods: A Foucauldian Framework for Practice Transformation.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40(3), pp. 806–825, https://doi.org/10.1093/bjsw/bcn140.</w:t>
      </w:r>
    </w:p>
    <w:p w14:paraId="2F1AAF3A"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Dahl, R. A., 1957.  The Concept of Power.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Systems Research and Behavioral Science</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2(3), pp. 201-215. doi:10.1002/bs.3830020303 27/8/2019.</w:t>
      </w:r>
    </w:p>
    <w:p w14:paraId="2DC1122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Daly F.,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It’s About Me’: Young People’s Experiences of Participating in Their Care Reviews</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https://www.epiconline.ie/its-about-me-report-on-care-reviews/&gt; [Accessed 12 January 2021].</w:t>
      </w:r>
    </w:p>
    <w:p w14:paraId="62E1F99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Daly, F., 2012. What do Young People Need When They Leave Care? Views of Care-leavers and Aftercare Workers in North Dublin.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Care in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18(4), pp. 309-324. doi: 10.1080/13575279.2012.713852.</w:t>
      </w:r>
    </w:p>
    <w:p w14:paraId="12321CFC"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t xml:space="preserve">Davis, J. M. and Hill, M., 2006. Introduction. In: E. Kay, M. Tisdall, J. M. Davis, M. Hill and A. Prout (eds). 2006. </w:t>
      </w:r>
      <w:r w:rsidRPr="00067907">
        <w:rPr>
          <w:rFonts w:ascii="Arial" w:hAnsi="Arial" w:cs="Arial"/>
          <w:i/>
          <w:iCs/>
          <w:color w:val="000000" w:themeColor="text1"/>
          <w:sz w:val="22"/>
          <w:szCs w:val="22"/>
          <w:shd w:val="clear" w:color="auto" w:fill="FFFFFF"/>
        </w:rPr>
        <w:t>Children, Young People and Social Inclusion: participation for what?</w:t>
      </w:r>
      <w:r w:rsidRPr="00067907">
        <w:rPr>
          <w:rFonts w:ascii="Arial" w:hAnsi="Arial" w:cs="Arial"/>
          <w:color w:val="000000" w:themeColor="text1"/>
          <w:sz w:val="22"/>
          <w:szCs w:val="22"/>
          <w:shd w:val="clear" w:color="auto" w:fill="FFFFFF"/>
        </w:rPr>
        <w:t xml:space="preserve"> Bristol: Policy Press. Ch. 1.</w:t>
      </w:r>
    </w:p>
    <w:p w14:paraId="278EA95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Dean, M. 2010.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Governmentality: Power and Rule in Modern Society</w:t>
      </w:r>
      <w:r w:rsidRPr="00067907">
        <w:rPr>
          <w:rStyle w:val="bibauth"/>
          <w:rFonts w:ascii="Arial" w:eastAsiaTheme="majorEastAsia" w:hAnsi="Arial" w:cs="Arial"/>
          <w:color w:val="000000" w:themeColor="text1"/>
          <w:sz w:val="22"/>
          <w:szCs w:val="22"/>
          <w:bdr w:val="none" w:sz="0" w:space="0" w:color="auto" w:frame="1"/>
          <w:shd w:val="clear" w:color="auto" w:fill="FFFFFF"/>
        </w:rPr>
        <w:t>. 2</w:t>
      </w:r>
      <w:r w:rsidRPr="00067907">
        <w:rPr>
          <w:rStyle w:val="bibauth"/>
          <w:rFonts w:ascii="Arial" w:eastAsiaTheme="majorEastAsia" w:hAnsi="Arial" w:cs="Arial"/>
          <w:color w:val="000000" w:themeColor="text1"/>
          <w:sz w:val="22"/>
          <w:szCs w:val="22"/>
          <w:bdr w:val="none" w:sz="0" w:space="0" w:color="auto" w:frame="1"/>
          <w:shd w:val="clear" w:color="auto" w:fill="FFFFFF"/>
          <w:vertAlign w:val="superscript"/>
        </w:rPr>
        <w:t>nd</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ed. London: SAGE. </w:t>
      </w:r>
    </w:p>
    <w:p w14:paraId="270263F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Deeming, C., and Johnston, R., 2018. Coming together in a rightward direction: post-1980s changing attitudes to the British welfare state.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Quality &amp; Quantity,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52(1), pp. 395–413. doi:10.1007/s11135-017-0473-z.</w:t>
      </w:r>
    </w:p>
    <w:p w14:paraId="21C2B96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Denney, D. 1998.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Social Policy and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Oxford: Clarendon Press.</w:t>
      </w:r>
    </w:p>
    <w:p w14:paraId="464F6BC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Denscombe, M., 2008.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Good Research Guide</w:t>
      </w:r>
      <w:r w:rsidRPr="00067907">
        <w:rPr>
          <w:rStyle w:val="bibauth"/>
          <w:rFonts w:ascii="Arial" w:eastAsiaTheme="majorEastAsia" w:hAnsi="Arial" w:cs="Arial"/>
          <w:color w:val="000000" w:themeColor="text1"/>
          <w:sz w:val="22"/>
          <w:szCs w:val="22"/>
          <w:bdr w:val="none" w:sz="0" w:space="0" w:color="auto" w:frame="1"/>
          <w:shd w:val="clear" w:color="auto" w:fill="FFFFFF"/>
        </w:rPr>
        <w:t>. Maidenhead: Open University Press.</w:t>
      </w:r>
    </w:p>
    <w:p w14:paraId="6FE57B9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Denzin, N. K. 1994. The Art of Politics of Interpretation. In: H. Simmons. 2009. </w:t>
      </w:r>
      <w:r w:rsidRPr="00F7070D">
        <w:rPr>
          <w:rStyle w:val="bibauth"/>
          <w:rFonts w:ascii="Arial" w:eastAsiaTheme="majorEastAsia" w:hAnsi="Arial" w:cs="Arial"/>
          <w:i/>
          <w:iCs/>
          <w:color w:val="000000" w:themeColor="text1"/>
          <w:sz w:val="22"/>
          <w:szCs w:val="22"/>
          <w:bdr w:val="none" w:sz="0" w:space="0" w:color="auto" w:frame="1"/>
          <w:shd w:val="clear" w:color="auto" w:fill="FFFFFF"/>
        </w:rPr>
        <w:t>Case Study Research in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51C33DB3"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Denzin, N. K. 2010. Moments, Mixed Methods, and Paradigm Dialogs. </w:t>
      </w:r>
      <w:r w:rsidRPr="00067907">
        <w:rPr>
          <w:rStyle w:val="bibauth"/>
          <w:rFonts w:ascii="Arial" w:eastAsiaTheme="majorEastAsia" w:hAnsi="Arial" w:cs="Arial"/>
          <w:i/>
          <w:color w:val="000000" w:themeColor="text1"/>
          <w:sz w:val="22"/>
          <w:szCs w:val="22"/>
          <w:bdr w:val="none" w:sz="0" w:space="0" w:color="auto" w:frame="1"/>
          <w:shd w:val="clear" w:color="auto" w:fill="FFFFFF"/>
        </w:rPr>
        <w:t>Qualitative Inquiry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16(6), pp. 419-427. </w:t>
      </w:r>
      <w:hyperlink r:id="rId8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https://doi.org/10.1177/1077800410364608</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A22E0F5"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Denzin, N. K., 2011. The politics of evidence. In: Denzin, N. K. and Lincoln, Y. S. (eds.), 2011. </w:t>
      </w:r>
      <w:r w:rsidRPr="00067907">
        <w:rPr>
          <w:rStyle w:val="Hyperlink"/>
          <w:rFonts w:ascii="Arial" w:eastAsiaTheme="majorEastAsia" w:hAnsi="Arial" w:cs="Arial"/>
          <w:i/>
          <w:iCs/>
          <w:color w:val="000000" w:themeColor="text1"/>
          <w:sz w:val="22"/>
          <w:szCs w:val="22"/>
          <w:u w:val="none"/>
          <w:bdr w:val="none" w:sz="0" w:space="0" w:color="auto" w:frame="1"/>
          <w:shd w:val="clear" w:color="auto" w:fill="FFFFFF"/>
        </w:rPr>
        <w:t>The Sage Handbook of Qualitative Research</w:t>
      </w: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 (4th ed.). Thousand Oaks: SAGE. Part 4.</w:t>
      </w:r>
    </w:p>
    <w:p w14:paraId="371CE42E"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Department of Children and Youth Affairs. 2015. </w:t>
      </w:r>
      <w:r w:rsidRPr="00067907">
        <w:rPr>
          <w:rStyle w:val="Hyperlink"/>
          <w:rFonts w:ascii="Arial" w:eastAsiaTheme="majorEastAsia" w:hAnsi="Arial" w:cs="Arial"/>
          <w:i/>
          <w:iCs/>
          <w:color w:val="000000" w:themeColor="text1"/>
          <w:sz w:val="22"/>
          <w:szCs w:val="22"/>
          <w:u w:val="none"/>
          <w:bdr w:val="none" w:sz="0" w:space="0" w:color="auto" w:frame="1"/>
          <w:shd w:val="clear" w:color="auto" w:fill="FFFFFF"/>
        </w:rPr>
        <w:t>National Strategy on Children and Young People’s Participation in Decision-making, 2015 – 2020</w:t>
      </w: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 [online] Available at: </w:t>
      </w:r>
      <w:hyperlink r:id="rId9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www.dcya.ie</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 [Accessed 17 December 2020].</w:t>
      </w:r>
    </w:p>
    <w:p w14:paraId="6A6A95F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and Skills, 2003. </w:t>
      </w:r>
      <w:r w:rsidRPr="00067907">
        <w:rPr>
          <w:rStyle w:val="bibauth"/>
          <w:rFonts w:ascii="Arial" w:eastAsiaTheme="majorEastAsia" w:hAnsi="Arial" w:cs="Arial"/>
          <w:i/>
          <w:color w:val="000000" w:themeColor="text1"/>
          <w:sz w:val="22"/>
          <w:szCs w:val="22"/>
          <w:bdr w:val="none" w:sz="0" w:space="0" w:color="auto" w:frame="1"/>
          <w:shd w:val="clear" w:color="auto" w:fill="FFFFFF"/>
        </w:rPr>
        <w:t>If this were my child:</w:t>
      </w:r>
      <w:r w:rsidRPr="00067907">
        <w:rPr>
          <w:rFonts w:ascii="Arial" w:hAnsi="Arial" w:cs="Arial"/>
          <w:i/>
          <w:color w:val="000000" w:themeColor="text1"/>
          <w:sz w:val="22"/>
          <w:szCs w:val="22"/>
        </w:rPr>
        <w:t xml:space="preserve"> </w:t>
      </w:r>
      <w:r w:rsidRPr="00067907">
        <w:rPr>
          <w:rStyle w:val="bibauth"/>
          <w:rFonts w:ascii="Arial" w:eastAsiaTheme="majorEastAsia" w:hAnsi="Arial" w:cs="Arial"/>
          <w:i/>
          <w:color w:val="000000" w:themeColor="text1"/>
          <w:sz w:val="22"/>
          <w:szCs w:val="22"/>
          <w:bdr w:val="none" w:sz="0" w:space="0" w:color="auto" w:frame="1"/>
          <w:shd w:val="clear" w:color="auto" w:fill="FFFFFF"/>
        </w:rPr>
        <w:t>A Councillor’s guide to being a good corporate parent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w:t>
      </w:r>
      <w:hyperlink r:id="rId9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http://webarchive.nationalarchives.gov.uk/20130401151715/https://www.education.gov.uk/publications/eOrderingDownload/ITWMCSUM.pdf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6 January 2017].</w:t>
      </w:r>
    </w:p>
    <w:p w14:paraId="160936F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and Skills, 2007. </w:t>
      </w:r>
      <w:r w:rsidRPr="00067907">
        <w:rPr>
          <w:rStyle w:val="bibauth"/>
          <w:rFonts w:ascii="Arial" w:eastAsiaTheme="majorEastAsia" w:hAnsi="Arial" w:cs="Arial"/>
          <w:i/>
          <w:color w:val="000000" w:themeColor="text1"/>
          <w:sz w:val="22"/>
          <w:szCs w:val="22"/>
          <w:bdr w:val="none" w:sz="0" w:space="0" w:color="auto" w:frame="1"/>
          <w:shd w:val="clear" w:color="auto" w:fill="FFFFFF"/>
        </w:rPr>
        <w:t>Care Matters: Time for Change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w:t>
      </w:r>
      <w:r w:rsidRPr="00067907">
        <w:rPr>
          <w:rFonts w:ascii="Arial" w:hAnsi="Arial" w:cs="Arial"/>
          <w:color w:val="000000" w:themeColor="text1"/>
          <w:sz w:val="22"/>
          <w:szCs w:val="22"/>
        </w:rPr>
        <w:t xml:space="preserve"> &lt;</w:t>
      </w:r>
      <w:hyperlink r:id="rId9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http://www.official-documents.gov.uk/document/cm71/7137/7137.pdf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6 January 2017].</w:t>
      </w:r>
    </w:p>
    <w:p w14:paraId="7A8DBD8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Department for Education and Skills. 2010. IRO Handbook: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Statutory guidance for independent reviewing officers and local authorities on their functions in relation to case management and review for looked after children</w:t>
      </w:r>
      <w:r w:rsidRPr="00067907">
        <w:rPr>
          <w:rStyle w:val="bibauth"/>
          <w:rFonts w:ascii="Arial" w:eastAsiaTheme="majorEastAsia" w:hAnsi="Arial" w:cs="Arial"/>
          <w:color w:val="000000" w:themeColor="text1"/>
          <w:sz w:val="22"/>
          <w:szCs w:val="22"/>
          <w:bdr w:val="none" w:sz="0" w:space="0" w:color="auto" w:frame="1"/>
          <w:shd w:val="clear" w:color="auto" w:fill="FFFFFF"/>
        </w:rPr>
        <w:t>. London: HMSO.</w:t>
      </w:r>
    </w:p>
    <w:p w14:paraId="2AADA9AF"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Department for Education, 2011. </w:t>
      </w:r>
      <w:r w:rsidRPr="00067907">
        <w:rPr>
          <w:rFonts w:ascii="Arial" w:hAnsi="Arial" w:cs="Arial"/>
          <w:i/>
          <w:iCs/>
          <w:color w:val="000000" w:themeColor="text1"/>
          <w:sz w:val="22"/>
          <w:szCs w:val="22"/>
          <w:bdr w:val="none" w:sz="0" w:space="0" w:color="auto" w:frame="1"/>
          <w:shd w:val="clear" w:color="auto" w:fill="FFFFFF"/>
        </w:rPr>
        <w:t>Fostering Services: National Minimum Standards</w:t>
      </w:r>
      <w:r w:rsidRPr="00067907">
        <w:rPr>
          <w:rFonts w:ascii="Arial" w:hAnsi="Arial" w:cs="Arial"/>
          <w:color w:val="000000" w:themeColor="text1"/>
          <w:sz w:val="22"/>
          <w:szCs w:val="22"/>
          <w:bdr w:val="none" w:sz="0" w:space="0" w:color="auto" w:frame="1"/>
          <w:shd w:val="clear" w:color="auto" w:fill="FFFFFF"/>
        </w:rPr>
        <w:t xml:space="preserve">. [online] Available at: </w:t>
      </w:r>
      <w:hyperlink r:id="rId93"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https://www.gov.uk/government/publications/fostering-services-national-minimum-standards</w:t>
        </w:r>
      </w:hyperlink>
      <w:r w:rsidRPr="00067907">
        <w:rPr>
          <w:rFonts w:ascii="Arial" w:hAnsi="Arial" w:cs="Arial"/>
          <w:color w:val="000000" w:themeColor="text1"/>
          <w:sz w:val="22"/>
          <w:szCs w:val="22"/>
          <w:bdr w:val="none" w:sz="0" w:space="0" w:color="auto" w:frame="1"/>
          <w:shd w:val="clear" w:color="auto" w:fill="FFFFFF"/>
        </w:rPr>
        <w:t xml:space="preserve"> [Accessed 20 July 2018].</w:t>
      </w:r>
    </w:p>
    <w:p w14:paraId="635361E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Department for Work and Pensions and Her Majesty’s Revenue and Customs, 2013.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“STAYING PUT”: Arrangements for Care Leavers aged 18 and above to stay on with their former foster carers</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r w:rsidRPr="00067907">
        <w:rPr>
          <w:rFonts w:ascii="Arial" w:hAnsi="Arial" w:cs="Arial"/>
          <w:color w:val="000000" w:themeColor="text1"/>
          <w:sz w:val="22"/>
          <w:szCs w:val="22"/>
        </w:rPr>
        <w:t xml:space="preserve"> </w:t>
      </w:r>
      <w:hyperlink r:id="rId9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https://assets.publishing.service.gov.uk/government/uploads/system/uploads/attachment_data/file/201015/Staying_Put_Guidance.pdf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17 March 2018].</w:t>
      </w:r>
    </w:p>
    <w:p w14:paraId="10E0F2F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Children Act 1989</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guidance and regulations: Volume 3: planning transition to adulthood for care leavers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 </w:t>
      </w:r>
      <w:hyperlink r:id="rId9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https://assets.publishing.service.gov.uk/government/uploads/system/uploads/attachment_data/file/397649/CA1989_Transitions_guidance.pdf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20 October 2018]</w:t>
      </w:r>
    </w:p>
    <w:p w14:paraId="20D642E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2015b.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Children Act 1989 guidance and regulations: Volume 2: care planning, placement and case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 </w:t>
      </w:r>
      <w:hyperlink r:id="rId9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https://assets.publishing.service.gov.uk/government/uploads/system/uploads/attachment_data/file/441643/Children_Act_Guidance_2015.pdf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20 June 2021]</w:t>
      </w:r>
    </w:p>
    <w:p w14:paraId="56D168D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2016.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Keep on caring: supporting young people from care to independence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[online]. Available at &lt; </w:t>
      </w:r>
      <w:hyperlink r:id="rId9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https://www.gov.uk/government/publications/keep-on-caring-supporting-young-people-from-care-to-independence</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20 October 2018]</w:t>
      </w:r>
    </w:p>
    <w:p w14:paraId="3AAFE08A"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Style w:val="groupname"/>
          <w:rFonts w:ascii="Arial" w:hAnsi="Arial" w:cs="Arial"/>
          <w:color w:val="000000" w:themeColor="text1"/>
          <w:sz w:val="22"/>
          <w:szCs w:val="22"/>
        </w:rPr>
        <w:t xml:space="preserve">Department for Education, </w:t>
      </w:r>
      <w:r w:rsidRPr="00067907">
        <w:rPr>
          <w:rStyle w:val="pubyear"/>
          <w:rFonts w:ascii="Arial" w:hAnsi="Arial" w:cs="Arial"/>
          <w:color w:val="000000" w:themeColor="text1"/>
          <w:sz w:val="22"/>
          <w:szCs w:val="22"/>
        </w:rPr>
        <w:t>2017</w:t>
      </w:r>
      <w:r w:rsidRPr="00067907">
        <w:rPr>
          <w:rStyle w:val="HTMLCite"/>
          <w:rFonts w:ascii="Arial" w:hAnsi="Arial" w:cs="Arial"/>
          <w:color w:val="000000" w:themeColor="text1"/>
          <w:sz w:val="22"/>
          <w:szCs w:val="22"/>
        </w:rPr>
        <w:t xml:space="preserve">. </w:t>
      </w:r>
      <w:r w:rsidRPr="00067907">
        <w:rPr>
          <w:rStyle w:val="booktitle"/>
          <w:rFonts w:ascii="Arial" w:hAnsi="Arial" w:cs="Arial"/>
          <w:i/>
          <w:iCs/>
          <w:color w:val="000000" w:themeColor="text1"/>
          <w:sz w:val="22"/>
          <w:szCs w:val="22"/>
        </w:rPr>
        <w:t>National tables: Children looked after in England including adoption 2016 to 2017</w:t>
      </w:r>
      <w:r w:rsidRPr="00067907">
        <w:rPr>
          <w:rStyle w:val="HTMLCite"/>
          <w:rFonts w:ascii="Arial" w:hAnsi="Arial" w:cs="Arial"/>
          <w:color w:val="000000" w:themeColor="text1"/>
          <w:sz w:val="22"/>
          <w:szCs w:val="22"/>
        </w:rPr>
        <w:t>. [online]. Available at: &lt;</w:t>
      </w:r>
      <w:r w:rsidRPr="00067907">
        <w:rPr>
          <w:rFonts w:ascii="Arial" w:hAnsi="Arial" w:cs="Arial"/>
          <w:color w:val="000000" w:themeColor="text1"/>
          <w:sz w:val="22"/>
          <w:szCs w:val="22"/>
        </w:rPr>
        <w:t xml:space="preserve"> </w:t>
      </w:r>
      <w:r w:rsidRPr="00067907">
        <w:rPr>
          <w:rStyle w:val="HTMLCite"/>
          <w:rFonts w:ascii="Arial" w:hAnsi="Arial" w:cs="Arial"/>
          <w:color w:val="000000" w:themeColor="text1"/>
          <w:sz w:val="22"/>
          <w:szCs w:val="22"/>
        </w:rPr>
        <w:t>https://www.gov.uk/government/statistics/children-looked-after-in-england-including-adoption-2016-to-2017 &gt; [Accessed 3 January 2021].</w:t>
      </w:r>
    </w:p>
    <w:p w14:paraId="0845DF3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for Education. 2018.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Applying corporate parenting principles to looked-after children and care leavers: Statutory guidance for local authorities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[online]. Available at &lt; </w:t>
      </w:r>
      <w:hyperlink r:id="rId9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https://assets.publishing.service.gov.uk/government/uploads/system/uploads/attachment_data/file/683698/Applying_corporate_parenting_principles_to_looked-after_children_and_care_leavers.pdf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17 March 2018]</w:t>
      </w:r>
    </w:p>
    <w:p w14:paraId="7B90BC42"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Style w:val="groupname"/>
          <w:rFonts w:ascii="Arial" w:hAnsi="Arial" w:cs="Arial"/>
          <w:color w:val="000000" w:themeColor="text1"/>
          <w:sz w:val="22"/>
          <w:szCs w:val="22"/>
        </w:rPr>
        <w:t xml:space="preserve">Department for Education, </w:t>
      </w:r>
      <w:r w:rsidRPr="00067907">
        <w:rPr>
          <w:rStyle w:val="pubyear"/>
          <w:rFonts w:ascii="Arial" w:hAnsi="Arial" w:cs="Arial"/>
          <w:color w:val="000000" w:themeColor="text1"/>
          <w:sz w:val="22"/>
          <w:szCs w:val="22"/>
        </w:rPr>
        <w:t>2020</w:t>
      </w:r>
      <w:r w:rsidRPr="00067907">
        <w:rPr>
          <w:rStyle w:val="HTMLCite"/>
          <w:rFonts w:ascii="Arial" w:hAnsi="Arial" w:cs="Arial"/>
          <w:color w:val="000000" w:themeColor="text1"/>
          <w:sz w:val="22"/>
          <w:szCs w:val="22"/>
        </w:rPr>
        <w:t xml:space="preserve">. </w:t>
      </w:r>
      <w:r w:rsidRPr="00067907">
        <w:rPr>
          <w:rStyle w:val="booktitle"/>
          <w:rFonts w:ascii="Arial" w:hAnsi="Arial" w:cs="Arial"/>
          <w:i/>
          <w:iCs/>
          <w:color w:val="000000" w:themeColor="text1"/>
          <w:sz w:val="22"/>
          <w:szCs w:val="22"/>
        </w:rPr>
        <w:t>National tables: Children looked after in England including adoption 2019 to 2020</w:t>
      </w:r>
      <w:r w:rsidRPr="00067907">
        <w:rPr>
          <w:rStyle w:val="HTMLCite"/>
          <w:rFonts w:ascii="Arial" w:hAnsi="Arial" w:cs="Arial"/>
          <w:color w:val="000000" w:themeColor="text1"/>
          <w:sz w:val="22"/>
          <w:szCs w:val="22"/>
        </w:rPr>
        <w:t>. [online]. Available at: &lt;https://explore-education-statistics.service.gov.uk/find-statistics/children-looked-after-in-england-including-adoptions&gt; [Accessed 3 January 2021].</w:t>
      </w:r>
    </w:p>
    <w:p w14:paraId="7A931F2B" w14:textId="77777777" w:rsidR="00067907" w:rsidRPr="00067907" w:rsidRDefault="00067907" w:rsidP="00B6099C">
      <w:pPr>
        <w:pStyle w:val="NormalWeb"/>
        <w:spacing w:line="240" w:lineRule="auto"/>
        <w:ind w:left="142" w:right="-52" w:hanging="142"/>
        <w:rPr>
          <w:rStyle w:val="groupname"/>
          <w:rFonts w:ascii="Arial" w:hAnsi="Arial" w:cs="Arial"/>
          <w:color w:val="000000" w:themeColor="text1"/>
          <w:sz w:val="22"/>
          <w:szCs w:val="22"/>
        </w:rPr>
      </w:pPr>
      <w:r w:rsidRPr="00067907">
        <w:rPr>
          <w:rStyle w:val="groupname"/>
          <w:rFonts w:ascii="Arial" w:hAnsi="Arial" w:cs="Arial"/>
          <w:color w:val="000000" w:themeColor="text1"/>
          <w:sz w:val="22"/>
          <w:szCs w:val="22"/>
        </w:rPr>
        <w:t xml:space="preserve">Department for Education. 2021. </w:t>
      </w:r>
      <w:r w:rsidRPr="00067907">
        <w:rPr>
          <w:rStyle w:val="groupname"/>
          <w:rFonts w:ascii="Arial" w:hAnsi="Arial" w:cs="Arial"/>
          <w:i/>
          <w:iCs/>
          <w:color w:val="000000" w:themeColor="text1"/>
          <w:sz w:val="22"/>
          <w:szCs w:val="22"/>
        </w:rPr>
        <w:t>Children's social work workforce: Reporting year 2020.</w:t>
      </w:r>
      <w:r w:rsidRPr="00067907">
        <w:rPr>
          <w:rStyle w:val="groupname"/>
          <w:rFonts w:ascii="Arial" w:hAnsi="Arial" w:cs="Arial"/>
          <w:color w:val="000000" w:themeColor="text1"/>
          <w:sz w:val="22"/>
          <w:szCs w:val="22"/>
        </w:rPr>
        <w:t xml:space="preserve"> [online]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Available at: </w:t>
      </w:r>
      <w:hyperlink r:id="rId99" w:anchor="dataBlock-cd6b6560-a3a1-4bb3-c0bc-08d8d329548f-tables" w:history="1">
        <w:r w:rsidRPr="00067907">
          <w:rPr>
            <w:rStyle w:val="Hyperlink"/>
            <w:rFonts w:ascii="Arial" w:eastAsiaTheme="majorEastAsia" w:hAnsi="Arial" w:cs="Arial"/>
            <w:color w:val="000000" w:themeColor="text1"/>
            <w:sz w:val="22"/>
            <w:szCs w:val="22"/>
            <w:u w:val="none"/>
          </w:rPr>
          <w:t>https://explore-education-statistics.service.gov.uk/find-statistics/children-s-social-work-workforce#dataBlock-cd6b6560-a3a1-4bb3-c0bc-08d8d329548f-tables</w:t>
        </w:r>
      </w:hyperlink>
      <w:r w:rsidRPr="00067907">
        <w:rPr>
          <w:rStyle w:val="groupname"/>
          <w:rFonts w:ascii="Arial" w:hAnsi="Arial" w:cs="Arial"/>
          <w:color w:val="000000" w:themeColor="text1"/>
          <w:sz w:val="22"/>
          <w:szCs w:val="22"/>
        </w:rPr>
        <w:t xml:space="preserve"> [Accessed 1 May 2021]. </w:t>
      </w:r>
    </w:p>
    <w:p w14:paraId="791FA3BD" w14:textId="77777777" w:rsidR="00067907" w:rsidRPr="00067907" w:rsidRDefault="00067907" w:rsidP="00B6099C">
      <w:pPr>
        <w:pStyle w:val="NormalWeb"/>
        <w:spacing w:line="240" w:lineRule="auto"/>
        <w:ind w:left="142" w:right="-52" w:hanging="142"/>
        <w:rPr>
          <w:rStyle w:val="groupname"/>
          <w:rFonts w:ascii="Arial" w:hAnsi="Arial" w:cs="Arial"/>
          <w:color w:val="000000" w:themeColor="text1"/>
          <w:sz w:val="22"/>
          <w:szCs w:val="22"/>
        </w:rPr>
      </w:pPr>
      <w:r w:rsidRPr="00067907">
        <w:rPr>
          <w:rStyle w:val="groupname"/>
          <w:rFonts w:ascii="Arial" w:hAnsi="Arial" w:cs="Arial"/>
          <w:color w:val="000000" w:themeColor="text1"/>
          <w:sz w:val="22"/>
          <w:szCs w:val="22"/>
        </w:rPr>
        <w:t>Department for Education, n.d. Leaving Foster or Local Authority Care [online] Available at: &lt;https://www.gov.uk/leaving-foster-or-local-authority-care&gt; [Accessed 3 August 2021].</w:t>
      </w:r>
    </w:p>
    <w:p w14:paraId="4DD971E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Department of Health. 1993. Children Act 1989: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 report to the Secretaries of State for Health and the Wales on the Children Act 1989 in pursuance of their duties under Section 83(6) of the Act.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HMSO</w:t>
      </w:r>
    </w:p>
    <w:p w14:paraId="29F2DE6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of Health. 1998.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Government's Response to the Children's Safeguards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The Stationary Office. </w:t>
      </w:r>
    </w:p>
    <w:p w14:paraId="654B774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of Health. 1998b.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Quality Protects Programme: Transforming Children’s Services</w:t>
      </w:r>
      <w:r w:rsidRPr="00067907">
        <w:rPr>
          <w:rStyle w:val="bibauth"/>
          <w:rFonts w:ascii="Arial" w:eastAsiaTheme="majorEastAsia" w:hAnsi="Arial" w:cs="Arial"/>
          <w:color w:val="000000" w:themeColor="text1"/>
          <w:sz w:val="22"/>
          <w:szCs w:val="22"/>
          <w:bdr w:val="none" w:sz="0" w:space="0" w:color="auto" w:frame="1"/>
          <w:shd w:val="clear" w:color="auto" w:fill="FFFFFF"/>
        </w:rPr>
        <w:t>. London: Department of Health LAC (98) 28.</w:t>
      </w:r>
    </w:p>
    <w:p w14:paraId="1B2ABDE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Department of Health. 1999.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Me Survive Out There? New Arrangements for Young People Living in and Leaving Care</w:t>
      </w:r>
      <w:r w:rsidRPr="00067907">
        <w:rPr>
          <w:rStyle w:val="bibauth"/>
          <w:rFonts w:ascii="Arial" w:eastAsiaTheme="majorEastAsia" w:hAnsi="Arial" w:cs="Arial"/>
          <w:color w:val="000000" w:themeColor="text1"/>
          <w:sz w:val="22"/>
          <w:szCs w:val="22"/>
          <w:bdr w:val="none" w:sz="0" w:space="0" w:color="auto" w:frame="1"/>
          <w:shd w:val="clear" w:color="auto" w:fill="FFFFFF"/>
        </w:rPr>
        <w:t>. London: Department of Health.</w:t>
      </w:r>
    </w:p>
    <w:p w14:paraId="51C4E13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Kirton, D., Beecham, J. and Ogilvie, K., 2007.  Gaining Satisfaction? An Exploration of Foster-Carers’ Attitudes to Payment.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3(2), pp.1205–1224, </w:t>
      </w:r>
      <w:hyperlink r:id="rId10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https://doi.org/10.1093/bjsw/bcl061</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090217E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Diaz, C. and Aylward, T., 2019. A Study on Senior Managers’ Views of Participation in One Local Authority… a Case of Wilful Blindness?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49(5), pp. 1333–1349, </w:t>
      </w:r>
      <w:hyperlink r:id="rId10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https://doi.org/10.1093/bjsw/bcy101</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305C204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Diaz, C., Pert, H. and Thomas, N. 2018. ‘Just another person in the room’: young people’s views on their participation in Child in Care Reviews.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Adoption &amp; Fostering</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42(4), 369–382. </w:t>
      </w:r>
      <w:hyperlink r:id="rId10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https://doi.org/10.1177/0308575918801663</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5950484B" w14:textId="17BA9F4E"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highlight w:val="yellow"/>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Diaz, C., Pert, H. and Thomas, N. 2019. Independent Reviewing Officers' and social workers' perceptions of children's participation in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in Care Reviews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Children's Services,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14(3), pp. 162-173. doi:10.1108/JCS-01-2019-0003</w:t>
      </w:r>
      <w:r w:rsidR="00F7070D">
        <w:rPr>
          <w:rStyle w:val="bibauth"/>
          <w:rFonts w:ascii="Arial" w:eastAsiaTheme="majorEastAsia" w:hAnsi="Arial" w:cs="Arial"/>
          <w:color w:val="000000" w:themeColor="text1"/>
          <w:sz w:val="22"/>
          <w:szCs w:val="22"/>
          <w:bdr w:val="none" w:sz="0" w:space="0" w:color="auto" w:frame="1"/>
          <w:shd w:val="clear" w:color="auto" w:fill="FFFFFF"/>
        </w:rPr>
        <w:t>.</w:t>
      </w:r>
    </w:p>
    <w:p w14:paraId="77F25E0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Dickens, J., Schofield, G., Beckett, C., Young, J. and Philip, G.,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Care Planning and the Role of the Independent Reviewing Officer: Research Report</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hyperlink r:id="rId103"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https://ueaeprints.uea.ac.uk/id/eprint/54814/1/Care_Planning_and_IROs_UEA_Oct_2015.pdf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&gt; [Accessed 27 March 2020].</w:t>
      </w:r>
    </w:p>
    <w:p w14:paraId="280E2B41" w14:textId="2DE07A25"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Dillon, J., Greenop, D., and Hills, M. 2016. Participation in child protection: A small-scale qualitative study.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15 (1), pp. 70–85. </w:t>
      </w:r>
      <w:hyperlink r:id="rId10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https://doi.org/10.1177/1473325015578946</w:t>
        </w:r>
      </w:hyperlink>
      <w:r w:rsidR="00F7070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29E281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Dima, G. and Pinkerton, J. 2016. The role of informal leaving care peer support in Romania. In P. Mendes and P. Snow (eds.) 2016.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Young people transitioning from care: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International research, policy, and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Basingstoke: Palgrave Macmillan. Ch.20.</w:t>
      </w:r>
    </w:p>
    <w:p w14:paraId="4873EAA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Dinisman, T. and Zeira, A., 2011. The contribution of individual, social support and institutional characteristics to perceived readiness to leave care in Israel: an ecological perspective. The </w:t>
      </w:r>
      <w:r w:rsidRPr="00067907">
        <w:rPr>
          <w:rStyle w:val="bibauth"/>
          <w:rFonts w:ascii="Arial" w:eastAsiaTheme="majorEastAsia" w:hAnsi="Arial" w:cs="Arial"/>
          <w:i/>
          <w:color w:val="000000" w:themeColor="text1"/>
          <w:sz w:val="22"/>
          <w:szCs w:val="22"/>
          <w:bdr w:val="none" w:sz="0" w:space="0" w:color="auto" w:frame="1"/>
          <w:shd w:val="clear" w:color="auto" w:fill="FFFFFF"/>
        </w:rPr>
        <w:t>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41(8), pp.1442-1458. </w:t>
      </w:r>
      <w:hyperlink r:id="rId10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https://doi.org/10.1093/bjsw/bcr034</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21FD86F2" w14:textId="7C346CEB"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2007, 'Obstacles to participation in education, employment and training for young people leaving care'. </w:t>
      </w:r>
      <w:r w:rsidRPr="00F7070D">
        <w:rPr>
          <w:rStyle w:val="bibauth"/>
          <w:rFonts w:ascii="Arial" w:eastAsiaTheme="majorEastAsia" w:hAnsi="Arial" w:cs="Arial"/>
          <w:i/>
          <w:iCs/>
          <w:color w:val="000000" w:themeColor="text1"/>
          <w:sz w:val="22"/>
          <w:szCs w:val="22"/>
          <w:bdr w:val="none" w:sz="0" w:space="0" w:color="auto" w:frame="1"/>
          <w:shd w:val="clear" w:color="auto" w:fill="FFFFFF"/>
        </w:rPr>
        <w:t>Social Work &amp; Social Sciences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13, (2), pp. 18-34. http://dx.doi.org/10.1921/19648</w:t>
      </w:r>
    </w:p>
    <w:p w14:paraId="162EC4F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Dixon, J., 2008. </w:t>
      </w:r>
      <w:r w:rsidRPr="00F7070D">
        <w:rPr>
          <w:rStyle w:val="bibauth"/>
          <w:rFonts w:ascii="Arial" w:eastAsiaTheme="majorEastAsia" w:hAnsi="Arial" w:cs="Arial"/>
          <w:i/>
          <w:iCs/>
          <w:color w:val="000000" w:themeColor="text1"/>
          <w:sz w:val="22"/>
          <w:szCs w:val="22"/>
          <w:bdr w:val="none" w:sz="0" w:space="0" w:color="auto" w:frame="1"/>
          <w:shd w:val="clear" w:color="auto" w:fill="FFFFFF"/>
        </w:rPr>
        <w:t>Pathways to Work Experience Helping Care Leavers into Employment</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at:&lt; https://www.york.ac.uk/inst/spru/research/pdf/StartingBlocks.pdf&gt; [Accessed 2 July 2018].</w:t>
      </w:r>
    </w:p>
    <w:p w14:paraId="1B45E88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and Baker, C., 2016. </w:t>
      </w:r>
      <w:r w:rsidRPr="00067907">
        <w:rPr>
          <w:rStyle w:val="bibauth"/>
          <w:rFonts w:ascii="Arial" w:eastAsiaTheme="majorEastAsia" w:hAnsi="Arial" w:cs="Arial"/>
          <w:i/>
          <w:color w:val="000000" w:themeColor="text1"/>
          <w:sz w:val="22"/>
          <w:szCs w:val="22"/>
          <w:bdr w:val="none" w:sz="0" w:space="0" w:color="auto" w:frame="1"/>
          <w:shd w:val="clear" w:color="auto" w:fill="FFFFFF"/>
        </w:rPr>
        <w:t>New Belongings: An evaluation</w:t>
      </w:r>
      <w:r w:rsidRPr="00067907">
        <w:rPr>
          <w:rStyle w:val="bibauth"/>
          <w:rFonts w:ascii="Arial" w:eastAsiaTheme="majorEastAsia" w:hAnsi="Arial" w:cs="Arial"/>
          <w:color w:val="000000" w:themeColor="text1"/>
          <w:sz w:val="22"/>
          <w:szCs w:val="22"/>
          <w:bdr w:val="none" w:sz="0" w:space="0" w:color="auto" w:frame="1"/>
          <w:shd w:val="clear" w:color="auto" w:fill="FFFFFF"/>
        </w:rPr>
        <w:t>. London: Department for Education.</w:t>
      </w:r>
    </w:p>
    <w:p w14:paraId="63F7605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Cresswell, C. and Ward, J., 2020. </w:t>
      </w:r>
      <w:r w:rsidRPr="00F7070D">
        <w:rPr>
          <w:rStyle w:val="bibauth"/>
          <w:rFonts w:ascii="Arial" w:eastAsiaTheme="majorEastAsia" w:hAnsi="Arial" w:cs="Arial"/>
          <w:i/>
          <w:iCs/>
          <w:color w:val="000000" w:themeColor="text1"/>
          <w:sz w:val="22"/>
          <w:szCs w:val="22"/>
          <w:bdr w:val="none" w:sz="0" w:space="0" w:color="auto" w:frame="1"/>
          <w:shd w:val="clear" w:color="auto" w:fill="FFFFFF"/>
        </w:rPr>
        <w:t>The Break Staying Close, Staying Connected Project: Evaluation Report.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[pdf] Available at&lt; </w:t>
      </w:r>
      <w:hyperlink r:id="rId10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https://www.york.ac.uk/media/spru/projectfiles/Staying_Close_Break.pdf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10 September 2020).</w:t>
      </w:r>
    </w:p>
    <w:p w14:paraId="24387BE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Dixon, L. and Robey, C., 2014. Giving care leavers more control over their futures: Care leavers’ transitions into learning and work. The role of the Personal Adviser and the process of Pathway. [pdf] Available at &lt;</w:t>
      </w:r>
      <w:hyperlink r:id="rId10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https://archive.learningandwork.org.uk/wp-content/uploads/2017/01/Giving-care-leavers-more-control-over-their-futures.pdf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 November 2018]. </w:t>
      </w:r>
    </w:p>
    <w:p w14:paraId="25F6BFB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Lee, J., Stein, M., Guhirwa, H., Bowley, S. and Peer Researchers, CNCAS., 2015. </w:t>
      </w:r>
      <w:r w:rsidRPr="00067907">
        <w:rPr>
          <w:rStyle w:val="bibauth"/>
          <w:rFonts w:ascii="Arial" w:eastAsiaTheme="majorEastAsia" w:hAnsi="Arial" w:cs="Arial"/>
          <w:i/>
          <w:color w:val="000000" w:themeColor="text1"/>
          <w:sz w:val="22"/>
          <w:szCs w:val="22"/>
          <w:bdr w:val="none" w:sz="0" w:space="0" w:color="auto" w:frame="1"/>
          <w:shd w:val="clear" w:color="auto" w:fill="FFFFFF"/>
        </w:rPr>
        <w:t>Corporate parenting for young people in care: making the difference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Catch 22.</w:t>
      </w:r>
    </w:p>
    <w:p w14:paraId="06248A3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and Stein, M., 2005, </w:t>
      </w:r>
      <w:r w:rsidRPr="00067907">
        <w:rPr>
          <w:rStyle w:val="bibauth"/>
          <w:rFonts w:ascii="Arial" w:eastAsiaTheme="majorEastAsia" w:hAnsi="Arial" w:cs="Arial"/>
          <w:i/>
          <w:color w:val="000000" w:themeColor="text1"/>
          <w:sz w:val="22"/>
          <w:szCs w:val="22"/>
          <w:bdr w:val="none" w:sz="0" w:space="0" w:color="auto" w:frame="1"/>
          <w:shd w:val="clear" w:color="auto" w:fill="FFFFFF"/>
        </w:rPr>
        <w:t>Leaving Care: Throughcare and aftercare in Scotland.</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Jessica Kingsley Publishers.</w:t>
      </w:r>
    </w:p>
    <w:p w14:paraId="42D6700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Wade, J., Byford, S., Weatherly, H. and Lee. J., 2006. Young People Leaving Care: A Study of Costs and Outcomes Report to the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Department for Education &amp; Skills</w:t>
      </w:r>
      <w:r w:rsidRPr="00067907">
        <w:rPr>
          <w:rStyle w:val="bibauth"/>
          <w:rFonts w:ascii="Arial" w:eastAsiaTheme="majorEastAsia" w:hAnsi="Arial" w:cs="Arial"/>
          <w:color w:val="000000" w:themeColor="text1"/>
          <w:sz w:val="22"/>
          <w:szCs w:val="22"/>
          <w:bdr w:val="none" w:sz="0" w:space="0" w:color="auto" w:frame="1"/>
          <w:shd w:val="clear" w:color="auto" w:fill="FFFFFF"/>
        </w:rPr>
        <w:t>. [pdf] Available at &lt;</w:t>
      </w:r>
      <w:hyperlink r:id="rId10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https://www.york.ac.uk/inst/spru/research/pdf/leaving.pdf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 November 2018]. </w:t>
      </w:r>
    </w:p>
    <w:p w14:paraId="3794FB3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Dixon, J., Ward, J. and Blower, S., 2019. They sat and actually listened to what we think about the care system’: the use of participation, consultation, peer research and co-production to raise the voices of young people in and leaving care in England.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Care in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25 (1), pp. 6-21, DOI: 10.1080/13575279.2018.1521380.</w:t>
      </w:r>
    </w:p>
    <w:p w14:paraId="6977113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Dodd, S. and Epstein, I., 2012.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Practice Based Research in Social Work: a guide for reluctant researchers.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Routledge.</w:t>
      </w:r>
    </w:p>
    <w:p w14:paraId="17DBBAA8" w14:textId="7074E404"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Dominelli, L., 2002.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Anti-oppressive social work theory and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New York: Palgrave Macmillan</w:t>
      </w:r>
      <w:r w:rsidR="00410C73">
        <w:rPr>
          <w:rStyle w:val="bibauth"/>
          <w:rFonts w:ascii="Arial" w:eastAsiaTheme="majorEastAsia" w:hAnsi="Arial" w:cs="Arial"/>
          <w:color w:val="000000" w:themeColor="text1"/>
          <w:sz w:val="22"/>
          <w:szCs w:val="22"/>
          <w:bdr w:val="none" w:sz="0" w:space="0" w:color="auto" w:frame="1"/>
          <w:shd w:val="clear" w:color="auto" w:fill="FFFFFF"/>
        </w:rPr>
        <w:t>.</w:t>
      </w:r>
    </w:p>
    <w:p w14:paraId="63946C7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Dominelli, L., 2018.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Anti-Racist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London: Routledge.</w:t>
      </w:r>
    </w:p>
    <w:p w14:paraId="5010E16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Donovan, T., 2018. ‘Fall in Number of Young People Staying Put in Foster Care’, Children &amp; Young People Now, 3 April [online] Available at: &lt;</w:t>
      </w:r>
      <w:r w:rsidRPr="00067907">
        <w:rPr>
          <w:rFonts w:ascii="Arial" w:hAnsi="Arial" w:cs="Arial"/>
          <w:color w:val="000000" w:themeColor="text1"/>
          <w:sz w:val="22"/>
          <w:szCs w:val="22"/>
        </w:rPr>
        <w:t xml:space="preserve"> </w:t>
      </w:r>
      <w:hyperlink r:id="rId10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https://www.cypnow.co.uk/news/article/fall-in-number-of-young-people-staying-put-in-foster-care</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12 November 2020].</w:t>
      </w:r>
    </w:p>
    <w:p w14:paraId="32A2EDC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Downing, L., 2010.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Cambridge Introduction to Michel Foucault</w:t>
      </w:r>
      <w:r w:rsidRPr="00067907">
        <w:rPr>
          <w:rStyle w:val="bibauth"/>
          <w:rFonts w:ascii="Arial" w:eastAsiaTheme="majorEastAsia" w:hAnsi="Arial" w:cs="Arial"/>
          <w:color w:val="000000" w:themeColor="text1"/>
          <w:sz w:val="22"/>
          <w:szCs w:val="22"/>
          <w:bdr w:val="none" w:sz="0" w:space="0" w:color="auto" w:frame="1"/>
          <w:shd w:val="clear" w:color="auto" w:fill="FFFFFF"/>
        </w:rPr>
        <w:t>. Cambridge: Cambridge University Press.</w:t>
      </w:r>
    </w:p>
    <w:p w14:paraId="2F89A7B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Driscoll, J., 2013. ‘Supporting Care Leavers to Fulfil their Educational Aspirations: Resilience, Relationships and Resistance to Help’,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27, pp.139–149.</w:t>
      </w:r>
      <w:r w:rsidRPr="00067907">
        <w:rPr>
          <w:rFonts w:ascii="Arial" w:hAnsi="Arial" w:cs="Arial"/>
          <w:color w:val="000000" w:themeColor="text1"/>
          <w:sz w:val="22"/>
          <w:szCs w:val="22"/>
        </w:rPr>
        <w:t xml:space="preserve"> </w:t>
      </w:r>
      <w:hyperlink r:id="rId11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http://doi:10.1111/j.1099-0860.2011.00388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4EF3F3F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Duncalf, Z., 2010. Listen up! Adult Care Leavers Speak out. The Views of 310 Care Leavers Aged 17–78. [pdf] Available at: &lt;http://www.strathprints .strath.ac.uk/27410/1/strathprints027410.pdf&gt; [Accessed 10 August 2017).</w:t>
      </w:r>
    </w:p>
    <w:p w14:paraId="7FE243E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Ellingson, L., 2009. </w:t>
      </w:r>
      <w:r w:rsidRPr="00067907">
        <w:rPr>
          <w:rStyle w:val="bibauth"/>
          <w:rFonts w:ascii="Arial" w:eastAsiaTheme="majorEastAsia" w:hAnsi="Arial" w:cs="Arial"/>
          <w:i/>
          <w:color w:val="000000" w:themeColor="text1"/>
          <w:sz w:val="22"/>
          <w:szCs w:val="22"/>
          <w:bdr w:val="none" w:sz="0" w:space="0" w:color="auto" w:frame="1"/>
          <w:shd w:val="clear" w:color="auto" w:fill="FFFFFF"/>
        </w:rPr>
        <w:t>Engaging Crystallization in Qualitative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26550A6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Engel, R. and Schut, R., 2013.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Practice of Research in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w:t>
      </w:r>
    </w:p>
    <w:p w14:paraId="277DF94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Epstein, L., 1999. The Culture of Social Work. In: A. S. Chambon, A. Irving and L. Epstein (eds)1999.  Reading Foucault for Social Work.  New York: Columbia University Press. Ch.1.  </w:t>
      </w:r>
    </w:p>
    <w:p w14:paraId="26D1C28F" w14:textId="247451F0"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Evans, J., 2017. Objects of Concern” or “Risky Young Offenders”?: Assessment and Intervention </w:t>
      </w:r>
      <w:r w:rsidR="005C5158" w:rsidRPr="00067907">
        <w:rPr>
          <w:rStyle w:val="bibauth"/>
          <w:rFonts w:ascii="Arial" w:eastAsiaTheme="majorEastAsia" w:hAnsi="Arial" w:cs="Arial"/>
          <w:color w:val="000000" w:themeColor="text1"/>
          <w:sz w:val="22"/>
          <w:szCs w:val="22"/>
          <w:bdr w:val="none" w:sz="0" w:space="0" w:color="auto" w:frame="1"/>
          <w:shd w:val="clear" w:color="auto" w:fill="FFFFFF"/>
        </w:rPr>
        <w:t>with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Children in the Public Care and Youth Justice Systems of England and Wales. In: J.T. Ulmer, M.S. Bradley. (eds). 2018.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Handbook on Punishment Decisions: Locations of Disparity</w:t>
      </w:r>
      <w:r w:rsidRPr="00067907">
        <w:rPr>
          <w:rStyle w:val="bibauth"/>
          <w:rFonts w:ascii="Arial" w:eastAsiaTheme="majorEastAsia" w:hAnsi="Arial" w:cs="Arial"/>
          <w:color w:val="000000" w:themeColor="text1"/>
          <w:sz w:val="22"/>
          <w:szCs w:val="22"/>
          <w:bdr w:val="none" w:sz="0" w:space="0" w:color="auto" w:frame="1"/>
          <w:shd w:val="clear" w:color="auto" w:fill="FFFFFF"/>
        </w:rPr>
        <w:t>. London: Routledge. Ch.16.</w:t>
      </w:r>
    </w:p>
    <w:p w14:paraId="5821BBA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Evans, T. and Keating, F.,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Policy and Social Work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 </w:t>
      </w:r>
    </w:p>
    <w:p w14:paraId="21287EA9"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Fonts w:ascii="Arial" w:hAnsi="Arial" w:cs="Arial"/>
          <w:color w:val="000000" w:themeColor="text1"/>
          <w:sz w:val="22"/>
          <w:szCs w:val="22"/>
        </w:rPr>
        <w:t xml:space="preserve">Fawcett, B. and Featherstone, B., </w:t>
      </w: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1998. Quality assurance and evaluation in social work in a postmodern era. In: Carter, J. (ed.) </w:t>
      </w:r>
      <w:r w:rsidRPr="00067907">
        <w:rPr>
          <w:rStyle w:val="Hyperlink"/>
          <w:rFonts w:ascii="Arial" w:eastAsiaTheme="majorEastAsia" w:hAnsi="Arial" w:cs="Arial"/>
          <w:i/>
          <w:iCs/>
          <w:color w:val="000000" w:themeColor="text1"/>
          <w:sz w:val="22"/>
          <w:szCs w:val="22"/>
          <w:u w:val="none"/>
          <w:bdr w:val="none" w:sz="0" w:space="0" w:color="auto" w:frame="1"/>
          <w:shd w:val="clear" w:color="auto" w:fill="FFFFFF"/>
        </w:rPr>
        <w:t>Postmodernity and the Fragmentation of Welfare</w:t>
      </w: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London and New York: Routledge. Ch.5.</w:t>
      </w:r>
    </w:p>
    <w:p w14:paraId="298FEB71"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Fawcett, B., Featherstone, B., and Goddard, J., 2004. </w:t>
      </w:r>
      <w:r w:rsidRPr="00067907">
        <w:rPr>
          <w:rFonts w:ascii="Arial" w:hAnsi="Arial" w:cs="Arial"/>
          <w:i/>
          <w:iCs/>
          <w:color w:val="000000" w:themeColor="text1"/>
          <w:sz w:val="22"/>
          <w:szCs w:val="22"/>
        </w:rPr>
        <w:t>Contemporary Child Care Policy and Practice</w:t>
      </w:r>
      <w:r w:rsidRPr="00067907">
        <w:rPr>
          <w:rFonts w:ascii="Arial" w:hAnsi="Arial" w:cs="Arial"/>
          <w:color w:val="000000" w:themeColor="text1"/>
          <w:sz w:val="22"/>
          <w:szCs w:val="22"/>
        </w:rPr>
        <w:t xml:space="preserve">. London: Macmillan Education. </w:t>
      </w:r>
    </w:p>
    <w:p w14:paraId="114823EC"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Featherstone, B. and Green, L., 2012. Judith Butler. In: M. Gray and S. Webb (eds) 2012. </w:t>
      </w:r>
      <w:r w:rsidRPr="00067907">
        <w:rPr>
          <w:rFonts w:ascii="Arial" w:hAnsi="Arial" w:cs="Arial"/>
          <w:i/>
          <w:iCs/>
          <w:color w:val="000000" w:themeColor="text1"/>
          <w:sz w:val="22"/>
          <w:szCs w:val="22"/>
        </w:rPr>
        <w:t>Social Work Theories and Methods</w:t>
      </w:r>
      <w:r w:rsidRPr="00067907">
        <w:rPr>
          <w:rFonts w:ascii="Arial" w:hAnsi="Arial" w:cs="Arial"/>
          <w:color w:val="000000" w:themeColor="text1"/>
          <w:sz w:val="22"/>
          <w:szCs w:val="22"/>
        </w:rPr>
        <w:t>. London: SAGE. Ch.5.</w:t>
      </w:r>
    </w:p>
    <w:p w14:paraId="1796CE5B"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Featherstone, B., Gupta, A., Morris, K., and White, S., 2018. </w:t>
      </w:r>
      <w:r w:rsidRPr="00067907">
        <w:rPr>
          <w:rFonts w:ascii="Arial" w:hAnsi="Arial" w:cs="Arial"/>
          <w:i/>
          <w:iCs/>
          <w:color w:val="000000" w:themeColor="text1"/>
          <w:sz w:val="22"/>
          <w:szCs w:val="22"/>
        </w:rPr>
        <w:t>Protection Children: a social model</w:t>
      </w:r>
      <w:r w:rsidRPr="00067907">
        <w:rPr>
          <w:rFonts w:ascii="Arial" w:hAnsi="Arial" w:cs="Arial"/>
          <w:color w:val="000000" w:themeColor="text1"/>
          <w:sz w:val="22"/>
          <w:szCs w:val="22"/>
        </w:rPr>
        <w:t>. Bristol: Policy Press.</w:t>
      </w:r>
    </w:p>
    <w:p w14:paraId="0F7746B0"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Ferguson, H., 2016. What Social Workers do in Performing Child Protection Work: Evidence from Research into Face</w:t>
      </w:r>
      <w:r w:rsidRPr="00067907">
        <w:rPr>
          <w:rFonts w:ascii="Cambria Math" w:hAnsi="Cambria Math" w:cs="Cambria Math"/>
          <w:color w:val="000000" w:themeColor="text1"/>
          <w:sz w:val="22"/>
          <w:szCs w:val="22"/>
        </w:rPr>
        <w:t>‐</w:t>
      </w:r>
      <w:r w:rsidRPr="00067907">
        <w:rPr>
          <w:rFonts w:ascii="Arial" w:hAnsi="Arial" w:cs="Arial"/>
          <w:color w:val="000000" w:themeColor="text1"/>
          <w:sz w:val="22"/>
          <w:szCs w:val="22"/>
        </w:rPr>
        <w:t xml:space="preserve">to-Face Practice. </w:t>
      </w:r>
      <w:r w:rsidRPr="00067907">
        <w:rPr>
          <w:rFonts w:ascii="Arial" w:hAnsi="Arial" w:cs="Arial"/>
          <w:i/>
          <w:iCs/>
          <w:color w:val="000000" w:themeColor="text1"/>
          <w:sz w:val="22"/>
          <w:szCs w:val="22"/>
        </w:rPr>
        <w:t>Child &amp; Family Social Work</w:t>
      </w:r>
      <w:r w:rsidRPr="00067907">
        <w:rPr>
          <w:rFonts w:ascii="Arial" w:hAnsi="Arial" w:cs="Arial"/>
          <w:color w:val="000000" w:themeColor="text1"/>
          <w:sz w:val="22"/>
          <w:szCs w:val="22"/>
        </w:rPr>
        <w:t xml:space="preserve"> [e-journal] 2, pp. 283– 294. doi:10.1111/cfs.12142.</w:t>
      </w:r>
    </w:p>
    <w:p w14:paraId="6DDF884E"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Ferguson, H., 2017. How Children Become Invisible in Child Protection Work: Findings from Research into Day-to-Day Social Work Practice, The British Journal of Social Work, [e-journal] 47 (4), pp. 1007–1023, </w:t>
      </w:r>
      <w:hyperlink r:id="rId111" w:history="1">
        <w:r w:rsidRPr="00067907">
          <w:rPr>
            <w:rStyle w:val="Hyperlink"/>
            <w:rFonts w:ascii="Arial" w:eastAsiaTheme="majorEastAsia" w:hAnsi="Arial" w:cs="Arial"/>
            <w:color w:val="000000" w:themeColor="text1"/>
            <w:sz w:val="22"/>
            <w:szCs w:val="22"/>
            <w:u w:val="none"/>
          </w:rPr>
          <w:t>https://doi.org/10.1093/bjsw/bcw065</w:t>
        </w:r>
      </w:hyperlink>
      <w:r w:rsidRPr="00067907">
        <w:rPr>
          <w:rFonts w:ascii="Arial" w:hAnsi="Arial" w:cs="Arial"/>
          <w:color w:val="000000" w:themeColor="text1"/>
          <w:sz w:val="22"/>
          <w:szCs w:val="22"/>
        </w:rPr>
        <w:t>.</w:t>
      </w:r>
    </w:p>
    <w:p w14:paraId="337D0548"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Ferguson, I. and Lavalette, M., 2013. Crisis, austerity and the future(s) of social work in the UK. </w:t>
      </w:r>
      <w:r w:rsidRPr="00067907">
        <w:rPr>
          <w:rFonts w:ascii="Arial" w:hAnsi="Arial" w:cs="Arial"/>
          <w:i/>
          <w:iCs/>
          <w:color w:val="000000" w:themeColor="text1"/>
          <w:sz w:val="22"/>
          <w:szCs w:val="22"/>
        </w:rPr>
        <w:t>Critical and Radical Social Work</w:t>
      </w:r>
      <w:r w:rsidRPr="00067907">
        <w:rPr>
          <w:rFonts w:ascii="Arial" w:hAnsi="Arial" w:cs="Arial"/>
          <w:color w:val="000000" w:themeColor="text1"/>
          <w:sz w:val="22"/>
          <w:szCs w:val="22"/>
        </w:rPr>
        <w:t xml:space="preserve">, [e-journal] 1(1), pp. 95-110. </w:t>
      </w:r>
      <w:hyperlink r:id="rId112" w:history="1">
        <w:r w:rsidRPr="00067907">
          <w:rPr>
            <w:rStyle w:val="Hyperlink"/>
            <w:rFonts w:ascii="Arial" w:eastAsiaTheme="majorEastAsia" w:hAnsi="Arial" w:cs="Arial"/>
            <w:color w:val="000000" w:themeColor="text1"/>
            <w:sz w:val="22"/>
            <w:szCs w:val="22"/>
            <w:u w:val="none"/>
          </w:rPr>
          <w:t>https://doi.org/10.1332/204986013X665992</w:t>
        </w:r>
      </w:hyperlink>
      <w:r w:rsidRPr="00067907">
        <w:rPr>
          <w:rFonts w:ascii="Arial" w:hAnsi="Arial" w:cs="Arial"/>
          <w:color w:val="000000" w:themeColor="text1"/>
          <w:sz w:val="22"/>
          <w:szCs w:val="22"/>
        </w:rPr>
        <w:t>.</w:t>
      </w:r>
    </w:p>
    <w:p w14:paraId="5E40793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Fielding, N., and Fielding, J., 1986. </w:t>
      </w:r>
      <w:r w:rsidRPr="00067907">
        <w:rPr>
          <w:rStyle w:val="bibauth"/>
          <w:rFonts w:ascii="Arial" w:eastAsiaTheme="majorEastAsia" w:hAnsi="Arial" w:cs="Arial"/>
          <w:i/>
          <w:color w:val="000000" w:themeColor="text1"/>
          <w:sz w:val="22"/>
          <w:szCs w:val="22"/>
          <w:bdr w:val="none" w:sz="0" w:space="0" w:color="auto" w:frame="1"/>
          <w:shd w:val="clear" w:color="auto" w:fill="FFFFFF"/>
        </w:rPr>
        <w:t>Linking data</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6A76251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Finch, J., 1984, "It's great to have someone to talk to": the ethics and politics of interviewing women'. In: C. Bell and H. Roberts (eds) 1984. </w:t>
      </w:r>
      <w:r w:rsidRPr="00067907">
        <w:rPr>
          <w:rStyle w:val="bibauth"/>
          <w:rFonts w:ascii="Arial" w:eastAsiaTheme="majorEastAsia" w:hAnsi="Arial" w:cs="Arial"/>
          <w:i/>
          <w:color w:val="000000" w:themeColor="text1"/>
          <w:sz w:val="22"/>
          <w:szCs w:val="22"/>
          <w:bdr w:val="none" w:sz="0" w:space="0" w:color="auto" w:frame="1"/>
          <w:shd w:val="clear" w:color="auto" w:fill="FFFFFF"/>
        </w:rPr>
        <w:t>Social Researching: Politics, Problems,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Routledge and Kegan Paul. Ch.4.</w:t>
      </w:r>
    </w:p>
    <w:p w14:paraId="5178D5F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First Key, 1987.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 Study of Young Black People Leaving Care</w:t>
      </w:r>
      <w:r w:rsidRPr="00067907">
        <w:rPr>
          <w:rStyle w:val="bibauth"/>
          <w:rFonts w:ascii="Arial" w:eastAsiaTheme="majorEastAsia" w:hAnsi="Arial" w:cs="Arial"/>
          <w:color w:val="000000" w:themeColor="text1"/>
          <w:sz w:val="22"/>
          <w:szCs w:val="22"/>
          <w:bdr w:val="none" w:sz="0" w:space="0" w:color="auto" w:frame="1"/>
          <w:shd w:val="clear" w:color="auto" w:fill="FFFFFF"/>
        </w:rPr>
        <w:t>. Leeds: First Key.</w:t>
      </w:r>
    </w:p>
    <w:p w14:paraId="23B547F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Fitzpatrick, T., 2002. “In Search of a Welfare Democracy,” Social Policy and Society.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Cambridge University Press</w:t>
      </w:r>
      <w:r w:rsidRPr="00067907">
        <w:rPr>
          <w:rStyle w:val="bibauth"/>
          <w:rFonts w:ascii="Arial" w:eastAsiaTheme="majorEastAsia" w:hAnsi="Arial" w:cs="Arial"/>
          <w:color w:val="000000" w:themeColor="text1"/>
          <w:sz w:val="22"/>
          <w:szCs w:val="22"/>
          <w:bdr w:val="none" w:sz="0" w:space="0" w:color="auto" w:frame="1"/>
          <w:shd w:val="clear" w:color="auto" w:fill="FFFFFF"/>
        </w:rPr>
        <w:t>, 1(1), pp. 11–20. doi:10.1017/S1474746402001033.</w:t>
      </w:r>
    </w:p>
    <w:p w14:paraId="7C95888B"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t xml:space="preserve">Flekkøy, M., G., and Kaufman, N., H., 1997. </w:t>
      </w:r>
      <w:r w:rsidRPr="00067907">
        <w:rPr>
          <w:rFonts w:ascii="Arial" w:hAnsi="Arial" w:cs="Arial"/>
          <w:i/>
          <w:iCs/>
          <w:color w:val="000000" w:themeColor="text1"/>
          <w:sz w:val="22"/>
          <w:szCs w:val="22"/>
          <w:shd w:val="clear" w:color="auto" w:fill="FFFFFF"/>
        </w:rPr>
        <w:t>The Participation Rights of the Child: Rights and Responsibilities in Family and Society</w:t>
      </w:r>
      <w:r w:rsidRPr="00067907">
        <w:rPr>
          <w:rFonts w:ascii="Arial" w:hAnsi="Arial" w:cs="Arial"/>
          <w:color w:val="000000" w:themeColor="text1"/>
          <w:sz w:val="22"/>
          <w:szCs w:val="22"/>
          <w:shd w:val="clear" w:color="auto" w:fill="FFFFFF"/>
        </w:rPr>
        <w:t>. Bristol: Jessica Kingsley Publishers.</w:t>
      </w:r>
    </w:p>
    <w:p w14:paraId="0FA42BD8" w14:textId="2344C58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Fleming, J., and Boeck, T., 2012. </w:t>
      </w:r>
      <w:r w:rsidRPr="00067907">
        <w:rPr>
          <w:rFonts w:ascii="Arial" w:hAnsi="Arial" w:cs="Arial"/>
          <w:i/>
          <w:iCs/>
          <w:color w:val="000000" w:themeColor="text1"/>
          <w:sz w:val="22"/>
          <w:szCs w:val="22"/>
        </w:rPr>
        <w:t xml:space="preserve">Involving Children and Young People in Health </w:t>
      </w:r>
      <w:r w:rsidR="005C5158" w:rsidRPr="00067907">
        <w:rPr>
          <w:rFonts w:ascii="Arial" w:hAnsi="Arial" w:cs="Arial"/>
          <w:i/>
          <w:iCs/>
          <w:color w:val="000000" w:themeColor="text1"/>
          <w:sz w:val="22"/>
          <w:szCs w:val="22"/>
        </w:rPr>
        <w:t>and</w:t>
      </w:r>
      <w:r w:rsidRPr="00067907">
        <w:rPr>
          <w:rFonts w:ascii="Arial" w:hAnsi="Arial" w:cs="Arial"/>
          <w:i/>
          <w:iCs/>
          <w:color w:val="000000" w:themeColor="text1"/>
          <w:sz w:val="22"/>
          <w:szCs w:val="22"/>
        </w:rPr>
        <w:t xml:space="preserve"> Social Care Research</w:t>
      </w:r>
      <w:r w:rsidRPr="00067907">
        <w:rPr>
          <w:rFonts w:ascii="Arial" w:hAnsi="Arial" w:cs="Arial"/>
          <w:color w:val="000000" w:themeColor="text1"/>
          <w:sz w:val="22"/>
          <w:szCs w:val="22"/>
        </w:rPr>
        <w:t>. London: Routledge.</w:t>
      </w:r>
    </w:p>
    <w:p w14:paraId="2832ADF3" w14:textId="38E025BF" w:rsid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Flewitt, R., 2014. Interviews. In: A. Clark, A., R. Flewitt, M. Hammersley and M. Robb, eds., 2014. Understanding Research with Children and Young People. London: SAGE. Ch. 8.</w:t>
      </w:r>
    </w:p>
    <w:p w14:paraId="0A14DCBE" w14:textId="7BA69492" w:rsidR="00B058D5" w:rsidRPr="00067907" w:rsidRDefault="00B058D5"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Pr>
          <w:rStyle w:val="bibauth"/>
          <w:rFonts w:ascii="Arial" w:eastAsiaTheme="majorEastAsia" w:hAnsi="Arial" w:cs="Arial"/>
          <w:color w:val="000000" w:themeColor="text1"/>
          <w:sz w:val="22"/>
          <w:szCs w:val="22"/>
          <w:bdr w:val="none" w:sz="0" w:space="0" w:color="auto" w:frame="1"/>
          <w:shd w:val="clear" w:color="auto" w:fill="FFFFFF"/>
        </w:rPr>
        <w:t>Flick, U. 2018. Managing Quality in Qualitative Research. London: SAGE.</w:t>
      </w:r>
    </w:p>
    <w:p w14:paraId="3B480AC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Fook, J., 2002. Theorizing from Practice: Towards an Inclusive Approach for Social Work Research.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1(1), pp. 79–95. https://doi.org/10.1177/147332500200100106.</w:t>
      </w:r>
    </w:p>
    <w:p w14:paraId="55D1994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Fook, J., 2019. Reflective Models and Frameworks in Practice. In: C. Costley and J. Fulton, 2019.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Methodologies for Practice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 Ch.4.</w:t>
      </w:r>
    </w:p>
    <w:p w14:paraId="64F1383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Forbat, L., and Henderson, J., 2005. Theoretical and Practical Reflections on Sharing Transcripts with Participants.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Qualitative Health Research</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[e-journal]15(8), pp.1114–1128. </w:t>
      </w:r>
      <w:hyperlink r:id="rId113"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https://doi.org/10.1177/1049732305279065</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5067B8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Forth J., Metcalf H., 2014. </w:t>
      </w:r>
      <w:r w:rsidRPr="00067907">
        <w:rPr>
          <w:rStyle w:val="bibauth"/>
          <w:rFonts w:ascii="Arial" w:eastAsiaTheme="majorEastAsia" w:hAnsi="Arial" w:cs="Arial"/>
          <w:i/>
          <w:color w:val="000000" w:themeColor="text1"/>
          <w:sz w:val="22"/>
          <w:szCs w:val="22"/>
          <w:bdr w:val="none" w:sz="0" w:space="0" w:color="auto" w:frame="1"/>
          <w:shd w:val="clear" w:color="auto" w:fill="FFFFFF"/>
        </w:rPr>
        <w:t>Young people's experiences in the workplace</w:t>
      </w:r>
      <w:r w:rsidRPr="00067907">
        <w:rPr>
          <w:rStyle w:val="bibauth"/>
          <w:rFonts w:ascii="Arial" w:eastAsiaTheme="majorEastAsia" w:hAnsi="Arial" w:cs="Arial"/>
          <w:color w:val="000000" w:themeColor="text1"/>
          <w:sz w:val="22"/>
          <w:szCs w:val="22"/>
          <w:bdr w:val="none" w:sz="0" w:space="0" w:color="auto" w:frame="1"/>
          <w:shd w:val="clear" w:color="auto" w:fill="FFFFFF"/>
        </w:rPr>
        <w:t>. Acas Research and Evaluation, UK, [pdf] Available at &lt;</w:t>
      </w:r>
      <w:r w:rsidRPr="00067907">
        <w:rPr>
          <w:rFonts w:ascii="Arial" w:hAnsi="Arial" w:cs="Arial"/>
          <w:color w:val="000000" w:themeColor="text1"/>
          <w:sz w:val="22"/>
          <w:szCs w:val="22"/>
        </w:rPr>
        <w:t xml:space="preserve"> </w:t>
      </w:r>
      <w:hyperlink r:id="rId11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http://www.acas.org.uk/media/pdf/s/b/1214-Young-peoples-experiences-in-the-workplace.pdf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3 July 2017].</w:t>
      </w:r>
    </w:p>
    <w:p w14:paraId="34BD08C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Foster, D. and Harker, R., 2021.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Children’s social care services in England</w:t>
      </w:r>
      <w:r w:rsidRPr="00067907">
        <w:rPr>
          <w:rStyle w:val="bibauth"/>
          <w:rFonts w:ascii="Arial" w:eastAsiaTheme="majorEastAsia" w:hAnsi="Arial" w:cs="Arial"/>
          <w:color w:val="000000" w:themeColor="text1"/>
          <w:sz w:val="22"/>
          <w:szCs w:val="22"/>
          <w:bdr w:val="none" w:sz="0" w:space="0" w:color="auto" w:frame="1"/>
          <w:shd w:val="clear" w:color="auto" w:fill="FFFFFF"/>
        </w:rPr>
        <w:t>. [online] Available at: &lt;</w:t>
      </w:r>
      <w:hyperlink r:id="rId11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https://commonslibrary.parliament.uk/research-briefings/cbp-8543/</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&gt; [Accessed 28 June 2021].</w:t>
      </w:r>
    </w:p>
    <w:p w14:paraId="5306E9B3" w14:textId="0B682E36"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Foucault, M., 1972. </w:t>
      </w:r>
      <w:r w:rsidRPr="00067907">
        <w:rPr>
          <w:rFonts w:ascii="Arial" w:hAnsi="Arial" w:cs="Arial"/>
          <w:i/>
          <w:iCs/>
          <w:color w:val="000000" w:themeColor="text1"/>
          <w:sz w:val="22"/>
          <w:szCs w:val="22"/>
        </w:rPr>
        <w:t>The Arch</w:t>
      </w:r>
      <w:r w:rsidR="002814AA">
        <w:rPr>
          <w:rFonts w:ascii="Arial" w:hAnsi="Arial" w:cs="Arial"/>
          <w:i/>
          <w:iCs/>
          <w:color w:val="000000" w:themeColor="text1"/>
          <w:sz w:val="22"/>
          <w:szCs w:val="22"/>
        </w:rPr>
        <w:t>a</w:t>
      </w:r>
      <w:r w:rsidRPr="00067907">
        <w:rPr>
          <w:rFonts w:ascii="Arial" w:hAnsi="Arial" w:cs="Arial"/>
          <w:i/>
          <w:iCs/>
          <w:color w:val="000000" w:themeColor="text1"/>
          <w:sz w:val="22"/>
          <w:szCs w:val="22"/>
        </w:rPr>
        <w:t>eology of Knowledge</w:t>
      </w:r>
      <w:r w:rsidRPr="00067907">
        <w:rPr>
          <w:rFonts w:ascii="Arial" w:hAnsi="Arial" w:cs="Arial"/>
          <w:color w:val="000000" w:themeColor="text1"/>
          <w:sz w:val="22"/>
          <w:szCs w:val="22"/>
        </w:rPr>
        <w:t>. Translated by A. M. Sheridan Smith. London: Routledge.</w:t>
      </w:r>
    </w:p>
    <w:p w14:paraId="4B405A55"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Foucault, M., 1974. Prisons et asiles dans le me′canisme du pouvoir. In: C. O’Farrell. 2005. </w:t>
      </w:r>
      <w:r w:rsidRPr="00067907">
        <w:rPr>
          <w:rFonts w:ascii="Arial" w:hAnsi="Arial" w:cs="Arial"/>
          <w:i/>
          <w:iCs/>
          <w:color w:val="000000" w:themeColor="text1"/>
          <w:sz w:val="22"/>
          <w:szCs w:val="22"/>
        </w:rPr>
        <w:t>Michel Foucault</w:t>
      </w:r>
      <w:r w:rsidRPr="00067907">
        <w:rPr>
          <w:rFonts w:ascii="Arial" w:hAnsi="Arial" w:cs="Arial"/>
          <w:color w:val="000000" w:themeColor="text1"/>
          <w:sz w:val="22"/>
          <w:szCs w:val="22"/>
        </w:rPr>
        <w:t>. London: SAGE.</w:t>
      </w:r>
    </w:p>
    <w:p w14:paraId="7ED654B4"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Foucault, M., 1975. </w:t>
      </w:r>
      <w:r w:rsidRPr="00067907">
        <w:rPr>
          <w:rFonts w:ascii="Arial" w:hAnsi="Arial" w:cs="Arial"/>
          <w:i/>
          <w:iCs/>
          <w:color w:val="000000" w:themeColor="text1"/>
          <w:sz w:val="22"/>
          <w:szCs w:val="22"/>
        </w:rPr>
        <w:t>Discipline and Punish: The Birth of the Prison</w:t>
      </w:r>
      <w:r w:rsidRPr="00067907">
        <w:rPr>
          <w:rFonts w:ascii="Arial" w:hAnsi="Arial" w:cs="Arial"/>
          <w:color w:val="000000" w:themeColor="text1"/>
          <w:sz w:val="22"/>
          <w:szCs w:val="22"/>
        </w:rPr>
        <w:t>. Translated by Alan Sheridan. New York: Vintage Books.</w:t>
      </w:r>
    </w:p>
    <w:p w14:paraId="7F7C77D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Foucault, M., 1976.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Society Must Be Defended in Lectures at the College de France, 1975-1976</w:t>
      </w:r>
      <w:r w:rsidRPr="00067907">
        <w:rPr>
          <w:rStyle w:val="bibauth"/>
          <w:rFonts w:ascii="Arial" w:eastAsiaTheme="majorEastAsia" w:hAnsi="Arial" w:cs="Arial"/>
          <w:color w:val="000000" w:themeColor="text1"/>
          <w:sz w:val="22"/>
          <w:szCs w:val="22"/>
          <w:bdr w:val="none" w:sz="0" w:space="0" w:color="auto" w:frame="1"/>
          <w:shd w:val="clear" w:color="auto" w:fill="FFFFFF"/>
        </w:rPr>
        <w:t>. Translated by David Macey. London: Penguin Books.</w:t>
      </w:r>
    </w:p>
    <w:p w14:paraId="650DABF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Foucault, M., 1976b.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History of Sexuality. Vol. 1, The Will to Knowledge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Translated by. Robert Hurley. London: Penguin Books. </w:t>
      </w:r>
    </w:p>
    <w:p w14:paraId="588C477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Foucault, M. 1978.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Security, Territory, Population: lectures at the College de France, 1977-78.</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Translated by Graham Burchell. Basingstoke: Palgrave Macmillan.</w:t>
      </w:r>
    </w:p>
    <w:p w14:paraId="189E039C"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Foucault, M. 1979.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 xml:space="preserve">The Birth of Biopolitics: Lectures at the Collège de France, 1978–79. </w:t>
      </w:r>
      <w:r w:rsidRPr="00067907">
        <w:rPr>
          <w:rStyle w:val="bibauth"/>
          <w:rFonts w:ascii="Arial" w:eastAsiaTheme="majorEastAsia" w:hAnsi="Arial" w:cs="Arial"/>
          <w:color w:val="000000" w:themeColor="text1"/>
          <w:sz w:val="22"/>
          <w:szCs w:val="22"/>
          <w:bdr w:val="none" w:sz="0" w:space="0" w:color="auto" w:frame="1"/>
          <w:shd w:val="clear" w:color="auto" w:fill="FFFFFF"/>
        </w:rPr>
        <w:t>Translated by Graham Burchell. Basingstoke: Palgrave Macmillan.</w:t>
      </w:r>
    </w:p>
    <w:p w14:paraId="00FD42A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rPr>
      </w:pPr>
      <w:r w:rsidRPr="00067907">
        <w:rPr>
          <w:rStyle w:val="bibauth"/>
          <w:rFonts w:ascii="Arial" w:eastAsiaTheme="majorEastAsia" w:hAnsi="Arial" w:cs="Arial"/>
          <w:color w:val="000000" w:themeColor="text1"/>
          <w:sz w:val="22"/>
          <w:szCs w:val="22"/>
        </w:rPr>
        <w:t xml:space="preserve">Foucault, M. 1980. </w:t>
      </w:r>
      <w:r w:rsidRPr="00067907">
        <w:rPr>
          <w:rStyle w:val="bibauth"/>
          <w:rFonts w:ascii="Arial" w:eastAsiaTheme="majorEastAsia" w:hAnsi="Arial" w:cs="Arial"/>
          <w:i/>
          <w:iCs/>
          <w:color w:val="000000" w:themeColor="text1"/>
          <w:sz w:val="22"/>
          <w:szCs w:val="22"/>
        </w:rPr>
        <w:t>Power/Knowledge: Selected Interviews and Other Writings, 1972–1977</w:t>
      </w:r>
      <w:r w:rsidRPr="00067907">
        <w:rPr>
          <w:rStyle w:val="bibauth"/>
          <w:rFonts w:ascii="Arial" w:eastAsiaTheme="majorEastAsia" w:hAnsi="Arial" w:cs="Arial"/>
          <w:color w:val="000000" w:themeColor="text1"/>
          <w:sz w:val="22"/>
          <w:szCs w:val="22"/>
        </w:rPr>
        <w:t>. New York: Pantheon Books.</w:t>
      </w:r>
    </w:p>
    <w:p w14:paraId="0EF3B9D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rPr>
      </w:pPr>
      <w:r w:rsidRPr="00067907">
        <w:rPr>
          <w:rStyle w:val="bibauth"/>
          <w:rFonts w:ascii="Arial" w:eastAsiaTheme="majorEastAsia" w:hAnsi="Arial" w:cs="Arial"/>
          <w:color w:val="000000" w:themeColor="text1"/>
          <w:sz w:val="22"/>
          <w:szCs w:val="22"/>
        </w:rPr>
        <w:t xml:space="preserve">Foucault, M., 1981. The Order of Discourse. In: R. Young, ed., 1981. </w:t>
      </w:r>
      <w:r w:rsidRPr="00067907">
        <w:rPr>
          <w:rStyle w:val="bibauth"/>
          <w:rFonts w:ascii="Arial" w:eastAsiaTheme="majorEastAsia" w:hAnsi="Arial" w:cs="Arial"/>
          <w:i/>
          <w:iCs/>
          <w:color w:val="000000" w:themeColor="text1"/>
          <w:sz w:val="22"/>
          <w:szCs w:val="22"/>
        </w:rPr>
        <w:t>Untying the text: A Poststructuralist Reader</w:t>
      </w:r>
      <w:r w:rsidRPr="00067907">
        <w:rPr>
          <w:rStyle w:val="bibauth"/>
          <w:rFonts w:ascii="Arial" w:eastAsiaTheme="majorEastAsia" w:hAnsi="Arial" w:cs="Arial"/>
          <w:color w:val="000000" w:themeColor="text1"/>
          <w:sz w:val="22"/>
          <w:szCs w:val="22"/>
        </w:rPr>
        <w:t>. London: Routledge and Kegan Paul. Ch. 3.</w:t>
      </w:r>
    </w:p>
    <w:p w14:paraId="372E5D61"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t>Foucault, M. 1982. The Subject and Power. </w:t>
      </w:r>
      <w:r w:rsidRPr="00067907">
        <w:rPr>
          <w:rFonts w:ascii="Arial" w:hAnsi="Arial" w:cs="Arial"/>
          <w:i/>
          <w:iCs/>
          <w:color w:val="000000" w:themeColor="text1"/>
          <w:sz w:val="22"/>
          <w:szCs w:val="22"/>
          <w:shd w:val="clear" w:color="auto" w:fill="FFFFFF"/>
        </w:rPr>
        <w:t xml:space="preserve">Critical Inquiry, </w:t>
      </w:r>
      <w:r w:rsidRPr="00067907">
        <w:rPr>
          <w:rFonts w:ascii="Arial" w:hAnsi="Arial" w:cs="Arial"/>
          <w:color w:val="000000" w:themeColor="text1"/>
          <w:sz w:val="22"/>
          <w:szCs w:val="22"/>
          <w:shd w:val="clear" w:color="auto" w:fill="FFFFFF"/>
        </w:rPr>
        <w:t>[e-journal] </w:t>
      </w:r>
      <w:r w:rsidRPr="00067907">
        <w:rPr>
          <w:rFonts w:ascii="Arial" w:hAnsi="Arial" w:cs="Arial"/>
          <w:i/>
          <w:iCs/>
          <w:color w:val="000000" w:themeColor="text1"/>
          <w:sz w:val="22"/>
          <w:szCs w:val="22"/>
          <w:shd w:val="clear" w:color="auto" w:fill="FFFFFF"/>
        </w:rPr>
        <w:t>8</w:t>
      </w:r>
      <w:r w:rsidRPr="00067907">
        <w:rPr>
          <w:rFonts w:ascii="Arial" w:hAnsi="Arial" w:cs="Arial"/>
          <w:color w:val="000000" w:themeColor="text1"/>
          <w:sz w:val="22"/>
          <w:szCs w:val="22"/>
          <w:shd w:val="clear" w:color="auto" w:fill="FFFFFF"/>
        </w:rPr>
        <w:t xml:space="preserve">(4), pp. 777-795. </w:t>
      </w:r>
      <w:hyperlink r:id="rId116" w:history="1">
        <w:r w:rsidRPr="00067907">
          <w:rPr>
            <w:rStyle w:val="Hyperlink"/>
            <w:rFonts w:ascii="Arial" w:hAnsi="Arial" w:cs="Arial"/>
            <w:color w:val="000000" w:themeColor="text1"/>
            <w:sz w:val="22"/>
            <w:szCs w:val="22"/>
            <w:u w:val="none"/>
            <w:shd w:val="clear" w:color="auto" w:fill="FFFFFF"/>
          </w:rPr>
          <w:t>http://www.jstor.org/stable/1343197</w:t>
        </w:r>
      </w:hyperlink>
      <w:r w:rsidRPr="00067907">
        <w:rPr>
          <w:rStyle w:val="Hyperlink"/>
          <w:rFonts w:ascii="Arial" w:hAnsi="Arial" w:cs="Arial"/>
          <w:color w:val="000000" w:themeColor="text1"/>
          <w:sz w:val="22"/>
          <w:szCs w:val="22"/>
          <w:u w:val="none"/>
          <w:shd w:val="clear" w:color="auto" w:fill="FFFFFF"/>
        </w:rPr>
        <w:t>.</w:t>
      </w:r>
    </w:p>
    <w:p w14:paraId="08C12E84"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Foucault, M., 1984. Truth and Power. In: P. Rabinow. (ed.) </w:t>
      </w:r>
      <w:r w:rsidRPr="00067907">
        <w:rPr>
          <w:rFonts w:ascii="Arial" w:hAnsi="Arial" w:cs="Arial"/>
          <w:i/>
          <w:iCs/>
          <w:color w:val="000000" w:themeColor="text1"/>
          <w:sz w:val="22"/>
          <w:szCs w:val="22"/>
        </w:rPr>
        <w:t>The Foucault Reader</w:t>
      </w:r>
      <w:r w:rsidRPr="00067907">
        <w:rPr>
          <w:rFonts w:ascii="Arial" w:hAnsi="Arial" w:cs="Arial"/>
          <w:color w:val="000000" w:themeColor="text1"/>
          <w:sz w:val="22"/>
          <w:szCs w:val="22"/>
        </w:rPr>
        <w:t>. London: Penguin Books.</w:t>
      </w:r>
    </w:p>
    <w:p w14:paraId="762238B2"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Foucault, M., 1988. Technologies of the Self. In: L. Martin, H. Gutman and P. Hutton (eds) 1988. </w:t>
      </w:r>
      <w:r w:rsidRPr="00067907">
        <w:rPr>
          <w:rFonts w:ascii="Arial" w:hAnsi="Arial" w:cs="Arial"/>
          <w:i/>
          <w:iCs/>
          <w:color w:val="000000" w:themeColor="text1"/>
          <w:sz w:val="22"/>
          <w:szCs w:val="22"/>
        </w:rPr>
        <w:t>Technologies of the Self: A seminar with Michel Foucault</w:t>
      </w:r>
      <w:r w:rsidRPr="00067907">
        <w:rPr>
          <w:rFonts w:ascii="Arial" w:hAnsi="Arial" w:cs="Arial"/>
          <w:color w:val="000000" w:themeColor="text1"/>
          <w:sz w:val="22"/>
          <w:szCs w:val="22"/>
        </w:rPr>
        <w:t>. Amherst The University of Massachusetts Press. Ch.2.</w:t>
      </w:r>
    </w:p>
    <w:p w14:paraId="19E5EE17"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t>Fostering Services (England) Regulations 2011. [online] Available at: &lt;</w:t>
      </w:r>
      <w:hyperlink r:id="rId117" w:history="1">
        <w:r w:rsidRPr="00067907">
          <w:rPr>
            <w:rStyle w:val="Hyperlink"/>
            <w:rFonts w:ascii="Arial" w:eastAsiaTheme="majorEastAsia" w:hAnsi="Arial" w:cs="Arial"/>
            <w:color w:val="000000" w:themeColor="text1"/>
            <w:sz w:val="22"/>
            <w:szCs w:val="22"/>
            <w:u w:val="none"/>
            <w:shd w:val="clear" w:color="auto" w:fill="FFFFFF"/>
          </w:rPr>
          <w:t>https://www.legislation.gov.uk/uksi/2011/581/contents/made</w:t>
        </w:r>
      </w:hyperlink>
      <w:r w:rsidRPr="00067907">
        <w:rPr>
          <w:rFonts w:ascii="Arial" w:hAnsi="Arial" w:cs="Arial"/>
          <w:color w:val="000000" w:themeColor="text1"/>
          <w:sz w:val="22"/>
          <w:szCs w:val="22"/>
          <w:shd w:val="clear" w:color="auto" w:fill="FFFFFF"/>
        </w:rPr>
        <w:t xml:space="preserve">&gt; [Accessed 3 June 2021]. </w:t>
      </w:r>
    </w:p>
    <w:p w14:paraId="24EBB1B6"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rPr>
      </w:pPr>
      <w:r w:rsidRPr="00067907">
        <w:rPr>
          <w:rStyle w:val="authors"/>
          <w:rFonts w:ascii="Arial" w:hAnsi="Arial" w:cs="Arial"/>
          <w:color w:val="000000" w:themeColor="text1"/>
          <w:sz w:val="22"/>
          <w:szCs w:val="22"/>
        </w:rPr>
        <w:t>Fox Harding, L.,</w:t>
      </w:r>
      <w:r w:rsidRPr="00067907">
        <w:rPr>
          <w:rFonts w:ascii="Arial" w:hAnsi="Arial" w:cs="Arial"/>
          <w:color w:val="000000" w:themeColor="text1"/>
          <w:sz w:val="22"/>
          <w:szCs w:val="22"/>
        </w:rPr>
        <w:t xml:space="preserve"> </w:t>
      </w:r>
      <w:r w:rsidRPr="00067907">
        <w:rPr>
          <w:rStyle w:val="Date3"/>
          <w:rFonts w:ascii="Arial" w:hAnsi="Arial" w:cs="Arial"/>
          <w:color w:val="000000" w:themeColor="text1"/>
          <w:sz w:val="22"/>
          <w:szCs w:val="22"/>
        </w:rPr>
        <w:t>1991.</w:t>
      </w:r>
      <w:r w:rsidRPr="00067907">
        <w:rPr>
          <w:rFonts w:ascii="Arial" w:hAnsi="Arial" w:cs="Arial"/>
          <w:color w:val="000000" w:themeColor="text1"/>
          <w:sz w:val="22"/>
          <w:szCs w:val="22"/>
        </w:rPr>
        <w:t xml:space="preserve"> </w:t>
      </w:r>
      <w:r w:rsidRPr="00067907">
        <w:rPr>
          <w:rStyle w:val="arttitle"/>
          <w:rFonts w:ascii="Arial" w:hAnsi="Arial" w:cs="Arial"/>
          <w:color w:val="000000" w:themeColor="text1"/>
          <w:sz w:val="22"/>
          <w:szCs w:val="22"/>
        </w:rPr>
        <w:t>The Children Act 1989 in context: Four perspectives in Child Care Law and Policy (II),</w:t>
      </w:r>
      <w:r w:rsidRPr="00067907">
        <w:rPr>
          <w:rFonts w:ascii="Arial" w:hAnsi="Arial" w:cs="Arial"/>
          <w:color w:val="000000" w:themeColor="text1"/>
          <w:sz w:val="22"/>
          <w:szCs w:val="22"/>
        </w:rPr>
        <w:t xml:space="preserve"> </w:t>
      </w:r>
      <w:r w:rsidRPr="00067907">
        <w:rPr>
          <w:rStyle w:val="serialtitle"/>
          <w:rFonts w:ascii="Arial" w:hAnsi="Arial" w:cs="Arial"/>
          <w:i/>
          <w:iCs/>
          <w:color w:val="000000" w:themeColor="text1"/>
          <w:sz w:val="22"/>
          <w:szCs w:val="22"/>
        </w:rPr>
        <w:t>Journal of Social Welfare and Family Law</w:t>
      </w:r>
      <w:r w:rsidRPr="00067907">
        <w:rPr>
          <w:rFonts w:ascii="Arial" w:hAnsi="Arial" w:cs="Arial"/>
          <w:color w:val="000000" w:themeColor="text1"/>
          <w:sz w:val="22"/>
          <w:szCs w:val="22"/>
        </w:rPr>
        <w:t xml:space="preserve"> [e-journal]</w:t>
      </w:r>
      <w:r w:rsidRPr="00067907">
        <w:rPr>
          <w:rStyle w:val="volumeissue"/>
          <w:rFonts w:ascii="Arial" w:hAnsi="Arial" w:cs="Arial"/>
          <w:color w:val="000000" w:themeColor="text1"/>
          <w:sz w:val="22"/>
          <w:szCs w:val="22"/>
        </w:rPr>
        <w:t xml:space="preserve">13 (4), pp. </w:t>
      </w:r>
      <w:r w:rsidRPr="00067907">
        <w:rPr>
          <w:rStyle w:val="pagerange"/>
          <w:rFonts w:ascii="Arial" w:hAnsi="Arial" w:cs="Arial"/>
          <w:color w:val="000000" w:themeColor="text1"/>
          <w:sz w:val="22"/>
          <w:szCs w:val="22"/>
        </w:rPr>
        <w:t>285-302.</w:t>
      </w:r>
      <w:r w:rsidRPr="00067907">
        <w:rPr>
          <w:rFonts w:ascii="Arial" w:hAnsi="Arial" w:cs="Arial"/>
          <w:color w:val="000000" w:themeColor="text1"/>
          <w:sz w:val="22"/>
          <w:szCs w:val="22"/>
        </w:rPr>
        <w:t xml:space="preserve"> </w:t>
      </w:r>
      <w:r w:rsidRPr="00067907">
        <w:rPr>
          <w:rStyle w:val="doilink"/>
          <w:rFonts w:ascii="Arial" w:hAnsi="Arial" w:cs="Arial"/>
          <w:color w:val="000000" w:themeColor="text1"/>
          <w:sz w:val="22"/>
          <w:szCs w:val="22"/>
        </w:rPr>
        <w:t xml:space="preserve">DOI: </w:t>
      </w:r>
      <w:hyperlink r:id="rId118" w:history="1">
        <w:r w:rsidRPr="00067907">
          <w:rPr>
            <w:rStyle w:val="Hyperlink"/>
            <w:rFonts w:ascii="Arial" w:eastAsiaTheme="majorEastAsia" w:hAnsi="Arial" w:cs="Arial"/>
            <w:color w:val="000000" w:themeColor="text1"/>
            <w:sz w:val="22"/>
            <w:szCs w:val="22"/>
            <w:u w:val="none"/>
          </w:rPr>
          <w:t>10.1080/09649069108416148</w:t>
        </w:r>
      </w:hyperlink>
      <w:r w:rsidRPr="00067907">
        <w:rPr>
          <w:rStyle w:val="Hyperlink"/>
          <w:rFonts w:ascii="Arial" w:eastAsiaTheme="majorEastAsia" w:hAnsi="Arial" w:cs="Arial"/>
          <w:color w:val="000000" w:themeColor="text1"/>
          <w:sz w:val="22"/>
          <w:szCs w:val="22"/>
          <w:u w:val="none"/>
        </w:rPr>
        <w:t>.</w:t>
      </w:r>
    </w:p>
    <w:p w14:paraId="502029F8" w14:textId="5237B90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t xml:space="preserve">Fox Harding L., 1997. </w:t>
      </w:r>
      <w:r w:rsidRPr="00067907">
        <w:rPr>
          <w:rFonts w:ascii="Arial" w:hAnsi="Arial" w:cs="Arial"/>
          <w:i/>
          <w:iCs/>
          <w:color w:val="000000" w:themeColor="text1"/>
          <w:sz w:val="22"/>
          <w:szCs w:val="22"/>
          <w:shd w:val="clear" w:color="auto" w:fill="FFFFFF"/>
        </w:rPr>
        <w:t>Perspectives in Child Care Polic</w:t>
      </w:r>
      <w:r w:rsidRPr="00067907">
        <w:rPr>
          <w:rFonts w:ascii="Arial" w:hAnsi="Arial" w:cs="Arial"/>
          <w:color w:val="000000" w:themeColor="text1"/>
          <w:sz w:val="22"/>
          <w:szCs w:val="22"/>
          <w:shd w:val="clear" w:color="auto" w:fill="FFFFFF"/>
        </w:rPr>
        <w:t>y, 2nd ed, London, Longman.</w:t>
      </w:r>
    </w:p>
    <w:p w14:paraId="7CF6EDE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Franklin, B., 1997. The Ladder of Participation in Matters Concerning Children. In: J. Boyden and J. Ennew. 1997. Children in Focus: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 Manual for Participatory Research with Children</w:t>
      </w:r>
      <w:r w:rsidRPr="00067907">
        <w:rPr>
          <w:rStyle w:val="bibauth"/>
          <w:rFonts w:ascii="Arial" w:eastAsiaTheme="majorEastAsia" w:hAnsi="Arial" w:cs="Arial"/>
          <w:color w:val="000000" w:themeColor="text1"/>
          <w:sz w:val="22"/>
          <w:szCs w:val="22"/>
          <w:bdr w:val="none" w:sz="0" w:space="0" w:color="auto" w:frame="1"/>
          <w:shd w:val="clear" w:color="auto" w:fill="FFFFFF"/>
        </w:rPr>
        <w:t>. Stockholm: Grafisk Press. Ch. 2.</w:t>
      </w:r>
    </w:p>
    <w:p w14:paraId="2810A1F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Frost, N. 2017, "From “silo” to “network” profession – a multi-professional future for social work".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Children's Services,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12(2-3), pp. 174-183. </w:t>
      </w:r>
      <w:hyperlink r:id="rId11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https://doi.org/10.1108/JCS-05-2017-0019</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122305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Frost, N., and Parton, N., 2009.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Understanding Children’s Social Care: Politics, Policy and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37A42DA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Fulton, J., Kuit, J., Sanders, G. and Smith, P., 2013.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Professional Doctorate: A Practical Guide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Red Globe Press. </w:t>
      </w:r>
    </w:p>
    <w:p w14:paraId="3078292D"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Furey, R., Harris</w:t>
      </w:r>
      <w:r w:rsidRPr="00067907">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Evans, J., 2021. Work and resilience: Care leavers' experiences of navigating towards employment and independence.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pp.1– 11. </w:t>
      </w:r>
      <w:hyperlink r:id="rId12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https://doi.org/10.1111/cfs.12822</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0CD05E1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Gallacher, L. A. and Gallagher, M. 2008. ‘Methodological Immaturity in Childhood Research?: Thinking through `participatory methods’’,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Childhood</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15(4), pp. 499–516. doi: 10.1177/0907568208091672.</w:t>
      </w:r>
    </w:p>
    <w:p w14:paraId="30B681C8"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Gallagher, M., 2008. Foucault, Power and Participation.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International Journal of Children’s Rights,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16(3), pp. 395-406. doi:10.1163/157181808X311222.</w:t>
      </w:r>
    </w:p>
    <w:p w14:paraId="649D9EE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Gallagher, M., 2019. ‘Rethinking children’s agency: Power, assemblages, freedom and materiality’,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Global Studies of Childhood</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9(3), pp. 188–199. doi: 10.1177/2043610619860993.</w:t>
      </w:r>
    </w:p>
    <w:p w14:paraId="0DE72965"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Gallagher, M., Smith, M., Hardy, M. and Wilkinson, H., 2012. Children and Families’ Involvement in Social Work Decision Making.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26, pp.74–85. </w:t>
      </w:r>
      <w:hyperlink r:id="rId12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http://doi:10.1111/j.1099-0860.2011.00409</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82BB0C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Garcia-Quiroga, M. and Agoglia, I. S., 2020. Too Vulnerable to Participate? Challenges for Meaningful Participation in Research with Children in Alternative Care and Adoption.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International Journal of Qualitative Methods</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19, pp. 1-11.  </w:t>
      </w:r>
      <w:hyperlink r:id="rId12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https://doi.org/10.1177/1609406920958965</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F28A44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Garlen, J. C., Chang-Kredl, S., Farley, L. and Sonu, D., 2020. Childhood innocence and experience: Memory, discourse and practice.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00, pp.1– 15. </w:t>
      </w:r>
      <w:hyperlink r:id="rId123" w:history="1">
        <w:r w:rsidRPr="00067907">
          <w:rPr>
            <w:rStyle w:val="Hyperlink"/>
            <w:rFonts w:ascii="Arial" w:eastAsiaTheme="majorEastAsia" w:hAnsi="Arial" w:cs="Arial"/>
            <w:color w:val="000000" w:themeColor="text1"/>
            <w:sz w:val="22"/>
            <w:szCs w:val="22"/>
            <w:u w:val="none"/>
          </w:rPr>
          <w:t>https://doi.org/10.1111/chso.12428</w:t>
        </w:r>
      </w:hyperlink>
      <w:r w:rsidRPr="00067907">
        <w:rPr>
          <w:rFonts w:ascii="Arial" w:hAnsi="Arial" w:cs="Arial"/>
          <w:color w:val="000000" w:themeColor="text1"/>
          <w:sz w:val="22"/>
          <w:szCs w:val="22"/>
        </w:rPr>
        <w:t>.</w:t>
      </w:r>
    </w:p>
    <w:p w14:paraId="1532C1E9"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Garrett, P. M., 1999. Producing the moral citizen: the ‘Looking After Children’ system and the regulation of children and young people in public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Critical Social Policy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19 (3), pp. 291–311. </w:t>
      </w:r>
      <w:hyperlink r:id="rId12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https://doi.org/10.1177/026101839901900301</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5745CF20" w14:textId="202D50EE" w:rsid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Garrett P. M., 2010.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Transforming’ Children’s Services: social work, neoliberalism and the ‘modern’ world</w:t>
      </w:r>
      <w:r w:rsidRPr="00067907">
        <w:rPr>
          <w:rStyle w:val="bibauth"/>
          <w:rFonts w:ascii="Arial" w:eastAsiaTheme="majorEastAsia" w:hAnsi="Arial" w:cs="Arial"/>
          <w:color w:val="000000" w:themeColor="text1"/>
          <w:sz w:val="22"/>
          <w:szCs w:val="22"/>
          <w:bdr w:val="none" w:sz="0" w:space="0" w:color="auto" w:frame="1"/>
          <w:shd w:val="clear" w:color="auto" w:fill="FFFFFF"/>
        </w:rPr>
        <w:t>. Maidenhead: McGraw-Hill.</w:t>
      </w:r>
    </w:p>
    <w:p w14:paraId="05867668" w14:textId="03A8AA9F" w:rsidR="003A3994" w:rsidRPr="00C47DDD" w:rsidRDefault="003A3994"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Garrett, P.M, 2018.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and Social Policy: making connections</w:t>
      </w:r>
      <w:r w:rsidRPr="00C47DDD">
        <w:rPr>
          <w:rStyle w:val="bibauth"/>
          <w:rFonts w:ascii="Arial" w:eastAsiaTheme="majorEastAsia" w:hAnsi="Arial" w:cs="Arial"/>
          <w:color w:val="000000" w:themeColor="text1"/>
          <w:sz w:val="22"/>
          <w:szCs w:val="22"/>
          <w:bdr w:val="none" w:sz="0" w:space="0" w:color="auto" w:frame="1"/>
          <w:shd w:val="clear" w:color="auto" w:fill="FFFFFF"/>
        </w:rPr>
        <w:t>. Bristol: Policy Press.</w:t>
      </w:r>
    </w:p>
    <w:p w14:paraId="2C27E368" w14:textId="78A6548C"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Garrett, P.M., 2018</w:t>
      </w:r>
      <w:r w:rsidR="003A3994" w:rsidRPr="00C47DDD">
        <w:rPr>
          <w:rStyle w:val="bibauth"/>
          <w:rFonts w:ascii="Arial" w:eastAsiaTheme="majorEastAsia" w:hAnsi="Arial" w:cs="Arial"/>
          <w:color w:val="000000" w:themeColor="text1"/>
          <w:sz w:val="22"/>
          <w:szCs w:val="22"/>
          <w:bdr w:val="none" w:sz="0" w:space="0" w:color="auto" w:frame="1"/>
          <w:shd w:val="clear" w:color="auto" w:fill="FFFFFF"/>
        </w:rPr>
        <w:t>b</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“Revisiting ‘The Birth of Biopolitics’: Foucault's Account of Neoliberalism and the Remaking of Social Policy,”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Policy</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48(3), pp. 469–487. doi: 10.1017/S0047279418000582.</w:t>
      </w:r>
    </w:p>
    <w:p w14:paraId="114BCC06" w14:textId="35818C56"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Garrett, P. M., 2018</w:t>
      </w:r>
      <w:r w:rsidR="003A3994">
        <w:rPr>
          <w:rStyle w:val="bibauth"/>
          <w:rFonts w:ascii="Arial" w:eastAsiaTheme="majorEastAsia" w:hAnsi="Arial" w:cs="Arial"/>
          <w:color w:val="000000" w:themeColor="text1"/>
          <w:sz w:val="22"/>
          <w:szCs w:val="22"/>
          <w:bdr w:val="none" w:sz="0" w:space="0" w:color="auto" w:frame="1"/>
          <w:shd w:val="clear" w:color="auto" w:fill="FFFFFF"/>
        </w:rPr>
        <w:t>c</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Welfare Words: Critical Social Work &amp; Social Policy</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23DEC159"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Garrett, P.M., 2019. Faulty ‘tools’. Why social work scholarship needs to take a more critical approach to Michel Foucault. </w:t>
      </w:r>
      <w:r w:rsidRPr="00067907">
        <w:rPr>
          <w:rFonts w:ascii="Arial" w:hAnsi="Arial" w:cs="Arial"/>
          <w:i/>
          <w:iCs/>
          <w:color w:val="000000" w:themeColor="text1"/>
          <w:sz w:val="22"/>
          <w:szCs w:val="22"/>
        </w:rPr>
        <w:t>Journal of Social Work,</w:t>
      </w:r>
      <w:r w:rsidRPr="00067907">
        <w:rPr>
          <w:rFonts w:ascii="Arial" w:hAnsi="Arial" w:cs="Arial"/>
          <w:color w:val="000000" w:themeColor="text1"/>
          <w:sz w:val="22"/>
          <w:szCs w:val="22"/>
        </w:rPr>
        <w:t xml:space="preserve"> [e-journal] 20(4), pp. 483-500. https://doi. org/10.1177/1468017319830538.</w:t>
      </w:r>
    </w:p>
    <w:p w14:paraId="33AC2B88" w14:textId="4688280A"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Garrity, Z., 2010. Discourse Analysis, Foucault and Social Work Research.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10(2), pp. 193-210. doi:10.1177/1468017310363641</w:t>
      </w:r>
      <w:r w:rsidR="00410C73">
        <w:rPr>
          <w:rStyle w:val="bibauth"/>
          <w:rFonts w:ascii="Arial" w:eastAsiaTheme="majorEastAsia" w:hAnsi="Arial" w:cs="Arial"/>
          <w:color w:val="000000" w:themeColor="text1"/>
          <w:sz w:val="22"/>
          <w:szCs w:val="22"/>
          <w:bdr w:val="none" w:sz="0" w:space="0" w:color="auto" w:frame="1"/>
          <w:shd w:val="clear" w:color="auto" w:fill="FFFFFF"/>
        </w:rPr>
        <w:t>.</w:t>
      </w:r>
    </w:p>
    <w:p w14:paraId="6F0EBCB9"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Gaskell, C., 2010, ‘If the Social Worker had Called at Least it Would Show they Cared’. Young Care Leaver’s Perspectives on the Importance of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24, pp.136-147. </w:t>
      </w:r>
      <w:hyperlink r:id="rId12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https://doi.org/10.1111/j.1099-0860.2009.00214.x</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36AE784"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lastRenderedPageBreak/>
        <w:t xml:space="preserve">Gaventa, J., 2003. Power after Lukes: An Overview of Theories of Power since Lukes and Their Application to Development. Brighton: Participation Group, </w:t>
      </w:r>
      <w:r w:rsidRPr="00067907">
        <w:rPr>
          <w:rFonts w:ascii="Arial" w:hAnsi="Arial" w:cs="Arial"/>
          <w:i/>
          <w:iCs/>
          <w:color w:val="000000" w:themeColor="text1"/>
          <w:sz w:val="22"/>
          <w:szCs w:val="22"/>
          <w:shd w:val="clear" w:color="auto" w:fill="FFFFFF"/>
        </w:rPr>
        <w:t>Institute of Development Studies.</w:t>
      </w:r>
      <w:r w:rsidRPr="00067907">
        <w:rPr>
          <w:rFonts w:ascii="Arial" w:hAnsi="Arial" w:cs="Arial"/>
          <w:i/>
          <w:iCs/>
          <w:color w:val="000000" w:themeColor="text1"/>
          <w:sz w:val="22"/>
          <w:szCs w:val="22"/>
        </w:rPr>
        <w:br/>
      </w:r>
      <w:hyperlink r:id="rId126" w:history="1">
        <w:r w:rsidRPr="00067907">
          <w:rPr>
            <w:rStyle w:val="Hyperlink"/>
            <w:rFonts w:ascii="Arial" w:eastAsiaTheme="majorEastAsia" w:hAnsi="Arial" w:cs="Arial"/>
            <w:color w:val="000000" w:themeColor="text1"/>
            <w:sz w:val="22"/>
            <w:szCs w:val="22"/>
            <w:u w:val="none"/>
            <w:shd w:val="clear" w:color="auto" w:fill="FFFFFF"/>
          </w:rPr>
          <w:t>https://www.powercube.net/wp-content/uploads/2009/11/power_after_lukes.pdf</w:t>
        </w:r>
      </w:hyperlink>
      <w:r w:rsidRPr="00067907">
        <w:rPr>
          <w:rStyle w:val="Hyperlink"/>
          <w:rFonts w:ascii="Arial" w:eastAsiaTheme="majorEastAsia" w:hAnsi="Arial" w:cs="Arial"/>
          <w:color w:val="000000" w:themeColor="text1"/>
          <w:sz w:val="22"/>
          <w:szCs w:val="22"/>
          <w:u w:val="none"/>
          <w:shd w:val="clear" w:color="auto" w:fill="FFFFFF"/>
        </w:rPr>
        <w:t>.</w:t>
      </w:r>
    </w:p>
    <w:p w14:paraId="5740726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Geenen, S., and Powers, L., 2007. “Tomorrow is another problem”: The experiences of youth in foster care during their transition into adulthood, </w:t>
      </w:r>
      <w:r w:rsidRPr="00067907">
        <w:rPr>
          <w:rStyle w:val="bibauth"/>
          <w:rFonts w:ascii="Arial" w:eastAsiaTheme="majorEastAsia" w:hAnsi="Arial" w:cs="Arial"/>
          <w:i/>
          <w:iCs/>
          <w:color w:val="000000" w:themeColor="text1"/>
          <w:sz w:val="22"/>
          <w:szCs w:val="22"/>
          <w:bdr w:val="none" w:sz="0" w:space="0" w:color="auto" w:frame="1"/>
          <w:shd w:val="clear" w:color="auto" w:fill="FFFFFF"/>
        </w:rPr>
        <w:t xml:space="preserve">Children and Youth Services Review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[e-journal] 29 (8), pp 1085-1101, </w:t>
      </w:r>
      <w:hyperlink r:id="rId12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https://doi.org/10.1016/j.childyouth.2007.04.008</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7FD2EF19" w14:textId="72841384" w:rsidR="0038004E" w:rsidRDefault="0038004E"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Gibson, A. and Gibson, N., 2016. </w:t>
      </w:r>
      <w:r w:rsidR="00DA4283" w:rsidRPr="00C47DDD">
        <w:rPr>
          <w:rStyle w:val="bibauth"/>
          <w:rFonts w:ascii="Arial" w:eastAsiaTheme="majorEastAsia" w:hAnsi="Arial" w:cs="Arial"/>
          <w:i/>
          <w:iCs/>
          <w:color w:val="000000" w:themeColor="text1"/>
          <w:sz w:val="22"/>
          <w:szCs w:val="22"/>
          <w:bdr w:val="none" w:sz="0" w:space="0" w:color="auto" w:frame="1"/>
          <w:shd w:val="clear" w:color="auto" w:fill="FFFFFF"/>
        </w:rPr>
        <w:t>Human Growth and Development; essential theory and application in social work</w:t>
      </w:r>
      <w:r w:rsidR="00DA4283"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5E7246F0" w14:textId="2D9D1F9F"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Gibson, M., 2014. Social Worker Shame in Child and Family Social Work: Inadequacy, Failure, and the Struggle to Practise Humanely,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Social Work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28(4), pp. 417-431, DOI: 10.1080/02650533.2014.913237.</w:t>
      </w:r>
    </w:p>
    <w:p w14:paraId="61185DBF"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Giddens, A., 1984.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Constitution of Society. Outline of the Theory of Structuration.</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Cambridge: Polity Press.</w:t>
      </w:r>
    </w:p>
    <w:p w14:paraId="7ED14C3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Gilbert, T. and Powell, J. L. 2010. ‘Power and Social Work in the United Kingdom: A Foucauldian Excursion’.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10(1), pp. 3–22. doi: 10.1177/1468017309347237.</w:t>
      </w:r>
    </w:p>
    <w:p w14:paraId="3E64CB8B"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Gilbertson, R. and Barber, J., 2002. Obstacles to involving children and young people in foster care research. </w:t>
      </w:r>
      <w:r w:rsidRPr="00067907">
        <w:rPr>
          <w:rFonts w:ascii="Arial" w:hAnsi="Arial" w:cs="Arial"/>
          <w:i/>
          <w:iCs/>
          <w:color w:val="000000" w:themeColor="text1"/>
          <w:sz w:val="22"/>
          <w:szCs w:val="22"/>
        </w:rPr>
        <w:t>Child &amp; Family Social Work</w:t>
      </w:r>
      <w:r w:rsidRPr="00067907">
        <w:rPr>
          <w:rFonts w:ascii="Arial" w:hAnsi="Arial" w:cs="Arial"/>
          <w:color w:val="000000" w:themeColor="text1"/>
          <w:sz w:val="22"/>
          <w:szCs w:val="22"/>
        </w:rPr>
        <w:t xml:space="preserve">, [e-journal] 7(4), pp. 253-258. </w:t>
      </w:r>
      <w:hyperlink r:id="rId128" w:history="1">
        <w:r w:rsidRPr="00067907">
          <w:rPr>
            <w:rStyle w:val="Hyperlink"/>
            <w:rFonts w:ascii="Arial" w:eastAsiaTheme="majorEastAsia" w:hAnsi="Arial" w:cs="Arial"/>
            <w:color w:val="000000" w:themeColor="text1"/>
            <w:sz w:val="22"/>
            <w:szCs w:val="22"/>
            <w:u w:val="none"/>
          </w:rPr>
          <w:t>https://doi.org/10.1046/j.1365-2206.2002.00251.x</w:t>
        </w:r>
      </w:hyperlink>
      <w:r w:rsidRPr="00067907">
        <w:rPr>
          <w:rFonts w:ascii="Arial" w:hAnsi="Arial" w:cs="Arial"/>
          <w:color w:val="000000" w:themeColor="text1"/>
          <w:sz w:val="22"/>
          <w:szCs w:val="22"/>
        </w:rPr>
        <w:t>.</w:t>
      </w:r>
    </w:p>
    <w:p w14:paraId="3BE161F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Gill, A. and Daw, E. 2017. From Care to Where?  Care leavers’ access to accommodation. [pdf] Available at &lt;</w:t>
      </w:r>
      <w:hyperlink r:id="rId12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https://centrepoint.org.uk/media/2035/from-care-to-where-centrepoint-report.pdf</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&gt; [Accessed 29 October 2020].</w:t>
      </w:r>
    </w:p>
    <w:p w14:paraId="5077619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Gilligan, R. and Arnau</w:t>
      </w:r>
      <w:r w:rsidRPr="00067907">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Sabatés, L.  2017. The role of carers in supporting the progress of care leavers in the world of work.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22 (2), pp. 792–800. </w:t>
      </w:r>
      <w:hyperlink r:id="rId13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https://doi.org/10.1111/cfs.12297</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0EE7040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Given, L. M., 2008.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SAGE Encyclopedia of Qualitative Research Methods</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4F91EF75" w14:textId="4C7884B6"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Glynn, N. and Mayock, P. 2018 “I’ve changed so much within a year”: care leavers' perspectives on the aftercare planning process,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Care in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25 (1), pp. 1-20. DOI:10.1080/13575279.2018.152137</w:t>
      </w:r>
      <w:r w:rsidR="00410C73">
        <w:rPr>
          <w:rStyle w:val="bibauth"/>
          <w:rFonts w:ascii="Arial" w:eastAsiaTheme="majorEastAsia" w:hAnsi="Arial" w:cs="Arial"/>
          <w:color w:val="000000" w:themeColor="text1"/>
          <w:sz w:val="22"/>
          <w:szCs w:val="22"/>
          <w:bdr w:val="none" w:sz="0" w:space="0" w:color="auto" w:frame="1"/>
          <w:shd w:val="clear" w:color="auto" w:fill="FFFFFF"/>
        </w:rPr>
        <w:t>.</w:t>
      </w:r>
    </w:p>
    <w:p w14:paraId="2C9C4BD3" w14:textId="77777777" w:rsidR="00067907" w:rsidRPr="00067907" w:rsidRDefault="00067907" w:rsidP="00B6099C">
      <w:pPr>
        <w:pStyle w:val="NormalWeb"/>
        <w:spacing w:line="240" w:lineRule="auto"/>
        <w:ind w:left="142" w:right="-52" w:hanging="142"/>
        <w:rPr>
          <w:rStyle w:val="publisher-name"/>
          <w:rFonts w:ascii="Arial" w:hAnsi="Arial" w:cs="Arial"/>
          <w:color w:val="000000" w:themeColor="text1"/>
          <w:sz w:val="22"/>
          <w:szCs w:val="22"/>
          <w:bdr w:val="none" w:sz="0" w:space="0" w:color="auto" w:frame="1"/>
          <w:shd w:val="clear" w:color="auto" w:fill="FFFFFF"/>
        </w:rPr>
      </w:pPr>
      <w:r w:rsidRPr="00067907">
        <w:rPr>
          <w:rStyle w:val="surname"/>
          <w:rFonts w:ascii="Arial" w:hAnsi="Arial" w:cs="Arial"/>
          <w:color w:val="000000" w:themeColor="text1"/>
          <w:sz w:val="22"/>
          <w:szCs w:val="22"/>
        </w:rPr>
        <w:t>Godek</w:t>
      </w:r>
      <w:r w:rsidRPr="00067907">
        <w:rPr>
          <w:rStyle w:val="author"/>
          <w:rFonts w:ascii="Arial" w:hAnsi="Arial" w:cs="Arial"/>
          <w:color w:val="000000" w:themeColor="text1"/>
          <w:sz w:val="22"/>
          <w:szCs w:val="22"/>
        </w:rPr>
        <w:t>, </w:t>
      </w:r>
      <w:r w:rsidRPr="00067907">
        <w:rPr>
          <w:rStyle w:val="given-names"/>
          <w:rFonts w:ascii="Arial" w:hAnsi="Arial" w:cs="Arial"/>
          <w:color w:val="000000" w:themeColor="text1"/>
          <w:sz w:val="22"/>
          <w:szCs w:val="22"/>
        </w:rPr>
        <w:t>S</w:t>
      </w:r>
      <w:r w:rsidRPr="00067907">
        <w:rPr>
          <w:rFonts w:ascii="Arial" w:hAnsi="Arial" w:cs="Arial"/>
          <w:color w:val="000000" w:themeColor="text1"/>
          <w:sz w:val="22"/>
          <w:szCs w:val="22"/>
        </w:rPr>
        <w:t xml:space="preserve">. </w:t>
      </w:r>
      <w:r w:rsidRPr="00067907">
        <w:rPr>
          <w:rStyle w:val="year"/>
          <w:rFonts w:ascii="Arial" w:hAnsi="Arial" w:cs="Arial"/>
          <w:color w:val="000000" w:themeColor="text1"/>
          <w:sz w:val="22"/>
          <w:szCs w:val="22"/>
        </w:rPr>
        <w:t xml:space="preserve">1976. </w:t>
      </w:r>
      <w:r w:rsidRPr="00067907">
        <w:rPr>
          <w:rStyle w:val="source"/>
          <w:rFonts w:ascii="Arial" w:hAnsi="Arial" w:cs="Arial"/>
          <w:i/>
          <w:iCs/>
          <w:color w:val="000000" w:themeColor="text1"/>
          <w:sz w:val="22"/>
          <w:szCs w:val="22"/>
        </w:rPr>
        <w:t>Leaving Care</w:t>
      </w:r>
      <w:r w:rsidRPr="00067907">
        <w:rPr>
          <w:rFonts w:ascii="Arial" w:hAnsi="Arial" w:cs="Arial"/>
          <w:color w:val="000000" w:themeColor="text1"/>
          <w:sz w:val="22"/>
          <w:szCs w:val="22"/>
        </w:rPr>
        <w:t>. </w:t>
      </w:r>
      <w:r w:rsidRPr="00067907">
        <w:rPr>
          <w:rStyle w:val="publisher-loc"/>
          <w:rFonts w:ascii="Arial" w:hAnsi="Arial" w:cs="Arial"/>
          <w:color w:val="000000" w:themeColor="text1"/>
          <w:sz w:val="22"/>
          <w:szCs w:val="22"/>
        </w:rPr>
        <w:t>Ilford</w:t>
      </w:r>
      <w:r w:rsidRPr="00067907">
        <w:rPr>
          <w:rFonts w:ascii="Arial" w:hAnsi="Arial" w:cs="Arial"/>
          <w:color w:val="000000" w:themeColor="text1"/>
          <w:sz w:val="22"/>
          <w:szCs w:val="22"/>
        </w:rPr>
        <w:t>: </w:t>
      </w:r>
      <w:r w:rsidRPr="00067907">
        <w:rPr>
          <w:rStyle w:val="publisher-name"/>
          <w:rFonts w:ascii="Arial" w:hAnsi="Arial" w:cs="Arial"/>
          <w:color w:val="000000" w:themeColor="text1"/>
          <w:sz w:val="22"/>
          <w:szCs w:val="22"/>
        </w:rPr>
        <w:t>Barnardo’s.</w:t>
      </w:r>
    </w:p>
    <w:p w14:paraId="03159BD9" w14:textId="77777777" w:rsidR="00067907" w:rsidRPr="00067907" w:rsidRDefault="00067907" w:rsidP="00B6099C">
      <w:pPr>
        <w:pStyle w:val="NormalWeb"/>
        <w:spacing w:line="240" w:lineRule="auto"/>
        <w:ind w:left="142" w:right="-52" w:hanging="142"/>
        <w:rPr>
          <w:rStyle w:val="publisher-name"/>
          <w:rFonts w:ascii="Arial" w:hAnsi="Arial" w:cs="Arial"/>
          <w:color w:val="000000" w:themeColor="text1"/>
          <w:sz w:val="22"/>
          <w:szCs w:val="22"/>
        </w:rPr>
      </w:pPr>
      <w:r w:rsidRPr="00067907">
        <w:rPr>
          <w:rStyle w:val="publisher-name"/>
          <w:rFonts w:ascii="Arial" w:hAnsi="Arial" w:cs="Arial"/>
          <w:color w:val="000000" w:themeColor="text1"/>
          <w:sz w:val="22"/>
          <w:szCs w:val="22"/>
        </w:rPr>
        <w:t xml:space="preserve">Goldson, B. 1997. ‘Childhood’: An Introduction to Historical and Theoretical Analysis. In: P. Scraton, ed, 1997. </w:t>
      </w:r>
      <w:r w:rsidRPr="00067907">
        <w:rPr>
          <w:rStyle w:val="publisher-name"/>
          <w:rFonts w:ascii="Arial" w:hAnsi="Arial" w:cs="Arial"/>
          <w:i/>
          <w:iCs/>
          <w:color w:val="000000" w:themeColor="text1"/>
          <w:sz w:val="22"/>
          <w:szCs w:val="22"/>
        </w:rPr>
        <w:t>Childhood in Crisis.</w:t>
      </w:r>
      <w:r w:rsidRPr="00067907">
        <w:rPr>
          <w:rStyle w:val="publisher-name"/>
          <w:rFonts w:ascii="Arial" w:hAnsi="Arial" w:cs="Arial"/>
          <w:color w:val="000000" w:themeColor="text1"/>
          <w:sz w:val="22"/>
          <w:szCs w:val="22"/>
        </w:rPr>
        <w:t xml:space="preserve"> London: Routledge. Ch. 1.</w:t>
      </w:r>
    </w:p>
    <w:p w14:paraId="6F087E2A" w14:textId="77777777" w:rsidR="00067907" w:rsidRPr="00067907" w:rsidRDefault="00067907" w:rsidP="00B6099C">
      <w:pPr>
        <w:pStyle w:val="NormalWeb"/>
        <w:spacing w:line="240" w:lineRule="auto"/>
        <w:ind w:left="142" w:right="-52" w:hanging="142"/>
        <w:rPr>
          <w:rStyle w:val="publisher-name"/>
          <w:rFonts w:ascii="Arial" w:hAnsi="Arial" w:cs="Arial"/>
          <w:color w:val="000000" w:themeColor="text1"/>
          <w:sz w:val="22"/>
          <w:szCs w:val="22"/>
        </w:rPr>
      </w:pPr>
      <w:r w:rsidRPr="00067907">
        <w:rPr>
          <w:rStyle w:val="publisher-name"/>
          <w:rFonts w:ascii="Arial" w:hAnsi="Arial" w:cs="Arial"/>
          <w:color w:val="000000" w:themeColor="text1"/>
          <w:sz w:val="22"/>
          <w:szCs w:val="22"/>
        </w:rPr>
        <w:t xml:space="preserve">Goodkind, S., Schelbe, L. and Shook, J., 2011. "Why youth leave care: Understandings of adulthood and transition successes and challenges among youth aging out of child welfare," </w:t>
      </w:r>
      <w:r w:rsidRPr="00067907">
        <w:rPr>
          <w:rStyle w:val="publisher-name"/>
          <w:rFonts w:ascii="Arial" w:hAnsi="Arial" w:cs="Arial"/>
          <w:i/>
          <w:iCs/>
          <w:color w:val="000000" w:themeColor="text1"/>
          <w:sz w:val="22"/>
          <w:szCs w:val="22"/>
        </w:rPr>
        <w:t>Children and Youth Services Review</w:t>
      </w:r>
      <w:r w:rsidRPr="00067907">
        <w:rPr>
          <w:rStyle w:val="publisher-name"/>
          <w:rFonts w:ascii="Arial" w:hAnsi="Arial" w:cs="Arial"/>
          <w:color w:val="000000" w:themeColor="text1"/>
          <w:sz w:val="22"/>
          <w:szCs w:val="22"/>
        </w:rPr>
        <w:t>, [e-journal] 33 (6), pp. 1039-1048.DOI: 10.1016/j.childyouth.2011.01.</w:t>
      </w:r>
    </w:p>
    <w:p w14:paraId="33DD0327" w14:textId="024FDA5B" w:rsidR="00067907" w:rsidRPr="00067907" w:rsidRDefault="00067907" w:rsidP="00B6099C">
      <w:pPr>
        <w:pStyle w:val="NormalWeb"/>
        <w:spacing w:line="240" w:lineRule="auto"/>
        <w:ind w:left="142" w:right="-52" w:hanging="142"/>
        <w:rPr>
          <w:rStyle w:val="publisher-name"/>
          <w:rFonts w:ascii="Arial" w:hAnsi="Arial" w:cs="Arial"/>
          <w:color w:val="000000" w:themeColor="text1"/>
          <w:sz w:val="22"/>
          <w:szCs w:val="22"/>
        </w:rPr>
      </w:pPr>
      <w:r w:rsidRPr="00067907">
        <w:rPr>
          <w:rStyle w:val="publisher-name"/>
          <w:rFonts w:ascii="Arial" w:hAnsi="Arial" w:cs="Arial"/>
          <w:color w:val="000000" w:themeColor="text1"/>
          <w:sz w:val="22"/>
          <w:szCs w:val="22"/>
        </w:rPr>
        <w:lastRenderedPageBreak/>
        <w:t xml:space="preserve">Goodyer, A., 2013. Understanding looked-after childhoods. </w:t>
      </w:r>
      <w:r w:rsidRPr="00067907">
        <w:rPr>
          <w:rStyle w:val="publisher-name"/>
          <w:rFonts w:ascii="Arial" w:hAnsi="Arial" w:cs="Arial"/>
          <w:i/>
          <w:iCs/>
          <w:color w:val="000000" w:themeColor="text1"/>
          <w:sz w:val="22"/>
          <w:szCs w:val="22"/>
        </w:rPr>
        <w:t>Child &amp; Family Social Work</w:t>
      </w:r>
      <w:r w:rsidRPr="00067907">
        <w:rPr>
          <w:rStyle w:val="publisher-name"/>
          <w:rFonts w:ascii="Arial" w:hAnsi="Arial" w:cs="Arial"/>
          <w:color w:val="000000" w:themeColor="text1"/>
          <w:sz w:val="22"/>
          <w:szCs w:val="22"/>
        </w:rPr>
        <w:t xml:space="preserve">, [e-journal] 18, pp. 394-402. </w:t>
      </w:r>
      <w:hyperlink r:id="rId131" w:history="1">
        <w:r w:rsidRPr="00067907">
          <w:rPr>
            <w:rStyle w:val="Hyperlink"/>
            <w:rFonts w:ascii="Arial" w:eastAsiaTheme="majorEastAsia" w:hAnsi="Arial" w:cs="Arial"/>
            <w:color w:val="000000" w:themeColor="text1"/>
            <w:sz w:val="22"/>
            <w:szCs w:val="22"/>
            <w:u w:val="none"/>
          </w:rPr>
          <w:t>https://doi.org/10.1111/j.1365-2206.2012.00858.x</w:t>
        </w:r>
      </w:hyperlink>
      <w:r w:rsidR="00410C73">
        <w:rPr>
          <w:rStyle w:val="Hyperlink"/>
          <w:rFonts w:ascii="Arial" w:eastAsiaTheme="majorEastAsia" w:hAnsi="Arial" w:cs="Arial"/>
          <w:color w:val="000000" w:themeColor="text1"/>
          <w:sz w:val="22"/>
          <w:szCs w:val="22"/>
          <w:u w:val="none"/>
        </w:rPr>
        <w:t>.</w:t>
      </w:r>
    </w:p>
    <w:p w14:paraId="40CEBD52"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bdr w:val="none" w:sz="0" w:space="0" w:color="auto" w:frame="1"/>
          <w:shd w:val="clear" w:color="auto" w:fill="FFFFFF"/>
        </w:rPr>
        <w:t xml:space="preserve">Goodyer, A., 2014. ‘Children’s accounts of moving to a foster home’, </w:t>
      </w:r>
      <w:r w:rsidRPr="00067907">
        <w:rPr>
          <w:rFonts w:ascii="Arial" w:hAnsi="Arial" w:cs="Arial"/>
          <w:i/>
          <w:iCs/>
          <w:color w:val="000000" w:themeColor="text1"/>
          <w:sz w:val="22"/>
          <w:szCs w:val="22"/>
          <w:bdr w:val="none" w:sz="0" w:space="0" w:color="auto" w:frame="1"/>
          <w:shd w:val="clear" w:color="auto" w:fill="FFFFFF"/>
        </w:rPr>
        <w:t>Child &amp; Family Social Work,</w:t>
      </w:r>
      <w:r w:rsidRPr="00067907">
        <w:rPr>
          <w:rFonts w:ascii="Arial" w:hAnsi="Arial" w:cs="Arial"/>
          <w:color w:val="000000" w:themeColor="text1"/>
          <w:sz w:val="22"/>
          <w:szCs w:val="22"/>
          <w:bdr w:val="none" w:sz="0" w:space="0" w:color="auto" w:frame="1"/>
          <w:shd w:val="clear" w:color="auto" w:fill="FFFFFF"/>
        </w:rPr>
        <w:t xml:space="preserve"> [e-journal] 21(2), pp. 188–197. doi: 10.1111/cfs.12128.</w:t>
      </w:r>
    </w:p>
    <w:p w14:paraId="5641B79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Gordon, C. 1991. Governmental rationality: An introduction. In: G. Burchell, C. Gordon, and P. Miller (eds.), The Foucault effect: Studies in governmentality. Chicago: University of Chicago Press. Ch.1.</w:t>
      </w:r>
    </w:p>
    <w:p w14:paraId="322C5280" w14:textId="77777777" w:rsidR="00067907" w:rsidRPr="00067907" w:rsidRDefault="00067907" w:rsidP="00B6099C">
      <w:pPr>
        <w:pStyle w:val="NormalWeb"/>
        <w:spacing w:line="240" w:lineRule="auto"/>
        <w:ind w:left="142" w:right="-52" w:hanging="142"/>
        <w:rPr>
          <w:rStyle w:val="nlmpub-id"/>
          <w:rFonts w:ascii="Arial" w:hAnsi="Arial" w:cs="Arial"/>
          <w:color w:val="000000" w:themeColor="text1"/>
          <w:sz w:val="22"/>
          <w:szCs w:val="22"/>
        </w:rPr>
      </w:pPr>
      <w:r w:rsidRPr="00067907">
        <w:rPr>
          <w:rStyle w:val="hlfld-contribauthor"/>
          <w:rFonts w:ascii="Arial" w:hAnsi="Arial" w:cs="Arial"/>
          <w:color w:val="000000" w:themeColor="text1"/>
          <w:sz w:val="22"/>
          <w:szCs w:val="22"/>
        </w:rPr>
        <w:t>Graham, </w:t>
      </w:r>
      <w:r w:rsidRPr="00067907">
        <w:rPr>
          <w:rStyle w:val="nlmgiven-names"/>
          <w:rFonts w:ascii="Arial" w:hAnsi="Arial" w:cs="Arial"/>
          <w:color w:val="000000" w:themeColor="text1"/>
          <w:sz w:val="22"/>
          <w:szCs w:val="22"/>
        </w:rPr>
        <w:t>A.</w:t>
      </w:r>
      <w:r w:rsidRPr="00067907">
        <w:rPr>
          <w:rFonts w:ascii="Arial" w:hAnsi="Arial" w:cs="Arial"/>
          <w:color w:val="000000" w:themeColor="text1"/>
          <w:sz w:val="22"/>
          <w:szCs w:val="22"/>
        </w:rPr>
        <w:t xml:space="preserve">, and </w:t>
      </w:r>
      <w:r w:rsidRPr="00067907">
        <w:rPr>
          <w:rStyle w:val="hlfld-contribauthor"/>
          <w:rFonts w:ascii="Arial" w:hAnsi="Arial" w:cs="Arial"/>
          <w:color w:val="000000" w:themeColor="text1"/>
          <w:sz w:val="22"/>
          <w:szCs w:val="22"/>
        </w:rPr>
        <w:t>Fitzgerald, </w:t>
      </w:r>
      <w:r w:rsidRPr="00067907">
        <w:rPr>
          <w:rStyle w:val="nlmgiven-names"/>
          <w:rFonts w:ascii="Arial" w:hAnsi="Arial" w:cs="Arial"/>
          <w:color w:val="000000" w:themeColor="text1"/>
          <w:sz w:val="22"/>
          <w:szCs w:val="22"/>
        </w:rPr>
        <w:t>M. R.</w:t>
      </w:r>
      <w:r w:rsidRPr="00067907">
        <w:rPr>
          <w:rFonts w:ascii="Arial" w:hAnsi="Arial" w:cs="Arial"/>
          <w:color w:val="000000" w:themeColor="text1"/>
          <w:sz w:val="22"/>
          <w:szCs w:val="22"/>
        </w:rPr>
        <w:t> </w:t>
      </w:r>
      <w:r w:rsidRPr="00067907">
        <w:rPr>
          <w:rStyle w:val="nlmyear"/>
          <w:rFonts w:ascii="Arial" w:hAnsi="Arial" w:cs="Arial"/>
          <w:color w:val="000000" w:themeColor="text1"/>
          <w:sz w:val="22"/>
          <w:szCs w:val="22"/>
        </w:rPr>
        <w:t>2010</w:t>
      </w:r>
      <w:r w:rsidRPr="00067907">
        <w:rPr>
          <w:rFonts w:ascii="Arial" w:hAnsi="Arial" w:cs="Arial"/>
          <w:color w:val="000000" w:themeColor="text1"/>
          <w:sz w:val="22"/>
          <w:szCs w:val="22"/>
        </w:rPr>
        <w:t>. </w:t>
      </w:r>
      <w:r w:rsidRPr="00067907">
        <w:rPr>
          <w:rStyle w:val="nlmarticle-title"/>
          <w:rFonts w:ascii="Arial" w:hAnsi="Arial" w:cs="Arial"/>
          <w:color w:val="000000" w:themeColor="text1"/>
          <w:sz w:val="22"/>
          <w:szCs w:val="22"/>
        </w:rPr>
        <w:t>Progressing children's participation: Exploring the potential of a dialogical turn</w:t>
      </w:r>
      <w:r w:rsidRPr="00067907">
        <w:rPr>
          <w:rFonts w:ascii="Arial" w:hAnsi="Arial" w:cs="Arial"/>
          <w:color w:val="000000" w:themeColor="text1"/>
          <w:sz w:val="22"/>
          <w:szCs w:val="22"/>
        </w:rPr>
        <w:t>. </w:t>
      </w:r>
      <w:r w:rsidRPr="00067907">
        <w:rPr>
          <w:rFonts w:ascii="Arial" w:hAnsi="Arial" w:cs="Arial"/>
          <w:i/>
          <w:iCs/>
          <w:color w:val="000000" w:themeColor="text1"/>
          <w:sz w:val="22"/>
          <w:szCs w:val="22"/>
        </w:rPr>
        <w:t>Childhood</w:t>
      </w:r>
      <w:r w:rsidRPr="00067907">
        <w:rPr>
          <w:rFonts w:ascii="Arial" w:hAnsi="Arial" w:cs="Arial"/>
          <w:color w:val="000000" w:themeColor="text1"/>
          <w:sz w:val="22"/>
          <w:szCs w:val="22"/>
        </w:rPr>
        <w:t>, </w:t>
      </w:r>
      <w:r w:rsidRPr="00067907">
        <w:rPr>
          <w:rFonts w:ascii="Arial" w:hAnsi="Arial" w:cs="Arial"/>
          <w:i/>
          <w:iCs/>
          <w:color w:val="000000" w:themeColor="text1"/>
          <w:sz w:val="22"/>
          <w:szCs w:val="22"/>
        </w:rPr>
        <w:t>17</w:t>
      </w:r>
      <w:r w:rsidRPr="00067907">
        <w:rPr>
          <w:rFonts w:ascii="Arial" w:hAnsi="Arial" w:cs="Arial"/>
          <w:color w:val="000000" w:themeColor="text1"/>
          <w:sz w:val="22"/>
          <w:szCs w:val="22"/>
        </w:rPr>
        <w:t>, </w:t>
      </w:r>
      <w:r w:rsidRPr="00067907">
        <w:rPr>
          <w:rStyle w:val="nlmfpage"/>
          <w:rFonts w:ascii="Arial" w:hAnsi="Arial" w:cs="Arial"/>
          <w:color w:val="000000" w:themeColor="text1"/>
          <w:sz w:val="22"/>
          <w:szCs w:val="22"/>
        </w:rPr>
        <w:t>343</w:t>
      </w:r>
      <w:r w:rsidRPr="00067907">
        <w:rPr>
          <w:rFonts w:ascii="Arial" w:hAnsi="Arial" w:cs="Arial"/>
          <w:color w:val="000000" w:themeColor="text1"/>
          <w:sz w:val="22"/>
          <w:szCs w:val="22"/>
        </w:rPr>
        <w:t>–</w:t>
      </w:r>
      <w:r w:rsidRPr="00067907">
        <w:rPr>
          <w:rStyle w:val="nlmlpage"/>
          <w:rFonts w:ascii="Arial" w:hAnsi="Arial" w:cs="Arial"/>
          <w:color w:val="000000" w:themeColor="text1"/>
          <w:sz w:val="22"/>
          <w:szCs w:val="22"/>
        </w:rPr>
        <w:t>359</w:t>
      </w:r>
      <w:r w:rsidRPr="00067907">
        <w:rPr>
          <w:rFonts w:ascii="Arial" w:hAnsi="Arial" w:cs="Arial"/>
          <w:color w:val="000000" w:themeColor="text1"/>
          <w:sz w:val="22"/>
          <w:szCs w:val="22"/>
        </w:rPr>
        <w:t>. doi: </w:t>
      </w:r>
      <w:r w:rsidRPr="00067907">
        <w:rPr>
          <w:rStyle w:val="nlmpub-id"/>
          <w:rFonts w:ascii="Arial" w:hAnsi="Arial" w:cs="Arial"/>
          <w:color w:val="000000" w:themeColor="text1"/>
          <w:sz w:val="22"/>
          <w:szCs w:val="22"/>
        </w:rPr>
        <w:t>10.1177/0907568210369219.</w:t>
      </w:r>
    </w:p>
    <w:p w14:paraId="6965D901" w14:textId="77777777" w:rsidR="00067907" w:rsidRPr="00067907" w:rsidRDefault="00067907" w:rsidP="00B6099C">
      <w:pPr>
        <w:pStyle w:val="NormalWeb"/>
        <w:spacing w:line="240" w:lineRule="auto"/>
        <w:ind w:left="142" w:right="-52" w:hanging="142"/>
        <w:rPr>
          <w:rStyle w:val="nlmpub-id"/>
          <w:rFonts w:ascii="Arial" w:hAnsi="Arial" w:cs="Arial"/>
          <w:color w:val="000000" w:themeColor="text1"/>
          <w:sz w:val="22"/>
          <w:szCs w:val="22"/>
        </w:rPr>
      </w:pPr>
      <w:r w:rsidRPr="00067907">
        <w:rPr>
          <w:rStyle w:val="nlmpub-id"/>
          <w:rFonts w:ascii="Arial" w:hAnsi="Arial" w:cs="Arial"/>
          <w:color w:val="000000" w:themeColor="text1"/>
          <w:sz w:val="22"/>
          <w:szCs w:val="22"/>
        </w:rPr>
        <w:t xml:space="preserve">Graham, A., Powell, M.A. and Taylor, N., 2015. Ethical Research Involving Children: Encouraging Reflexive Engagement in Research with Children and Young People. </w:t>
      </w:r>
      <w:r w:rsidRPr="00067907">
        <w:rPr>
          <w:rStyle w:val="nlmpub-id"/>
          <w:rFonts w:ascii="Arial" w:hAnsi="Arial" w:cs="Arial"/>
          <w:i/>
          <w:iCs/>
          <w:color w:val="000000" w:themeColor="text1"/>
          <w:sz w:val="22"/>
          <w:szCs w:val="22"/>
        </w:rPr>
        <w:t>Children &amp; Society,</w:t>
      </w:r>
      <w:r w:rsidRPr="00067907">
        <w:rPr>
          <w:rStyle w:val="nlmpub-id"/>
          <w:rFonts w:ascii="Arial" w:hAnsi="Arial" w:cs="Arial"/>
          <w:color w:val="000000" w:themeColor="text1"/>
          <w:sz w:val="22"/>
          <w:szCs w:val="22"/>
        </w:rPr>
        <w:t xml:space="preserve"> [e-journal] 29(5), pp. 331-343. https://doi.org/10.1111/chso.12089.</w:t>
      </w:r>
    </w:p>
    <w:p w14:paraId="0342F9C5"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rPr>
      </w:pPr>
      <w:r w:rsidRPr="00067907">
        <w:rPr>
          <w:rFonts w:ascii="Arial" w:hAnsi="Arial" w:cs="Arial"/>
          <w:color w:val="000000" w:themeColor="text1"/>
          <w:sz w:val="22"/>
          <w:szCs w:val="22"/>
        </w:rPr>
        <w:t xml:space="preserve">Grant, C., and Osanloo, A., 2015. Understanding, selecting, and integrating a theoretical framework in dissertation research: Developing a 'blueprint' for your "house". </w:t>
      </w:r>
      <w:r w:rsidRPr="00067907">
        <w:rPr>
          <w:rFonts w:ascii="Arial" w:hAnsi="Arial" w:cs="Arial"/>
          <w:i/>
          <w:iCs/>
          <w:color w:val="000000" w:themeColor="text1"/>
          <w:sz w:val="22"/>
          <w:szCs w:val="22"/>
        </w:rPr>
        <w:t>Administrative Issues Journal, [e-journal]</w:t>
      </w:r>
      <w:r w:rsidRPr="00067907">
        <w:rPr>
          <w:rFonts w:ascii="Arial" w:hAnsi="Arial" w:cs="Arial"/>
          <w:color w:val="000000" w:themeColor="text1"/>
          <w:sz w:val="22"/>
          <w:szCs w:val="22"/>
        </w:rPr>
        <w:t xml:space="preserve"> 4(2), pp.12-26. DOI: 10.5929/2014.4.2.9.</w:t>
      </w:r>
    </w:p>
    <w:p w14:paraId="3B74BE7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Gray, D., 2014. </w:t>
      </w:r>
      <w:r w:rsidRPr="00067907">
        <w:rPr>
          <w:rStyle w:val="bibauth"/>
          <w:rFonts w:ascii="Arial" w:eastAsiaTheme="majorEastAsia" w:hAnsi="Arial" w:cs="Arial"/>
          <w:i/>
          <w:color w:val="000000" w:themeColor="text1"/>
          <w:sz w:val="22"/>
          <w:szCs w:val="22"/>
          <w:bdr w:val="none" w:sz="0" w:space="0" w:color="auto" w:frame="1"/>
          <w:shd w:val="clear" w:color="auto" w:fill="FFFFFF"/>
        </w:rPr>
        <w:t>Doing Research in the Real World</w:t>
      </w:r>
      <w:r w:rsidRPr="00067907">
        <w:rPr>
          <w:rStyle w:val="bibauth"/>
          <w:rFonts w:ascii="Arial" w:eastAsiaTheme="majorEastAsia" w:hAnsi="Arial" w:cs="Arial"/>
          <w:color w:val="000000" w:themeColor="text1"/>
          <w:sz w:val="22"/>
          <w:szCs w:val="22"/>
          <w:bdr w:val="none" w:sz="0" w:space="0" w:color="auto" w:frame="1"/>
          <w:shd w:val="clear" w:color="auto" w:fill="FFFFFF"/>
        </w:rPr>
        <w:t>. Los Angeles: SAGE.</w:t>
      </w:r>
    </w:p>
    <w:p w14:paraId="08BB315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Grbich, C., 2013. </w:t>
      </w:r>
      <w:r w:rsidRPr="00067907">
        <w:rPr>
          <w:rStyle w:val="bibauth"/>
          <w:rFonts w:ascii="Arial" w:eastAsiaTheme="majorEastAsia" w:hAnsi="Arial" w:cs="Arial"/>
          <w:i/>
          <w:color w:val="000000" w:themeColor="text1"/>
          <w:sz w:val="22"/>
          <w:szCs w:val="22"/>
          <w:bdr w:val="none" w:sz="0" w:space="0" w:color="auto" w:frame="1"/>
          <w:shd w:val="clear" w:color="auto" w:fill="FFFFFF"/>
        </w:rPr>
        <w:t>Qualitative data analysis</w:t>
      </w:r>
      <w:r w:rsidRPr="00067907">
        <w:rPr>
          <w:rStyle w:val="bibauth"/>
          <w:rFonts w:ascii="Arial" w:eastAsiaTheme="majorEastAsia" w:hAnsi="Arial" w:cs="Arial"/>
          <w:color w:val="000000" w:themeColor="text1"/>
          <w:sz w:val="22"/>
          <w:szCs w:val="22"/>
          <w:bdr w:val="none" w:sz="0" w:space="0" w:color="auto" w:frame="1"/>
          <w:shd w:val="clear" w:color="auto" w:fill="FFFFFF"/>
        </w:rPr>
        <w:t>. Los Angeles: SAGE.</w:t>
      </w:r>
    </w:p>
    <w:p w14:paraId="1060FF9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Green, A., 2017. </w:t>
      </w:r>
      <w:r w:rsidRPr="00067907">
        <w:rPr>
          <w:rStyle w:val="bibauth"/>
          <w:rFonts w:ascii="Arial" w:eastAsiaTheme="majorEastAsia" w:hAnsi="Arial" w:cs="Arial"/>
          <w:i/>
          <w:color w:val="000000" w:themeColor="text1"/>
          <w:sz w:val="22"/>
          <w:szCs w:val="22"/>
          <w:bdr w:val="none" w:sz="0" w:space="0" w:color="auto" w:frame="1"/>
          <w:shd w:val="clear" w:color="auto" w:fill="FFFFFF"/>
        </w:rPr>
        <w:t>The Crisis for Young People: Generational Inequalities in Education, Work, Housing and Welfare</w:t>
      </w:r>
      <w:r w:rsidRPr="00067907">
        <w:rPr>
          <w:rStyle w:val="bibauth"/>
          <w:rFonts w:ascii="Arial" w:eastAsiaTheme="majorEastAsia" w:hAnsi="Arial" w:cs="Arial"/>
          <w:color w:val="000000" w:themeColor="text1"/>
          <w:sz w:val="22"/>
          <w:szCs w:val="22"/>
          <w:bdr w:val="none" w:sz="0" w:space="0" w:color="auto" w:frame="1"/>
          <w:shd w:val="clear" w:color="auto" w:fill="FFFFFF"/>
        </w:rPr>
        <w:t>. London: Palgrave Macmillan.</w:t>
      </w:r>
    </w:p>
    <w:p w14:paraId="74394E8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Grootegoed, E. and Smith, M. 2018. The Emotional Labour of Austerity: How Social Workers Reflect and Work on Their Feelings towards Reducing Support to Needy Children and Families.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48(7), pp. 1929–1947. </w:t>
      </w:r>
      <w:hyperlink r:id="rId13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https://doi.org/10.1093/bjsw/bcx151</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55860CEC" w14:textId="0E342A85"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Groundwater-Smith, S., Dockett, S. and Bottrell, D.,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Participatory Research with Children and Young People</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r w:rsidR="00410C73">
        <w:rPr>
          <w:rStyle w:val="bibauth"/>
          <w:rFonts w:ascii="Arial" w:eastAsiaTheme="majorEastAsia" w:hAnsi="Arial" w:cs="Arial"/>
          <w:color w:val="000000" w:themeColor="text1"/>
          <w:sz w:val="22"/>
          <w:szCs w:val="22"/>
          <w:bdr w:val="none" w:sz="0" w:space="0" w:color="auto" w:frame="1"/>
          <w:shd w:val="clear" w:color="auto" w:fill="FFFFFF"/>
        </w:rPr>
        <w:t>.</w:t>
      </w:r>
    </w:p>
    <w:p w14:paraId="12AA940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Guba, E. G., 1990. The Alternative Paradigm Dialog. In E.G. Guba (ed), 1990. </w:t>
      </w:r>
      <w:r w:rsidRPr="00067907">
        <w:rPr>
          <w:rStyle w:val="bibauth"/>
          <w:rFonts w:ascii="Arial" w:eastAsiaTheme="majorEastAsia" w:hAnsi="Arial" w:cs="Arial"/>
          <w:i/>
          <w:color w:val="000000" w:themeColor="text1"/>
          <w:sz w:val="22"/>
          <w:szCs w:val="22"/>
          <w:bdr w:val="none" w:sz="0" w:space="0" w:color="auto" w:frame="1"/>
          <w:shd w:val="clear" w:color="auto" w:fill="FFFFFF"/>
        </w:rPr>
        <w:t>The Paradigm Dialog</w:t>
      </w:r>
      <w:r w:rsidRPr="00067907">
        <w:rPr>
          <w:rStyle w:val="bibauth"/>
          <w:rFonts w:ascii="Arial" w:eastAsiaTheme="majorEastAsia" w:hAnsi="Arial" w:cs="Arial"/>
          <w:color w:val="000000" w:themeColor="text1"/>
          <w:sz w:val="22"/>
          <w:szCs w:val="22"/>
          <w:bdr w:val="none" w:sz="0" w:space="0" w:color="auto" w:frame="1"/>
          <w:shd w:val="clear" w:color="auto" w:fill="FFFFFF"/>
        </w:rPr>
        <w:t>. Newbury Park: SAGE.</w:t>
      </w:r>
    </w:p>
    <w:p w14:paraId="34FD7F4D"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Gupta, A. 2015. Children Like Ours? Policy and Practice Responses to Children Looked After. In: T. Evans and F. Keating (eds)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Policy and Social Work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 Ch. 4.</w:t>
      </w:r>
    </w:p>
    <w:p w14:paraId="7C096DA2"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t xml:space="preserve">Gutting, G., 2007. </w:t>
      </w:r>
      <w:r w:rsidRPr="00067907">
        <w:rPr>
          <w:rFonts w:ascii="Arial" w:hAnsi="Arial" w:cs="Arial"/>
          <w:i/>
          <w:iCs/>
          <w:color w:val="000000" w:themeColor="text1"/>
          <w:sz w:val="22"/>
          <w:szCs w:val="22"/>
          <w:bdr w:val="none" w:sz="0" w:space="0" w:color="auto" w:frame="1"/>
          <w:shd w:val="clear" w:color="auto" w:fill="FFFFFF"/>
        </w:rPr>
        <w:t>The Cambridge Companion to Foucault</w:t>
      </w:r>
      <w:r w:rsidRPr="00067907">
        <w:rPr>
          <w:rFonts w:ascii="Arial" w:hAnsi="Arial" w:cs="Arial"/>
          <w:color w:val="000000" w:themeColor="text1"/>
          <w:sz w:val="22"/>
          <w:szCs w:val="22"/>
          <w:shd w:val="clear" w:color="auto" w:fill="FFFFFF"/>
        </w:rPr>
        <w:t>. Cambridge: Cambridge University Press.</w:t>
      </w:r>
    </w:p>
    <w:p w14:paraId="10BFD6B1"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t xml:space="preserve">Gwilym, H., 2017. The political identity of social workers in neoliberal times. </w:t>
      </w:r>
      <w:r w:rsidRPr="00067907">
        <w:rPr>
          <w:rFonts w:ascii="Arial" w:hAnsi="Arial" w:cs="Arial"/>
          <w:i/>
          <w:iCs/>
          <w:color w:val="000000" w:themeColor="text1"/>
          <w:sz w:val="22"/>
          <w:szCs w:val="22"/>
          <w:shd w:val="clear" w:color="auto" w:fill="FFFFFF"/>
        </w:rPr>
        <w:t>Critical and Radical Social Work,</w:t>
      </w:r>
      <w:r w:rsidRPr="00067907">
        <w:rPr>
          <w:rFonts w:ascii="Arial" w:hAnsi="Arial" w:cs="Arial"/>
          <w:color w:val="000000" w:themeColor="text1"/>
          <w:sz w:val="22"/>
          <w:szCs w:val="22"/>
          <w:shd w:val="clear" w:color="auto" w:fill="FFFFFF"/>
        </w:rPr>
        <w:t xml:space="preserve"> [e-journal] 5(1), pp. 59-74. </w:t>
      </w:r>
      <w:hyperlink r:id="rId133" w:history="1">
        <w:r w:rsidRPr="00067907">
          <w:rPr>
            <w:rStyle w:val="Hyperlink"/>
            <w:rFonts w:ascii="Arial" w:eastAsiaTheme="majorEastAsia" w:hAnsi="Arial" w:cs="Arial"/>
            <w:color w:val="000000" w:themeColor="text1"/>
            <w:sz w:val="22"/>
            <w:szCs w:val="22"/>
            <w:u w:val="none"/>
            <w:shd w:val="clear" w:color="auto" w:fill="FFFFFF"/>
          </w:rPr>
          <w:t>https://doi.org/10.1332/204986017X14835297465135</w:t>
        </w:r>
      </w:hyperlink>
      <w:r w:rsidRPr="00067907">
        <w:rPr>
          <w:rFonts w:ascii="Arial" w:hAnsi="Arial" w:cs="Arial"/>
          <w:color w:val="000000" w:themeColor="text1"/>
          <w:sz w:val="22"/>
          <w:szCs w:val="22"/>
          <w:shd w:val="clear" w:color="auto" w:fill="FFFFFF"/>
        </w:rPr>
        <w:t>.</w:t>
      </w:r>
    </w:p>
    <w:p w14:paraId="2A9BFB13" w14:textId="4E898EB2"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lastRenderedPageBreak/>
        <w:t xml:space="preserve">Hafford-Letchfield, T., 2015.  Power.  </w:t>
      </w:r>
      <w:r w:rsidRPr="00067907">
        <w:rPr>
          <w:rFonts w:ascii="Arial" w:hAnsi="Arial" w:cs="Arial"/>
          <w:color w:val="000000" w:themeColor="text1"/>
          <w:sz w:val="22"/>
          <w:szCs w:val="22"/>
          <w:shd w:val="clear" w:color="auto" w:fill="FFFFFF"/>
        </w:rPr>
        <w:t xml:space="preserve">In: Ethics, Values </w:t>
      </w:r>
      <w:r w:rsidR="005C5158" w:rsidRPr="00067907">
        <w:rPr>
          <w:rFonts w:ascii="Arial" w:hAnsi="Arial" w:cs="Arial"/>
          <w:color w:val="000000" w:themeColor="text1"/>
          <w:sz w:val="22"/>
          <w:szCs w:val="22"/>
          <w:shd w:val="clear" w:color="auto" w:fill="FFFFFF"/>
        </w:rPr>
        <w:t>and</w:t>
      </w:r>
      <w:r w:rsidRPr="00067907">
        <w:rPr>
          <w:rFonts w:ascii="Arial" w:hAnsi="Arial" w:cs="Arial"/>
          <w:color w:val="000000" w:themeColor="text1"/>
          <w:sz w:val="22"/>
          <w:szCs w:val="22"/>
          <w:shd w:val="clear" w:color="auto" w:fill="FFFFFF"/>
        </w:rPr>
        <w:t xml:space="preserve"> Social Work Practice. Bell, L., and Hafford-Letchfield, T., eds. </w:t>
      </w:r>
      <w:r w:rsidRPr="00067907">
        <w:rPr>
          <w:rFonts w:ascii="Arial" w:hAnsi="Arial" w:cs="Arial"/>
          <w:i/>
          <w:iCs/>
          <w:color w:val="000000" w:themeColor="text1"/>
          <w:sz w:val="22"/>
          <w:szCs w:val="22"/>
          <w:shd w:val="clear" w:color="auto" w:fill="FFFFFF"/>
        </w:rPr>
        <w:t>UK Higher Education OUP Humanities &amp; Social Sciences Health &amp; Social Welfare</w:t>
      </w:r>
      <w:r w:rsidRPr="00067907">
        <w:rPr>
          <w:rFonts w:ascii="Arial" w:hAnsi="Arial" w:cs="Arial"/>
          <w:color w:val="000000" w:themeColor="text1"/>
          <w:sz w:val="22"/>
          <w:szCs w:val="22"/>
          <w:shd w:val="clear" w:color="auto" w:fill="FFFFFF"/>
        </w:rPr>
        <w:t>. Open University Press | McGraw-Hill Education, Maidenhead, pp. 63-75. ISBN 9780335245291</w:t>
      </w:r>
      <w:r w:rsidR="00410C73">
        <w:rPr>
          <w:rFonts w:ascii="Arial" w:hAnsi="Arial" w:cs="Arial"/>
          <w:color w:val="000000" w:themeColor="text1"/>
          <w:sz w:val="22"/>
          <w:szCs w:val="22"/>
          <w:shd w:val="clear" w:color="auto" w:fill="FFFFFF"/>
        </w:rPr>
        <w:t>.</w:t>
      </w:r>
    </w:p>
    <w:p w14:paraId="3CFBD94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Hale, B., 2019. </w:t>
      </w:r>
      <w:r w:rsidRPr="00067907">
        <w:rPr>
          <w:rStyle w:val="bibauth"/>
          <w:rFonts w:ascii="Arial" w:eastAsiaTheme="majorEastAsia" w:hAnsi="Arial" w:cs="Arial"/>
          <w:i/>
          <w:iCs/>
          <w:color w:val="000000" w:themeColor="text1"/>
          <w:sz w:val="22"/>
          <w:szCs w:val="22"/>
          <w:bdr w:val="none" w:sz="0" w:space="0" w:color="auto" w:frame="1"/>
          <w:shd w:val="clear" w:color="auto" w:fill="FFFFFF"/>
        </w:rPr>
        <w:t>30 Years of the Children Act 1989: Scarman Lecture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Law Commission. 13 November, 2019. London: Supreme Court. </w:t>
      </w:r>
    </w:p>
    <w:p w14:paraId="24CB3650" w14:textId="3EC235AF"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Halpern, D. F., 2014. </w:t>
      </w:r>
      <w:r w:rsidRPr="00067907">
        <w:rPr>
          <w:rStyle w:val="bibauth"/>
          <w:rFonts w:ascii="Arial" w:eastAsiaTheme="majorEastAsia" w:hAnsi="Arial" w:cs="Arial"/>
          <w:i/>
          <w:color w:val="000000" w:themeColor="text1"/>
          <w:sz w:val="22"/>
          <w:szCs w:val="22"/>
          <w:bdr w:val="none" w:sz="0" w:space="0" w:color="auto" w:frame="1"/>
          <w:shd w:val="clear" w:color="auto" w:fill="FFFFFF"/>
        </w:rPr>
        <w:t>Thought and knowledge: An introduction to critical thinking</w:t>
      </w:r>
      <w:r w:rsidRPr="00067907">
        <w:rPr>
          <w:rStyle w:val="bibauth"/>
          <w:rFonts w:ascii="Arial" w:eastAsiaTheme="majorEastAsia" w:hAnsi="Arial" w:cs="Arial"/>
          <w:color w:val="000000" w:themeColor="text1"/>
          <w:sz w:val="22"/>
          <w:szCs w:val="22"/>
          <w:bdr w:val="none" w:sz="0" w:space="0" w:color="auto" w:frame="1"/>
          <w:shd w:val="clear" w:color="auto" w:fill="FFFFFF"/>
        </w:rPr>
        <w:t>, 5th ed. New York: Psychology Press</w:t>
      </w:r>
      <w:r w:rsidR="002D394E">
        <w:rPr>
          <w:rStyle w:val="bibauth"/>
          <w:rFonts w:ascii="Arial" w:eastAsiaTheme="majorEastAsia" w:hAnsi="Arial" w:cs="Arial"/>
          <w:color w:val="000000" w:themeColor="text1"/>
          <w:sz w:val="22"/>
          <w:szCs w:val="22"/>
          <w:bdr w:val="none" w:sz="0" w:space="0" w:color="auto" w:frame="1"/>
          <w:shd w:val="clear" w:color="auto" w:fill="FFFFFF"/>
        </w:rPr>
        <w:t>.</w:t>
      </w:r>
    </w:p>
    <w:p w14:paraId="22EF536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Hammersley, M., 2014. Methodological Ideas. In: A. Clark, R Flewitt, M. Hammersley and M. Robb, eds,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Understanding Research with Children and Young People</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 Ch.10.</w:t>
      </w:r>
    </w:p>
    <w:p w14:paraId="525FAD66"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t>Hanson, K., 2017 ‘Embracing the past: ‘Been’, ‘being’ and ‘becoming’ children’, </w:t>
      </w:r>
      <w:r w:rsidRPr="00067907">
        <w:rPr>
          <w:rFonts w:ascii="Arial" w:hAnsi="Arial" w:cs="Arial"/>
          <w:i/>
          <w:iCs/>
          <w:color w:val="000000" w:themeColor="text1"/>
          <w:sz w:val="22"/>
          <w:szCs w:val="22"/>
          <w:shd w:val="clear" w:color="auto" w:fill="FFFFFF"/>
        </w:rPr>
        <w:t>Childhood</w:t>
      </w:r>
      <w:r w:rsidRPr="00067907">
        <w:rPr>
          <w:rFonts w:ascii="Arial" w:hAnsi="Arial" w:cs="Arial"/>
          <w:color w:val="000000" w:themeColor="text1"/>
          <w:sz w:val="22"/>
          <w:szCs w:val="22"/>
          <w:shd w:val="clear" w:color="auto" w:fill="FFFFFF"/>
        </w:rPr>
        <w:t>, 24(3), pp. 281–285. doi: </w:t>
      </w:r>
      <w:hyperlink r:id="rId134" w:history="1">
        <w:r w:rsidRPr="00067907">
          <w:rPr>
            <w:rStyle w:val="Hyperlink"/>
            <w:rFonts w:ascii="Arial" w:eastAsiaTheme="majorEastAsia" w:hAnsi="Arial" w:cs="Arial"/>
            <w:color w:val="000000" w:themeColor="text1"/>
            <w:sz w:val="22"/>
            <w:szCs w:val="22"/>
            <w:u w:val="none"/>
            <w:shd w:val="clear" w:color="auto" w:fill="FFFFFF"/>
          </w:rPr>
          <w:t>10.1177/0907568217715347</w:t>
        </w:r>
      </w:hyperlink>
      <w:r w:rsidRPr="00067907">
        <w:rPr>
          <w:rFonts w:ascii="Arial" w:hAnsi="Arial" w:cs="Arial"/>
          <w:color w:val="000000" w:themeColor="text1"/>
          <w:sz w:val="22"/>
          <w:szCs w:val="22"/>
          <w:shd w:val="clear" w:color="auto" w:fill="FFFFFF"/>
        </w:rPr>
        <w:t>.</w:t>
      </w:r>
    </w:p>
    <w:p w14:paraId="3B8BFC1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Harder, A., Mann-Feder, V. R., Oterholm, I. and Refaeli, T., 2020. Supporting transitions to adulthood for youth leaving care: Consensus based principles,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116, p, 105260. https://doi.org/10.1016/j.childyouth.2020.105260.</w:t>
      </w:r>
    </w:p>
    <w:p w14:paraId="0453F17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Hardman, D., 2009. </w:t>
      </w:r>
      <w:r w:rsidRPr="00067907">
        <w:rPr>
          <w:rStyle w:val="bibauth"/>
          <w:rFonts w:ascii="Arial" w:eastAsiaTheme="majorEastAsia" w:hAnsi="Arial" w:cs="Arial"/>
          <w:i/>
          <w:color w:val="000000" w:themeColor="text1"/>
          <w:sz w:val="22"/>
          <w:szCs w:val="22"/>
          <w:bdr w:val="none" w:sz="0" w:space="0" w:color="auto" w:frame="1"/>
          <w:shd w:val="clear" w:color="auto" w:fill="FFFFFF"/>
        </w:rPr>
        <w:t>Judgment and Decision Making</w:t>
      </w:r>
      <w:r w:rsidRPr="00067907">
        <w:rPr>
          <w:rStyle w:val="bibauth"/>
          <w:rFonts w:ascii="Arial" w:eastAsiaTheme="majorEastAsia" w:hAnsi="Arial" w:cs="Arial"/>
          <w:color w:val="000000" w:themeColor="text1"/>
          <w:sz w:val="22"/>
          <w:szCs w:val="22"/>
          <w:bdr w:val="none" w:sz="0" w:space="0" w:color="auto" w:frame="1"/>
          <w:shd w:val="clear" w:color="auto" w:fill="FFFFFF"/>
        </w:rPr>
        <w:t>. Malden: Blackwell.</w:t>
      </w:r>
    </w:p>
    <w:p w14:paraId="2363A259"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Hardy, M., 2015. Discretion in the History and Development of Social Work. In: T. Evans and F. Keating. (eds) 2015.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Policy and Social Work 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 </w:t>
      </w:r>
    </w:p>
    <w:p w14:paraId="4057FFAE"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Hardy. M. and Jobling, H., 2015. Beyond Power/Knowledge—developing a framework for understanding knowledge ‘flow’ in international social work. </w:t>
      </w:r>
      <w:r w:rsidRPr="00067907">
        <w:rPr>
          <w:rStyle w:val="bibauth"/>
          <w:rFonts w:ascii="Arial" w:eastAsiaTheme="majorEastAsia" w:hAnsi="Arial" w:cs="Arial"/>
          <w:i/>
          <w:iCs/>
          <w:color w:val="000000" w:themeColor="text1"/>
          <w:sz w:val="22"/>
          <w:szCs w:val="22"/>
          <w:bdr w:val="none" w:sz="0" w:space="0" w:color="auto" w:frame="1"/>
          <w:shd w:val="clear" w:color="auto" w:fill="FFFFFF"/>
        </w:rPr>
        <w:t>European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18(4), pp. 525-542. DOI: 10.1080/13691457.2015.1043240.</w:t>
      </w:r>
    </w:p>
    <w:p w14:paraId="0AF89DC4" w14:textId="3B9242E1"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t xml:space="preserve">Hargreaves, C., Hodgson, P., Mohamed, J. N., and Nunn, A., 2019. Contingent coping? Renegotiating ‘fast’ disciplinary social policy at street level: Implementing the UK Troubled Families Programme. </w:t>
      </w:r>
      <w:r w:rsidRPr="00067907">
        <w:rPr>
          <w:rFonts w:ascii="Arial" w:hAnsi="Arial" w:cs="Arial"/>
          <w:i/>
          <w:iCs/>
          <w:color w:val="000000" w:themeColor="text1"/>
          <w:sz w:val="22"/>
          <w:szCs w:val="22"/>
          <w:shd w:val="clear" w:color="auto" w:fill="FFFFFF"/>
        </w:rPr>
        <w:t>Critical Social Policy</w:t>
      </w:r>
      <w:r w:rsidRPr="00067907">
        <w:rPr>
          <w:rFonts w:ascii="Arial" w:hAnsi="Arial" w:cs="Arial"/>
          <w:color w:val="000000" w:themeColor="text1"/>
          <w:sz w:val="22"/>
          <w:szCs w:val="22"/>
          <w:shd w:val="clear" w:color="auto" w:fill="FFFFFF"/>
        </w:rPr>
        <w:t xml:space="preserve">, [e-journal] 39(2), pp. 289–308. </w:t>
      </w:r>
      <w:hyperlink r:id="rId135" w:history="1">
        <w:r w:rsidRPr="00067907">
          <w:rPr>
            <w:rStyle w:val="Hyperlink"/>
            <w:rFonts w:ascii="Arial" w:eastAsiaTheme="majorEastAsia" w:hAnsi="Arial" w:cs="Arial"/>
            <w:color w:val="000000" w:themeColor="text1"/>
            <w:sz w:val="22"/>
            <w:szCs w:val="22"/>
            <w:u w:val="none"/>
            <w:shd w:val="clear" w:color="auto" w:fill="FFFFFF"/>
          </w:rPr>
          <w:t>https://doi.org/10.1177/0261018318780094</w:t>
        </w:r>
      </w:hyperlink>
      <w:r w:rsidR="002D394E">
        <w:rPr>
          <w:rStyle w:val="Hyperlink"/>
          <w:rFonts w:ascii="Arial" w:eastAsiaTheme="majorEastAsia" w:hAnsi="Arial" w:cs="Arial"/>
          <w:color w:val="000000" w:themeColor="text1"/>
          <w:sz w:val="22"/>
          <w:szCs w:val="22"/>
          <w:u w:val="none"/>
          <w:shd w:val="clear" w:color="auto" w:fill="FFFFFF"/>
        </w:rPr>
        <w:t>.</w:t>
      </w:r>
    </w:p>
    <w:p w14:paraId="7EC91CB9"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Harkin, J., Stafford, L., Leggatt</w:t>
      </w:r>
      <w:r w:rsidRPr="00067907">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Cook, C., 2020. Influences on children's voices in family support services: Practitioner perspectives.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25, pp.955– 963. </w:t>
      </w:r>
      <w:hyperlink r:id="rId13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https://doi.org/10.1111/cfs.12781</w:t>
        </w:r>
      </w:hyperlink>
      <w:r w:rsidRPr="00067907">
        <w:rPr>
          <w:rFonts w:ascii="Arial" w:hAnsi="Arial" w:cs="Arial"/>
          <w:color w:val="000000" w:themeColor="text1"/>
          <w:sz w:val="22"/>
          <w:szCs w:val="22"/>
          <w:bdr w:val="none" w:sz="0" w:space="0" w:color="auto" w:frame="1"/>
          <w:shd w:val="clear" w:color="auto" w:fill="FFFFFF"/>
        </w:rPr>
        <w:t>.</w:t>
      </w:r>
    </w:p>
    <w:p w14:paraId="045FF214"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Harlow, E., 2003. New managerialism, social service departments and social work practice today.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Practice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15(2), pp. 29-44, DOI: 10.1080/09503150308416917. </w:t>
      </w:r>
    </w:p>
    <w:p w14:paraId="6FD688F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Harlow, E., Berg, E., Barry, J., and Chandler, J., 2013. Neoliberalism, managerialism and the reconfiguring of social work in Sweden and the United Kingdom. </w:t>
      </w:r>
      <w:r w:rsidRPr="00067907">
        <w:rPr>
          <w:rStyle w:val="bibauth"/>
          <w:rFonts w:ascii="Arial" w:eastAsiaTheme="majorEastAsia" w:hAnsi="Arial" w:cs="Arial"/>
          <w:i/>
          <w:iCs/>
          <w:color w:val="000000" w:themeColor="text1"/>
          <w:sz w:val="22"/>
          <w:szCs w:val="22"/>
          <w:bdr w:val="none" w:sz="0" w:space="0" w:color="auto" w:frame="1"/>
          <w:shd w:val="clear" w:color="auto" w:fill="FFFFFF"/>
        </w:rPr>
        <w:t>Organization</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20, pp. 534-550. </w:t>
      </w:r>
      <w:hyperlink r:id="rId13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http://dx.doi.org/10.1177/1350508412448222</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145118D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Harris, V., 2009.  How do young people experience the transition from being a looked after child to living independently and how can it be improved in the eyes of the young people using the service? [pdf] Available at &lt;</w:t>
      </w:r>
      <w:r w:rsidRPr="00067907">
        <w:rPr>
          <w:rFonts w:ascii="Arial" w:hAnsi="Arial" w:cs="Arial"/>
          <w:color w:val="000000" w:themeColor="text1"/>
          <w:sz w:val="22"/>
          <w:szCs w:val="22"/>
        </w:rPr>
        <w:t xml:space="preserve"> </w:t>
      </w:r>
      <w:hyperlink r:id="rId138"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https://dera.ioe.ac.uk//2794/</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&gt; [Accessed 1 January 2020] </w:t>
      </w:r>
    </w:p>
    <w:p w14:paraId="0632B112" w14:textId="0CD27C75" w:rsidR="00067907"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067907">
        <w:rPr>
          <w:rFonts w:ascii="Arial" w:hAnsi="Arial" w:cs="Arial"/>
          <w:color w:val="000000" w:themeColor="text1"/>
          <w:sz w:val="22"/>
          <w:szCs w:val="22"/>
          <w:shd w:val="clear" w:color="auto" w:fill="FFFFFF"/>
        </w:rPr>
        <w:lastRenderedPageBreak/>
        <w:t xml:space="preserve">Hart, R. A., 1997. </w:t>
      </w:r>
      <w:r w:rsidRPr="00067907">
        <w:rPr>
          <w:rFonts w:ascii="Arial" w:hAnsi="Arial" w:cs="Arial"/>
          <w:i/>
          <w:iCs/>
          <w:color w:val="000000" w:themeColor="text1"/>
          <w:sz w:val="22"/>
          <w:szCs w:val="22"/>
          <w:shd w:val="clear" w:color="auto" w:fill="FFFFFF"/>
        </w:rPr>
        <w:t>Children’s Participation: The Theory and Practice of Involving Young Citizens in Community Development and Environmental Care</w:t>
      </w:r>
      <w:r w:rsidRPr="00067907">
        <w:rPr>
          <w:rFonts w:ascii="Arial" w:hAnsi="Arial" w:cs="Arial"/>
          <w:color w:val="000000" w:themeColor="text1"/>
          <w:sz w:val="22"/>
          <w:szCs w:val="22"/>
          <w:shd w:val="clear" w:color="auto" w:fill="FFFFFF"/>
        </w:rPr>
        <w:t>. London: Routledge.</w:t>
      </w:r>
    </w:p>
    <w:p w14:paraId="01FD4390" w14:textId="1F71D8F5" w:rsidR="008C1A0E" w:rsidRPr="00067907" w:rsidRDefault="008C1A0E"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shd w:val="clear" w:color="auto" w:fill="FFFFFF"/>
        </w:rPr>
        <w:t xml:space="preserve">Hartung, C., 2017. </w:t>
      </w:r>
      <w:r w:rsidRPr="00C47DDD">
        <w:rPr>
          <w:rFonts w:ascii="Arial" w:hAnsi="Arial" w:cs="Arial"/>
          <w:i/>
          <w:iCs/>
          <w:color w:val="000000" w:themeColor="text1"/>
          <w:sz w:val="22"/>
          <w:szCs w:val="22"/>
          <w:shd w:val="clear" w:color="auto" w:fill="FFFFFF"/>
        </w:rPr>
        <w:t xml:space="preserve">Conditional Citizens: Rethinking children and </w:t>
      </w:r>
      <w:r w:rsidR="002533BD" w:rsidRPr="00C47DDD">
        <w:rPr>
          <w:rFonts w:ascii="Arial" w:hAnsi="Arial" w:cs="Arial"/>
          <w:i/>
          <w:iCs/>
          <w:color w:val="000000" w:themeColor="text1"/>
          <w:sz w:val="22"/>
          <w:szCs w:val="22"/>
          <w:shd w:val="clear" w:color="auto" w:fill="FFFFFF"/>
        </w:rPr>
        <w:t>young people’s participation</w:t>
      </w:r>
      <w:r w:rsidR="002533BD" w:rsidRPr="00C47DDD">
        <w:rPr>
          <w:rFonts w:ascii="Arial" w:hAnsi="Arial" w:cs="Arial"/>
          <w:color w:val="000000" w:themeColor="text1"/>
          <w:sz w:val="22"/>
          <w:szCs w:val="22"/>
          <w:shd w:val="clear" w:color="auto" w:fill="FFFFFF"/>
        </w:rPr>
        <w:t>. Singapore: Springer</w:t>
      </w:r>
      <w:r w:rsidR="009A21C9" w:rsidRPr="00C47DDD">
        <w:rPr>
          <w:rFonts w:ascii="Arial" w:hAnsi="Arial" w:cs="Arial"/>
          <w:color w:val="000000" w:themeColor="text1"/>
          <w:sz w:val="22"/>
          <w:szCs w:val="22"/>
          <w:shd w:val="clear" w:color="auto" w:fill="FFFFFF"/>
        </w:rPr>
        <w:t>.</w:t>
      </w:r>
      <w:r w:rsidR="009A21C9">
        <w:rPr>
          <w:rFonts w:ascii="Arial" w:hAnsi="Arial" w:cs="Arial"/>
          <w:color w:val="000000" w:themeColor="text1"/>
          <w:sz w:val="22"/>
          <w:szCs w:val="22"/>
          <w:shd w:val="clear" w:color="auto" w:fill="FFFFFF"/>
        </w:rPr>
        <w:t xml:space="preserve"> </w:t>
      </w:r>
    </w:p>
    <w:p w14:paraId="61BFC585"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shd w:val="clear" w:color="auto" w:fill="FFFFFF"/>
        </w:rPr>
        <w:t xml:space="preserve">Harvey, D., 2007. </w:t>
      </w:r>
      <w:r w:rsidRPr="00067907">
        <w:rPr>
          <w:rFonts w:ascii="Arial" w:hAnsi="Arial" w:cs="Arial"/>
          <w:i/>
          <w:iCs/>
          <w:color w:val="000000" w:themeColor="text1"/>
          <w:sz w:val="22"/>
          <w:szCs w:val="22"/>
          <w:shd w:val="clear" w:color="auto" w:fill="FFFFFF"/>
        </w:rPr>
        <w:t>A Brief History of Neoliberalism</w:t>
      </w:r>
      <w:r w:rsidRPr="00067907">
        <w:rPr>
          <w:rFonts w:ascii="Arial" w:hAnsi="Arial" w:cs="Arial"/>
          <w:color w:val="000000" w:themeColor="text1"/>
          <w:sz w:val="22"/>
          <w:szCs w:val="22"/>
          <w:shd w:val="clear" w:color="auto" w:fill="FFFFFF"/>
        </w:rPr>
        <w:t>. Oxford: Oxford University Press.</w:t>
      </w:r>
    </w:p>
    <w:p w14:paraId="1509722F"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Hasenfeld, Y., 1987. Power in Social Work Practice. Social Service Review, [e-journal] 61(3), pp. 469-483. </w:t>
      </w:r>
      <w:hyperlink r:id="rId139"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https://doi.org/10.1086/644463</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66E3A03"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Hyperlink"/>
          <w:rFonts w:ascii="Arial" w:eastAsiaTheme="majorEastAsia" w:hAnsi="Arial" w:cs="Arial"/>
          <w:color w:val="000000" w:themeColor="text1"/>
          <w:sz w:val="22"/>
          <w:szCs w:val="22"/>
          <w:u w:val="none"/>
          <w:bdr w:val="none" w:sz="0" w:space="0" w:color="auto" w:frame="1"/>
          <w:shd w:val="clear" w:color="auto" w:fill="FFFFFF"/>
        </w:rPr>
        <w:t xml:space="preserve">Haugaard, M., 2014. Hegemony and Power.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In: S. Clegg and M. Haugaard (eds)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SAGE Handbook of Power</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6DB43CC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Haugaard, M. and Clegg, S., 2014. Introduction: why power is the central concept of the social sciences. In: S. Clegg and M. Haugaard (eds) 2014.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SAGE Handbook of Power</w:t>
      </w:r>
      <w:r w:rsidRPr="00067907">
        <w:rPr>
          <w:rStyle w:val="bibauth"/>
          <w:rFonts w:ascii="Arial" w:eastAsiaTheme="majorEastAsia" w:hAnsi="Arial" w:cs="Arial"/>
          <w:color w:val="000000" w:themeColor="text1"/>
          <w:sz w:val="22"/>
          <w:szCs w:val="22"/>
          <w:bdr w:val="none" w:sz="0" w:space="0" w:color="auto" w:frame="1"/>
          <w:shd w:val="clear" w:color="auto" w:fill="FFFFFF"/>
        </w:rPr>
        <w:t>. London: SAGE.</w:t>
      </w:r>
    </w:p>
    <w:p w14:paraId="368BDD1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Havlicek, J., Garcia, A. and Smith, D., 2013. Mental health and substance use disorders among foster youth transitioning to adulthood: Past research and future directions.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35(1), pp.194-203. </w:t>
      </w:r>
      <w:hyperlink r:id="rId140"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https://doi.org/10.1016/j.childyouth.2012.10.003</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2EAE2DC0"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Hayes, D., 2005. Gaining Access to Data Sources in Statutory Social Work Agencies: The Long and Winding Road,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35 (7), pp. 1193–1202, </w:t>
      </w:r>
      <w:hyperlink r:id="rId141"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https://doi.org/10.1093/bjsw/bch295</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B1DE987"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Healy, K., 1998. Participation and Child Protection: The Importance of Context.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28(6), pp. 897–914, </w:t>
      </w:r>
      <w:hyperlink r:id="rId142"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https://doi.org/10.1093/oxfordjournals.bjsw.a011407</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594C485"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Healy, K., 2000. </w:t>
      </w:r>
      <w:r w:rsidRPr="00067907">
        <w:rPr>
          <w:rStyle w:val="bibauth"/>
          <w:rFonts w:ascii="Arial" w:eastAsiaTheme="majorEastAsia" w:hAnsi="Arial" w:cs="Arial"/>
          <w:i/>
          <w:iCs/>
          <w:color w:val="000000" w:themeColor="text1"/>
          <w:sz w:val="22"/>
          <w:szCs w:val="22"/>
          <w:bdr w:val="none" w:sz="0" w:space="0" w:color="auto" w:frame="1"/>
          <w:shd w:val="clear" w:color="auto" w:fill="FFFFFF"/>
        </w:rPr>
        <w:t>Social Work Practices: Contemporary Perspectives on Change.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London:  SAGE Publications.</w:t>
      </w:r>
    </w:p>
    <w:p w14:paraId="6744127B"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Healy, K., 2001. Reinventing Critical Social Work: challenges from practice, context and postmodernism. Critical Social Work, [online] 2(1). Available at:&lt;</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https://ojs.uwindsor.ca/index.php/csw/article/view/5618 &gt; [Accessed 12 June 2021].</w:t>
      </w:r>
    </w:p>
    <w:p w14:paraId="3985F5BD"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Fonts w:ascii="Arial" w:hAnsi="Arial" w:cs="Arial"/>
          <w:color w:val="000000" w:themeColor="text1"/>
          <w:sz w:val="22"/>
          <w:szCs w:val="22"/>
          <w:shd w:val="clear" w:color="auto" w:fill="FFFFFF"/>
        </w:rPr>
        <w:t xml:space="preserve">Healy, K. and Darlington, Y., 2009, Service user participation in diverse child protection contexts: principles for practice. </w:t>
      </w:r>
      <w:r w:rsidRPr="00067907">
        <w:rPr>
          <w:rFonts w:ascii="Arial" w:hAnsi="Arial" w:cs="Arial"/>
          <w:i/>
          <w:iCs/>
          <w:color w:val="000000" w:themeColor="text1"/>
          <w:sz w:val="22"/>
          <w:szCs w:val="22"/>
          <w:shd w:val="clear" w:color="auto" w:fill="FFFFFF"/>
        </w:rPr>
        <w:t>Child &amp; Family Social Work</w:t>
      </w:r>
      <w:r w:rsidRPr="00067907">
        <w:rPr>
          <w:rFonts w:ascii="Arial" w:hAnsi="Arial" w:cs="Arial"/>
          <w:color w:val="000000" w:themeColor="text1"/>
          <w:sz w:val="22"/>
          <w:szCs w:val="22"/>
          <w:shd w:val="clear" w:color="auto" w:fill="FFFFFF"/>
        </w:rPr>
        <w:t>, [e-journal]14, pp. 420-430. </w:t>
      </w:r>
      <w:hyperlink r:id="rId143" w:history="1">
        <w:r w:rsidRPr="00067907">
          <w:rPr>
            <w:rStyle w:val="Hyperlink"/>
            <w:rFonts w:ascii="Arial" w:eastAsiaTheme="majorEastAsia" w:hAnsi="Arial" w:cs="Arial"/>
            <w:color w:val="000000" w:themeColor="text1"/>
            <w:sz w:val="22"/>
            <w:szCs w:val="22"/>
            <w:u w:val="none"/>
            <w:shd w:val="clear" w:color="auto" w:fill="FFFFFF"/>
          </w:rPr>
          <w:t>https://doi.org/10.1111/j.1365-2206.2009.00613.x</w:t>
        </w:r>
      </w:hyperlink>
      <w:r w:rsidRPr="00067907">
        <w:rPr>
          <w:rStyle w:val="Hyperlink"/>
          <w:rFonts w:ascii="Arial" w:eastAsiaTheme="majorEastAsia" w:hAnsi="Arial" w:cs="Arial"/>
          <w:color w:val="000000" w:themeColor="text1"/>
          <w:sz w:val="22"/>
          <w:szCs w:val="22"/>
          <w:u w:val="none"/>
          <w:shd w:val="clear" w:color="auto" w:fill="FFFFFF"/>
        </w:rPr>
        <w:t>.</w:t>
      </w:r>
    </w:p>
    <w:p w14:paraId="63313391"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Healy, K. and Mulholland, J., 1998. "Discourse Analysis and Activist Social Work: Investigating Practice Processes,"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Journal of Sociology &amp; Social Welfare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25, (3). </w:t>
      </w:r>
      <w:hyperlink r:id="rId144"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https://scholarworks.wmich.edu/jssw/vol25/iss3/2</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1942EB2"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Hyperlink"/>
          <w:rFonts w:ascii="Arial" w:eastAsiaTheme="majorEastAsia" w:hAnsi="Arial" w:cs="Arial"/>
          <w:color w:val="000000" w:themeColor="text1"/>
          <w:sz w:val="22"/>
          <w:szCs w:val="22"/>
          <w:u w:val="none"/>
          <w:shd w:val="clear" w:color="auto" w:fill="FFFFFF"/>
        </w:rPr>
        <w:t>Hearn, and Thomson, 2014. Working with Texts, Images and Artefacts. In: A. Clark, A., R. Flewitt, M. Hammersley and M. Robb, eds., 2014. Understanding Research with Children and Young People. London: SAGE. Ch. 9.</w:t>
      </w:r>
    </w:p>
    <w:p w14:paraId="5CD04784" w14:textId="77777777" w:rsidR="00067907" w:rsidRPr="00067907"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Hébert, S., Lanctôt, N. and Turcotte, M., 2016. “I didn't want to be moved there”: Young women remembering their perceived sense of Agency in the Context of placement instability.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70, pp. 229-237. </w:t>
      </w:r>
      <w:hyperlink r:id="rId145"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http://dx.doi.org/10.1016/j.childyouth.2016.09.029</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D547FAD"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Henderson, K. and Mathew-Byrne, J., 2016. Developing Communication and Interviewing Skills. In: K. Davies and R. Jones. (eds) 2016. </w:t>
      </w:r>
      <w:r w:rsidRPr="00067907">
        <w:rPr>
          <w:rFonts w:ascii="Arial" w:hAnsi="Arial" w:cs="Arial"/>
          <w:i/>
          <w:iCs/>
          <w:color w:val="000000" w:themeColor="text1"/>
          <w:sz w:val="22"/>
          <w:szCs w:val="22"/>
        </w:rPr>
        <w:t>Skills for Social Work Practice</w:t>
      </w:r>
      <w:r w:rsidRPr="00067907">
        <w:rPr>
          <w:rFonts w:ascii="Arial" w:hAnsi="Arial" w:cs="Arial"/>
          <w:color w:val="000000" w:themeColor="text1"/>
          <w:sz w:val="22"/>
          <w:szCs w:val="22"/>
        </w:rPr>
        <w:t>. London: Palgrave Macmillan.</w:t>
      </w:r>
    </w:p>
    <w:p w14:paraId="6DB2D8D3"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Hendrick, H., 2015. Constructions and Reconstructions of British Childhood: An interpretive study, 1800 to present. In: A. James and A. Prout (eds) 2015. </w:t>
      </w:r>
      <w:r w:rsidRPr="00067907">
        <w:rPr>
          <w:rFonts w:ascii="Arial" w:hAnsi="Arial" w:cs="Arial"/>
          <w:i/>
          <w:iCs/>
          <w:color w:val="000000" w:themeColor="text1"/>
          <w:sz w:val="22"/>
          <w:szCs w:val="22"/>
        </w:rPr>
        <w:t>Constructing and Reconstructing Childhood: Contemporary Issues in the Sociological Study of Childhood.</w:t>
      </w:r>
      <w:r w:rsidRPr="00067907">
        <w:rPr>
          <w:rFonts w:ascii="Arial" w:hAnsi="Arial" w:cs="Arial"/>
          <w:color w:val="000000" w:themeColor="text1"/>
          <w:sz w:val="22"/>
          <w:szCs w:val="22"/>
        </w:rPr>
        <w:t xml:space="preserve"> Basingstoke: Falmer Press. Ch.2.</w:t>
      </w:r>
    </w:p>
    <w:p w14:paraId="013513B6"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Heptinstall, E., 2000. Research note. Gaining access to looked after children for research purposes: lessons learned, </w:t>
      </w:r>
      <w:r w:rsidRPr="00067907">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30 96), pp. 867–872, </w:t>
      </w:r>
      <w:hyperlink r:id="rId146"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https://doi.org/10.1093/bjsw/30.6.867</w:t>
        </w:r>
      </w:hyperlink>
      <w:r w:rsidRPr="00067907">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C41E6BC" w14:textId="77777777" w:rsidR="00067907" w:rsidRPr="00067907"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067907">
        <w:rPr>
          <w:rFonts w:ascii="Arial" w:hAnsi="Arial" w:cs="Arial"/>
          <w:color w:val="000000" w:themeColor="text1"/>
          <w:sz w:val="22"/>
          <w:szCs w:val="22"/>
        </w:rPr>
        <w:t xml:space="preserve">Heywood, C., 2001. </w:t>
      </w:r>
      <w:r w:rsidRPr="00067907">
        <w:rPr>
          <w:rFonts w:ascii="Arial" w:hAnsi="Arial" w:cs="Arial"/>
          <w:i/>
          <w:iCs/>
          <w:color w:val="000000" w:themeColor="text1"/>
          <w:sz w:val="22"/>
          <w:szCs w:val="22"/>
        </w:rPr>
        <w:t>The History of Childhood</w:t>
      </w:r>
      <w:r w:rsidRPr="00067907">
        <w:rPr>
          <w:rFonts w:ascii="Arial" w:hAnsi="Arial" w:cs="Arial"/>
          <w:color w:val="000000" w:themeColor="text1"/>
          <w:sz w:val="22"/>
          <w:szCs w:val="22"/>
        </w:rPr>
        <w:t xml:space="preserve">. Cambridge: Polity Press. </w:t>
      </w:r>
    </w:p>
    <w:p w14:paraId="373DAE4A"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Hicks, M., 2005. </w:t>
      </w:r>
      <w:r w:rsidRPr="00067907">
        <w:rPr>
          <w:rStyle w:val="bibauth"/>
          <w:rFonts w:ascii="Arial" w:eastAsiaTheme="majorEastAsia" w:hAnsi="Arial" w:cs="Arial"/>
          <w:i/>
          <w:color w:val="000000" w:themeColor="text1"/>
          <w:sz w:val="22"/>
          <w:szCs w:val="22"/>
          <w:bdr w:val="none" w:sz="0" w:space="0" w:color="auto" w:frame="1"/>
          <w:shd w:val="clear" w:color="auto" w:fill="FFFFFF"/>
        </w:rPr>
        <w:t>Problem solving in business and management</w:t>
      </w:r>
      <w:r w:rsidRPr="00067907">
        <w:rPr>
          <w:rStyle w:val="bibauth"/>
          <w:rFonts w:ascii="Arial" w:eastAsiaTheme="majorEastAsia" w:hAnsi="Arial" w:cs="Arial"/>
          <w:color w:val="000000" w:themeColor="text1"/>
          <w:sz w:val="22"/>
          <w:szCs w:val="22"/>
          <w:bdr w:val="none" w:sz="0" w:space="0" w:color="auto" w:frame="1"/>
          <w:shd w:val="clear" w:color="auto" w:fill="FFFFFF"/>
        </w:rPr>
        <w:t>. London: Thomson.</w:t>
      </w:r>
    </w:p>
    <w:p w14:paraId="545412CA" w14:textId="78666E33"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Hiles, D., Moss, D., Thorne, L., Wright, J. and Dallos, R., 2014. “So what am I?” — Multiple perspectives on young people's experience of leaving care</w:t>
      </w:r>
      <w:r w:rsidR="00647630">
        <w:rPr>
          <w:rStyle w:val="bibauth"/>
          <w:rFonts w:ascii="Arial" w:eastAsiaTheme="majorEastAsia" w:hAnsi="Arial" w:cs="Arial"/>
          <w:color w:val="000000" w:themeColor="text1"/>
          <w:sz w:val="22"/>
          <w:szCs w:val="22"/>
          <w:bdr w:val="none" w:sz="0" w:space="0" w:color="auto" w:frame="1"/>
          <w:shd w:val="clear" w:color="auto" w:fill="FFFFFF"/>
        </w:rPr>
        <w: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 [e-journal]</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41, pp. 1-15. </w:t>
      </w:r>
      <w:hyperlink r:id="rId147" w:history="1">
        <w:r w:rsidRPr="00067907">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https://doi.org/10.1016/j.childyouth.2014.03.007</w:t>
        </w:r>
      </w:hyperlink>
      <w:r w:rsidRPr="00067907">
        <w:rPr>
          <w:rStyle w:val="bibauth"/>
          <w:rFonts w:ascii="Arial" w:eastAsiaTheme="majorEastAsia" w:hAnsi="Arial" w:cs="Arial"/>
          <w:color w:val="000000" w:themeColor="text1"/>
          <w:sz w:val="22"/>
          <w:szCs w:val="22"/>
          <w:bdr w:val="none" w:sz="0" w:space="0" w:color="auto" w:frame="1"/>
          <w:shd w:val="clear" w:color="auto" w:fill="FFFFFF"/>
        </w:rPr>
        <w:t>.</w:t>
      </w:r>
    </w:p>
    <w:p w14:paraId="3861BB48" w14:textId="5B73F22A" w:rsid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Hindess, B., 1996. </w:t>
      </w:r>
      <w:r w:rsidRPr="00067907">
        <w:rPr>
          <w:rStyle w:val="bibauth"/>
          <w:rFonts w:ascii="Arial" w:eastAsiaTheme="majorEastAsia" w:hAnsi="Arial" w:cs="Arial"/>
          <w:i/>
          <w:iCs/>
          <w:color w:val="000000" w:themeColor="text1"/>
          <w:sz w:val="22"/>
          <w:szCs w:val="22"/>
          <w:bdr w:val="none" w:sz="0" w:space="0" w:color="auto" w:frame="1"/>
          <w:shd w:val="clear" w:color="auto" w:fill="FFFFFF"/>
        </w:rPr>
        <w:t>Discourses of power: from Hobbes to Foucault</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Oxford: Blackwell. </w:t>
      </w:r>
    </w:p>
    <w:p w14:paraId="0A1E1AF0" w14:textId="49DFC8FE" w:rsidR="00647630" w:rsidRPr="00067907" w:rsidRDefault="00647630"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647630">
        <w:rPr>
          <w:rStyle w:val="bibauth"/>
          <w:rFonts w:ascii="Arial" w:eastAsiaTheme="majorEastAsia" w:hAnsi="Arial" w:cs="Arial"/>
          <w:color w:val="000000" w:themeColor="text1"/>
          <w:sz w:val="22"/>
          <w:szCs w:val="22"/>
          <w:bdr w:val="none" w:sz="0" w:space="0" w:color="auto" w:frame="1"/>
          <w:shd w:val="clear" w:color="auto" w:fill="FFFFFF"/>
        </w:rPr>
        <w:t>Hindess, B.</w:t>
      </w:r>
      <w:r>
        <w:rPr>
          <w:rStyle w:val="bibauth"/>
          <w:rFonts w:ascii="Arial" w:eastAsiaTheme="majorEastAsia" w:hAnsi="Arial" w:cs="Arial"/>
          <w:color w:val="000000" w:themeColor="text1"/>
          <w:sz w:val="22"/>
          <w:szCs w:val="22"/>
          <w:bdr w:val="none" w:sz="0" w:space="0" w:color="auto" w:frame="1"/>
          <w:shd w:val="clear" w:color="auto" w:fill="FFFFFF"/>
        </w:rPr>
        <w:t>, 2</w:t>
      </w:r>
      <w:r w:rsidRPr="00647630">
        <w:rPr>
          <w:rStyle w:val="bibauth"/>
          <w:rFonts w:ascii="Arial" w:eastAsiaTheme="majorEastAsia" w:hAnsi="Arial" w:cs="Arial"/>
          <w:color w:val="000000" w:themeColor="text1"/>
          <w:sz w:val="22"/>
          <w:szCs w:val="22"/>
          <w:bdr w:val="none" w:sz="0" w:space="0" w:color="auto" w:frame="1"/>
          <w:shd w:val="clear" w:color="auto" w:fill="FFFFFF"/>
        </w:rPr>
        <w:t xml:space="preserve">005. Politics as Government: Michel Foucault's Analysis of Political Reason. </w:t>
      </w:r>
      <w:r w:rsidRPr="00647630">
        <w:rPr>
          <w:rStyle w:val="bibauth"/>
          <w:rFonts w:ascii="Arial" w:eastAsiaTheme="majorEastAsia" w:hAnsi="Arial" w:cs="Arial"/>
          <w:i/>
          <w:iCs/>
          <w:color w:val="000000" w:themeColor="text1"/>
          <w:sz w:val="22"/>
          <w:szCs w:val="22"/>
          <w:bdr w:val="none" w:sz="0" w:space="0" w:color="auto" w:frame="1"/>
          <w:shd w:val="clear" w:color="auto" w:fill="FFFFFF"/>
        </w:rPr>
        <w:t>Alternatives: Global, Local, Political</w:t>
      </w:r>
      <w:r w:rsidRPr="00647630">
        <w:rPr>
          <w:rStyle w:val="bibauth"/>
          <w:rFonts w:ascii="Arial" w:eastAsiaTheme="majorEastAsia" w:hAnsi="Arial" w:cs="Arial"/>
          <w:color w:val="000000" w:themeColor="text1"/>
          <w:sz w:val="22"/>
          <w:szCs w:val="22"/>
          <w:bdr w:val="none" w:sz="0" w:space="0" w:color="auto" w:frame="1"/>
          <w:shd w:val="clear" w:color="auto" w:fill="FFFFFF"/>
        </w:rPr>
        <w:t>,</w:t>
      </w:r>
      <w:r>
        <w:rPr>
          <w:rStyle w:val="bibauth"/>
          <w:rFonts w:ascii="Arial" w:eastAsiaTheme="majorEastAsia" w:hAnsi="Arial" w:cs="Arial"/>
          <w:color w:val="000000" w:themeColor="text1"/>
          <w:sz w:val="22"/>
          <w:szCs w:val="22"/>
          <w:bdr w:val="none" w:sz="0" w:space="0" w:color="auto" w:frame="1"/>
          <w:shd w:val="clear" w:color="auto" w:fill="FFFFFF"/>
        </w:rPr>
        <w:t xml:space="preserve"> [e-journal] </w:t>
      </w:r>
      <w:r w:rsidRPr="00647630">
        <w:rPr>
          <w:rStyle w:val="bibauth"/>
          <w:rFonts w:ascii="Arial" w:eastAsiaTheme="majorEastAsia" w:hAnsi="Arial" w:cs="Arial"/>
          <w:color w:val="000000" w:themeColor="text1"/>
          <w:sz w:val="22"/>
          <w:szCs w:val="22"/>
          <w:bdr w:val="none" w:sz="0" w:space="0" w:color="auto" w:frame="1"/>
          <w:shd w:val="clear" w:color="auto" w:fill="FFFFFF"/>
        </w:rPr>
        <w:t>30</w:t>
      </w:r>
      <w:r>
        <w:rPr>
          <w:rStyle w:val="bibauth"/>
          <w:rFonts w:ascii="Arial" w:eastAsiaTheme="majorEastAsia" w:hAnsi="Arial" w:cs="Arial"/>
          <w:color w:val="000000" w:themeColor="text1"/>
          <w:sz w:val="22"/>
          <w:szCs w:val="22"/>
          <w:bdr w:val="none" w:sz="0" w:space="0" w:color="auto" w:frame="1"/>
          <w:shd w:val="clear" w:color="auto" w:fill="FFFFFF"/>
        </w:rPr>
        <w:t>(</w:t>
      </w:r>
      <w:r w:rsidRPr="00647630">
        <w:rPr>
          <w:rStyle w:val="bibauth"/>
          <w:rFonts w:ascii="Arial" w:eastAsiaTheme="majorEastAsia" w:hAnsi="Arial" w:cs="Arial"/>
          <w:color w:val="000000" w:themeColor="text1"/>
          <w:sz w:val="22"/>
          <w:szCs w:val="22"/>
          <w:bdr w:val="none" w:sz="0" w:space="0" w:color="auto" w:frame="1"/>
          <w:shd w:val="clear" w:color="auto" w:fill="FFFFFF"/>
        </w:rPr>
        <w:t>4),</w:t>
      </w:r>
      <w:r>
        <w:rPr>
          <w:rStyle w:val="bibauth"/>
          <w:rFonts w:ascii="Arial" w:eastAsiaTheme="majorEastAsia" w:hAnsi="Arial" w:cs="Arial"/>
          <w:color w:val="000000" w:themeColor="text1"/>
          <w:sz w:val="22"/>
          <w:szCs w:val="22"/>
          <w:bdr w:val="none" w:sz="0" w:space="0" w:color="auto" w:frame="1"/>
          <w:shd w:val="clear" w:color="auto" w:fill="FFFFFF"/>
        </w:rPr>
        <w:t xml:space="preserve"> pp.</w:t>
      </w:r>
      <w:r w:rsidRPr="00647630">
        <w:rPr>
          <w:rStyle w:val="bibauth"/>
          <w:rFonts w:ascii="Arial" w:eastAsiaTheme="majorEastAsia" w:hAnsi="Arial" w:cs="Arial"/>
          <w:color w:val="000000" w:themeColor="text1"/>
          <w:sz w:val="22"/>
          <w:szCs w:val="22"/>
          <w:bdr w:val="none" w:sz="0" w:space="0" w:color="auto" w:frame="1"/>
          <w:shd w:val="clear" w:color="auto" w:fill="FFFFFF"/>
        </w:rPr>
        <w:t xml:space="preserve"> 389-413. https://doi.org/10.1177/030437540503000401</w:t>
      </w:r>
      <w:r>
        <w:rPr>
          <w:rStyle w:val="bibauth"/>
          <w:rFonts w:ascii="Arial" w:eastAsiaTheme="majorEastAsia" w:hAnsi="Arial" w:cs="Arial"/>
          <w:color w:val="000000" w:themeColor="text1"/>
          <w:sz w:val="22"/>
          <w:szCs w:val="22"/>
          <w:bdr w:val="none" w:sz="0" w:space="0" w:color="auto" w:frame="1"/>
          <w:shd w:val="clear" w:color="auto" w:fill="FFFFFF"/>
        </w:rPr>
        <w:t>.</w:t>
      </w:r>
    </w:p>
    <w:p w14:paraId="185A823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Hodgson, D. and Watts, L., 2017. </w:t>
      </w:r>
      <w:r w:rsidRPr="00067907">
        <w:rPr>
          <w:rStyle w:val="bibauth"/>
          <w:rFonts w:ascii="Arial" w:eastAsiaTheme="majorEastAsia" w:hAnsi="Arial" w:cs="Arial"/>
          <w:i/>
          <w:iCs/>
          <w:color w:val="000000" w:themeColor="text1"/>
          <w:sz w:val="22"/>
          <w:szCs w:val="22"/>
          <w:bdr w:val="none" w:sz="0" w:space="0" w:color="auto" w:frame="1"/>
          <w:shd w:val="clear" w:color="auto" w:fill="FFFFFF"/>
        </w:rPr>
        <w:t>Key Concepts and Theory in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London: Palgrave.</w:t>
      </w:r>
    </w:p>
    <w:p w14:paraId="63422F47" w14:textId="77777777" w:rsidR="00067907" w:rsidRPr="00067907"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Höjer, I. and Sjöblom, Y., 2014. Voices of 65 Young People Leaving Care in Sweden: “There Is So Much I Need to Know!”. </w:t>
      </w:r>
      <w:r w:rsidRPr="00067907">
        <w:rPr>
          <w:rStyle w:val="bibauth"/>
          <w:rFonts w:ascii="Arial" w:eastAsiaTheme="majorEastAsia" w:hAnsi="Arial" w:cs="Arial"/>
          <w:i/>
          <w:iCs/>
          <w:color w:val="000000" w:themeColor="text1"/>
          <w:sz w:val="22"/>
          <w:szCs w:val="22"/>
          <w:bdr w:val="none" w:sz="0" w:space="0" w:color="auto" w:frame="1"/>
          <w:shd w:val="clear" w:color="auto" w:fill="FFFFFF"/>
        </w:rPr>
        <w:t>Australian Social Work</w:t>
      </w:r>
      <w:r w:rsidRPr="00067907">
        <w:rPr>
          <w:rStyle w:val="bibauth"/>
          <w:rFonts w:ascii="Arial" w:eastAsiaTheme="majorEastAsia" w:hAnsi="Arial" w:cs="Arial"/>
          <w:color w:val="000000" w:themeColor="text1"/>
          <w:sz w:val="22"/>
          <w:szCs w:val="22"/>
          <w:bdr w:val="none" w:sz="0" w:space="0" w:color="auto" w:frame="1"/>
          <w:shd w:val="clear" w:color="auto" w:fill="FFFFFF"/>
        </w:rPr>
        <w:t>, [e-journal] 67(1), pp. 71-87, DOI: 10.1080/0312407X.2013.863957.</w:t>
      </w:r>
    </w:p>
    <w:p w14:paraId="7D1C9294"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067907">
        <w:rPr>
          <w:rStyle w:val="bibauth"/>
          <w:rFonts w:ascii="Arial" w:eastAsiaTheme="majorEastAsia" w:hAnsi="Arial" w:cs="Arial"/>
          <w:color w:val="000000" w:themeColor="text1"/>
          <w:sz w:val="22"/>
          <w:szCs w:val="22"/>
          <w:bdr w:val="none" w:sz="0" w:space="0" w:color="auto" w:frame="1"/>
          <w:shd w:val="clear" w:color="auto" w:fill="FFFFFF"/>
        </w:rPr>
        <w:t>Hollingworth, K. and Jackson, S., 2016.</w:t>
      </w:r>
      <w:r w:rsidRPr="00067907">
        <w:rPr>
          <w:rFonts w:ascii="Arial" w:hAnsi="Arial" w:cs="Arial"/>
          <w:color w:val="000000" w:themeColor="text1"/>
          <w:sz w:val="22"/>
          <w:szCs w:val="22"/>
        </w:rPr>
        <w:t xml:space="preserve"> </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Falling off the ladder: Using focal theory to understand and improve the educational experiences of young people in transition from public care. </w:t>
      </w:r>
      <w:r w:rsidRPr="00067907">
        <w:rPr>
          <w:rStyle w:val="bibauth"/>
          <w:rFonts w:ascii="Arial" w:eastAsiaTheme="majorEastAsia" w:hAnsi="Arial" w:cs="Arial"/>
          <w:i/>
          <w:iCs/>
          <w:color w:val="000000" w:themeColor="text1"/>
          <w:sz w:val="22"/>
          <w:szCs w:val="22"/>
          <w:bdr w:val="none" w:sz="0" w:space="0" w:color="auto" w:frame="1"/>
          <w:shd w:val="clear" w:color="auto" w:fill="FFFFFF"/>
        </w:rPr>
        <w:t>Journal of Adolescence</w:t>
      </w:r>
      <w:r w:rsidRPr="00067907">
        <w:rPr>
          <w:rStyle w:val="bibauth"/>
          <w:rFonts w:ascii="Arial" w:eastAsiaTheme="majorEastAsia" w:hAnsi="Arial" w:cs="Arial"/>
          <w:color w:val="000000" w:themeColor="text1"/>
          <w:sz w:val="22"/>
          <w:szCs w:val="22"/>
          <w:bdr w:val="none" w:sz="0" w:space="0" w:color="auto" w:frame="1"/>
          <w:shd w:val="clear" w:color="auto" w:fill="FFFFFF"/>
        </w:rPr>
        <w:t xml:space="preserve">, [e-journal] 52, pp. 146-153. </w:t>
      </w:r>
      <w:hyperlink r:id="rId14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https://doi.org/10.1016/j.adolescence.2016.08.004</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C302529" w14:textId="0C9E8AA0"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Hollows, A., and Nelson, P., 2006. Equity and pragmatism in judgement-making about the placement of sibling groups. </w:t>
      </w:r>
      <w:r w:rsidRPr="00C47DDD">
        <w:rPr>
          <w:rStyle w:val="Hyperlink"/>
          <w:rFonts w:ascii="Arial" w:eastAsiaTheme="majorEastAsia" w:hAnsi="Arial" w:cs="Arial"/>
          <w:i/>
          <w:iCs/>
          <w:color w:val="000000" w:themeColor="text1"/>
          <w:sz w:val="22"/>
          <w:szCs w:val="22"/>
          <w:u w:val="none"/>
          <w:bdr w:val="none" w:sz="0" w:space="0" w:color="auto" w:frame="1"/>
          <w:shd w:val="clear" w:color="auto" w:fill="FFFFFF"/>
        </w:rPr>
        <w:t>Child and Family Social Work,</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 [e-journal]</w:t>
      </w:r>
      <w:r w:rsidR="00647630"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 </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11(4), pp. 307–315. </w:t>
      </w:r>
      <w:hyperlink r:id="rId14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https://doi.org/10.1111/j.1365-2206.2006.00410.x</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E2275F0" w14:textId="3C7D45D9" w:rsidR="00047CD0" w:rsidRPr="00C47DDD" w:rsidRDefault="00BF6DE6"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Holmes, D., 2022. Transitional Safeguarding: The Case for Change. </w:t>
      </w:r>
      <w:r w:rsidRPr="00C47DDD">
        <w:rPr>
          <w:rFonts w:ascii="Arial" w:hAnsi="Arial" w:cs="Arial"/>
          <w:i/>
          <w:iCs/>
          <w:color w:val="000000" w:themeColor="text1"/>
          <w:sz w:val="22"/>
          <w:szCs w:val="22"/>
          <w:shd w:val="clear" w:color="auto" w:fill="FFFFFF"/>
        </w:rPr>
        <w:t>Practice</w:t>
      </w:r>
      <w:r w:rsidRPr="00C47DDD">
        <w:rPr>
          <w:rFonts w:ascii="Arial" w:hAnsi="Arial" w:cs="Arial"/>
          <w:color w:val="000000" w:themeColor="text1"/>
          <w:sz w:val="22"/>
          <w:szCs w:val="22"/>
          <w:shd w:val="clear" w:color="auto" w:fill="FFFFFF"/>
        </w:rPr>
        <w:t>,</w:t>
      </w:r>
      <w:r w:rsidR="00047CD0" w:rsidRPr="00C47DDD">
        <w:rPr>
          <w:rFonts w:ascii="Arial" w:hAnsi="Arial" w:cs="Arial"/>
          <w:color w:val="000000" w:themeColor="text1"/>
          <w:sz w:val="22"/>
          <w:szCs w:val="22"/>
          <w:shd w:val="clear" w:color="auto" w:fill="FFFFFF"/>
        </w:rPr>
        <w:t xml:space="preserve"> [e-journal],</w:t>
      </w:r>
      <w:r w:rsidRPr="00C47DDD">
        <w:rPr>
          <w:rFonts w:ascii="Arial" w:hAnsi="Arial" w:cs="Arial"/>
          <w:color w:val="000000" w:themeColor="text1"/>
          <w:sz w:val="22"/>
          <w:szCs w:val="22"/>
          <w:shd w:val="clear" w:color="auto" w:fill="FFFFFF"/>
        </w:rPr>
        <w:t xml:space="preserve"> 34(1), pp.7–23. </w:t>
      </w:r>
      <w:r w:rsidR="00047CD0" w:rsidRPr="00C47DDD">
        <w:rPr>
          <w:rFonts w:ascii="Arial" w:hAnsi="Arial" w:cs="Arial"/>
          <w:color w:val="000000" w:themeColor="text1"/>
          <w:sz w:val="22"/>
          <w:szCs w:val="22"/>
          <w:shd w:val="clear" w:color="auto" w:fill="FFFFFF"/>
        </w:rPr>
        <w:t>https://doi.org/10.1080/09503153.2021.1956449.</w:t>
      </w:r>
    </w:p>
    <w:p w14:paraId="6E0E7739" w14:textId="0E5F03D3"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shd w:val="clear" w:color="auto" w:fill="FFFFFF"/>
        </w:rPr>
      </w:pPr>
      <w:r w:rsidRPr="00C47DDD">
        <w:rPr>
          <w:rFonts w:ascii="Arial" w:hAnsi="Arial" w:cs="Arial"/>
          <w:color w:val="000000" w:themeColor="text1"/>
          <w:sz w:val="22"/>
          <w:szCs w:val="22"/>
          <w:shd w:val="clear" w:color="auto" w:fill="FFFFFF"/>
        </w:rPr>
        <w:lastRenderedPageBreak/>
        <w:t>Hood, S., Kelley, P. and Mayall, B., 1996. Children as Research Subjects: A Risky Enterprise</w:t>
      </w:r>
      <w:r w:rsidRPr="00C47DDD">
        <w:rPr>
          <w:rFonts w:ascii="Arial" w:hAnsi="Arial" w:cs="Arial"/>
          <w:i/>
          <w:iCs/>
          <w:color w:val="000000" w:themeColor="text1"/>
          <w:sz w:val="22"/>
          <w:szCs w:val="22"/>
          <w:shd w:val="clear" w:color="auto" w:fill="FFFFFF"/>
        </w:rPr>
        <w:t>. Children &amp; Society,</w:t>
      </w:r>
      <w:r w:rsidRPr="00C47DDD">
        <w:rPr>
          <w:rFonts w:ascii="Arial" w:hAnsi="Arial" w:cs="Arial"/>
          <w:color w:val="000000" w:themeColor="text1"/>
          <w:sz w:val="22"/>
          <w:szCs w:val="22"/>
          <w:shd w:val="clear" w:color="auto" w:fill="FFFFFF"/>
        </w:rPr>
        <w:t xml:space="preserve"> [e-journal]</w:t>
      </w:r>
      <w:r w:rsidR="0065333D" w:rsidRPr="00C47DDD">
        <w:rPr>
          <w:rFonts w:ascii="Arial" w:hAnsi="Arial" w:cs="Arial"/>
          <w:color w:val="000000" w:themeColor="text1"/>
          <w:sz w:val="22"/>
          <w:szCs w:val="22"/>
          <w:shd w:val="clear" w:color="auto" w:fill="FFFFFF"/>
        </w:rPr>
        <w:t xml:space="preserve"> </w:t>
      </w:r>
      <w:r w:rsidRPr="00C47DDD">
        <w:rPr>
          <w:rFonts w:ascii="Arial" w:hAnsi="Arial" w:cs="Arial"/>
          <w:color w:val="000000" w:themeColor="text1"/>
          <w:sz w:val="22"/>
          <w:szCs w:val="22"/>
          <w:shd w:val="clear" w:color="auto" w:fill="FFFFFF"/>
        </w:rPr>
        <w:t>10, pp. 117-128. doi:</w:t>
      </w:r>
      <w:hyperlink r:id="rId150" w:history="1">
        <w:r w:rsidRPr="00C47DDD">
          <w:rPr>
            <w:rStyle w:val="Hyperlink"/>
            <w:rFonts w:ascii="Arial" w:eastAsiaTheme="majorEastAsia" w:hAnsi="Arial" w:cs="Arial"/>
            <w:color w:val="000000" w:themeColor="text1"/>
            <w:sz w:val="22"/>
            <w:szCs w:val="22"/>
            <w:u w:val="none"/>
            <w:shd w:val="clear" w:color="auto" w:fill="FFFFFF"/>
          </w:rPr>
          <w:t>10.1111/j.1099-0860.1996.tb00462.x</w:t>
        </w:r>
      </w:hyperlink>
      <w:r w:rsidRPr="00C47DDD">
        <w:rPr>
          <w:rStyle w:val="Hyperlink"/>
          <w:rFonts w:ascii="Arial" w:eastAsiaTheme="majorEastAsia" w:hAnsi="Arial" w:cs="Arial"/>
          <w:color w:val="000000" w:themeColor="text1"/>
          <w:sz w:val="22"/>
          <w:szCs w:val="22"/>
          <w:u w:val="none"/>
          <w:shd w:val="clear" w:color="auto" w:fill="FFFFFF"/>
        </w:rPr>
        <w:t>.</w:t>
      </w:r>
    </w:p>
    <w:p w14:paraId="3C00C409"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shd w:val="clear" w:color="auto" w:fill="FFFFFF"/>
        </w:rPr>
      </w:pPr>
      <w:r w:rsidRPr="00C47DDD">
        <w:rPr>
          <w:rStyle w:val="Hyperlink"/>
          <w:rFonts w:ascii="Arial" w:eastAsiaTheme="majorEastAsia" w:hAnsi="Arial" w:cs="Arial"/>
          <w:color w:val="000000" w:themeColor="text1"/>
          <w:sz w:val="22"/>
          <w:szCs w:val="22"/>
          <w:u w:val="none"/>
          <w:shd w:val="clear" w:color="auto" w:fill="FFFFFF"/>
        </w:rPr>
        <w:t xml:space="preserve">Hopf, C., 2004. Qualitative Interviews: An Overview. In: U. Flick, E. von Kardorff and I. Steinke. (eds) </w:t>
      </w:r>
      <w:r w:rsidRPr="00C47DDD">
        <w:rPr>
          <w:rStyle w:val="Hyperlink"/>
          <w:rFonts w:ascii="Arial" w:eastAsiaTheme="majorEastAsia" w:hAnsi="Arial" w:cs="Arial"/>
          <w:i/>
          <w:iCs/>
          <w:color w:val="000000" w:themeColor="text1"/>
          <w:sz w:val="22"/>
          <w:szCs w:val="22"/>
          <w:u w:val="none"/>
          <w:shd w:val="clear" w:color="auto" w:fill="FFFFFF"/>
        </w:rPr>
        <w:t>A Companion to Qualitative Research</w:t>
      </w:r>
      <w:r w:rsidRPr="00C47DDD">
        <w:rPr>
          <w:rStyle w:val="Hyperlink"/>
          <w:rFonts w:ascii="Arial" w:eastAsiaTheme="majorEastAsia" w:hAnsi="Arial" w:cs="Arial"/>
          <w:color w:val="000000" w:themeColor="text1"/>
          <w:sz w:val="22"/>
          <w:szCs w:val="22"/>
          <w:u w:val="none"/>
          <w:shd w:val="clear" w:color="auto" w:fill="FFFFFF"/>
        </w:rPr>
        <w:t>. 2004. London: SAGE. Ch 5.2.</w:t>
      </w:r>
    </w:p>
    <w:p w14:paraId="046D70B4"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shd w:val="clear" w:color="auto" w:fill="FFFFFF"/>
        </w:rPr>
      </w:pPr>
      <w:r w:rsidRPr="00C47DDD">
        <w:rPr>
          <w:rStyle w:val="Hyperlink"/>
          <w:rFonts w:ascii="Arial" w:eastAsiaTheme="majorEastAsia" w:hAnsi="Arial" w:cs="Arial"/>
          <w:color w:val="000000" w:themeColor="text1"/>
          <w:sz w:val="22"/>
          <w:szCs w:val="22"/>
          <w:u w:val="none"/>
          <w:shd w:val="clear" w:color="auto" w:fill="FFFFFF"/>
        </w:rPr>
        <w:t xml:space="preserve">Horgan, D., 2017. Child participatory research methods: Attempts to go ‘deeper.’ </w:t>
      </w:r>
      <w:r w:rsidRPr="00C47DDD">
        <w:rPr>
          <w:rStyle w:val="Hyperlink"/>
          <w:rFonts w:ascii="Arial" w:eastAsiaTheme="majorEastAsia" w:hAnsi="Arial" w:cs="Arial"/>
          <w:i/>
          <w:iCs/>
          <w:color w:val="000000" w:themeColor="text1"/>
          <w:sz w:val="22"/>
          <w:szCs w:val="22"/>
          <w:u w:val="none"/>
          <w:shd w:val="clear" w:color="auto" w:fill="FFFFFF"/>
        </w:rPr>
        <w:t>Childhood</w:t>
      </w:r>
      <w:r w:rsidRPr="00C47DDD">
        <w:rPr>
          <w:rStyle w:val="Hyperlink"/>
          <w:rFonts w:ascii="Arial" w:eastAsiaTheme="majorEastAsia" w:hAnsi="Arial" w:cs="Arial"/>
          <w:color w:val="000000" w:themeColor="text1"/>
          <w:sz w:val="22"/>
          <w:szCs w:val="22"/>
          <w:u w:val="none"/>
          <w:shd w:val="clear" w:color="auto" w:fill="FFFFFF"/>
        </w:rPr>
        <w:t>, [e-journal] 24(2), pp. 245–259. https://doi.org/10.1177/0907568216647787.</w:t>
      </w:r>
    </w:p>
    <w:p w14:paraId="75895E49"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shd w:val="clear" w:color="auto" w:fill="FFFFFF"/>
        </w:rPr>
        <w:t xml:space="preserve">House of Commons, 1968. </w:t>
      </w:r>
      <w:r w:rsidRPr="00C47DDD">
        <w:rPr>
          <w:rFonts w:ascii="Arial" w:hAnsi="Arial" w:cs="Arial"/>
          <w:i/>
          <w:iCs/>
          <w:color w:val="000000" w:themeColor="text1"/>
          <w:sz w:val="22"/>
          <w:szCs w:val="22"/>
          <w:shd w:val="clear" w:color="auto" w:fill="FFFFFF"/>
        </w:rPr>
        <w:t>Report of the Committee on Local Authority and Allied Personal Social Services</w:t>
      </w:r>
      <w:r w:rsidRPr="00C47DDD">
        <w:rPr>
          <w:rFonts w:ascii="Arial" w:hAnsi="Arial" w:cs="Arial"/>
          <w:color w:val="000000" w:themeColor="text1"/>
          <w:sz w:val="22"/>
          <w:szCs w:val="22"/>
          <w:shd w:val="clear" w:color="auto" w:fill="FFFFFF"/>
        </w:rPr>
        <w:t>. London: HMSO.</w:t>
      </w:r>
    </w:p>
    <w:p w14:paraId="7D4951DF" w14:textId="28B66628" w:rsidR="0086672D" w:rsidRPr="00C47DDD" w:rsidRDefault="0086672D"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Huegler, N. and Ruch, G., 2022. Risk, Vulnerability and Complexity: Transitional Safeguarding as a Reframing of Binary Perspectives.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Practice</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34(1), pp. 25-39, DOI: 10.1080/09503153.2021.1932787.</w:t>
      </w:r>
    </w:p>
    <w:p w14:paraId="31F31FDD" w14:textId="400E3D0F"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Hugman, R., 1991.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Power in Caring Professions</w:t>
      </w:r>
      <w:r w:rsidRPr="00C47DDD">
        <w:rPr>
          <w:rStyle w:val="bibauth"/>
          <w:rFonts w:ascii="Arial" w:eastAsiaTheme="majorEastAsia" w:hAnsi="Arial" w:cs="Arial"/>
          <w:color w:val="000000" w:themeColor="text1"/>
          <w:sz w:val="22"/>
          <w:szCs w:val="22"/>
          <w:bdr w:val="none" w:sz="0" w:space="0" w:color="auto" w:frame="1"/>
          <w:shd w:val="clear" w:color="auto" w:fill="FFFFFF"/>
        </w:rPr>
        <w:t>. London: Macmillan Press Ltd.</w:t>
      </w:r>
    </w:p>
    <w:p w14:paraId="571A392D"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Hung, I., and Appleton, P. 2016. To plan or not to plan: The internal conversations of young people leaving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Qualitative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15(1), pp. 35–54. </w:t>
      </w:r>
      <w:hyperlink r:id="rId15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https://doi.org/10.1177/1473325015577408</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4104FA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Hussein, S., Moriarty, J., Stevens, M., Sharpe E., and Manthorpe, J., 2014.   Organisational Factors, Job Satisfaction and Intention to Leave Among Newly Qualified Social Workers in England,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Education</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33(3), pp. 381-396. DOI: 10.1080/02615479.2013.806467.</w:t>
      </w:r>
    </w:p>
    <w:p w14:paraId="20CCD7D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International Federation of Social Workers, 2018.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Global Social Work Statement of Ethical Principles</w:t>
      </w:r>
      <w:r w:rsidRPr="00C47DDD">
        <w:rPr>
          <w:rStyle w:val="bibauth"/>
          <w:rFonts w:ascii="Arial" w:eastAsiaTheme="majorEastAsia" w:hAnsi="Arial" w:cs="Arial"/>
          <w:color w:val="000000" w:themeColor="text1"/>
          <w:sz w:val="22"/>
          <w:szCs w:val="22"/>
          <w:bdr w:val="none" w:sz="0" w:space="0" w:color="auto" w:frame="1"/>
          <w:shd w:val="clear" w:color="auto" w:fill="FFFFFF"/>
        </w:rPr>
        <w:t>. [online] Available at &lt;</w:t>
      </w:r>
      <w:r w:rsidRPr="00C47DDD">
        <w:rPr>
          <w:rFonts w:ascii="Arial" w:hAnsi="Arial" w:cs="Arial"/>
          <w:color w:val="000000" w:themeColor="text1"/>
          <w:sz w:val="22"/>
          <w:szCs w:val="22"/>
        </w:rPr>
        <w:t xml:space="preserve"> </w:t>
      </w:r>
      <w:hyperlink r:id="rId15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https://www.ifsw.org/global-social-work-statement-of-ethical-principles/</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[Accesses 1 May 2020].</w:t>
      </w:r>
    </w:p>
    <w:p w14:paraId="6D813DF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Iphofen, R., 2009. </w:t>
      </w:r>
      <w:r w:rsidRPr="00C47DDD">
        <w:rPr>
          <w:rStyle w:val="bibauth"/>
          <w:rFonts w:ascii="Arial" w:eastAsiaTheme="majorEastAsia" w:hAnsi="Arial" w:cs="Arial"/>
          <w:i/>
          <w:color w:val="000000" w:themeColor="text1"/>
          <w:sz w:val="22"/>
          <w:szCs w:val="22"/>
          <w:bdr w:val="none" w:sz="0" w:space="0" w:color="auto" w:frame="1"/>
          <w:shd w:val="clear" w:color="auto" w:fill="FFFFFF"/>
        </w:rPr>
        <w:t>Ethical Decision-Making in Social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New York: Palgrave Macmillan.</w:t>
      </w:r>
    </w:p>
    <w:p w14:paraId="1232943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Jackson, S. and Cameron, C., 2012. Leaving care: Looking ahead and aiming higher. </w:t>
      </w:r>
      <w:r w:rsidRPr="00C47DDD">
        <w:rPr>
          <w:rStyle w:val="bibauth"/>
          <w:rFonts w:ascii="Arial" w:eastAsiaTheme="majorEastAsia" w:hAnsi="Arial" w:cs="Arial"/>
          <w:i/>
          <w:color w:val="000000" w:themeColor="text1"/>
          <w:sz w:val="22"/>
          <w:szCs w:val="22"/>
          <w:bdr w:val="none" w:sz="0" w:space="0" w:color="auto" w:frame="1"/>
          <w:shd w:val="clear" w:color="auto" w:fill="FFFFFF"/>
        </w:rPr>
        <w:t>Childhood and Youth Service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34(6), pp. 146-153. </w:t>
      </w:r>
      <w:hyperlink r:id="rId153"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https://doi.org/10.1016/j.childyouth.2012.01.041</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p>
    <w:p w14:paraId="396D662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Jackson, S. and Cameron, C., 2014. </w:t>
      </w:r>
      <w:r w:rsidRPr="00C47DDD">
        <w:rPr>
          <w:rStyle w:val="bibauth"/>
          <w:rFonts w:ascii="Arial" w:eastAsiaTheme="majorEastAsia" w:hAnsi="Arial" w:cs="Arial"/>
          <w:i/>
          <w:color w:val="000000" w:themeColor="text1"/>
          <w:sz w:val="22"/>
          <w:szCs w:val="22"/>
          <w:bdr w:val="none" w:sz="0" w:space="0" w:color="auto" w:frame="1"/>
          <w:shd w:val="clear" w:color="auto" w:fill="FFFFFF"/>
        </w:rPr>
        <w:t>Improving Access to Further and Higher Education for Young People in Public Care: European Policy and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Kinsley Press.</w:t>
      </w:r>
    </w:p>
    <w:p w14:paraId="34F42A3A"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James, A., 2007. Giving Voice to Children's Voices: Practices and Problems, Pitfalls and Potentials.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American Anthropologist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109, pp. 261-272. </w:t>
      </w:r>
      <w:hyperlink r:id="rId15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https://doi.org/10.1525/aa.2007.109.2.261</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604C0EC"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James, A. and James, A. L., 2004. </w:t>
      </w:r>
      <w:r w:rsidRPr="00C47DDD">
        <w:rPr>
          <w:rFonts w:ascii="Arial" w:hAnsi="Arial" w:cs="Arial"/>
          <w:i/>
          <w:iCs/>
          <w:color w:val="000000" w:themeColor="text1"/>
          <w:sz w:val="22"/>
          <w:szCs w:val="22"/>
        </w:rPr>
        <w:t>Constructing Childhood: theory, policy, and social practice</w:t>
      </w:r>
      <w:r w:rsidRPr="00C47DDD">
        <w:rPr>
          <w:rFonts w:ascii="Arial" w:hAnsi="Arial" w:cs="Arial"/>
          <w:color w:val="000000" w:themeColor="text1"/>
          <w:sz w:val="22"/>
          <w:szCs w:val="22"/>
        </w:rPr>
        <w:t>.  Basingstoke: Palgrave Macmillan.</w:t>
      </w:r>
    </w:p>
    <w:p w14:paraId="4F69ED02"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James, A., Jenks, C. and Prout, A., 1998. </w:t>
      </w:r>
      <w:r w:rsidRPr="00C47DDD">
        <w:rPr>
          <w:rFonts w:ascii="Arial" w:hAnsi="Arial" w:cs="Arial"/>
          <w:i/>
          <w:iCs/>
          <w:color w:val="000000" w:themeColor="text1"/>
          <w:sz w:val="22"/>
          <w:szCs w:val="22"/>
        </w:rPr>
        <w:t>Theorizing Childhood</w:t>
      </w:r>
      <w:r w:rsidRPr="00C47DDD">
        <w:rPr>
          <w:rFonts w:ascii="Arial" w:hAnsi="Arial" w:cs="Arial"/>
          <w:color w:val="000000" w:themeColor="text1"/>
          <w:sz w:val="22"/>
          <w:szCs w:val="22"/>
        </w:rPr>
        <w:t>, Cambridge: Polity Press.</w:t>
      </w:r>
    </w:p>
    <w:p w14:paraId="2DB64650" w14:textId="77777777" w:rsidR="00067907" w:rsidRPr="00C47DDD" w:rsidRDefault="00067907" w:rsidP="00B6099C">
      <w:pPr>
        <w:pStyle w:val="NormalWeb"/>
        <w:spacing w:line="240" w:lineRule="auto"/>
        <w:ind w:left="142" w:right="-52" w:hanging="142"/>
        <w:rPr>
          <w:rStyle w:val="authors"/>
          <w:rFonts w:ascii="Arial" w:hAnsi="Arial" w:cs="Arial"/>
          <w:color w:val="000000" w:themeColor="text1"/>
          <w:sz w:val="22"/>
          <w:szCs w:val="22"/>
          <w:shd w:val="clear" w:color="auto" w:fill="FFFFFF"/>
        </w:rPr>
      </w:pPr>
      <w:r w:rsidRPr="00C47DDD">
        <w:rPr>
          <w:rStyle w:val="authors"/>
          <w:rFonts w:ascii="Arial" w:hAnsi="Arial" w:cs="Arial"/>
          <w:color w:val="000000" w:themeColor="text1"/>
          <w:sz w:val="22"/>
          <w:szCs w:val="22"/>
          <w:shd w:val="clear" w:color="auto" w:fill="FFFFFF"/>
        </w:rPr>
        <w:lastRenderedPageBreak/>
        <w:t>Jenks, C., 2005</w:t>
      </w:r>
      <w:r w:rsidRPr="00C47DDD">
        <w:rPr>
          <w:rStyle w:val="authors"/>
          <w:rFonts w:ascii="Arial" w:hAnsi="Arial" w:cs="Arial"/>
          <w:i/>
          <w:iCs/>
          <w:color w:val="000000" w:themeColor="text1"/>
          <w:sz w:val="22"/>
          <w:szCs w:val="22"/>
          <w:shd w:val="clear" w:color="auto" w:fill="FFFFFF"/>
        </w:rPr>
        <w:t>. Childhood</w:t>
      </w:r>
      <w:r w:rsidRPr="00C47DDD">
        <w:rPr>
          <w:rStyle w:val="authors"/>
          <w:rFonts w:ascii="Arial" w:hAnsi="Arial" w:cs="Arial"/>
          <w:color w:val="000000" w:themeColor="text1"/>
          <w:sz w:val="22"/>
          <w:szCs w:val="22"/>
          <w:shd w:val="clear" w:color="auto" w:fill="FFFFFF"/>
        </w:rPr>
        <w:t>. 2</w:t>
      </w:r>
      <w:r w:rsidRPr="00C47DDD">
        <w:rPr>
          <w:rStyle w:val="authors"/>
          <w:rFonts w:ascii="Arial" w:hAnsi="Arial" w:cs="Arial"/>
          <w:color w:val="000000" w:themeColor="text1"/>
          <w:sz w:val="22"/>
          <w:szCs w:val="22"/>
          <w:shd w:val="clear" w:color="auto" w:fill="FFFFFF"/>
          <w:vertAlign w:val="superscript"/>
        </w:rPr>
        <w:t>nd</w:t>
      </w:r>
      <w:r w:rsidRPr="00C47DDD">
        <w:rPr>
          <w:rStyle w:val="authors"/>
          <w:rFonts w:ascii="Arial" w:hAnsi="Arial" w:cs="Arial"/>
          <w:color w:val="000000" w:themeColor="text1"/>
          <w:sz w:val="22"/>
          <w:szCs w:val="22"/>
          <w:shd w:val="clear" w:color="auto" w:fill="FFFFFF"/>
        </w:rPr>
        <w:t xml:space="preserve"> ed. London: Routledge. </w:t>
      </w:r>
    </w:p>
    <w:p w14:paraId="0313C884" w14:textId="77777777" w:rsidR="00185E96" w:rsidRPr="00C47DDD" w:rsidRDefault="00185E96"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Johns, R., 2017.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Using the Law in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44B423B5" w14:textId="59E6B753"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Jones, A., 2005. ‘The case of CARE International in Rwanda’. In: P. Gready and J. Ensor (eds) 2005.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Reinventing Development? Translating rights-based approaches from theory into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London: Zed Books. Ch.3.</w:t>
      </w:r>
    </w:p>
    <w:p w14:paraId="40CA096D" w14:textId="3B97B192" w:rsidR="00E57C77" w:rsidRPr="00C47DDD" w:rsidRDefault="00E57C77" w:rsidP="00E57C77">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Jones, G. and</w:t>
      </w:r>
      <w:r w:rsidR="00ED3974"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color w:val="000000" w:themeColor="text1"/>
          <w:sz w:val="22"/>
          <w:szCs w:val="22"/>
          <w:bdr w:val="none" w:sz="0" w:space="0" w:color="auto" w:frame="1"/>
          <w:shd w:val="clear" w:color="auto" w:fill="FFFFFF"/>
        </w:rPr>
        <w:t>Wallace</w:t>
      </w:r>
      <w:r w:rsidR="00ED3974"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C., </w:t>
      </w:r>
      <w:r w:rsidRPr="00C47DDD">
        <w:rPr>
          <w:rStyle w:val="bibauth"/>
          <w:rFonts w:ascii="Arial" w:eastAsiaTheme="majorEastAsia" w:hAnsi="Arial" w:cs="Arial"/>
          <w:color w:val="000000" w:themeColor="text1"/>
          <w:sz w:val="22"/>
          <w:szCs w:val="22"/>
          <w:bdr w:val="none" w:sz="0" w:space="0" w:color="auto" w:frame="1"/>
          <w:shd w:val="clear" w:color="auto" w:fill="FFFFFF"/>
        </w:rPr>
        <w:t>1992</w:t>
      </w:r>
      <w:r w:rsidR="00ED3974" w:rsidRPr="00C47DDD">
        <w:rPr>
          <w:rStyle w:val="bibauth"/>
          <w:rFonts w:ascii="Arial" w:eastAsiaTheme="majorEastAsia" w:hAnsi="Arial" w:cs="Arial"/>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Youth, family and citizenship</w:t>
      </w:r>
      <w:r w:rsidRPr="00C47DDD">
        <w:rPr>
          <w:rStyle w:val="bibauth"/>
          <w:rFonts w:ascii="Arial" w:eastAsiaTheme="majorEastAsia" w:hAnsi="Arial" w:cs="Arial"/>
          <w:color w:val="000000" w:themeColor="text1"/>
          <w:sz w:val="22"/>
          <w:szCs w:val="22"/>
          <w:bdr w:val="none" w:sz="0" w:space="0" w:color="auto" w:frame="1"/>
          <w:shd w:val="clear" w:color="auto" w:fill="FFFFFF"/>
        </w:rPr>
        <w:t>. Milton Keynes: Open University Press.</w:t>
      </w:r>
    </w:p>
    <w:p w14:paraId="4DCABCE1" w14:textId="149C0720"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Jones, L., 2019. Remaining in Foster Care After Age 18 and Youth Outcomes at the Transition to Adulthood: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 Review. Families in Society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100 (3), pp. 260–281. </w:t>
      </w:r>
      <w:hyperlink r:id="rId15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https://doi.org/10.1177/1044389419847326</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75BCF3A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Jones, R., 2014.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Story of Baby P: Setting the record straight</w:t>
      </w:r>
      <w:r w:rsidRPr="00C47DDD">
        <w:rPr>
          <w:rStyle w:val="bibauth"/>
          <w:rFonts w:ascii="Arial" w:eastAsiaTheme="majorEastAsia" w:hAnsi="Arial" w:cs="Arial"/>
          <w:color w:val="000000" w:themeColor="text1"/>
          <w:sz w:val="22"/>
          <w:szCs w:val="22"/>
          <w:bdr w:val="none" w:sz="0" w:space="0" w:color="auto" w:frame="1"/>
          <w:shd w:val="clear" w:color="auto" w:fill="FFFFFF"/>
        </w:rPr>
        <w:t>. Bristol: Policy Press.</w:t>
      </w:r>
    </w:p>
    <w:p w14:paraId="6CDD424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Jones, R., 2015. The end game: The marketisation and privatisation of children’s social work and child protection.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Critical Social Policy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35(4), pp. 447–469. </w:t>
      </w:r>
      <w:hyperlink r:id="rId156"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https://doi.org/10.1177/0261018315599333</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7F44CFE5" w14:textId="77777777" w:rsidR="00067907" w:rsidRPr="00C47DDD" w:rsidRDefault="00067907" w:rsidP="00B6099C">
      <w:pPr>
        <w:pStyle w:val="NormalWeb"/>
        <w:spacing w:line="240" w:lineRule="auto"/>
        <w:ind w:left="142" w:right="-52" w:hanging="142"/>
        <w:rPr>
          <w:rStyle w:val="authors"/>
          <w:rFonts w:ascii="Arial" w:hAnsi="Arial" w:cs="Arial"/>
          <w:color w:val="000000" w:themeColor="text1"/>
          <w:sz w:val="22"/>
          <w:szCs w:val="22"/>
          <w:shd w:val="clear" w:color="auto" w:fill="FFFFFF"/>
        </w:rPr>
      </w:pPr>
      <w:r w:rsidRPr="00C47DDD">
        <w:rPr>
          <w:rStyle w:val="authors"/>
          <w:rFonts w:ascii="Arial" w:hAnsi="Arial" w:cs="Arial"/>
          <w:color w:val="000000" w:themeColor="text1"/>
          <w:sz w:val="22"/>
          <w:szCs w:val="22"/>
          <w:shd w:val="clear" w:color="auto" w:fill="FFFFFF"/>
        </w:rPr>
        <w:t xml:space="preserve">Jones, R., 2018. </w:t>
      </w:r>
      <w:r w:rsidRPr="00C47DDD">
        <w:rPr>
          <w:rStyle w:val="authors"/>
          <w:rFonts w:ascii="Arial" w:hAnsi="Arial" w:cs="Arial"/>
          <w:i/>
          <w:iCs/>
          <w:color w:val="000000" w:themeColor="text1"/>
          <w:sz w:val="22"/>
          <w:szCs w:val="22"/>
          <w:shd w:val="clear" w:color="auto" w:fill="FFFFFF"/>
        </w:rPr>
        <w:t>In Whose Interest? The Privatisation of Child Protection and Social Work. Bristol</w:t>
      </w:r>
      <w:r w:rsidRPr="00C47DDD">
        <w:rPr>
          <w:rStyle w:val="authors"/>
          <w:rFonts w:ascii="Arial" w:hAnsi="Arial" w:cs="Arial"/>
          <w:color w:val="000000" w:themeColor="text1"/>
          <w:sz w:val="22"/>
          <w:szCs w:val="22"/>
          <w:shd w:val="clear" w:color="auto" w:fill="FFFFFF"/>
        </w:rPr>
        <w:t xml:space="preserve">: Policy Press. </w:t>
      </w:r>
    </w:p>
    <w:p w14:paraId="0DE87B41"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Keddell, E., 2014. Theorising the signs of safety approach to child protection social work: Positioning, codes and power. </w:t>
      </w:r>
      <w:r w:rsidRPr="00C47DDD">
        <w:rPr>
          <w:rFonts w:ascii="Arial" w:hAnsi="Arial" w:cs="Arial"/>
          <w:i/>
          <w:iCs/>
          <w:color w:val="000000" w:themeColor="text1"/>
          <w:sz w:val="22"/>
          <w:szCs w:val="22"/>
          <w:bdr w:val="none" w:sz="0" w:space="0" w:color="auto" w:frame="1"/>
          <w:shd w:val="clear" w:color="auto" w:fill="FFFFFF"/>
        </w:rPr>
        <w:t>Children and Youth Services Review</w:t>
      </w:r>
      <w:r w:rsidRPr="00C47DDD">
        <w:rPr>
          <w:rFonts w:ascii="Arial" w:hAnsi="Arial" w:cs="Arial"/>
          <w:color w:val="000000" w:themeColor="text1"/>
          <w:sz w:val="22"/>
          <w:szCs w:val="22"/>
          <w:bdr w:val="none" w:sz="0" w:space="0" w:color="auto" w:frame="1"/>
          <w:shd w:val="clear" w:color="auto" w:fill="FFFFFF"/>
        </w:rPr>
        <w:t xml:space="preserve"> [e-journal] 47(1), pp. 70-77. </w:t>
      </w:r>
      <w:hyperlink r:id="rId15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https://doi.org/10.1016/j.childyouth.2014.03.011</w:t>
        </w:r>
      </w:hyperlink>
      <w:r w:rsidRPr="00C47DDD">
        <w:rPr>
          <w:rFonts w:ascii="Arial" w:hAnsi="Arial" w:cs="Arial"/>
          <w:color w:val="000000" w:themeColor="text1"/>
          <w:sz w:val="22"/>
          <w:szCs w:val="22"/>
          <w:bdr w:val="none" w:sz="0" w:space="0" w:color="auto" w:frame="1"/>
          <w:shd w:val="clear" w:color="auto" w:fill="FFFFFF"/>
        </w:rPr>
        <w:t>.</w:t>
      </w:r>
    </w:p>
    <w:p w14:paraId="2ACD3838"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Kehily, M. J., 2004. </w:t>
      </w:r>
      <w:r w:rsidRPr="00C47DDD">
        <w:rPr>
          <w:rFonts w:ascii="Arial" w:hAnsi="Arial" w:cs="Arial"/>
          <w:i/>
          <w:iCs/>
          <w:color w:val="000000" w:themeColor="text1"/>
          <w:sz w:val="22"/>
          <w:szCs w:val="22"/>
          <w:bdr w:val="none" w:sz="0" w:space="0" w:color="auto" w:frame="1"/>
          <w:shd w:val="clear" w:color="auto" w:fill="FFFFFF"/>
        </w:rPr>
        <w:t>An Introduction to Childhood Studies</w:t>
      </w:r>
      <w:r w:rsidRPr="00C47DDD">
        <w:rPr>
          <w:rFonts w:ascii="Arial" w:hAnsi="Arial" w:cs="Arial"/>
          <w:color w:val="000000" w:themeColor="text1"/>
          <w:sz w:val="22"/>
          <w:szCs w:val="22"/>
          <w:bdr w:val="none" w:sz="0" w:space="0" w:color="auto" w:frame="1"/>
          <w:shd w:val="clear" w:color="auto" w:fill="FFFFFF"/>
        </w:rPr>
        <w:t>. Maidenhead: Open University Press.</w:t>
      </w:r>
    </w:p>
    <w:p w14:paraId="1DF27A63"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Kellett, M. 2014. Images of Childhood and their Influence on Research. In: A. </w:t>
      </w:r>
      <w:r w:rsidRPr="00C47DDD">
        <w:rPr>
          <w:rFonts w:ascii="Arial" w:hAnsi="Arial" w:cs="Arial"/>
          <w:color w:val="000000" w:themeColor="text1"/>
          <w:sz w:val="22"/>
          <w:szCs w:val="22"/>
          <w:shd w:val="clear" w:color="auto" w:fill="FFFFFF"/>
        </w:rPr>
        <w:t>Clark, R. Flewitt, M. Hammersley and M. Robb (eds) 2014. </w:t>
      </w:r>
      <w:r w:rsidRPr="00C47DDD">
        <w:rPr>
          <w:rFonts w:ascii="Arial" w:hAnsi="Arial" w:cs="Arial"/>
          <w:i/>
          <w:iCs/>
          <w:color w:val="000000" w:themeColor="text1"/>
          <w:sz w:val="22"/>
          <w:szCs w:val="22"/>
          <w:shd w:val="clear" w:color="auto" w:fill="FFFFFF"/>
        </w:rPr>
        <w:t>Understanding Research with Children and Young People.</w:t>
      </w:r>
      <w:r w:rsidRPr="00C47DDD">
        <w:rPr>
          <w:rFonts w:ascii="Arial" w:hAnsi="Arial" w:cs="Arial"/>
          <w:color w:val="000000" w:themeColor="text1"/>
          <w:sz w:val="22"/>
          <w:szCs w:val="22"/>
          <w:shd w:val="clear" w:color="auto" w:fill="FFFFFF"/>
        </w:rPr>
        <w:t xml:space="preserve"> London: The Open University with SAGE: Ch 1.</w:t>
      </w:r>
    </w:p>
    <w:p w14:paraId="7A4DEAB9" w14:textId="751C9670"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Kelly, P., 2006. The Entrepreneurial Self and ‘Youth at-risk’: Exploring the Horizons of Identity in the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Twenty-first Century, Journal of Youth Studies,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9:1, 17-32, DOI: 10.1080/13676260500523606</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1A32B55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Kelly, S. and Hodson, R., 2008.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Performance Pointers NI 62 - Stability of placements of LAC: number of moves</w:t>
      </w:r>
      <w:r w:rsidRPr="00C47DDD">
        <w:rPr>
          <w:rStyle w:val="bibauth"/>
          <w:rFonts w:ascii="Arial" w:eastAsiaTheme="majorEastAsia" w:hAnsi="Arial" w:cs="Arial"/>
          <w:color w:val="000000" w:themeColor="text1"/>
          <w:sz w:val="22"/>
          <w:szCs w:val="22"/>
          <w:bdr w:val="none" w:sz="0" w:space="0" w:color="auto" w:frame="1"/>
          <w:shd w:val="clear" w:color="auto" w:fill="FFFFFF"/>
        </w:rPr>
        <w:t>. Dartington: Research in Practice.</w:t>
      </w:r>
    </w:p>
    <w:p w14:paraId="2663A77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Kennedy, S., 2020.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Seeing the Child in Child Protection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London: Red Globe Press.</w:t>
      </w:r>
    </w:p>
    <w:p w14:paraId="581B75E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Kettle, M. and Daly, M., 2018. Social work identity. In V. Cree and M. Smith (eds) 2018.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in a Changing Scotland</w:t>
      </w:r>
      <w:r w:rsidRPr="00C47DDD">
        <w:rPr>
          <w:rStyle w:val="bibauth"/>
          <w:rFonts w:ascii="Arial" w:eastAsiaTheme="majorEastAsia" w:hAnsi="Arial" w:cs="Arial"/>
          <w:color w:val="000000" w:themeColor="text1"/>
          <w:sz w:val="22"/>
          <w:szCs w:val="22"/>
          <w:bdr w:val="none" w:sz="0" w:space="0" w:color="auto" w:frame="1"/>
          <w:shd w:val="clear" w:color="auto" w:fill="FFFFFF"/>
        </w:rPr>
        <w:t>. London: Routledge. Ch. 6.</w:t>
      </w:r>
    </w:p>
    <w:p w14:paraId="3087600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King, B., Putnam-Hornstein, E., Cederbaum, J. and Needell, B., 2014. A cross-sectional examination of birth rates among adolescent girls in foster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Children and Youth </w:t>
      </w:r>
      <w:r w:rsidRPr="00C47DDD">
        <w:rPr>
          <w:rStyle w:val="bibauth"/>
          <w:rFonts w:ascii="Arial" w:eastAsiaTheme="majorEastAsia" w:hAnsi="Arial" w:cs="Arial"/>
          <w:i/>
          <w:iCs/>
          <w:color w:val="000000" w:themeColor="text1"/>
          <w:sz w:val="22"/>
          <w:szCs w:val="22"/>
          <w:bdr w:val="none" w:sz="0" w:space="0" w:color="auto" w:frame="1"/>
          <w:shd w:val="clear" w:color="auto" w:fill="FFFFFF"/>
        </w:rPr>
        <w:lastRenderedPageBreak/>
        <w:t>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36 (2014), pp. 179-186. </w:t>
      </w:r>
      <w:hyperlink r:id="rId15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https://doi.org/10.1016/j.childyouth.2013.11.007</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547B09F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King, N., Horrocks, C. and Brooks. J. 2019.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Interviews in Qualitative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2</w:t>
      </w:r>
      <w:r w:rsidRPr="00C47DDD">
        <w:rPr>
          <w:rStyle w:val="bibauth"/>
          <w:rFonts w:ascii="Arial" w:eastAsiaTheme="majorEastAsia" w:hAnsi="Arial" w:cs="Arial"/>
          <w:color w:val="000000" w:themeColor="text1"/>
          <w:sz w:val="22"/>
          <w:szCs w:val="22"/>
          <w:bdr w:val="none" w:sz="0" w:space="0" w:color="auto" w:frame="1"/>
          <w:shd w:val="clear" w:color="auto" w:fill="FFFFFF"/>
          <w:vertAlign w:val="superscript"/>
        </w:rPr>
        <w:t>nd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ed. London: SAGE.</w:t>
      </w:r>
    </w:p>
    <w:p w14:paraId="0F39148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Kirkwood, A., 1993.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Leicestershire Inquiry 1992:</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Report of an Inquiry into Aspects of the Management of children’s homes in Leicestershire between 1973 and 1986</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Leicester: Leicestershire County Council. </w:t>
      </w:r>
    </w:p>
    <w:p w14:paraId="1BD55EC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Kjørholt, A., T., 2002. ‘Small is Powerful: Discourses on `Children and Participation’ in Norway’,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9(1), pp. 63–82. doi: 10.1177/0907568202009001005.</w:t>
      </w:r>
    </w:p>
    <w:p w14:paraId="63A2BD8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Kjørholt, A., T.,2008. Children as New Citizens: In the Best Interests of the Child? In: James A., James A.L. (eds)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European Childhoods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Basingstoke: </w:t>
      </w:r>
      <w:r w:rsidRPr="00C47DDD">
        <w:rPr>
          <w:rStyle w:val="bibauth"/>
          <w:rFonts w:ascii="Arial" w:eastAsiaTheme="majorEastAsia" w:hAnsi="Arial" w:cs="Arial"/>
          <w:color w:val="000000" w:themeColor="text1"/>
          <w:sz w:val="22"/>
          <w:szCs w:val="22"/>
          <w:bdr w:val="none" w:sz="0" w:space="0" w:color="auto" w:frame="1"/>
          <w:shd w:val="clear" w:color="auto" w:fill="FFFFFF"/>
        </w:rPr>
        <w:t>Palgrave Macmillan. Ch.2.</w:t>
      </w:r>
    </w:p>
    <w:p w14:paraId="754EDDAE" w14:textId="3D149BE6"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Knight, C., 2012. Social Workers’ Attitudes Towards and Engagement in Self-Disclosure. </w:t>
      </w:r>
      <w:r w:rsidRPr="00C47DDD">
        <w:rPr>
          <w:rFonts w:ascii="Arial" w:hAnsi="Arial" w:cs="Arial"/>
          <w:i/>
          <w:iCs/>
          <w:color w:val="000000" w:themeColor="text1"/>
          <w:sz w:val="22"/>
          <w:szCs w:val="22"/>
          <w:shd w:val="clear" w:color="auto" w:fill="FFFFFF"/>
        </w:rPr>
        <w:t>Clinical Social Work Journal</w:t>
      </w:r>
      <w:r w:rsidRPr="00C47DDD">
        <w:rPr>
          <w:rFonts w:ascii="Arial" w:hAnsi="Arial" w:cs="Arial"/>
          <w:color w:val="000000" w:themeColor="text1"/>
          <w:sz w:val="22"/>
          <w:szCs w:val="22"/>
          <w:shd w:val="clear" w:color="auto" w:fill="FFFFFF"/>
        </w:rPr>
        <w:t xml:space="preserve">, [e-journal] 40, pp. 297–306. </w:t>
      </w:r>
      <w:r w:rsidR="007C2D58" w:rsidRPr="00C47DDD">
        <w:rPr>
          <w:rFonts w:ascii="Arial" w:hAnsi="Arial" w:cs="Arial"/>
          <w:color w:val="000000" w:themeColor="text1"/>
          <w:sz w:val="22"/>
          <w:szCs w:val="22"/>
          <w:shd w:val="clear" w:color="auto" w:fill="FFFFFF"/>
        </w:rPr>
        <w:t>https://doi.org/10.1007/s10615-012-0408-z</w:t>
      </w:r>
      <w:r w:rsidRPr="00C47DDD">
        <w:rPr>
          <w:rFonts w:ascii="Arial" w:hAnsi="Arial" w:cs="Arial"/>
          <w:color w:val="000000" w:themeColor="text1"/>
          <w:sz w:val="22"/>
          <w:szCs w:val="22"/>
          <w:shd w:val="clear" w:color="auto" w:fill="FFFFFF"/>
        </w:rPr>
        <w:t>.</w:t>
      </w:r>
    </w:p>
    <w:p w14:paraId="6F99D3FE" w14:textId="6667957F" w:rsidR="007C2D58" w:rsidRPr="00C47DDD" w:rsidRDefault="0098313C" w:rsidP="0098313C">
      <w:pPr>
        <w:spacing w:before="100" w:beforeAutospacing="1" w:after="100" w:afterAutospacing="1" w:line="240" w:lineRule="auto"/>
        <w:rPr>
          <w:color w:val="000000" w:themeColor="text1"/>
          <w:sz w:val="21"/>
          <w:szCs w:val="21"/>
          <w:shd w:val="clear" w:color="auto" w:fill="FFFFFF"/>
        </w:rPr>
      </w:pPr>
      <w:r w:rsidRPr="00C47DDD">
        <w:rPr>
          <w:rFonts w:eastAsia="Times New Roman"/>
          <w:lang w:eastAsia="en-GB"/>
        </w:rPr>
        <w:t xml:space="preserve">Koch, T., 1994. Establishing rigour in qualitative research: The decision trail. </w:t>
      </w:r>
      <w:r w:rsidRPr="00C47DDD">
        <w:rPr>
          <w:rFonts w:eastAsia="Times New Roman"/>
          <w:i/>
          <w:iCs/>
          <w:lang w:eastAsia="en-GB"/>
        </w:rPr>
        <w:t>Journal of Advanced Nursing</w:t>
      </w:r>
      <w:r w:rsidRPr="00C47DDD">
        <w:rPr>
          <w:rFonts w:eastAsia="Times New Roman"/>
          <w:lang w:eastAsia="en-GB"/>
        </w:rPr>
        <w:t>, [e-journal] 19, pp. 976–986. doi:10.1111/j.1365-2648.1994.tb01177.x.</w:t>
      </w:r>
    </w:p>
    <w:p w14:paraId="6D9B480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Kor, K., Fernandez, E. and Spangaro, J., 2021. Interpretative phenomenological analysis of young people's lived experiences of therapeutic residential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26, pp. 89– 99. </w:t>
      </w:r>
      <w:hyperlink r:id="rId15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https://doi.org/10.1111/cfs.12792</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927436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Kosher, H, Ben</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Arieh, A. 2020. Social workers' perceptions of children's right to participation.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25, pp.294– 303. </w:t>
      </w:r>
      <w:hyperlink r:id="rId16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https://doi.org/10.1111/cfs.12685</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252BBC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Križ, K. and Skivenes, M., 2017. Child welfare workers’ perceptions of children’s participation: A comparative study of England, Norway and the USA (California).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22, pp. 11–22. </w:t>
      </w:r>
      <w:hyperlink r:id="rId16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https://doi.org/10.1111/cfs.12224</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AFAEC5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Kumar, R., 2019.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Research Methodology: a step-by-step guide for beginners</w:t>
      </w:r>
      <w:r w:rsidRPr="00C47DDD">
        <w:rPr>
          <w:rStyle w:val="bibauth"/>
          <w:rFonts w:ascii="Arial" w:eastAsiaTheme="majorEastAsia" w:hAnsi="Arial" w:cs="Arial"/>
          <w:color w:val="000000" w:themeColor="text1"/>
          <w:sz w:val="22"/>
          <w:szCs w:val="22"/>
          <w:bdr w:val="none" w:sz="0" w:space="0" w:color="auto" w:frame="1"/>
          <w:shd w:val="clear" w:color="auto" w:fill="FFFFFF"/>
        </w:rPr>
        <w:t>. 5</w:t>
      </w:r>
      <w:r w:rsidRPr="00C47DDD">
        <w:rPr>
          <w:rStyle w:val="bibauth"/>
          <w:rFonts w:ascii="Arial" w:eastAsiaTheme="majorEastAsia" w:hAnsi="Arial" w:cs="Arial"/>
          <w:color w:val="000000" w:themeColor="text1"/>
          <w:sz w:val="22"/>
          <w:szCs w:val="22"/>
          <w:bdr w:val="none" w:sz="0" w:space="0" w:color="auto" w:frame="1"/>
          <w:shd w:val="clear" w:color="auto" w:fill="FFFFFF"/>
          <w:vertAlign w:val="superscript"/>
        </w:rPr>
        <w:t>th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ed. London: SAGE.</w:t>
      </w:r>
    </w:p>
    <w:p w14:paraId="374A2CE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Kvale, S., 2007.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Doing Interviews</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33A9B5FF"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Langan, M. and Clarke, J., 1995. Managing in the Mixed Economy of Care. In: J. Clarke, A. Cochrane and E. McLaughlin (eds) 1995. </w:t>
      </w:r>
      <w:r w:rsidRPr="00C47DDD">
        <w:rPr>
          <w:rFonts w:ascii="Arial" w:hAnsi="Arial" w:cs="Arial"/>
          <w:i/>
          <w:iCs/>
          <w:color w:val="000000" w:themeColor="text1"/>
          <w:sz w:val="22"/>
          <w:szCs w:val="22"/>
        </w:rPr>
        <w:t>Managing Social Policy</w:t>
      </w:r>
      <w:r w:rsidRPr="00C47DDD">
        <w:rPr>
          <w:rFonts w:ascii="Arial" w:hAnsi="Arial" w:cs="Arial"/>
          <w:color w:val="000000" w:themeColor="text1"/>
          <w:sz w:val="22"/>
          <w:szCs w:val="22"/>
        </w:rPr>
        <w:t>. London; SAG. Ch. 4.</w:t>
      </w:r>
    </w:p>
    <w:p w14:paraId="10B7B8D4"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Lansdown, G., 2001. Children’s Welfare and Children’s Rights. In: P. Foley, J. Roche and S, Tucker (eds) 2001. </w:t>
      </w:r>
      <w:r w:rsidRPr="00C47DDD">
        <w:rPr>
          <w:rFonts w:ascii="Arial" w:hAnsi="Arial" w:cs="Arial"/>
          <w:i/>
          <w:iCs/>
          <w:color w:val="000000" w:themeColor="text1"/>
          <w:sz w:val="22"/>
          <w:szCs w:val="22"/>
        </w:rPr>
        <w:t>Children in Society: contemporary theory, policy and practice</w:t>
      </w:r>
      <w:r w:rsidRPr="00C47DDD">
        <w:rPr>
          <w:rFonts w:ascii="Arial" w:hAnsi="Arial" w:cs="Arial"/>
          <w:color w:val="000000" w:themeColor="text1"/>
          <w:sz w:val="22"/>
          <w:szCs w:val="22"/>
        </w:rPr>
        <w:t xml:space="preserve">. Basingstoke: Palgrave. Ch.9.  </w:t>
      </w:r>
    </w:p>
    <w:p w14:paraId="733A518A"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Lansdown, G., 2011. A Framework for Monitoring and Evaluating Children’s Participation — a Preparatory Draft for Piloting. [pdf] Available at:  </w:t>
      </w:r>
      <w:hyperlink r:id="rId162" w:history="1">
        <w:r w:rsidRPr="00C47DDD">
          <w:rPr>
            <w:rStyle w:val="Hyperlink"/>
            <w:rFonts w:ascii="Arial" w:eastAsiaTheme="majorEastAsia" w:hAnsi="Arial" w:cs="Arial"/>
            <w:color w:val="000000" w:themeColor="text1"/>
            <w:sz w:val="22"/>
            <w:szCs w:val="22"/>
            <w:u w:val="none"/>
          </w:rPr>
          <w:t>https://resourcecentre.savethechildren.net/library/framework-monitoring-and-evaluating-childrens-participation-preparatory-draft-piloting</w:t>
        </w:r>
      </w:hyperlink>
      <w:r w:rsidRPr="00C47DDD">
        <w:rPr>
          <w:rFonts w:ascii="Arial" w:hAnsi="Arial" w:cs="Arial"/>
          <w:color w:val="000000" w:themeColor="text1"/>
          <w:sz w:val="22"/>
          <w:szCs w:val="22"/>
        </w:rPr>
        <w:t xml:space="preserve"> [Accessed 27 June 2019].</w:t>
      </w:r>
    </w:p>
    <w:p w14:paraId="1F5701A3"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lastRenderedPageBreak/>
        <w:t xml:space="preserve">Lavalette, M., 2017. Austerity, inequality and the context of contemporary social work. </w:t>
      </w:r>
      <w:r w:rsidRPr="00C47DDD">
        <w:rPr>
          <w:rFonts w:ascii="Arial" w:hAnsi="Arial" w:cs="Arial"/>
          <w:i/>
          <w:iCs/>
          <w:color w:val="000000" w:themeColor="text1"/>
          <w:sz w:val="22"/>
          <w:szCs w:val="22"/>
          <w:bdr w:val="none" w:sz="0" w:space="0" w:color="auto" w:frame="1"/>
          <w:shd w:val="clear" w:color="auto" w:fill="FFFFFF"/>
        </w:rPr>
        <w:t>Social Work and Social Sciences Review</w:t>
      </w:r>
      <w:r w:rsidRPr="00C47DDD">
        <w:rPr>
          <w:rFonts w:ascii="Arial" w:hAnsi="Arial" w:cs="Arial"/>
          <w:color w:val="000000" w:themeColor="text1"/>
          <w:sz w:val="22"/>
          <w:szCs w:val="22"/>
          <w:bdr w:val="none" w:sz="0" w:space="0" w:color="auto" w:frame="1"/>
          <w:shd w:val="clear" w:color="auto" w:fill="FFFFFF"/>
        </w:rPr>
        <w:t>, [e-journal] 19(1), pp. 31-39. https://doi.org/10.1921/swssr.v19i1.1080.</w:t>
      </w:r>
    </w:p>
    <w:p w14:paraId="67E69045" w14:textId="64C44BAF"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Leathers, S. J., 2002. Foster children's behavioral disturbance and detachment from caregivers and community institutions.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24, pp. 239–268.</w:t>
      </w:r>
      <w:r w:rsidRPr="00C47DDD">
        <w:rPr>
          <w:rFonts w:ascii="Arial" w:hAnsi="Arial" w:cs="Arial"/>
          <w:color w:val="000000" w:themeColor="text1"/>
          <w:sz w:val="22"/>
          <w:szCs w:val="22"/>
        </w:rPr>
        <w:t xml:space="preserve"> </w:t>
      </w:r>
      <w:hyperlink r:id="rId163"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https://doi.org/10.1016/S0190-7409(02)00175-5</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339A0E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Lee N., 2002.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 and Society: Growing Up in an Age of Uncertainty</w:t>
      </w:r>
      <w:r w:rsidRPr="00C47DDD">
        <w:rPr>
          <w:rStyle w:val="bibauth"/>
          <w:rFonts w:ascii="Arial" w:eastAsiaTheme="majorEastAsia" w:hAnsi="Arial" w:cs="Arial"/>
          <w:color w:val="000000" w:themeColor="text1"/>
          <w:sz w:val="22"/>
          <w:szCs w:val="22"/>
          <w:bdr w:val="none" w:sz="0" w:space="0" w:color="auto" w:frame="1"/>
          <w:shd w:val="clear" w:color="auto" w:fill="FFFFFF"/>
        </w:rPr>
        <w:t>. Buckingham: Open University Press.</w:t>
      </w:r>
    </w:p>
    <w:p w14:paraId="24DE7EB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Lee R., 1993. </w:t>
      </w:r>
      <w:r w:rsidRPr="00C47DDD">
        <w:rPr>
          <w:rStyle w:val="bibauth"/>
          <w:rFonts w:ascii="Arial" w:eastAsiaTheme="majorEastAsia" w:hAnsi="Arial" w:cs="Arial"/>
          <w:i/>
          <w:iCs/>
          <w:color w:val="000000" w:themeColor="text1"/>
          <w:sz w:val="22"/>
          <w:szCs w:val="22"/>
          <w:bdr w:val="none" w:sz="0" w:space="0" w:color="auto" w:frame="1"/>
          <w:shd w:val="clear" w:color="auto" w:fill="FFFFFF"/>
        </w:rPr>
        <w:t>Doing Research on Sensitive Topics</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06B0AA59" w14:textId="5998624C"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Leeson, C., 2007. My life in care: experiences of non-participation in decision-making processes.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12, pp.268–277. doi:10.1111/j.1365-2206.2007.00499</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4283C6B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Lemke, T., 2001. 'The birth of bio-politics': Michel Foucault's lecture at the Collège de France on neo-liberal governmentality</w:t>
      </w:r>
      <w:r w:rsidRPr="00C47DDD">
        <w:rPr>
          <w:rStyle w:val="bibauth"/>
          <w:rFonts w:ascii="Arial" w:eastAsiaTheme="majorEastAsia" w:hAnsi="Arial" w:cs="Arial"/>
          <w:i/>
          <w:iCs/>
          <w:color w:val="000000" w:themeColor="text1"/>
          <w:sz w:val="22"/>
          <w:szCs w:val="22"/>
          <w:bdr w:val="none" w:sz="0" w:space="0" w:color="auto" w:frame="1"/>
          <w:shd w:val="clear" w:color="auto" w:fill="FFFFFF"/>
        </w:rPr>
        <w:t>. Economy and Society</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30(2), pp.190-207, DOI: 10.1080/03085140120042271.</w:t>
      </w:r>
    </w:p>
    <w:p w14:paraId="546B1EA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Levin, I., 2007. Discourses Within and About Social Work. In L. Dominelli, L. (ed.). 2007.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Revitalising Communities in a Globalising World</w:t>
      </w:r>
      <w:r w:rsidRPr="00C47DDD">
        <w:rPr>
          <w:rStyle w:val="bibauth"/>
          <w:rFonts w:ascii="Arial" w:eastAsiaTheme="majorEastAsia" w:hAnsi="Arial" w:cs="Arial"/>
          <w:color w:val="000000" w:themeColor="text1"/>
          <w:sz w:val="22"/>
          <w:szCs w:val="22"/>
          <w:bdr w:val="none" w:sz="0" w:space="0" w:color="auto" w:frame="1"/>
          <w:shd w:val="clear" w:color="auto" w:fill="FFFFFF"/>
        </w:rPr>
        <w:t>. London:  Routledge: Ch. 3.</w:t>
      </w:r>
    </w:p>
    <w:p w14:paraId="2C8444D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Levy, A. and Kahan, B., 1991.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Pindown Experience and the Protection of Children: The Report of the Staffordshire Child Care Inquiry 1990</w:t>
      </w:r>
      <w:r w:rsidRPr="00C47DDD">
        <w:rPr>
          <w:rStyle w:val="bibauth"/>
          <w:rFonts w:ascii="Arial" w:eastAsiaTheme="majorEastAsia" w:hAnsi="Arial" w:cs="Arial"/>
          <w:color w:val="000000" w:themeColor="text1"/>
          <w:sz w:val="22"/>
          <w:szCs w:val="22"/>
          <w:bdr w:val="none" w:sz="0" w:space="0" w:color="auto" w:frame="1"/>
          <w:shd w:val="clear" w:color="auto" w:fill="FFFFFF"/>
        </w:rPr>
        <w:t>. Stafford: Staffordshire County Council.</w:t>
      </w:r>
    </w:p>
    <w:p w14:paraId="6951A0DA"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Liabo, K., McKenna, C., Ingold, A., and Roberts, H., 2017. Leaving foster or residential care: a participatory study of care leavers' experiences of health and social care transitions.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Care, Health and Development</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43, pp.182–191.</w:t>
      </w:r>
      <w:r w:rsidRPr="00C47DDD">
        <w:rPr>
          <w:rFonts w:ascii="Arial" w:hAnsi="Arial" w:cs="Arial"/>
          <w:color w:val="000000" w:themeColor="text1"/>
          <w:sz w:val="22"/>
          <w:szCs w:val="22"/>
        </w:rPr>
        <w:t xml:space="preserve"> </w:t>
      </w:r>
      <w:hyperlink r:id="rId16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http://dx.doi.org/10.1111/cch.12426</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B94C69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Liabo, K., McKenna, C., Ingold, A., and Roberts, H., 2018. Co-production with “vulnerable” groups: Balancing protection and participation.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Health Science Reports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1(3) (e19), pp. 1-7.  </w:t>
      </w:r>
      <w:hyperlink r:id="rId16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https://doi.org/10.1002/hsr2.19</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1593E20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Liamputtong, P., 2012. Researching Vulnerable Groups. In: S. Becker, A. Bryman and H. Ferguson (eds) 2012.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Understanding Research for Social Policy and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Bristol: The Policy Press. Ch 2.6.</w:t>
      </w:r>
    </w:p>
    <w:p w14:paraId="6552151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Lichtman, M., 2017.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Qualitative research for the social sciences</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1900975C"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Lincoln, Y.S. and Guba, E.G., 1985. </w:t>
      </w:r>
      <w:r w:rsidRPr="00C47DDD">
        <w:rPr>
          <w:rFonts w:ascii="Arial" w:hAnsi="Arial" w:cs="Arial"/>
          <w:i/>
          <w:iCs/>
          <w:color w:val="000000" w:themeColor="text1"/>
          <w:sz w:val="22"/>
          <w:szCs w:val="22"/>
          <w:shd w:val="clear" w:color="auto" w:fill="FFFFFF"/>
        </w:rPr>
        <w:t>Naturalistic Inquiry</w:t>
      </w:r>
      <w:r w:rsidRPr="00C47DDD">
        <w:rPr>
          <w:rFonts w:ascii="Arial" w:hAnsi="Arial" w:cs="Arial"/>
          <w:color w:val="000000" w:themeColor="text1"/>
          <w:sz w:val="22"/>
          <w:szCs w:val="22"/>
          <w:shd w:val="clear" w:color="auto" w:fill="FFFFFF"/>
        </w:rPr>
        <w:t>. Newbury Park: SAGE.</w:t>
      </w:r>
    </w:p>
    <w:p w14:paraId="46BB6323" w14:textId="45FFE2C3"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Local Government Association, 2012. </w:t>
      </w:r>
      <w:r w:rsidRPr="00C47DDD">
        <w:rPr>
          <w:rStyle w:val="bibauth"/>
          <w:rFonts w:ascii="Arial" w:eastAsiaTheme="majorEastAsia" w:hAnsi="Arial" w:cs="Arial"/>
          <w:i/>
          <w:color w:val="000000" w:themeColor="text1"/>
          <w:sz w:val="22"/>
          <w:szCs w:val="22"/>
          <w:bdr w:val="none" w:sz="0" w:space="0" w:color="auto" w:frame="1"/>
          <w:shd w:val="clear" w:color="auto" w:fill="FFFFFF"/>
        </w:rPr>
        <w:t>Corporate Parenting Week: Council resource pack</w:t>
      </w:r>
      <w:r w:rsidRPr="00C47DDD">
        <w:rPr>
          <w:rStyle w:val="bibauth"/>
          <w:rFonts w:ascii="Arial" w:eastAsiaTheme="majorEastAsia" w:hAnsi="Arial" w:cs="Arial"/>
          <w:color w:val="000000" w:themeColor="text1"/>
          <w:sz w:val="22"/>
          <w:szCs w:val="22"/>
          <w:bdr w:val="none" w:sz="0" w:space="0" w:color="auto" w:frame="1"/>
          <w:shd w:val="clear" w:color="auto" w:fill="FFFFFF"/>
        </w:rPr>
        <w:t>. [online]. Available at:</w:t>
      </w:r>
      <w:r w:rsidRPr="00C47DDD">
        <w:rPr>
          <w:rFonts w:ascii="Arial" w:hAnsi="Arial" w:cs="Arial"/>
          <w:color w:val="000000" w:themeColor="text1"/>
          <w:sz w:val="22"/>
          <w:szCs w:val="22"/>
        </w:rPr>
        <w:t xml:space="preserve"> &lt;</w:t>
      </w:r>
      <w:hyperlink r:id="rId166" w:history="1">
        <w:r w:rsidRPr="00C47DDD">
          <w:rPr>
            <w:rStyle w:val="Hyperlink"/>
            <w:rFonts w:ascii="Arial" w:eastAsiaTheme="majorEastAsia" w:hAnsi="Arial" w:cs="Arial"/>
            <w:color w:val="000000" w:themeColor="text1"/>
            <w:sz w:val="22"/>
            <w:szCs w:val="22"/>
            <w:u w:val="none"/>
          </w:rPr>
          <w:t>https://www.local.gov.uk/sites/default/files/documents/corporate-parenting-week--a4e.pdf</w:t>
        </w:r>
      </w:hyperlink>
      <w:r w:rsidRPr="00C47DDD">
        <w:rPr>
          <w:rFonts w:ascii="Arial" w:hAnsi="Arial" w:cs="Arial"/>
          <w:color w:val="000000" w:themeColor="text1"/>
          <w:sz w:val="22"/>
          <w:szCs w:val="22"/>
        </w:rPr>
        <w:t>&gt;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[Accessed 12 March 2018]</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1DD710D4"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shd w:val="clear" w:color="auto" w:fill="FFFFFF"/>
        </w:rPr>
        <w:t xml:space="preserve">Locke, J. 1689. </w:t>
      </w:r>
      <w:r w:rsidRPr="00C47DDD">
        <w:rPr>
          <w:rFonts w:ascii="Arial" w:hAnsi="Arial" w:cs="Arial"/>
          <w:i/>
          <w:iCs/>
          <w:color w:val="000000" w:themeColor="text1"/>
          <w:sz w:val="22"/>
          <w:szCs w:val="22"/>
          <w:shd w:val="clear" w:color="auto" w:fill="FFFFFF"/>
        </w:rPr>
        <w:t>An Essay Concerning Human Understanding.</w:t>
      </w:r>
      <w:r w:rsidRPr="00C47DDD">
        <w:rPr>
          <w:rFonts w:ascii="Arial" w:hAnsi="Arial" w:cs="Arial"/>
          <w:color w:val="000000" w:themeColor="text1"/>
          <w:sz w:val="22"/>
          <w:szCs w:val="22"/>
          <w:shd w:val="clear" w:color="auto" w:fill="FFFFFF"/>
        </w:rPr>
        <w:t xml:space="preserve"> Reprinted, 1993. London: Dent.</w:t>
      </w:r>
    </w:p>
    <w:p w14:paraId="5EAD6A0F"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lastRenderedPageBreak/>
        <w:t xml:space="preserve">Lukes, S., 2009. </w:t>
      </w:r>
      <w:r w:rsidRPr="00C47DDD">
        <w:rPr>
          <w:rFonts w:ascii="Arial" w:hAnsi="Arial" w:cs="Arial"/>
          <w:i/>
          <w:iCs/>
          <w:color w:val="000000" w:themeColor="text1"/>
          <w:sz w:val="22"/>
          <w:szCs w:val="22"/>
        </w:rPr>
        <w:t>Power</w:t>
      </w:r>
      <w:r w:rsidRPr="00C47DDD">
        <w:rPr>
          <w:rFonts w:ascii="Arial" w:hAnsi="Arial" w:cs="Arial"/>
          <w:color w:val="000000" w:themeColor="text1"/>
          <w:sz w:val="22"/>
          <w:szCs w:val="22"/>
        </w:rPr>
        <w:t>. New York: Palgrave Macmillan.</w:t>
      </w:r>
    </w:p>
    <w:p w14:paraId="3DCAA18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Lunabba, H. 2016. </w:t>
      </w:r>
      <w:r w:rsidRPr="00C47DDD">
        <w:rPr>
          <w:rFonts w:ascii="Arial" w:hAnsi="Arial" w:cs="Arial"/>
          <w:color w:val="000000" w:themeColor="text1"/>
          <w:sz w:val="22"/>
          <w:szCs w:val="22"/>
          <w:shd w:val="clear" w:color="auto" w:fill="FFFFFF"/>
        </w:rPr>
        <w:t xml:space="preserve">Exploring Relationships Through Ethnography: A Research Study of Boys in School. In G. Ruch and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I. Julkunen, 2016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Relationship-based research in social work understanding practice-near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Kingsley Publishers. Ch. 6.</w:t>
      </w:r>
    </w:p>
    <w:p w14:paraId="21A2CCD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Lundy, L., 2007. ‘Voice’ is not enough: conceptualising Article 12 of the United Nations Convention on the Rights of the Child.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British Educational Research Journal</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33(6), pp. 927-942. DOI: 10.1080/01411920701657033.</w:t>
      </w:r>
    </w:p>
    <w:p w14:paraId="7D9870E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Lupton, C., 1985. Researching older teenagers leaving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Social Services Research </w:t>
      </w:r>
      <w:r w:rsidRPr="00C47DDD">
        <w:rPr>
          <w:rStyle w:val="bibauth"/>
          <w:rFonts w:ascii="Arial" w:eastAsiaTheme="majorEastAsia" w:hAnsi="Arial" w:cs="Arial"/>
          <w:color w:val="000000" w:themeColor="text1"/>
          <w:sz w:val="22"/>
          <w:szCs w:val="22"/>
          <w:bdr w:val="none" w:sz="0" w:space="0" w:color="auto" w:frame="1"/>
          <w:shd w:val="clear" w:color="auto" w:fill="FFFFFF"/>
        </w:rPr>
        <w:t>(13), pp. 7-20.</w:t>
      </w:r>
    </w:p>
    <w:p w14:paraId="5C3014E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Lushey, C. and Munro, E. R., 2014. Participatory peer research methodology: An effective method for obtaining young people’s perspectives on transitions from care to adulthood?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Qualitative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24(4), pp. 522-537. </w:t>
      </w:r>
      <w:hyperlink r:id="rId16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https://journals.sagepub.com/doi/10.1177/1473325014559282</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3B9DAFD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Mackay, T. and Zufferey, C., 2015. ‘A who doing a what?’: Identity, practice and social work education.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15(6), pp. 644–661. </w:t>
      </w:r>
      <w:hyperlink r:id="rId16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https://doi.org/10.1177/1468017314549537</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B6EA19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Mainey, A., Ellis, A., and Lewis, J. 2009.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Children’s views of services: a rapid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National Children’s Bureau.</w:t>
      </w:r>
    </w:p>
    <w:p w14:paraId="4E3B092F" w14:textId="7E400C7E"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Malone, K. and Hartung, C., 2010. Challenges of participatory practice with children. In: B. Percy- Smith and N. Thomas, 2010. eds.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 handbook of children and young people’s participation: perspectives from theory and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London: Routledge. Ch.2.</w:t>
      </w:r>
    </w:p>
    <w:p w14:paraId="7A2C41A5" w14:textId="68EE12A3" w:rsidR="00F05444" w:rsidRPr="00C47DDD" w:rsidRDefault="00F05444"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Mann, A., Liley, J. and Kellett, M., 2014. Engaging Children and Young People in Research. In</w:t>
      </w:r>
      <w:r w:rsidR="008B17A9" w:rsidRPr="00C47DDD">
        <w:rPr>
          <w:rStyle w:val="bibauth"/>
          <w:rFonts w:ascii="Arial" w:eastAsiaTheme="majorEastAsia" w:hAnsi="Arial" w:cs="Arial"/>
          <w:color w:val="000000" w:themeColor="text1"/>
          <w:sz w:val="22"/>
          <w:szCs w:val="22"/>
          <w:bdr w:val="none" w:sz="0" w:space="0" w:color="auto" w:frame="1"/>
          <w:shd w:val="clear" w:color="auto" w:fill="FFFFFF"/>
        </w:rPr>
        <w:t>: A. Clark, A., R. Flewitt, M. Hammersley and M. Robb, eds., 2014</w:t>
      </w:r>
      <w:r w:rsidR="008B17A9" w:rsidRPr="00C47DDD">
        <w:rPr>
          <w:rStyle w:val="bibauth"/>
          <w:rFonts w:ascii="Arial" w:eastAsiaTheme="majorEastAsia" w:hAnsi="Arial" w:cs="Arial"/>
          <w:i/>
          <w:iCs/>
          <w:color w:val="000000" w:themeColor="text1"/>
          <w:sz w:val="22"/>
          <w:szCs w:val="22"/>
          <w:bdr w:val="none" w:sz="0" w:space="0" w:color="auto" w:frame="1"/>
          <w:shd w:val="clear" w:color="auto" w:fill="FFFFFF"/>
        </w:rPr>
        <w:t>. Understanding Research with Children and Young People</w:t>
      </w:r>
      <w:r w:rsidR="008B17A9"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SAGE. Ch. </w:t>
      </w:r>
      <w:r w:rsidR="00AD4651" w:rsidRPr="00C47DDD">
        <w:rPr>
          <w:rStyle w:val="bibauth"/>
          <w:rFonts w:ascii="Arial" w:eastAsiaTheme="majorEastAsia" w:hAnsi="Arial" w:cs="Arial"/>
          <w:color w:val="000000" w:themeColor="text1"/>
          <w:sz w:val="22"/>
          <w:szCs w:val="22"/>
          <w:bdr w:val="none" w:sz="0" w:space="0" w:color="auto" w:frame="1"/>
          <w:shd w:val="clear" w:color="auto" w:fill="FFFFFF"/>
        </w:rPr>
        <w:t>18</w:t>
      </w:r>
      <w:r w:rsidR="008B17A9"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p>
    <w:p w14:paraId="49DC214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Mannay, D., Staples, E., Hallett, S., Roberts, L., Rees, A., Evans, R. and Andrews, D. 2019. Enabling talk and reframing messages: working creatively with care experienced children and young people to recount and re-represent their everyday experiences,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Care in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25 (1), pp. 51-63, DOI: 10.1080/13575279.2018.1521375.</w:t>
      </w:r>
    </w:p>
    <w:p w14:paraId="1CF6368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Mann-Feeder, V. R., 2019. Introduction. In: V. R. Mann-Feeder and M. Goyette. 2019.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Leaving Care and the Transition to Adulthood: international contributions to theory, research and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Oxford: Oxford University Press.  </w:t>
      </w:r>
    </w:p>
    <w:p w14:paraId="2C97A62D"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Mason, J., 2018.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Qualitative Researching</w:t>
      </w:r>
      <w:r w:rsidRPr="00C47DDD">
        <w:rPr>
          <w:rStyle w:val="bibauth"/>
          <w:rFonts w:ascii="Arial" w:eastAsiaTheme="majorEastAsia" w:hAnsi="Arial" w:cs="Arial"/>
          <w:color w:val="000000" w:themeColor="text1"/>
          <w:sz w:val="22"/>
          <w:szCs w:val="22"/>
          <w:bdr w:val="none" w:sz="0" w:space="0" w:color="auto" w:frame="1"/>
          <w:shd w:val="clear" w:color="auto" w:fill="FFFFFF"/>
        </w:rPr>
        <w:t>. 3</w:t>
      </w:r>
      <w:r w:rsidRPr="00C47DDD">
        <w:rPr>
          <w:rStyle w:val="bibauth"/>
          <w:rFonts w:ascii="Arial" w:eastAsiaTheme="majorEastAsia" w:hAnsi="Arial" w:cs="Arial"/>
          <w:color w:val="000000" w:themeColor="text1"/>
          <w:sz w:val="22"/>
          <w:szCs w:val="22"/>
          <w:bdr w:val="none" w:sz="0" w:space="0" w:color="auto" w:frame="1"/>
          <w:shd w:val="clear" w:color="auto" w:fill="FFFFFF"/>
          <w:vertAlign w:val="superscript"/>
        </w:rPr>
        <w:t>rd</w:t>
      </w:r>
      <w:r w:rsidRPr="00C47DDD">
        <w:rPr>
          <w:rStyle w:val="bibauth"/>
          <w:rFonts w:ascii="Arial" w:eastAsiaTheme="majorEastAsia" w:hAnsi="Arial" w:cs="Arial"/>
          <w:color w:val="000000" w:themeColor="text1"/>
          <w:sz w:val="22"/>
          <w:szCs w:val="22"/>
          <w:bdr w:val="none" w:sz="0" w:space="0" w:color="auto" w:frame="1"/>
          <w:shd w:val="clear" w:color="auto" w:fill="FFFFFF"/>
        </w:rPr>
        <w:t>. ed. London: SAGE.</w:t>
      </w:r>
    </w:p>
    <w:p w14:paraId="50CED5D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Mateos, A., Vaquero, E., Balsells, M. A., and Ponce, C., 2017. ‘They didn't tell me anything; they just sent me home’: children's participation in the return home.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22, pp.871–880. </w:t>
      </w:r>
      <w:hyperlink r:id="rId169" w:history="1">
        <w:r w:rsidRPr="00C47DDD">
          <w:rPr>
            <w:rStyle w:val="Hyperlink"/>
            <w:rFonts w:ascii="Arial" w:eastAsiaTheme="majorEastAsia" w:hAnsi="Arial" w:cs="Arial"/>
            <w:color w:val="000000" w:themeColor="text1"/>
            <w:sz w:val="22"/>
            <w:szCs w:val="22"/>
            <w:u w:val="none"/>
            <w:shd w:val="clear" w:color="auto" w:fill="FFFFFF"/>
          </w:rPr>
          <w:t>https://doi.org/10.1111/cfs.12307</w:t>
        </w:r>
      </w:hyperlink>
      <w:r w:rsidRPr="00C47DDD">
        <w:rPr>
          <w:rStyle w:val="Hyperlink"/>
          <w:rFonts w:ascii="Arial" w:eastAsiaTheme="majorEastAsia" w:hAnsi="Arial" w:cs="Arial"/>
          <w:color w:val="000000" w:themeColor="text1"/>
          <w:sz w:val="22"/>
          <w:szCs w:val="22"/>
          <w:u w:val="none"/>
          <w:shd w:val="clear" w:color="auto" w:fill="FFFFFF"/>
        </w:rPr>
        <w:t>.</w:t>
      </w:r>
    </w:p>
    <w:p w14:paraId="29EEED4E"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Mayall, B., 2000. The Sociology of Childhood in Relation to Children's rights. </w:t>
      </w:r>
      <w:r w:rsidRPr="00C47DDD">
        <w:rPr>
          <w:rFonts w:ascii="Arial" w:hAnsi="Arial" w:cs="Arial"/>
          <w:i/>
          <w:iCs/>
          <w:color w:val="000000" w:themeColor="text1"/>
          <w:sz w:val="22"/>
          <w:szCs w:val="22"/>
          <w:shd w:val="clear" w:color="auto" w:fill="FFFFFF"/>
        </w:rPr>
        <w:t>The International Journal of Children's Rights</w:t>
      </w:r>
      <w:r w:rsidRPr="00C47DDD">
        <w:rPr>
          <w:rFonts w:ascii="Arial" w:hAnsi="Arial" w:cs="Arial"/>
          <w:color w:val="000000" w:themeColor="text1"/>
          <w:sz w:val="22"/>
          <w:szCs w:val="22"/>
          <w:shd w:val="clear" w:color="auto" w:fill="FFFFFF"/>
        </w:rPr>
        <w:t>, [e-journal] 8(3), pp.243–259.</w:t>
      </w:r>
      <w:r w:rsidRPr="00C47DDD">
        <w:rPr>
          <w:rFonts w:ascii="Arial" w:hAnsi="Arial" w:cs="Arial"/>
          <w:color w:val="000000" w:themeColor="text1"/>
          <w:sz w:val="22"/>
          <w:szCs w:val="22"/>
        </w:rPr>
        <w:t xml:space="preserve"> </w:t>
      </w:r>
      <w:hyperlink r:id="rId170" w:history="1">
        <w:r w:rsidRPr="00C47DDD">
          <w:rPr>
            <w:rStyle w:val="Hyperlink"/>
            <w:rFonts w:ascii="Arial" w:eastAsiaTheme="majorEastAsia" w:hAnsi="Arial" w:cs="Arial"/>
            <w:color w:val="000000" w:themeColor="text1"/>
            <w:sz w:val="22"/>
            <w:szCs w:val="22"/>
            <w:u w:val="none"/>
            <w:shd w:val="clear" w:color="auto" w:fill="FFFFFF"/>
          </w:rPr>
          <w:t>https://doi.org/10.1163/15718180020494640</w:t>
        </w:r>
      </w:hyperlink>
      <w:r w:rsidRPr="00C47DDD">
        <w:rPr>
          <w:rFonts w:ascii="Arial" w:hAnsi="Arial" w:cs="Arial"/>
          <w:color w:val="000000" w:themeColor="text1"/>
          <w:sz w:val="22"/>
          <w:szCs w:val="22"/>
          <w:shd w:val="clear" w:color="auto" w:fill="FFFFFF"/>
        </w:rPr>
        <w:t>.</w:t>
      </w:r>
    </w:p>
    <w:p w14:paraId="4E128C65" w14:textId="04AB34ED"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McAuley, C. and Davis, T., 2009. Emotional well-being and mental health of looked after children in England.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14, pp. 147–155. </w:t>
      </w:r>
      <w:hyperlink r:id="rId17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http://doi:10.1111/j.1365-2206.2009.00619</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8A0EE5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McCafferty, P., 2017. Implementing Article 12 of the United Nations Convention on the Rights of the Child in Child Protection Decision-Making: a Critical Analysis of the Challenges and Opportunities for Social Work,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Care in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23(4), pp. 327-341, DOI: 10.1080/13575279.2016.1264368.</w:t>
      </w:r>
    </w:p>
    <w:p w14:paraId="10E42573" w14:textId="371A12A8"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McCoy, H., McMillen, J. C., and Spitznagel, E. L., 2008. Older Youth Leaving the Foster Care System: Who, What, When, Where, and Why?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30 (7), pp 735–745. </w:t>
      </w:r>
      <w:hyperlink r:id="rId17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https://doi.org/10.1016/j.childyouth.2007.12.003</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B7D55D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McFadden, P., 2015.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Measuring burnout among UK social workers: A Community Care study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w:t>
      </w:r>
      <w:r w:rsidRPr="00C47DDD">
        <w:rPr>
          <w:rFonts w:ascii="Arial" w:hAnsi="Arial" w:cs="Arial"/>
          <w:color w:val="000000" w:themeColor="text1"/>
          <w:sz w:val="22"/>
          <w:szCs w:val="22"/>
        </w:rPr>
        <w:t xml:space="preserve"> </w:t>
      </w:r>
      <w:hyperlink r:id="rId173"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https://www.qub.ac.uk/sites/media/Media,514081,en.pdf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30 September 2019].</w:t>
      </w:r>
    </w:p>
    <w:p w14:paraId="3252E143"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McGhee, K., 2017. Staying Put and Continuing Care: The Implementation Challenge.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Scottish Journal of Residential Child Care</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16 (2), pp. 1-19. Available at &lt;</w:t>
      </w:r>
      <w:r w:rsidRPr="00C47DDD">
        <w:rPr>
          <w:rFonts w:ascii="Arial" w:hAnsi="Arial" w:cs="Arial"/>
          <w:color w:val="000000" w:themeColor="text1"/>
          <w:sz w:val="22"/>
          <w:szCs w:val="22"/>
        </w:rPr>
        <w:t xml:space="preserve"> </w:t>
      </w:r>
      <w:hyperlink r:id="rId174" w:history="1">
        <w:r w:rsidRPr="00C47DDD">
          <w:rPr>
            <w:rStyle w:val="Hyperlink"/>
            <w:rFonts w:ascii="Arial" w:eastAsiaTheme="majorEastAsia" w:hAnsi="Arial" w:cs="Arial"/>
            <w:color w:val="000000" w:themeColor="text1"/>
            <w:sz w:val="22"/>
            <w:szCs w:val="22"/>
            <w:u w:val="none"/>
          </w:rPr>
          <w:t>https://www.celcis.org/files/4215/0641/7391/2017_Vol_16_2_McGhee_K_Staying_Put_and_Continuing_Care_The_Implementation_Challenge.pdf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13 February 2020].</w:t>
      </w:r>
      <w:r w:rsidRPr="00C47DDD">
        <w:rPr>
          <w:rFonts w:ascii="Arial" w:hAnsi="Arial" w:cs="Arial"/>
          <w:color w:val="000000" w:themeColor="text1"/>
          <w:sz w:val="22"/>
          <w:szCs w:val="22"/>
        </w:rPr>
        <w:t xml:space="preserve"> </w:t>
      </w:r>
    </w:p>
    <w:p w14:paraId="30989E1C"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McGrath-Brookes, M., Hanley, J. and Higgins, M., 2020. A Fisher-eye lens on social work reform. </w:t>
      </w:r>
      <w:r w:rsidRPr="00C47DDD">
        <w:rPr>
          <w:rFonts w:ascii="Arial" w:hAnsi="Arial" w:cs="Arial"/>
          <w:i/>
          <w:iCs/>
          <w:color w:val="000000" w:themeColor="text1"/>
          <w:sz w:val="22"/>
          <w:szCs w:val="22"/>
        </w:rPr>
        <w:t>Journal of Social Work</w:t>
      </w:r>
      <w:r w:rsidRPr="00C47DDD">
        <w:rPr>
          <w:rFonts w:ascii="Arial" w:hAnsi="Arial" w:cs="Arial"/>
          <w:color w:val="000000" w:themeColor="text1"/>
          <w:sz w:val="22"/>
          <w:szCs w:val="22"/>
        </w:rPr>
        <w:t xml:space="preserve">, [e-journal] 0(0) pp, 1-17 </w:t>
      </w:r>
      <w:hyperlink r:id="rId175" w:history="1">
        <w:r w:rsidRPr="00C47DDD">
          <w:rPr>
            <w:rStyle w:val="Hyperlink"/>
            <w:rFonts w:ascii="Arial" w:eastAsiaTheme="majorEastAsia" w:hAnsi="Arial" w:cs="Arial"/>
            <w:color w:val="000000" w:themeColor="text1"/>
            <w:sz w:val="22"/>
            <w:szCs w:val="22"/>
            <w:u w:val="none"/>
          </w:rPr>
          <w:t>https://doi.org/10.1177/1468017320956750</w:t>
        </w:r>
      </w:hyperlink>
      <w:r w:rsidRPr="00C47DDD">
        <w:rPr>
          <w:rFonts w:ascii="Arial" w:hAnsi="Arial" w:cs="Arial"/>
          <w:color w:val="000000" w:themeColor="text1"/>
          <w:sz w:val="22"/>
          <w:szCs w:val="22"/>
        </w:rPr>
        <w:t>.</w:t>
      </w:r>
    </w:p>
    <w:p w14:paraId="69F658A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McGregor, C., 2019. A Paradigm Framework for Social Work Theory for Early 21st Century Practice.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49(8), pp. 2112–2129, https://doi.org/10.1093/bjsw/bcz006.</w:t>
      </w:r>
    </w:p>
    <w:p w14:paraId="2AB51A7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McGregor, C., Devaney, C. and Moran, L., 2019. A Critical Overview of the Significance of Power and Power Relations in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Practice with Children in Foster Care: Evidence from an Irish Study, Child Care in Practice, [e-journal]</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27(1), pp. 4-18, DOI: 10.1080/13575279.2018.1555135.</w:t>
      </w:r>
    </w:p>
    <w:p w14:paraId="00C57930"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McGregor, K., 2013, </w:t>
      </w:r>
      <w:r w:rsidRPr="00C47DDD">
        <w:rPr>
          <w:rFonts w:ascii="Arial" w:hAnsi="Arial" w:cs="Arial"/>
          <w:i/>
          <w:iCs/>
          <w:color w:val="000000" w:themeColor="text1"/>
          <w:sz w:val="22"/>
          <w:szCs w:val="22"/>
        </w:rPr>
        <w:t>Social workers more likely to turn to food than to managers as a way of coping with stress.</w:t>
      </w:r>
      <w:r w:rsidRPr="00C47DDD">
        <w:rPr>
          <w:rFonts w:ascii="Arial" w:hAnsi="Arial" w:cs="Arial"/>
          <w:color w:val="000000" w:themeColor="text1"/>
          <w:sz w:val="22"/>
          <w:szCs w:val="22"/>
        </w:rPr>
        <w:t xml:space="preserve">   Available at: </w:t>
      </w:r>
      <w:hyperlink r:id="rId176" w:history="1">
        <w:r w:rsidRPr="00C47DDD">
          <w:rPr>
            <w:rStyle w:val="Hyperlink"/>
            <w:rFonts w:ascii="Arial" w:eastAsiaTheme="majorEastAsia" w:hAnsi="Arial" w:cs="Arial"/>
            <w:color w:val="000000" w:themeColor="text1"/>
            <w:sz w:val="22"/>
            <w:szCs w:val="22"/>
            <w:u w:val="none"/>
          </w:rPr>
          <w:t>https://www.communitycare.co.uk/2013/12/02/social-workers-more-likely-to-turn-to-food-than-managers-to-cope-with-stress/</w:t>
        </w:r>
      </w:hyperlink>
      <w:r w:rsidRPr="00C47DDD">
        <w:rPr>
          <w:rFonts w:ascii="Arial" w:hAnsi="Arial" w:cs="Arial"/>
          <w:color w:val="000000" w:themeColor="text1"/>
          <w:sz w:val="22"/>
          <w:szCs w:val="22"/>
        </w:rPr>
        <w:t xml:space="preserve">  [Accessed 30 September 2019].</w:t>
      </w:r>
    </w:p>
    <w:p w14:paraId="32C6E920"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McLaughlin, H., 2012 </w:t>
      </w:r>
      <w:r w:rsidRPr="00C47DDD">
        <w:rPr>
          <w:rFonts w:ascii="Arial" w:hAnsi="Arial" w:cs="Arial"/>
          <w:i/>
          <w:iCs/>
          <w:color w:val="000000" w:themeColor="text1"/>
          <w:sz w:val="22"/>
          <w:szCs w:val="22"/>
          <w:shd w:val="clear" w:color="auto" w:fill="FFFFFF"/>
        </w:rPr>
        <w:t>Understanding Social Work Research</w:t>
      </w:r>
      <w:r w:rsidRPr="00C47DDD">
        <w:rPr>
          <w:rFonts w:ascii="Arial" w:hAnsi="Arial" w:cs="Arial"/>
          <w:color w:val="000000" w:themeColor="text1"/>
          <w:sz w:val="22"/>
          <w:szCs w:val="22"/>
          <w:shd w:val="clear" w:color="auto" w:fill="FFFFFF"/>
        </w:rPr>
        <w:t xml:space="preserve"> 2nd ed. London: SAGE Publications.</w:t>
      </w:r>
    </w:p>
    <w:p w14:paraId="13EA3D6E"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McLaughlin, H., 2020. Who are the service users? Language, neoliberalism and social constructions. In: H. McLaughlin, P. Beresford, C. Cameron, H. Casey and J. Duffy. 2020. </w:t>
      </w:r>
      <w:r w:rsidRPr="00C47DDD">
        <w:rPr>
          <w:rFonts w:ascii="Arial" w:hAnsi="Arial" w:cs="Arial"/>
          <w:i/>
          <w:iCs/>
          <w:color w:val="000000" w:themeColor="text1"/>
          <w:sz w:val="22"/>
          <w:szCs w:val="22"/>
          <w:shd w:val="clear" w:color="auto" w:fill="FFFFFF"/>
        </w:rPr>
        <w:t>The Routledge Handbook of Service User Involvement in Human Services Research and Education. London:</w:t>
      </w:r>
      <w:r w:rsidRPr="00C47DDD">
        <w:rPr>
          <w:rFonts w:ascii="Arial" w:hAnsi="Arial" w:cs="Arial"/>
          <w:color w:val="000000" w:themeColor="text1"/>
          <w:sz w:val="22"/>
          <w:szCs w:val="22"/>
          <w:shd w:val="clear" w:color="auto" w:fill="FFFFFF"/>
        </w:rPr>
        <w:t xml:space="preserve"> Routledge. Ch.3.</w:t>
      </w:r>
    </w:p>
    <w:p w14:paraId="1C436AE9" w14:textId="7E4A9776"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McLeod, A., 2008. ‘A Friend and an Equal’: Do Young People in Care Seek the Impossible from their Social Workers?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40 (3), pp. 772-788. </w:t>
      </w:r>
      <w:hyperlink r:id="rId17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https://doi.org/10.1093/bjsw/bcn143</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169227B" w14:textId="64EA557D"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McNamara, P., Harvey, A., and Andrewartha, L., 2017. Passports out of poverty: Raising access to higher education for care leavers in Australia.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 [e-journal]</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97, pp. 85–93. </w:t>
      </w:r>
      <w:hyperlink r:id="rId17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https://doi.org/10.1016/j.childyouth.2017.07.01</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95CA2DD" w14:textId="0EA1814E"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McNay, L. 1994.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Foucault and Feminism</w:t>
      </w:r>
      <w:r w:rsidRPr="00C47DDD">
        <w:rPr>
          <w:rStyle w:val="bibauth"/>
          <w:rFonts w:ascii="Arial" w:eastAsiaTheme="majorEastAsia" w:hAnsi="Arial" w:cs="Arial"/>
          <w:color w:val="000000" w:themeColor="text1"/>
          <w:sz w:val="22"/>
          <w:szCs w:val="22"/>
          <w:bdr w:val="none" w:sz="0" w:space="0" w:color="auto" w:frame="1"/>
          <w:shd w:val="clear" w:color="auto" w:fill="FFFFFF"/>
        </w:rPr>
        <w:t>. Cambridge: Polity Press</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11E0AFBC" w14:textId="0CDE998B"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Mendes, P. and Rogers, J., 2020. Young People Transitioning from Out-of-Home Care: What are the Lessons from Extended Care Programmes in the USA and England for Australia?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50 (5), pp,1513–1530, </w:t>
      </w:r>
      <w:hyperlink r:id="rId17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https://doi.org/10.1093/bjsw/bcaa028</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3C282A8" w14:textId="52B52A02"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Mendes, P., Snow, P. and Baidawi, S., 2014. Some ethical considerations associated with researching young people transitioning from out-of-home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Communities, Children and Families Australia</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8(2), pp. 81-92. Available through: Anglia Ruskin University Library Website &lt;http:// </w:t>
      </w:r>
      <w:hyperlink r:id="rId18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http://libweb.aru.ac.uk</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12 February 2017]</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081B4C3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Mercer, J., 2007. The challenges of insider research in educational institutions: wielding a double</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edged sword and resolving delicate dilemmas.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Oxford Review of Education [</w:t>
      </w:r>
      <w:r w:rsidRPr="00C47DDD">
        <w:rPr>
          <w:rStyle w:val="bibauth"/>
          <w:rFonts w:ascii="Arial" w:eastAsiaTheme="majorEastAsia" w:hAnsi="Arial" w:cs="Arial"/>
          <w:color w:val="000000" w:themeColor="text1"/>
          <w:sz w:val="22"/>
          <w:szCs w:val="22"/>
          <w:bdr w:val="none" w:sz="0" w:space="0" w:color="auto" w:frame="1"/>
          <w:shd w:val="clear" w:color="auto" w:fill="FFFFFF"/>
        </w:rPr>
        <w:t>e-journal] 33(1), pp.1-17. https://doi.org/10.1080/03054980601094651.</w:t>
      </w:r>
    </w:p>
    <w:p w14:paraId="1A46894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Merkel</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Holguin, L., Schwab</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Reese, L., Drury, I., Allan, H. and Hollinshead, D., 2020. Nothing about me without me: Children and young people's experiences with family group conferences.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25, pp. 27– 36. </w:t>
      </w:r>
      <w:hyperlink r:id="rId18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https://doi.org/10.1111/cfs.12648</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1F0E5433"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Mero-Jaffe, I., 2011. ‘Is that what I Said?’ Interview Transcript Approval by Participants: An Aspect of Ethics in Qualitative Research. </w:t>
      </w:r>
      <w:r w:rsidRPr="00C47DDD">
        <w:rPr>
          <w:rFonts w:ascii="Arial" w:hAnsi="Arial" w:cs="Arial"/>
          <w:i/>
          <w:iCs/>
          <w:color w:val="000000" w:themeColor="text1"/>
          <w:sz w:val="22"/>
          <w:szCs w:val="22"/>
        </w:rPr>
        <w:t>International Journal of Qualitative Methods</w:t>
      </w:r>
      <w:r w:rsidRPr="00C47DDD">
        <w:rPr>
          <w:rFonts w:ascii="Arial" w:hAnsi="Arial" w:cs="Arial"/>
          <w:color w:val="000000" w:themeColor="text1"/>
          <w:sz w:val="22"/>
          <w:szCs w:val="22"/>
        </w:rPr>
        <w:t>, [e-journal] 10(3), pp.231–247. https://doi.org/10.1177/160940691101000304.</w:t>
      </w:r>
    </w:p>
    <w:p w14:paraId="03C0DA5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Miles, M. B. and Huberman, A. M., 1994. Conceptual Framework: What Do You Think Is Going On? In: M. B. Miles, A. M. Huberman. 1994.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Qualitative Data Analysis: An Expanded Sourcebook.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SAGE. Ch.3.</w:t>
      </w:r>
    </w:p>
    <w:p w14:paraId="1885A6E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Ministry of Justice, 2016. Review of the Youth Justice System: an interim report of emerging findings. [online] Available at &lt;</w:t>
      </w:r>
      <w:r w:rsidRPr="00C47DDD">
        <w:rPr>
          <w:rFonts w:ascii="Arial" w:hAnsi="Arial" w:cs="Arial"/>
          <w:color w:val="000000" w:themeColor="text1"/>
          <w:sz w:val="22"/>
          <w:szCs w:val="22"/>
        </w:rPr>
        <w:t xml:space="preserve"> </w:t>
      </w:r>
      <w:hyperlink r:id="rId18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https://www.gov.uk/government/uploads/system/uploads/attachment_data/file/577103/youth-justice-review-final-report.pdf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&gt; [Accessed 11 June 2017]. </w:t>
      </w:r>
    </w:p>
    <w:p w14:paraId="5A5FED10"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Mitchell, F., Lunt, N., and Shaw, I. 2010. Practitioner research in social work: a knowledge review. </w:t>
      </w:r>
      <w:r w:rsidRPr="00C47DDD">
        <w:rPr>
          <w:rStyle w:val="Emphasis"/>
          <w:rFonts w:ascii="Arial" w:hAnsi="Arial" w:cs="Arial"/>
          <w:color w:val="000000" w:themeColor="text1"/>
          <w:sz w:val="22"/>
          <w:szCs w:val="22"/>
        </w:rPr>
        <w:t>Evidence and Policy</w:t>
      </w:r>
      <w:r w:rsidRPr="00C47DDD">
        <w:rPr>
          <w:rFonts w:ascii="Arial" w:hAnsi="Arial" w:cs="Arial"/>
          <w:color w:val="000000" w:themeColor="text1"/>
          <w:sz w:val="22"/>
          <w:szCs w:val="22"/>
        </w:rPr>
        <w:t xml:space="preserve">, [e-journal] </w:t>
      </w:r>
      <w:r w:rsidRPr="00C47DDD">
        <w:rPr>
          <w:rStyle w:val="Emphasis"/>
          <w:rFonts w:ascii="Arial" w:hAnsi="Arial" w:cs="Arial"/>
          <w:color w:val="000000" w:themeColor="text1"/>
          <w:sz w:val="22"/>
          <w:szCs w:val="22"/>
        </w:rPr>
        <w:t>6</w:t>
      </w:r>
      <w:r w:rsidRPr="00C47DDD">
        <w:rPr>
          <w:rFonts w:ascii="Arial" w:hAnsi="Arial" w:cs="Arial"/>
          <w:color w:val="000000" w:themeColor="text1"/>
          <w:sz w:val="22"/>
          <w:szCs w:val="22"/>
        </w:rPr>
        <w:t xml:space="preserve">(1), pp.7-31. </w:t>
      </w:r>
      <w:hyperlink r:id="rId183" w:history="1">
        <w:r w:rsidRPr="00C47DDD">
          <w:rPr>
            <w:rStyle w:val="Hyperlink"/>
            <w:rFonts w:ascii="Arial" w:eastAsiaTheme="majorEastAsia" w:hAnsi="Arial" w:cs="Arial"/>
            <w:color w:val="000000" w:themeColor="text1"/>
            <w:sz w:val="22"/>
            <w:szCs w:val="22"/>
            <w:u w:val="none"/>
          </w:rPr>
          <w:t>https://doi.org/10.1332/174426410X482971</w:t>
        </w:r>
      </w:hyperlink>
      <w:r w:rsidRPr="00C47DDD">
        <w:rPr>
          <w:rStyle w:val="Hyperlink"/>
          <w:rFonts w:ascii="Arial" w:eastAsiaTheme="majorEastAsia" w:hAnsi="Arial" w:cs="Arial"/>
          <w:color w:val="000000" w:themeColor="text1"/>
          <w:sz w:val="22"/>
          <w:szCs w:val="22"/>
          <w:u w:val="none"/>
        </w:rPr>
        <w:t>.</w:t>
      </w:r>
    </w:p>
    <w:p w14:paraId="2D166B2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Mitchell, G., 2020.  The work of creating a family life: foster carers and labour law,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Welfare and Family Law</w:t>
      </w:r>
      <w:r w:rsidRPr="00C47DDD">
        <w:rPr>
          <w:rStyle w:val="bibauth"/>
          <w:rFonts w:ascii="Arial" w:eastAsiaTheme="majorEastAsia" w:hAnsi="Arial" w:cs="Arial"/>
          <w:color w:val="000000" w:themeColor="text1"/>
          <w:sz w:val="22"/>
          <w:szCs w:val="22"/>
          <w:bdr w:val="none" w:sz="0" w:space="0" w:color="auto" w:frame="1"/>
          <w:shd w:val="clear" w:color="auto" w:fill="FFFFFF"/>
        </w:rPr>
        <w:t>, 42:4, 478-497, DOI: 10.1080/09649069.2020.1837519.</w:t>
      </w:r>
    </w:p>
    <w:p w14:paraId="5019D06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Mitchell, H., 2006. The Insider Researcher. In: M. Allott and M. Robb (eds). 2006.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Understanding Health and Social Care: An Introductory Reader</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 Ch.2.</w:t>
      </w:r>
    </w:p>
    <w:p w14:paraId="095C9DF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Mitchell, M., Mitchell, M., Jones, T., Jones, T., Renema, S., and Renema, S. 2015. Will I Make It on My Own? Voices and Visions of 17-Year-Old Youth in Transition</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 Child and </w:t>
      </w:r>
      <w:r w:rsidRPr="00C47DDD">
        <w:rPr>
          <w:rStyle w:val="bibauth"/>
          <w:rFonts w:ascii="Arial" w:eastAsiaTheme="majorEastAsia" w:hAnsi="Arial" w:cs="Arial"/>
          <w:i/>
          <w:iCs/>
          <w:color w:val="000000" w:themeColor="text1"/>
          <w:sz w:val="22"/>
          <w:szCs w:val="22"/>
          <w:bdr w:val="none" w:sz="0" w:space="0" w:color="auto" w:frame="1"/>
          <w:shd w:val="clear" w:color="auto" w:fill="FFFFFF"/>
        </w:rPr>
        <w:lastRenderedPageBreak/>
        <w:t>Adolescent Social Work Journal, [e-journal]</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32(3), pp. 291–300. </w:t>
      </w:r>
      <w:hyperlink r:id="rId18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https://doi.org/10.1007/s10560-014-0364-2</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125D0F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Mooney, A., Statham, J., Monck, E. and Chambers, H., 2009.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Promoting the health of looked after children - a study to inform revision of the 2002 guidance</w:t>
      </w:r>
      <w:r w:rsidRPr="00C47DDD">
        <w:rPr>
          <w:rStyle w:val="bibauth"/>
          <w:rFonts w:ascii="Arial" w:eastAsiaTheme="majorEastAsia" w:hAnsi="Arial" w:cs="Arial"/>
          <w:color w:val="000000" w:themeColor="text1"/>
          <w:sz w:val="22"/>
          <w:szCs w:val="22"/>
          <w:bdr w:val="none" w:sz="0" w:space="0" w:color="auto" w:frame="1"/>
          <w:shd w:val="clear" w:color="auto" w:fill="FFFFFF"/>
        </w:rPr>
        <w:t>. London: Department for Children, Schools and Families.</w:t>
      </w:r>
    </w:p>
    <w:p w14:paraId="62CDAC2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Moore, T., Saunders, V. and McArthur, M., 2011. Championing Choice—Lessons Learned from Children and Young People About Research and Their Involvement.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Indicators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 pp. 249–267. https://doi.org/10.1007/s12187-010-9083-1.</w:t>
      </w:r>
    </w:p>
    <w:p w14:paraId="0753398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Moran-Ellis, J., and Tisdall, E. K. M., 2019. The relevance of ‘competence’ for enhancing or limiting children’s participation: Unpicking conceptual confusion.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Global Studies of 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9(3), pp. 212–223. </w:t>
      </w:r>
      <w:hyperlink r:id="rId18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https://doi.org/10.1177/2043610619860995</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ED1C6B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Morgan, R., 2014. Children’s care monitor 2013/14. Children on the state of social care in England, [pdf]. Available at: </w:t>
      </w:r>
      <w:r w:rsidRPr="00C47DDD">
        <w:rPr>
          <w:rFonts w:ascii="Arial" w:hAnsi="Arial" w:cs="Arial"/>
          <w:color w:val="000000" w:themeColor="text1"/>
          <w:sz w:val="22"/>
          <w:szCs w:val="22"/>
          <w:bdr w:val="none" w:sz="0" w:space="0" w:color="auto" w:frame="1"/>
          <w:shd w:val="clear" w:color="auto" w:fill="FFFFFF"/>
        </w:rPr>
        <w:t>&lt;</w:t>
      </w:r>
      <w:hyperlink r:id="rId186"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http://www.ofsted.gov.uk/sites/default/files/documents/surveys-and-good-practice/c/Children%27s%20care%20monitor%20201314.pdf</w:t>
        </w:r>
      </w:hyperlink>
      <w:r w:rsidRPr="00C47DDD">
        <w:rPr>
          <w:rFonts w:ascii="Arial" w:hAnsi="Arial" w:cs="Arial"/>
          <w:color w:val="000000" w:themeColor="text1"/>
          <w:sz w:val="22"/>
          <w:szCs w:val="22"/>
          <w:bdr w:val="none" w:sz="0" w:space="0" w:color="auto" w:frame="1"/>
          <w:shd w:val="clear" w:color="auto" w:fill="FFFFFF"/>
        </w:rPr>
        <w:t>&gt;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[Accessed 1 January 2018].</w:t>
      </w:r>
    </w:p>
    <w:p w14:paraId="70C0D41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Moriaty, J., Baginsky, M. and Manthorpe, J. 2015. Literature Review of Roles and Issues within the Social Work profession in England [pdf] Available at:&lt;</w:t>
      </w:r>
      <w:hyperlink r:id="rId18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https://www.professionalstandards.org.uk/docs/default-source/publications/research-paper/literature-review-roles-and-issues-within-the-social-work-profession-in-england-2015.pdf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&gt; [Accessed 24 June 2018].</w:t>
      </w:r>
    </w:p>
    <w:p w14:paraId="30962584"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Morris, A., 2015. </w:t>
      </w:r>
      <w:r w:rsidRPr="00C47DDD">
        <w:rPr>
          <w:rStyle w:val="Emphasis"/>
          <w:rFonts w:ascii="Arial" w:hAnsi="Arial" w:cs="Arial"/>
          <w:color w:val="000000" w:themeColor="text1"/>
          <w:sz w:val="22"/>
          <w:szCs w:val="22"/>
          <w:shd w:val="clear" w:color="auto" w:fill="FFFFFF"/>
        </w:rPr>
        <w:t>A Practical Introduction to in-depth Interviewing</w:t>
      </w:r>
      <w:r w:rsidRPr="00C47DDD">
        <w:rPr>
          <w:rFonts w:ascii="Arial" w:hAnsi="Arial" w:cs="Arial"/>
          <w:color w:val="000000" w:themeColor="text1"/>
          <w:sz w:val="22"/>
          <w:szCs w:val="22"/>
          <w:shd w:val="clear" w:color="auto" w:fill="FFFFFF"/>
        </w:rPr>
        <w:t>. London: SAGE.</w:t>
      </w:r>
    </w:p>
    <w:p w14:paraId="0B2A0FCC"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Morris, K., Mason, W., Bywaters, P., Featherstone, B., Daniel, B., Brady, G., Bunting, L., Hooper, J., Mirza, N., Scourfield, J. and Webb, C., 2018.Social work, poverty, and child welfare interventions. </w:t>
      </w:r>
      <w:r w:rsidRPr="00C47DDD">
        <w:rPr>
          <w:rFonts w:ascii="Arial" w:hAnsi="Arial" w:cs="Arial"/>
          <w:i/>
          <w:iCs/>
          <w:color w:val="000000" w:themeColor="text1"/>
          <w:sz w:val="22"/>
          <w:szCs w:val="22"/>
          <w:bdr w:val="none" w:sz="0" w:space="0" w:color="auto" w:frame="1"/>
          <w:shd w:val="clear" w:color="auto" w:fill="FFFFFF"/>
        </w:rPr>
        <w:t>Child &amp; Family Social Work</w:t>
      </w:r>
      <w:r w:rsidRPr="00C47DDD">
        <w:rPr>
          <w:rFonts w:ascii="Arial" w:hAnsi="Arial" w:cs="Arial"/>
          <w:color w:val="000000" w:themeColor="text1"/>
          <w:sz w:val="22"/>
          <w:szCs w:val="22"/>
          <w:bdr w:val="none" w:sz="0" w:space="0" w:color="auto" w:frame="1"/>
          <w:shd w:val="clear" w:color="auto" w:fill="FFFFFF"/>
        </w:rPr>
        <w:t xml:space="preserve"> [e-journal] 23(3), pp. 364– 372. </w:t>
      </w:r>
      <w:hyperlink r:id="rId18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https://doi.org/10.1111/cfs.12423</w:t>
        </w:r>
      </w:hyperlink>
      <w:r w:rsidRPr="00C47DDD">
        <w:rPr>
          <w:rFonts w:ascii="Arial" w:hAnsi="Arial" w:cs="Arial"/>
          <w:color w:val="000000" w:themeColor="text1"/>
          <w:sz w:val="22"/>
          <w:szCs w:val="22"/>
          <w:bdr w:val="none" w:sz="0" w:space="0" w:color="auto" w:frame="1"/>
          <w:shd w:val="clear" w:color="auto" w:fill="FFFFFF"/>
        </w:rPr>
        <w:t>.</w:t>
      </w:r>
    </w:p>
    <w:p w14:paraId="67ACCC9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Morris, T. 2006.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Research Methods.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SAGE.</w:t>
      </w:r>
    </w:p>
    <w:p w14:paraId="6B31A1A2"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Morrison, F., Cree, V., Ruch, G., Winter, K. M., Hadfield, M., and Hallett, S., 2019. Containment: Exploring the concept of agency in children’s statutory encounters with social workers.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26(1), pp. 98–112. </w:t>
      </w:r>
      <w:hyperlink r:id="rId18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https://doi.org/10.1177/0907568218810101</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A12A974"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Morrow, S. L., 2005. Quality and Trustworthiness in Qualitative Research in Counselling Psychology. Journal of Counseling Psychology, [e-journal] 52, pp. 250-260. http://dx.doi.org/10.1037/0022-0167.52.2.250.</w:t>
      </w:r>
    </w:p>
    <w:p w14:paraId="68FBACA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Morrow, S. L., 2007. Qualitative Research in Counseling Psychology: Conceptual Foundations.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Counseling Psychologist</w:t>
      </w:r>
      <w:r w:rsidRPr="00C47DDD">
        <w:rPr>
          <w:rStyle w:val="bibauth"/>
          <w:rFonts w:ascii="Arial" w:eastAsiaTheme="majorEastAsia" w:hAnsi="Arial" w:cs="Arial"/>
          <w:color w:val="000000" w:themeColor="text1"/>
          <w:sz w:val="22"/>
          <w:szCs w:val="22"/>
          <w:bdr w:val="none" w:sz="0" w:space="0" w:color="auto" w:frame="1"/>
          <w:shd w:val="clear" w:color="auto" w:fill="FFFFFF"/>
        </w:rPr>
        <w:t>, [online] 35(2), pp. 209–235. https://doi.org/10.1177/0011000006286990.</w:t>
      </w:r>
    </w:p>
    <w:p w14:paraId="1A1BFAAF" w14:textId="0B1977A1"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Morrow, V., 1999. `We are people too': Children's and young people's perspectives on children's rights and decision-making in England,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International Journal of Children's Rights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7 (2), pp. 149-170. doi: </w:t>
      </w:r>
      <w:hyperlink r:id="rId19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https://doi.org/10.1163/15718189920494318</w:t>
        </w:r>
      </w:hyperlink>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E6CC7E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Morrow, V. and Richards, M., 1996. The Ethics of Social Research with Children: An Overview.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&amp; Society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10(2), pp. 90-105. </w:t>
      </w:r>
      <w:hyperlink r:id="rId19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https://doi.org/10.1111/j.1099-0860.1996.tb00461.x</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6E3D582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Morrow, V., 2012. The ethics of social research with children and families in young lives. practical experiences. In: J. Boyden and M. Bourdillon (eds.) 2012.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 poverty: Multidisciplinary approaches</w:t>
      </w:r>
      <w:r w:rsidRPr="00C47DDD">
        <w:rPr>
          <w:rStyle w:val="bibauth"/>
          <w:rFonts w:ascii="Arial" w:eastAsiaTheme="majorEastAsia" w:hAnsi="Arial" w:cs="Arial"/>
          <w:color w:val="000000" w:themeColor="text1"/>
          <w:sz w:val="22"/>
          <w:szCs w:val="22"/>
          <w:bdr w:val="none" w:sz="0" w:space="0" w:color="auto" w:frame="1"/>
          <w:shd w:val="clear" w:color="auto" w:fill="FFFFFF"/>
        </w:rPr>
        <w:t>. Basingstoke: Palgrave Macmillan. Ch.2.</w:t>
      </w:r>
    </w:p>
    <w:p w14:paraId="426AF62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Moss, P., Clark, A. and</w:t>
      </w:r>
      <w:r w:rsidRPr="00C47DDD">
        <w:rPr>
          <w:rFonts w:ascii="Arial" w:hAnsi="Arial" w:cs="Arial"/>
          <w:color w:val="000000" w:themeColor="text1"/>
          <w:sz w:val="22"/>
          <w:szCs w:val="22"/>
        </w:rPr>
        <w:t xml:space="preserve"> Kjørholt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A. 2005. Introduction. In A. Clark, A. </w:t>
      </w:r>
      <w:r w:rsidRPr="00C47DDD">
        <w:rPr>
          <w:rFonts w:ascii="Arial" w:hAnsi="Arial" w:cs="Arial"/>
          <w:color w:val="000000" w:themeColor="text1"/>
          <w:sz w:val="22"/>
          <w:szCs w:val="22"/>
        </w:rPr>
        <w:t>Kjørholt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A. and P. Moss (eds) 2005.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Beyond listening: children’s perspectives on early childhood services.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Bristol: Policy Press.</w:t>
      </w:r>
    </w:p>
    <w:p w14:paraId="1C7316D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Muller, B., 2017. Governmentality and Biopolitics. Oxford Research Encyclopedia of International Studies. [online] Available at: </w:t>
      </w:r>
      <w:hyperlink r:id="rId19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https://oxfordre.com/internationalstudies/view/10.1093/acrefore/9780190846626.001.0001/acrefore-9780190846626-e-50</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[Accessed 20 June 2019].</w:t>
      </w:r>
    </w:p>
    <w:p w14:paraId="0640A8B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Mulvey, T., 1977.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After Care – Who Cares?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Concern. 26. London: National Children’s Bureau.</w:t>
      </w:r>
    </w:p>
    <w:p w14:paraId="7995A0E3"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Munford, R. and Sanders, J., 2015. Young people's search for agency: Making sense of their experiences and taking control. </w:t>
      </w:r>
      <w:r w:rsidRPr="00C47DDD">
        <w:rPr>
          <w:rStyle w:val="bibauth"/>
          <w:rFonts w:ascii="Arial" w:eastAsiaTheme="majorEastAsia" w:hAnsi="Arial" w:cs="Arial"/>
          <w:i/>
          <w:color w:val="000000" w:themeColor="text1"/>
          <w:sz w:val="22"/>
          <w:szCs w:val="22"/>
          <w:bdr w:val="none" w:sz="0" w:space="0" w:color="auto" w:frame="1"/>
          <w:shd w:val="clear" w:color="auto" w:fill="FFFFFF"/>
        </w:rPr>
        <w:t>Qualitative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14 (5), pp. 616-633. </w:t>
      </w:r>
      <w:hyperlink r:id="rId193"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http://10.1177/1473325014565149</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C4A22F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2001. Empowering looked after children Child and Family Social Work [e-journal] 6 (2), pp. 129-137. </w:t>
      </w:r>
      <w:hyperlink r:id="rId19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http://dx.doi.org/10.1046/j.1365-2206.2001.00192.x</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432B68C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2010.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Munro Review of Child Protection: Interim Report – The Child's Journey</w:t>
      </w:r>
      <w:r w:rsidRPr="00C47DDD">
        <w:rPr>
          <w:rStyle w:val="bibauth"/>
          <w:rFonts w:ascii="Arial" w:eastAsiaTheme="majorEastAsia" w:hAnsi="Arial" w:cs="Arial"/>
          <w:color w:val="000000" w:themeColor="text1"/>
          <w:sz w:val="22"/>
          <w:szCs w:val="22"/>
          <w:bdr w:val="none" w:sz="0" w:space="0" w:color="auto" w:frame="1"/>
          <w:shd w:val="clear" w:color="auto" w:fill="FFFFFF"/>
        </w:rPr>
        <w:t>. London: Department for Education.</w:t>
      </w:r>
    </w:p>
    <w:p w14:paraId="735F12B9" w14:textId="70B7C663"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2011.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Munro Review of Child Protection: Final Report</w:t>
      </w:r>
      <w:r w:rsidRPr="00C47DDD">
        <w:rPr>
          <w:rStyle w:val="bibauth"/>
          <w:rFonts w:ascii="Arial" w:eastAsiaTheme="majorEastAsia" w:hAnsi="Arial" w:cs="Arial"/>
          <w:color w:val="000000" w:themeColor="text1"/>
          <w:sz w:val="22"/>
          <w:szCs w:val="22"/>
          <w:bdr w:val="none" w:sz="0" w:space="0" w:color="auto" w:frame="1"/>
          <w:shd w:val="clear" w:color="auto" w:fill="FFFFFF"/>
        </w:rPr>
        <w:t>. London: Department for Education</w:t>
      </w:r>
      <w:r w:rsidR="00C3401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215E3626" w14:textId="5542BED9"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2012. </w:t>
      </w:r>
      <w:r w:rsidRPr="00C47DDD">
        <w:rPr>
          <w:rStyle w:val="bibauth"/>
          <w:rFonts w:ascii="Arial" w:eastAsiaTheme="majorEastAsia" w:hAnsi="Arial" w:cs="Arial"/>
          <w:i/>
          <w:color w:val="000000" w:themeColor="text1"/>
          <w:sz w:val="22"/>
          <w:szCs w:val="22"/>
          <w:bdr w:val="none" w:sz="0" w:space="0" w:color="auto" w:frame="1"/>
          <w:shd w:val="clear" w:color="auto" w:fill="FFFFFF"/>
        </w:rPr>
        <w:t>Progress Report: Moving towards a child-centred system</w:t>
      </w:r>
      <w:r w:rsidRPr="00C47DDD">
        <w:rPr>
          <w:rStyle w:val="bibauth"/>
          <w:rFonts w:ascii="Arial" w:eastAsiaTheme="majorEastAsia" w:hAnsi="Arial" w:cs="Arial"/>
          <w:color w:val="000000" w:themeColor="text1"/>
          <w:sz w:val="22"/>
          <w:szCs w:val="22"/>
          <w:bdr w:val="none" w:sz="0" w:space="0" w:color="auto" w:frame="1"/>
          <w:shd w:val="clear" w:color="auto" w:fill="FFFFFF"/>
        </w:rPr>
        <w:t>. London: Department for Education</w:t>
      </w:r>
      <w:r w:rsidR="00C3401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7CA06079" w14:textId="57BB20A5" w:rsidR="00C3401E" w:rsidRPr="00C47DDD" w:rsidRDefault="00C3401E"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Munro, E., Cartwright, N., Hardie, J. and Montuschi, E., 2017, Improving child safety: deliberation, judgement and empirical research. [pdf] Available at: &lt;</w:t>
      </w:r>
      <w:r w:rsidRPr="00C47DDD">
        <w:rPr>
          <w:rFonts w:ascii="Arial" w:hAnsi="Arial" w:cs="Arial"/>
          <w:sz w:val="22"/>
          <w:szCs w:val="22"/>
        </w:rPr>
        <w:t>https://dro.dur.ac.uk/22298/1/22298.pdf%20pages%2012-14</w:t>
      </w:r>
      <w:r w:rsidRPr="00C47DDD">
        <w:rPr>
          <w:rStyle w:val="bibauth"/>
          <w:rFonts w:ascii="Arial" w:eastAsiaTheme="majorEastAsia" w:hAnsi="Arial" w:cs="Arial"/>
          <w:color w:val="000000" w:themeColor="text1"/>
          <w:sz w:val="22"/>
          <w:szCs w:val="22"/>
          <w:bdr w:val="none" w:sz="0" w:space="0" w:color="auto" w:frame="1"/>
          <w:shd w:val="clear" w:color="auto" w:fill="FFFFFF"/>
        </w:rPr>
        <w:t>&gt;. [Accessed 18 February 2019].</w:t>
      </w:r>
    </w:p>
    <w:p w14:paraId="36501BDC" w14:textId="6B0F1A5A"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Munro, E.R., and Hardy, A., 2006. Placement Stability: a review of the literature [pdf] Available at &lt;https://dspace.lboro.ac.uk/2134/2919&gt; [Accessed 1 January 2017</w:t>
      </w:r>
      <w:r w:rsidR="002D394E"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A498869"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R., Holmes L. and Ward H., 2005. Researching vulnerable groups: ethical issues and the effective conduct of research in local authorities.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35(7), pp.1023–1038, </w:t>
      </w:r>
      <w:hyperlink r:id="rId19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https://doi.org/10.1093/bjsw/bch220</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202F48B" w14:textId="0A644080"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R., Lushey, C., Ward, H. and National Care Advisory Service. 2011. Evaluation of theRight2BCared4Pilots: Final report. [pdf] Available at: </w:t>
      </w: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&lt;</w:t>
      </w:r>
      <w:hyperlink r:id="rId196"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https://www.gov.uk/government/uploads/system/uploads/attachment_data/file/182483/DFE-RR106.pdf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14 February 201</w:t>
      </w:r>
      <w:r w:rsidR="00C3401E" w:rsidRPr="00C47DDD">
        <w:rPr>
          <w:rStyle w:val="bibauth"/>
          <w:rFonts w:ascii="Arial" w:eastAsiaTheme="majorEastAsia" w:hAnsi="Arial" w:cs="Arial"/>
          <w:color w:val="000000" w:themeColor="text1"/>
          <w:sz w:val="22"/>
          <w:szCs w:val="22"/>
          <w:bdr w:val="none" w:sz="0" w:space="0" w:color="auto" w:frame="1"/>
          <w:shd w:val="clear" w:color="auto" w:fill="FFFFFF"/>
        </w:rPr>
        <w:t>7</w:t>
      </w:r>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366C4E8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E.R., Pinkerton, J., Mendes, P., Hyde-Dryden, G., Herczog, M and Benbenishty, R., 2011b. The contribution of the United Nations Convention on the Rights of the Child to understanding and promoting the interests of young people making the transition from care to adulthood.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33(12), pp. 2417-2423. https://doi.org/10.1016/j.childyouth.2011.08.025.</w:t>
      </w:r>
    </w:p>
    <w:p w14:paraId="740CE58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E.R., Lushey, C., National Care Advisory Service, Maskell-Graham, D., Ward, H. with Holmes, L., 2012. </w:t>
      </w:r>
      <w:r w:rsidRPr="00C47DDD">
        <w:rPr>
          <w:rStyle w:val="bibauth"/>
          <w:rFonts w:ascii="Arial" w:eastAsiaTheme="majorEastAsia" w:hAnsi="Arial" w:cs="Arial"/>
          <w:i/>
          <w:color w:val="000000" w:themeColor="text1"/>
          <w:sz w:val="22"/>
          <w:szCs w:val="22"/>
          <w:bdr w:val="none" w:sz="0" w:space="0" w:color="auto" w:frame="1"/>
          <w:shd w:val="clear" w:color="auto" w:fill="FFFFFF"/>
        </w:rPr>
        <w:t>Evaluation of the Staying Put: 18+ Family Placement Programme Pilot: Final Report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Department for Education [pdf] Available at: &lt; </w:t>
      </w:r>
      <w:hyperlink r:id="rId19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http://www.lboro.ac.uk/research/ccfr/Publications/Staying%20Put%20final%20report.pdf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Accessed 1 January 2017</w:t>
      </w:r>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2DCD97F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Munro E. R., 2019. ‘Reflections on upholding the rights of youth leaving out-of-home care’. In Mann-Feder V. R., Goyette M. (eds),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Leaving Care and the Transition to Adulthood</w:t>
      </w:r>
      <w:r w:rsidRPr="00C47DDD">
        <w:rPr>
          <w:rStyle w:val="bibauth"/>
          <w:rFonts w:ascii="Arial" w:eastAsiaTheme="majorEastAsia" w:hAnsi="Arial" w:cs="Arial"/>
          <w:color w:val="000000" w:themeColor="text1"/>
          <w:sz w:val="22"/>
          <w:szCs w:val="22"/>
          <w:bdr w:val="none" w:sz="0" w:space="0" w:color="auto" w:frame="1"/>
          <w:shd w:val="clear" w:color="auto" w:fill="FFFFFF"/>
        </w:rPr>
        <w:t>. New York: Oxford University Press. Ch. 4.</w:t>
      </w:r>
    </w:p>
    <w:p w14:paraId="434C0D1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Napolitano, L., Sulimani-Aidan, Y., Courtney, M., 2015. Extended foster care in California: Youth and caseworker perspectives. [pdf] Available at &lt;</w:t>
      </w:r>
      <w:r w:rsidRPr="00C47DDD">
        <w:rPr>
          <w:rFonts w:ascii="Arial" w:hAnsi="Arial" w:cs="Arial"/>
          <w:color w:val="000000" w:themeColor="text1"/>
          <w:sz w:val="22"/>
          <w:szCs w:val="22"/>
        </w:rPr>
        <w:t xml:space="preserve"> </w:t>
      </w:r>
      <w:hyperlink r:id="rId19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https://www.chapinhall.org/wp-content/uploads/CY_EF_IB1015.pdf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&gt; [Accessed 2 December 2020].</w:t>
      </w:r>
    </w:p>
    <w:p w14:paraId="579EF8D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Narey, M.,2014. Making the education of social workers consistently effective, Report of Sir Martin Narey’s independent review of the education of children’s social workers. Secretary of State for Education. Available at: &lt;</w:t>
      </w:r>
      <w:hyperlink r:id="rId19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https://www.gov.uk/government/uploads/system/uploads/attachment_data/file/287756/Making_the_education_of_social_workers_consistently_effective.pdf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14 October 2020].</w:t>
      </w:r>
    </w:p>
    <w:p w14:paraId="08BCD62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Narey M. 2016.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Residential Care in England,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Department for Education.</w:t>
      </w:r>
    </w:p>
    <w:p w14:paraId="4F714B2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Narey M. and Owers M., 2018.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An Independent Review of Foster Care: A review for the Department for Education.</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Department for Education.</w:t>
      </w:r>
    </w:p>
    <w:p w14:paraId="485DB41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National Care Advisory Service (NCAS). 2012. </w:t>
      </w:r>
      <w:r w:rsidRPr="00C47DDD">
        <w:rPr>
          <w:rStyle w:val="bibauth"/>
          <w:rFonts w:ascii="Arial" w:eastAsiaTheme="majorEastAsia" w:hAnsi="Arial" w:cs="Arial"/>
          <w:i/>
          <w:color w:val="000000" w:themeColor="text1"/>
          <w:sz w:val="22"/>
          <w:szCs w:val="22"/>
          <w:bdr w:val="none" w:sz="0" w:space="0" w:color="auto" w:frame="1"/>
          <w:shd w:val="clear" w:color="auto" w:fill="FFFFFF"/>
        </w:rPr>
        <w:t>Staying Put 18+ Family Placement Programme (Peer Research Report)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 </w:t>
      </w:r>
      <w:hyperlink r:id="rId20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http://resources.leavingcare.org/uploads/cc7a6840ba99710b4f5c314e17129a3a.pdf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12 March 2018].</w:t>
      </w:r>
    </w:p>
    <w:p w14:paraId="4DD3DAA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National Health Service and Community Care Act 1990. [online] Available at: &lt;</w:t>
      </w:r>
      <w:r w:rsidRPr="00C47DDD">
        <w:rPr>
          <w:rFonts w:ascii="Arial" w:hAnsi="Arial" w:cs="Arial"/>
          <w:color w:val="000000" w:themeColor="text1"/>
          <w:sz w:val="22"/>
          <w:szCs w:val="22"/>
        </w:rPr>
        <w:t xml:space="preserve"> </w:t>
      </w:r>
      <w:r w:rsidRPr="00C47DDD">
        <w:rPr>
          <w:rStyle w:val="bibauth"/>
          <w:rFonts w:ascii="Arial" w:eastAsiaTheme="majorEastAsia" w:hAnsi="Arial" w:cs="Arial"/>
          <w:color w:val="000000" w:themeColor="text1"/>
          <w:sz w:val="22"/>
          <w:szCs w:val="22"/>
          <w:bdr w:val="none" w:sz="0" w:space="0" w:color="auto" w:frame="1"/>
          <w:shd w:val="clear" w:color="auto" w:fill="FFFFFF"/>
        </w:rPr>
        <w:t>https://www.legislation.gov.uk/ukpga/1990/19/contents&gt; Accessed [18 June 2018].</w:t>
      </w:r>
    </w:p>
    <w:p w14:paraId="53775CB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Nelson, L. J., 2019. Series Forward. In: In Mann-Feder V. R., Goyette M. (eds),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Leaving Care and the Transition to Adulthood</w:t>
      </w:r>
      <w:r w:rsidRPr="00C47DDD">
        <w:rPr>
          <w:rStyle w:val="bibauth"/>
          <w:rFonts w:ascii="Arial" w:eastAsiaTheme="majorEastAsia" w:hAnsi="Arial" w:cs="Arial"/>
          <w:color w:val="000000" w:themeColor="text1"/>
          <w:sz w:val="22"/>
          <w:szCs w:val="22"/>
          <w:bdr w:val="none" w:sz="0" w:space="0" w:color="auto" w:frame="1"/>
          <w:shd w:val="clear" w:color="auto" w:fill="FFFFFF"/>
        </w:rPr>
        <w:t>. New York: Oxford University Press. pp. viiii-xii.</w:t>
      </w:r>
    </w:p>
    <w:p w14:paraId="252D50A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Newman, J. and Clarke, J., 2009.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Publics, Politics and Power: Remaking the Public in Public Services</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567B943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Newman, E. and Kaloupek, D.G., 2004. The risks and benefits of participating in trauma-focused research studies.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Journal of Traumatic Stress</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17(5), pp.383-94. doi: 10.1023/B:JOTS.0000048951.02568.3a. PMID: 15633917.</w:t>
      </w:r>
    </w:p>
    <w:p w14:paraId="5DF11C3A" w14:textId="44F6A232"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Norgate, R., Warhurst, A., Hayden, C., Osborne, C. and Traill, M., 2012. Social workers’ perspectives on the placement instability of looked after children, </w:t>
      </w:r>
      <w:r w:rsidRPr="00C47DDD">
        <w:rPr>
          <w:rStyle w:val="bibauth"/>
          <w:rFonts w:ascii="Arial" w:eastAsiaTheme="majorEastAsia" w:hAnsi="Arial" w:cs="Arial"/>
          <w:i/>
          <w:color w:val="000000" w:themeColor="text1"/>
          <w:sz w:val="22"/>
          <w:szCs w:val="22"/>
          <w:bdr w:val="none" w:sz="0" w:space="0" w:color="auto" w:frame="1"/>
          <w:shd w:val="clear" w:color="auto" w:fill="FFFFFF"/>
        </w:rPr>
        <w:t>Adoption and Fostering</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36(2), pp. 4-18. </w:t>
      </w:r>
      <w:hyperlink r:id="rId20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https://doi.org/10.1177/030857591203600202</w:t>
        </w:r>
      </w:hyperlink>
      <w:r w:rsidR="00D94FFB"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0D8F9B42" w14:textId="50CE2A88" w:rsidR="00D94FFB" w:rsidRPr="00C47DDD" w:rsidRDefault="00D94FFB"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Nowell, L. S., Norris, J. M., White, D. E., and Moules, N. J., 2017. Thematic Analysis: Striving to Meet the Trustworthiness Criteria. </w:t>
      </w:r>
      <w:r w:rsidRPr="00C47DDD">
        <w:rPr>
          <w:rStyle w:val="bibauth"/>
          <w:rFonts w:ascii="Arial" w:eastAsiaTheme="majorEastAsia" w:hAnsi="Arial" w:cs="Arial"/>
          <w:i/>
          <w:iCs/>
          <w:color w:val="000000" w:themeColor="text1"/>
          <w:sz w:val="22"/>
          <w:szCs w:val="22"/>
          <w:bdr w:val="none" w:sz="0" w:space="0" w:color="auto" w:frame="1"/>
          <w:shd w:val="clear" w:color="auto" w:fill="FFFFFF"/>
        </w:rPr>
        <w:t>International Journal of Qualitative Methods</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16 (1), pp. 1-13. doi.org/10.1177/1609406917733847.</w:t>
      </w:r>
    </w:p>
    <w:p w14:paraId="05D4C3A7" w14:textId="44B92364"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Nybell, L.M., 2013. Locating youth voice: Considering the contexts of speaking in foster care.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35(8), pp. 1227-1235. </w:t>
      </w:r>
      <w:hyperlink r:id="rId20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http://10.1016/j.childyouth.2013.04.009</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E628455"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O'Connor, L. and Leonard, K., 2014. Decision Making in Children and Families Social Work: The Practitioner's Voice. </w:t>
      </w:r>
      <w:r w:rsidRPr="00C47DDD">
        <w:rPr>
          <w:rFonts w:ascii="Arial" w:hAnsi="Arial" w:cs="Arial"/>
          <w:i/>
          <w:iCs/>
          <w:color w:val="000000" w:themeColor="text1"/>
          <w:sz w:val="22"/>
          <w:szCs w:val="22"/>
          <w:shd w:val="clear" w:color="auto" w:fill="FFFFFF"/>
        </w:rPr>
        <w:t>The British Journal of Social Work</w:t>
      </w:r>
      <w:r w:rsidRPr="00C47DDD">
        <w:rPr>
          <w:rFonts w:ascii="Arial" w:hAnsi="Arial" w:cs="Arial"/>
          <w:color w:val="000000" w:themeColor="text1"/>
          <w:sz w:val="22"/>
          <w:szCs w:val="22"/>
          <w:shd w:val="clear" w:color="auto" w:fill="FFFFFF"/>
        </w:rPr>
        <w:t>, [e-journal] 44(7), pp.1805–1822, https://doi.org/10.1093/bjsw/bct051.</w:t>
      </w:r>
    </w:p>
    <w:p w14:paraId="347B803B"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O'Farrell, C., 2005. </w:t>
      </w:r>
      <w:r w:rsidRPr="00C47DDD">
        <w:rPr>
          <w:rFonts w:ascii="Arial" w:hAnsi="Arial" w:cs="Arial"/>
          <w:i/>
          <w:iCs/>
          <w:color w:val="000000" w:themeColor="text1"/>
          <w:sz w:val="22"/>
          <w:szCs w:val="22"/>
        </w:rPr>
        <w:t>Michel Foucault</w:t>
      </w:r>
      <w:r w:rsidRPr="00C47DDD">
        <w:rPr>
          <w:rFonts w:ascii="Arial" w:hAnsi="Arial" w:cs="Arial"/>
          <w:color w:val="000000" w:themeColor="text1"/>
          <w:sz w:val="22"/>
          <w:szCs w:val="22"/>
        </w:rPr>
        <w:t>. London: SAGE.</w:t>
      </w:r>
    </w:p>
    <w:p w14:paraId="00F318A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O'Hare, L., Santin, O., Winter, K., and McGuinness, C., 2016. The reliability and validity of a child and adolescent participation in decision-making questionnaire.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Care, Health and Development</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42, pp. 692–698. http:// doi: 10.1111/cch.12369.</w:t>
      </w:r>
    </w:p>
    <w:p w14:paraId="090466A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O'Sullivan, T., 2011. </w:t>
      </w:r>
      <w:r w:rsidRPr="00C47DDD">
        <w:rPr>
          <w:rStyle w:val="bibauth"/>
          <w:rFonts w:ascii="Arial" w:eastAsiaTheme="majorEastAsia" w:hAnsi="Arial" w:cs="Arial"/>
          <w:i/>
          <w:color w:val="000000" w:themeColor="text1"/>
          <w:sz w:val="22"/>
          <w:szCs w:val="22"/>
          <w:bdr w:val="none" w:sz="0" w:space="0" w:color="auto" w:frame="1"/>
          <w:shd w:val="clear" w:color="auto" w:fill="FFFFFF"/>
        </w:rPr>
        <w:t>Decision Making in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Basingstoke: Palgrave Macmillan.</w:t>
      </w:r>
    </w:p>
    <w:p w14:paraId="08E2D4D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O’Reilly, L. and Dolan, P., 2016. The Voice of the Child in Social Work Assessments: Age-Appropriate Communication with Children. The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46, pp. 1191–1207. doi:10.1093/bjsw/bcv040.</w:t>
      </w:r>
    </w:p>
    <w:p w14:paraId="010ADAC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O'Reilly, M., Ronzoni, N. and Dogra, P., 2013.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Research with Children: Theory and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1877269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Oakley, A., 1981. Interviewing Women: A contradiction in terms. In: H. Roberts ed.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Doing Feminist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Routledge &amp; Kegan Paul.</w:t>
      </w:r>
    </w:p>
    <w:p w14:paraId="2E107CC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Office for National Statistics. 2019.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Milestones: journeying into Adulthood</w:t>
      </w:r>
      <w:r w:rsidRPr="00C47DDD">
        <w:rPr>
          <w:rStyle w:val="bibauth"/>
          <w:rFonts w:ascii="Arial" w:eastAsiaTheme="majorEastAsia" w:hAnsi="Arial" w:cs="Arial"/>
          <w:color w:val="000000" w:themeColor="text1"/>
          <w:sz w:val="22"/>
          <w:szCs w:val="22"/>
          <w:bdr w:val="none" w:sz="0" w:space="0" w:color="auto" w:frame="1"/>
          <w:shd w:val="clear" w:color="auto" w:fill="FFFFFF"/>
        </w:rPr>
        <w:t>. [online] Available at: &lt;</w:t>
      </w:r>
      <w:r w:rsidRPr="00C47DDD">
        <w:rPr>
          <w:rFonts w:ascii="Arial" w:hAnsi="Arial" w:cs="Arial"/>
          <w:color w:val="000000" w:themeColor="text1"/>
          <w:sz w:val="22"/>
          <w:szCs w:val="22"/>
        </w:rPr>
        <w:t xml:space="preserve"> </w:t>
      </w:r>
      <w:hyperlink r:id="rId203" w:anchor="parents"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https://www.ons.gov.uk/peoplepopulationandcommunity/populationandmigration/populationestimates/articles/milestonesjourneyingintoadulthood/2019-02-18#parents</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 March 2021].</w:t>
      </w:r>
    </w:p>
    <w:p w14:paraId="4990E7E4"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Ofsted. 2012. </w:t>
      </w:r>
      <w:r w:rsidRPr="00C47DDD">
        <w:rPr>
          <w:rFonts w:ascii="Arial" w:hAnsi="Arial" w:cs="Arial"/>
          <w:i/>
          <w:iCs/>
          <w:color w:val="000000" w:themeColor="text1"/>
          <w:sz w:val="22"/>
          <w:szCs w:val="22"/>
        </w:rPr>
        <w:t>After Care, Young People’s Views on Leaving Care, Reported by the Children’s Rights Director for England</w:t>
      </w:r>
      <w:r w:rsidRPr="00C47DDD">
        <w:rPr>
          <w:rFonts w:ascii="Arial" w:hAnsi="Arial" w:cs="Arial"/>
          <w:color w:val="000000" w:themeColor="text1"/>
          <w:sz w:val="22"/>
          <w:szCs w:val="22"/>
        </w:rPr>
        <w:t>. Manchester: Ofsted.</w:t>
      </w:r>
    </w:p>
    <w:p w14:paraId="571CF5B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Ofsted, 2020.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Fostering in England 2019 to 2020: main findings</w:t>
      </w:r>
      <w:r w:rsidRPr="00C47DDD">
        <w:rPr>
          <w:rStyle w:val="bibauth"/>
          <w:rFonts w:ascii="Arial" w:eastAsiaTheme="majorEastAsia" w:hAnsi="Arial" w:cs="Arial"/>
          <w:color w:val="000000" w:themeColor="text1"/>
          <w:sz w:val="22"/>
          <w:szCs w:val="22"/>
          <w:bdr w:val="none" w:sz="0" w:space="0" w:color="auto" w:frame="1"/>
          <w:shd w:val="clear" w:color="auto" w:fill="FFFFFF"/>
        </w:rPr>
        <w:t>. [online] Available At: &lt;</w:t>
      </w:r>
      <w:r w:rsidRPr="00C47DDD">
        <w:rPr>
          <w:rFonts w:ascii="Arial" w:hAnsi="Arial" w:cs="Arial"/>
          <w:color w:val="000000" w:themeColor="text1"/>
          <w:sz w:val="22"/>
          <w:szCs w:val="22"/>
        </w:rPr>
        <w:t xml:space="preserve"> </w:t>
      </w:r>
      <w:hyperlink r:id="rId20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https://www.gov.uk/government/statistics/fostering-in-england-1-april-2019-to-31-march-2020/fostering-in-england-2019-to-2020-main-findings</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12 June 2021].</w:t>
      </w:r>
    </w:p>
    <w:p w14:paraId="0D0C1A5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Okpych, N., and Courtney, M., 2019.  Longitudinal Analyses of Educational Outcomes for Youth Transitioning Out of Care in the US: Trends and Influential Factors.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Oxford Review of Education</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45(4), pp. 461-480, DOI: 10.1080/03054985.2019.1592747.</w:t>
      </w:r>
    </w:p>
    <w:p w14:paraId="245A7A4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Oksala, J., 2013. From Biopower to Governmentality. In: C. Falzon, T. O'Leary, J. Sawick (eds) 2013. A Companion to Foucault. Chichester: Wiley-Blackwell. Ch.15.</w:t>
      </w:r>
    </w:p>
    <w:p w14:paraId="3E11E25D"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Oliver, C., 2010.  </w:t>
      </w:r>
      <w:r w:rsidRPr="00C47DDD">
        <w:rPr>
          <w:rFonts w:ascii="Arial" w:hAnsi="Arial" w:cs="Arial"/>
          <w:i/>
          <w:iCs/>
          <w:color w:val="000000" w:themeColor="text1"/>
          <w:sz w:val="22"/>
          <w:szCs w:val="22"/>
        </w:rPr>
        <w:t>Children's Views and Experiences of Their Contact with Social Workers: A Focused Review of the Evidence</w:t>
      </w:r>
      <w:r w:rsidRPr="00C47DDD">
        <w:rPr>
          <w:rFonts w:ascii="Arial" w:hAnsi="Arial" w:cs="Arial"/>
          <w:color w:val="000000" w:themeColor="text1"/>
          <w:sz w:val="22"/>
          <w:szCs w:val="22"/>
        </w:rPr>
        <w:t>. Leeds: Children’s Workforce Development Council.</w:t>
      </w:r>
    </w:p>
    <w:p w14:paraId="4F25EB31"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Page, R.N., Samson, Y.J., and Crockett, M.D., 2000. Reporting ethnography to informants. In: B.M. Brizuela, J.P. Stewart, R.G. Carrillo, and J.G. Berger (eds.). 2000. </w:t>
      </w:r>
      <w:r w:rsidRPr="00C47DDD">
        <w:rPr>
          <w:rFonts w:ascii="Arial" w:hAnsi="Arial" w:cs="Arial"/>
          <w:i/>
          <w:iCs/>
          <w:color w:val="000000" w:themeColor="text1"/>
          <w:sz w:val="22"/>
          <w:szCs w:val="22"/>
        </w:rPr>
        <w:t xml:space="preserve">Acts of Inquiry in Qualitative Research. </w:t>
      </w:r>
      <w:r w:rsidRPr="00C47DDD">
        <w:rPr>
          <w:rFonts w:ascii="Arial" w:hAnsi="Arial" w:cs="Arial"/>
          <w:color w:val="000000" w:themeColor="text1"/>
          <w:sz w:val="22"/>
          <w:szCs w:val="22"/>
        </w:rPr>
        <w:t xml:space="preserve"> Cambridge: Harvard Educational Review. pp. 321–352.</w:t>
      </w:r>
    </w:p>
    <w:p w14:paraId="7CBC95B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Parsons, T., 1969. On the concept of political power. In: Bell: R., Edwards, D and Wagner, R. (eds)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Political Power: a reader in theory and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New York: Free Press. pp 251-84.</w:t>
      </w:r>
    </w:p>
    <w:p w14:paraId="69C92C7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Parton, N., 1991,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Governing the family: Childcare, child protection and the state.</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Basingstoke: Palgrave Macmillan.</w:t>
      </w:r>
    </w:p>
    <w:p w14:paraId="65BB525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Parton, N., 1999. Reconfiguring Child Welfare Practices: Risk, Advanced Liberalism, and the Government of Freedom. In: In: A. S. Chambon, A. Irving and L. Epstein (eds)1999.  Reading Foucault for Social Work.  New York: Columbia University Press. Ch.5.  </w:t>
      </w:r>
    </w:p>
    <w:p w14:paraId="5E533C5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Parton, N., 2006.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Safeguarding 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Basingstoke: Palgrave.</w:t>
      </w:r>
    </w:p>
    <w:p w14:paraId="3A3E697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Parton, N., 2012. Reflections on 'governing the family': The close relationship between child protection and social work in advanced Western societies - The example of England.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Families, Relationships and Societies</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1(1), pp. 87-101. https://doi.org/10.1332/204674312X633180.</w:t>
      </w:r>
    </w:p>
    <w:p w14:paraId="0760B2E1"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Fonts w:ascii="Arial" w:hAnsi="Arial" w:cs="Arial"/>
          <w:color w:val="000000" w:themeColor="text1"/>
          <w:sz w:val="22"/>
          <w:szCs w:val="22"/>
        </w:rPr>
        <w:t xml:space="preserve">Parton, N., 2014. Social Work, Child Protection and Politics: Some Critical and Constructive Reflections. </w:t>
      </w:r>
      <w:r w:rsidRPr="00C47DDD">
        <w:rPr>
          <w:rStyle w:val="Emphasis"/>
          <w:rFonts w:ascii="Arial" w:hAnsi="Arial" w:cs="Arial"/>
          <w:color w:val="000000" w:themeColor="text1"/>
          <w:sz w:val="22"/>
          <w:szCs w:val="22"/>
        </w:rPr>
        <w:t>The British Journal of Social Work</w:t>
      </w:r>
      <w:r w:rsidRPr="00C47DDD">
        <w:rPr>
          <w:rFonts w:ascii="Arial" w:hAnsi="Arial" w:cs="Arial"/>
          <w:color w:val="000000" w:themeColor="text1"/>
          <w:sz w:val="22"/>
          <w:szCs w:val="22"/>
        </w:rPr>
        <w:t xml:space="preserve">, [e-journal] 44(7), pp. 2042–2056, </w:t>
      </w:r>
      <w:hyperlink r:id="rId205" w:history="1">
        <w:r w:rsidRPr="00C47DDD">
          <w:rPr>
            <w:rStyle w:val="Hyperlink"/>
            <w:rFonts w:ascii="Arial" w:eastAsiaTheme="majorEastAsia" w:hAnsi="Arial" w:cs="Arial"/>
            <w:color w:val="000000" w:themeColor="text1"/>
            <w:sz w:val="22"/>
            <w:szCs w:val="22"/>
            <w:u w:val="none"/>
          </w:rPr>
          <w:t>https://doi.org/10.1093/bjsw/bcu091</w:t>
        </w:r>
      </w:hyperlink>
      <w:r w:rsidRPr="00C47DDD">
        <w:rPr>
          <w:rStyle w:val="Hyperlink"/>
          <w:rFonts w:ascii="Arial" w:eastAsiaTheme="majorEastAsia" w:hAnsi="Arial" w:cs="Arial"/>
          <w:color w:val="000000" w:themeColor="text1"/>
          <w:sz w:val="22"/>
          <w:szCs w:val="22"/>
          <w:u w:val="none"/>
        </w:rPr>
        <w:t>.</w:t>
      </w:r>
    </w:p>
    <w:p w14:paraId="23BB2181"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Paulsen, V. and Thomas, N., 2018. The transition to adulthood from care as a struggle for recognition. </w:t>
      </w:r>
      <w:r w:rsidRPr="00C47DDD">
        <w:rPr>
          <w:rFonts w:ascii="Arial" w:hAnsi="Arial" w:cs="Arial"/>
          <w:i/>
          <w:iCs/>
          <w:color w:val="000000" w:themeColor="text1"/>
          <w:sz w:val="22"/>
          <w:szCs w:val="22"/>
          <w:bdr w:val="none" w:sz="0" w:space="0" w:color="auto" w:frame="1"/>
          <w:shd w:val="clear" w:color="auto" w:fill="FFFFFF"/>
        </w:rPr>
        <w:t>Child &amp; Family Social Work,</w:t>
      </w:r>
      <w:r w:rsidRPr="00C47DDD">
        <w:rPr>
          <w:rFonts w:ascii="Arial" w:hAnsi="Arial" w:cs="Arial"/>
          <w:color w:val="000000" w:themeColor="text1"/>
          <w:sz w:val="22"/>
          <w:szCs w:val="22"/>
          <w:bdr w:val="none" w:sz="0" w:space="0" w:color="auto" w:frame="1"/>
          <w:shd w:val="clear" w:color="auto" w:fill="FFFFFF"/>
        </w:rPr>
        <w:t xml:space="preserve"> [e-journal] 23, pp.163– 170. </w:t>
      </w:r>
      <w:hyperlink r:id="rId206"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https://doi.org/10.1111/cfs.12395</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5D011B71"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Style w:val="hlfld-contribauthor"/>
          <w:rFonts w:ascii="Arial" w:hAnsi="Arial" w:cs="Arial"/>
          <w:color w:val="000000" w:themeColor="text1"/>
          <w:sz w:val="22"/>
          <w:szCs w:val="22"/>
        </w:rPr>
        <w:t>Percy-Smith, </w:t>
      </w:r>
      <w:r w:rsidRPr="00C47DDD">
        <w:rPr>
          <w:rStyle w:val="nlmgiven-names"/>
          <w:rFonts w:ascii="Arial" w:hAnsi="Arial" w:cs="Arial"/>
          <w:color w:val="000000" w:themeColor="text1"/>
          <w:sz w:val="22"/>
          <w:szCs w:val="22"/>
        </w:rPr>
        <w:t>B.</w:t>
      </w:r>
      <w:r w:rsidRPr="00C47DDD">
        <w:rPr>
          <w:rFonts w:ascii="Arial" w:hAnsi="Arial" w:cs="Arial"/>
          <w:color w:val="000000" w:themeColor="text1"/>
          <w:sz w:val="22"/>
          <w:szCs w:val="22"/>
        </w:rPr>
        <w:t xml:space="preserve"> and </w:t>
      </w:r>
      <w:r w:rsidRPr="00C47DDD">
        <w:rPr>
          <w:rStyle w:val="hlfld-contribauthor"/>
          <w:rFonts w:ascii="Arial" w:hAnsi="Arial" w:cs="Arial"/>
          <w:color w:val="000000" w:themeColor="text1"/>
          <w:sz w:val="22"/>
          <w:szCs w:val="22"/>
        </w:rPr>
        <w:t>Thomas, </w:t>
      </w:r>
      <w:r w:rsidRPr="00C47DDD">
        <w:rPr>
          <w:rStyle w:val="nlmgiven-names"/>
          <w:rFonts w:ascii="Arial" w:hAnsi="Arial" w:cs="Arial"/>
          <w:color w:val="000000" w:themeColor="text1"/>
          <w:sz w:val="22"/>
          <w:szCs w:val="22"/>
        </w:rPr>
        <w:t>N.</w:t>
      </w:r>
      <w:r w:rsidRPr="00C47DDD">
        <w:rPr>
          <w:rFonts w:ascii="Arial" w:hAnsi="Arial" w:cs="Arial"/>
          <w:color w:val="000000" w:themeColor="text1"/>
          <w:sz w:val="22"/>
          <w:szCs w:val="22"/>
        </w:rPr>
        <w:t> 2010. </w:t>
      </w:r>
      <w:r w:rsidRPr="00C47DDD">
        <w:rPr>
          <w:rFonts w:ascii="Arial" w:hAnsi="Arial" w:cs="Arial"/>
          <w:i/>
          <w:iCs/>
          <w:color w:val="000000" w:themeColor="text1"/>
          <w:sz w:val="22"/>
          <w:szCs w:val="22"/>
        </w:rPr>
        <w:t>A handbook of children and young people's participation. Perspectives from theory and practice</w:t>
      </w:r>
      <w:r w:rsidRPr="00C47DDD">
        <w:rPr>
          <w:rFonts w:ascii="Arial" w:hAnsi="Arial" w:cs="Arial"/>
          <w:color w:val="000000" w:themeColor="text1"/>
          <w:sz w:val="22"/>
          <w:szCs w:val="22"/>
        </w:rPr>
        <w:t>. </w:t>
      </w:r>
      <w:r w:rsidRPr="00C47DDD">
        <w:rPr>
          <w:rStyle w:val="nlmpublisher-loc"/>
          <w:rFonts w:ascii="Arial" w:hAnsi="Arial" w:cs="Arial"/>
          <w:color w:val="000000" w:themeColor="text1"/>
          <w:sz w:val="22"/>
          <w:szCs w:val="22"/>
        </w:rPr>
        <w:t>London</w:t>
      </w:r>
      <w:r w:rsidRPr="00C47DDD">
        <w:rPr>
          <w:rFonts w:ascii="Arial" w:hAnsi="Arial" w:cs="Arial"/>
          <w:color w:val="000000" w:themeColor="text1"/>
          <w:sz w:val="22"/>
          <w:szCs w:val="22"/>
        </w:rPr>
        <w:t>: </w:t>
      </w:r>
      <w:r w:rsidRPr="00C47DDD">
        <w:rPr>
          <w:rStyle w:val="nlmpublisher-name"/>
          <w:rFonts w:ascii="Arial" w:hAnsi="Arial" w:cs="Arial"/>
          <w:color w:val="000000" w:themeColor="text1"/>
          <w:sz w:val="22"/>
          <w:szCs w:val="22"/>
        </w:rPr>
        <w:t>Routledge</w:t>
      </w:r>
      <w:r w:rsidRPr="00C47DDD">
        <w:rPr>
          <w:rFonts w:ascii="Arial" w:hAnsi="Arial" w:cs="Arial"/>
          <w:color w:val="000000" w:themeColor="text1"/>
          <w:sz w:val="22"/>
          <w:szCs w:val="22"/>
        </w:rPr>
        <w:t xml:space="preserve">. </w:t>
      </w:r>
    </w:p>
    <w:p w14:paraId="0E86A621"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Pert, H., Diaz, C., and Thomas, N., 2017. Children's participation in LAC reviews: a study in one English local authority.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22, pp.1–10. </w:t>
      </w:r>
      <w:hyperlink r:id="rId207" w:history="1">
        <w:r w:rsidRPr="00C47DDD">
          <w:rPr>
            <w:rStyle w:val="Hyperlink"/>
            <w:rFonts w:ascii="Arial" w:eastAsiaTheme="majorEastAsia" w:hAnsi="Arial" w:cs="Arial"/>
            <w:color w:val="000000" w:themeColor="text1"/>
            <w:sz w:val="22"/>
            <w:szCs w:val="22"/>
            <w:u w:val="none"/>
            <w:shd w:val="clear" w:color="auto" w:fill="FFFFFF"/>
          </w:rPr>
          <w:t>https://doi.org/10.1111/cfs.12194</w:t>
        </w:r>
      </w:hyperlink>
      <w:r w:rsidRPr="00C47DDD">
        <w:rPr>
          <w:rStyle w:val="Hyperlink"/>
          <w:rFonts w:ascii="Arial" w:eastAsiaTheme="majorEastAsia" w:hAnsi="Arial" w:cs="Arial"/>
          <w:color w:val="000000" w:themeColor="text1"/>
          <w:sz w:val="22"/>
          <w:szCs w:val="22"/>
          <w:u w:val="none"/>
          <w:shd w:val="clear" w:color="auto" w:fill="FFFFFF"/>
        </w:rPr>
        <w:t>.</w:t>
      </w:r>
    </w:p>
    <w:p w14:paraId="5E9FFEED"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Pinkerton, J., 2011. Constructing a global understanding of the social ecology of leaving out of home care,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33(12), pp. 2412-2416. https://doi.org/10.1016/j.childyouth.2011.08.020.</w:t>
      </w:r>
    </w:p>
    <w:p w14:paraId="3B03BA1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Piper, H. and Simons, H., 2004. Ethical responsibility in social research. In: B. Somekh and C. Lewin (eds.) 2004.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Research Methods in the Social Sciences</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 Ch.6.</w:t>
      </w:r>
    </w:p>
    <w:p w14:paraId="1907D99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Pölkki, P., Vornanen, R., Pursiainen, M. and Riikonen, M., 2012. Children's Participation in Child-protection Processes as Experienced by Foster Children and Social Workers,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Care in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18(2), pp. 107-125, doi: 10.1080/13575279.2011.646954.</w:t>
      </w:r>
    </w:p>
    <w:p w14:paraId="2D49430C" w14:textId="51131758" w:rsidR="00015C7D" w:rsidRPr="00C47DDD" w:rsidRDefault="00015C7D"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Pole, C., Pilcher, J. and Williams, J., 2005. Young People in Transition: Becoming </w:t>
      </w:r>
      <w:r w:rsidR="007D6363" w:rsidRPr="00C47DDD">
        <w:rPr>
          <w:rStyle w:val="bibauth"/>
          <w:rFonts w:ascii="Arial" w:eastAsiaTheme="majorEastAsia" w:hAnsi="Arial" w:cs="Arial"/>
          <w:color w:val="000000" w:themeColor="text1"/>
          <w:sz w:val="22"/>
          <w:szCs w:val="22"/>
          <w:bdr w:val="none" w:sz="0" w:space="0" w:color="auto" w:frame="1"/>
          <w:shd w:val="clear" w:color="auto" w:fill="FFFFFF"/>
        </w:rPr>
        <w:t>Citizens</w:t>
      </w:r>
      <w:r w:rsidRPr="00C47DDD">
        <w:rPr>
          <w:rStyle w:val="bibauth"/>
          <w:rFonts w:ascii="Arial" w:eastAsiaTheme="majorEastAsia" w:hAnsi="Arial" w:cs="Arial"/>
          <w:color w:val="000000" w:themeColor="text1"/>
          <w:sz w:val="22"/>
          <w:szCs w:val="22"/>
          <w:bdr w:val="none" w:sz="0" w:space="0" w:color="auto" w:frame="1"/>
          <w:shd w:val="clear" w:color="auto" w:fill="FFFFFF"/>
        </w:rPr>
        <w:t>? An Introduction</w:t>
      </w:r>
      <w:r w:rsidR="007D6363"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In: C. Pole, J, Pilcher and J. Williams (eds). 2005. </w:t>
      </w:r>
      <w:r w:rsidR="007D6363" w:rsidRPr="00C47DDD">
        <w:rPr>
          <w:rStyle w:val="bibauth"/>
          <w:rFonts w:ascii="Arial" w:eastAsiaTheme="majorEastAsia" w:hAnsi="Arial" w:cs="Arial"/>
          <w:i/>
          <w:iCs/>
          <w:color w:val="000000" w:themeColor="text1"/>
          <w:sz w:val="22"/>
          <w:szCs w:val="22"/>
          <w:bdr w:val="none" w:sz="0" w:space="0" w:color="auto" w:frame="1"/>
          <w:shd w:val="clear" w:color="auto" w:fill="FFFFFF"/>
        </w:rPr>
        <w:t>Young People in Transition: Becoming Citizens?</w:t>
      </w:r>
      <w:r w:rsidR="007D6363"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002018D0" w:rsidRPr="00C47DDD">
        <w:rPr>
          <w:rStyle w:val="bibauth"/>
          <w:rFonts w:ascii="Arial" w:eastAsiaTheme="majorEastAsia" w:hAnsi="Arial" w:cs="Arial"/>
          <w:color w:val="000000" w:themeColor="text1"/>
          <w:sz w:val="22"/>
          <w:szCs w:val="22"/>
          <w:bdr w:val="none" w:sz="0" w:space="0" w:color="auto" w:frame="1"/>
          <w:shd w:val="clear" w:color="auto" w:fill="FFFFFF"/>
        </w:rPr>
        <w:t>Basingstoke: Palgrave. Ch.1.</w:t>
      </w:r>
    </w:p>
    <w:p w14:paraId="5D32E3F2" w14:textId="0774F78B"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Pollock, S., 2019. Foodbanks, Austerity and Critical Social Work. In: S. Webb. (ed) 2019.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Routledge Handbook of Critical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London: Routledge. Ch.31.</w:t>
      </w:r>
    </w:p>
    <w:p w14:paraId="045FAB4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Ponnert, L. and Svensson, K., 2015. Standardisation—the end of professional discretion?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European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19(3-4), pp. 586-599. doi: 10.1080/13691457.2015.1074551.</w:t>
      </w:r>
    </w:p>
    <w:p w14:paraId="653BBAD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Porter, R., 1984.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Teenagers Leaving Care</w:t>
      </w:r>
      <w:r w:rsidRPr="00C47DDD">
        <w:rPr>
          <w:rStyle w:val="bibauth"/>
          <w:rFonts w:ascii="Arial" w:eastAsiaTheme="majorEastAsia" w:hAnsi="Arial" w:cs="Arial"/>
          <w:color w:val="000000" w:themeColor="text1"/>
          <w:sz w:val="22"/>
          <w:szCs w:val="22"/>
          <w:bdr w:val="none" w:sz="0" w:space="0" w:color="auto" w:frame="1"/>
          <w:shd w:val="clear" w:color="auto" w:fill="FFFFFF"/>
        </w:rPr>
        <w:t>. Norwich: University of East Anglia.</w:t>
      </w:r>
    </w:p>
    <w:p w14:paraId="3F7C5680"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Porter, R., 2020. Recording of Children and Young People’s Views in Contact Decision-Making,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50(6), pp. 1796–1815. doi:</w:t>
      </w:r>
      <w:r w:rsidRPr="00C47DDD">
        <w:rPr>
          <w:rFonts w:ascii="Arial" w:hAnsi="Arial" w:cs="Arial"/>
          <w:color w:val="000000" w:themeColor="text1"/>
          <w:sz w:val="22"/>
          <w:szCs w:val="22"/>
          <w:bdr w:val="none" w:sz="0" w:space="0" w:color="auto" w:frame="1"/>
          <w:shd w:val="clear" w:color="auto" w:fill="FFFFFF"/>
        </w:rPr>
        <w:t>10.1093/bjsw/bcz115.</w:t>
      </w:r>
    </w:p>
    <w:p w14:paraId="200F386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Postman, N., 1982.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Disappearance of 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New York: Vintage Books.</w:t>
      </w:r>
    </w:p>
    <w:p w14:paraId="02F3A15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Powell, A., 2018. NEET: Young people not in education, employment or training. House of Commons Briefing Paper, SN 06705 Available at: &lt; </w:t>
      </w:r>
      <w:hyperlink r:id="rId20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http://researchbriefings.files.parliament.uk/doc</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12 November 2020].</w:t>
      </w:r>
    </w:p>
    <w:p w14:paraId="5781128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Powell, A., Francis-Devine, B. and Foley, N. 2021. Youth unemployment statistics. [pdf] Available at &lt;</w:t>
      </w:r>
      <w:r w:rsidRPr="00C47DDD">
        <w:rPr>
          <w:rFonts w:ascii="Arial" w:hAnsi="Arial" w:cs="Arial"/>
          <w:color w:val="000000" w:themeColor="text1"/>
          <w:sz w:val="22"/>
          <w:szCs w:val="22"/>
        </w:rPr>
        <w:t xml:space="preserve"> </w:t>
      </w:r>
      <w:hyperlink r:id="rId20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https://commonslibrary.parliament.uk/research-briefings/sn05871/</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2 May 2021].</w:t>
      </w:r>
    </w:p>
    <w:p w14:paraId="0DB04D97" w14:textId="470C19CF"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Power, L. and Raphael, D., 2018. Care leavers: A British affair.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23(3), pp. 346– 353. </w:t>
      </w:r>
      <w:hyperlink r:id="rId210" w:history="1">
        <w:r w:rsidR="009A21C9" w:rsidRPr="00C47DDD">
          <w:rPr>
            <w:rStyle w:val="Hyperlink"/>
            <w:rFonts w:ascii="Arial" w:eastAsiaTheme="majorEastAsia" w:hAnsi="Arial" w:cs="Arial"/>
            <w:sz w:val="22"/>
            <w:szCs w:val="22"/>
            <w:bdr w:val="none" w:sz="0" w:space="0" w:color="auto" w:frame="1"/>
            <w:shd w:val="clear" w:color="auto" w:fill="FFFFFF"/>
          </w:rPr>
          <w:t>https://doi.org/10.1111/cfs.12421</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37DFCC64" w14:textId="7F008926" w:rsidR="009A21C9" w:rsidRPr="00C47DDD" w:rsidRDefault="009A21C9"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Power, M., 2011. Foucault and Sociology.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Annual Review of Sociology</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37(1), pp.35–56. https://doi.org/10.1146/annurev-soc-081309-150133.</w:t>
      </w:r>
    </w:p>
    <w:p w14:paraId="3F9D591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Prado. C. G., 2009.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Foucault’s Legacy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Bloomsbury. </w:t>
      </w:r>
    </w:p>
    <w:p w14:paraId="126FD34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Priestley, A., 2020. Care Experienced Young People: Agency and Empowerment.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Children &amp; Society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[e-journal] 34, pp. 521– 536. </w:t>
      </w:r>
      <w:hyperlink r:id="rId21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https://doi.org/10.1111/chso.12383</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707F67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Prout, A. 2005.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Future of 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Routledge. </w:t>
      </w:r>
    </w:p>
    <w:p w14:paraId="3786561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Punch, K. 2014.,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Quantitative and Qualitative Approaches</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37A1B90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Rabinow, P., 1984. </w:t>
      </w:r>
      <w:r w:rsidRPr="00C47DDD">
        <w:rPr>
          <w:rStyle w:val="Hyperlink"/>
          <w:rFonts w:ascii="Arial" w:eastAsiaTheme="majorEastAsia" w:hAnsi="Arial" w:cs="Arial"/>
          <w:i/>
          <w:iCs/>
          <w:color w:val="000000" w:themeColor="text1"/>
          <w:sz w:val="22"/>
          <w:szCs w:val="22"/>
          <w:u w:val="none"/>
          <w:bdr w:val="none" w:sz="0" w:space="0" w:color="auto" w:frame="1"/>
          <w:shd w:val="clear" w:color="auto" w:fill="FFFFFF"/>
        </w:rPr>
        <w:t>The Foucault Reader: an introduction to Foucault’s thought</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 London: Penguin Books. </w:t>
      </w:r>
    </w:p>
    <w:p w14:paraId="5244010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Rankine, M., 2019. The ‘Thinking Aloud’ Process: A way forward in social work supervision, Reflective Practice. International and Multidisciplinary Perspectives, [e-journal] 20(1), pp 97-110. doi: 10.1080/14623943.2018.1564651.</w:t>
      </w:r>
    </w:p>
    <w:p w14:paraId="15E77DCD"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Rap, S., Verkroost, D., Bruning, M., 2019. Children’s Participation in Dutch Youth Care Practice: An Exploratory Study into the Opportunities for Child Participation in Youth Care from Professionals’ Perspective. </w:t>
      </w:r>
      <w:r w:rsidRPr="00C47DDD">
        <w:rPr>
          <w:rFonts w:ascii="Arial" w:hAnsi="Arial" w:cs="Arial"/>
          <w:i/>
          <w:iCs/>
          <w:color w:val="000000" w:themeColor="text1"/>
          <w:sz w:val="22"/>
          <w:szCs w:val="22"/>
          <w:bdr w:val="none" w:sz="0" w:space="0" w:color="auto" w:frame="1"/>
          <w:shd w:val="clear" w:color="auto" w:fill="FFFFFF"/>
        </w:rPr>
        <w:t>Child Care in Practice</w:t>
      </w:r>
      <w:r w:rsidRPr="00C47DDD">
        <w:rPr>
          <w:rFonts w:ascii="Arial" w:hAnsi="Arial" w:cs="Arial"/>
          <w:color w:val="000000" w:themeColor="text1"/>
          <w:sz w:val="22"/>
          <w:szCs w:val="22"/>
          <w:bdr w:val="none" w:sz="0" w:space="0" w:color="auto" w:frame="1"/>
          <w:shd w:val="clear" w:color="auto" w:fill="FFFFFF"/>
        </w:rPr>
        <w:t xml:space="preserve">, [e-journal] 25 (1), pp. 37–50. </w:t>
      </w:r>
      <w:hyperlink r:id="rId21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https://doi.org/10.1080/13575279.2018.1521382</w:t>
        </w:r>
      </w:hyperlink>
      <w:r w:rsidRPr="00C47DDD">
        <w:rPr>
          <w:rFonts w:ascii="Arial" w:hAnsi="Arial" w:cs="Arial"/>
          <w:color w:val="000000" w:themeColor="text1"/>
          <w:sz w:val="22"/>
          <w:szCs w:val="22"/>
          <w:bdr w:val="none" w:sz="0" w:space="0" w:color="auto" w:frame="1"/>
          <w:shd w:val="clear" w:color="auto" w:fill="FFFFFF"/>
        </w:rPr>
        <w:t>.</w:t>
      </w:r>
    </w:p>
    <w:p w14:paraId="6CD1CD4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Reason, P. and Tobert, W., 2001. The Action Turn: towards a transformational social science</w:t>
      </w:r>
      <w:r w:rsidRPr="00C47DDD">
        <w:rPr>
          <w:rStyle w:val="bibauth"/>
          <w:rFonts w:ascii="Arial" w:eastAsiaTheme="majorEastAsia" w:hAnsi="Arial" w:cs="Arial"/>
          <w:i/>
          <w:iCs/>
          <w:color w:val="000000" w:themeColor="text1"/>
          <w:sz w:val="22"/>
          <w:szCs w:val="22"/>
          <w:bdr w:val="none" w:sz="0" w:space="0" w:color="auto" w:frame="1"/>
          <w:shd w:val="clear" w:color="auto" w:fill="FFFFFF"/>
        </w:rPr>
        <w:t>. Concepts and Transformation</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6(1) pp. 1-37.</w:t>
      </w:r>
      <w:r w:rsidRPr="00C47DDD">
        <w:rPr>
          <w:rFonts w:ascii="Arial" w:hAnsi="Arial" w:cs="Arial"/>
          <w:color w:val="000000" w:themeColor="text1"/>
          <w:sz w:val="22"/>
          <w:szCs w:val="22"/>
        </w:rPr>
        <w:t xml:space="preserve"> </w:t>
      </w:r>
      <w:r w:rsidRPr="00C47DDD">
        <w:rPr>
          <w:rStyle w:val="bibauth"/>
          <w:rFonts w:ascii="Arial" w:eastAsiaTheme="majorEastAsia" w:hAnsi="Arial" w:cs="Arial"/>
          <w:color w:val="000000" w:themeColor="text1"/>
          <w:sz w:val="22"/>
          <w:szCs w:val="22"/>
          <w:bdr w:val="none" w:sz="0" w:space="0" w:color="auto" w:frame="1"/>
          <w:shd w:val="clear" w:color="auto" w:fill="FFFFFF"/>
        </w:rPr>
        <w:t>https://doi.org/10.1075/cat.6.1.02rea.</w:t>
      </w:r>
    </w:p>
    <w:p w14:paraId="47BE0D2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Rhodes, P., Nocon, A., Booth, M., Chowdrey, M. Y., Fabian, A., Lambert, N., and Walgrove, T. 2002. A service users’ research advisory group from the perspectives of both service users and researchers. Health and Social Care in the Community, [e-journal]10, pp. 402–409. doi10.1046/j.1365-2524.2002.00376.x.</w:t>
      </w:r>
    </w:p>
    <w:p w14:paraId="610AF5D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Ravenek, M. J. and Rudman, D. L., 2013. Bridging Conceptions of Quality in Moments of Qualitative Research. </w:t>
      </w:r>
      <w:r w:rsidRPr="00C47DDD">
        <w:rPr>
          <w:rStyle w:val="bibauth"/>
          <w:rFonts w:ascii="Arial" w:eastAsiaTheme="majorEastAsia" w:hAnsi="Arial" w:cs="Arial"/>
          <w:i/>
          <w:iCs/>
          <w:color w:val="000000" w:themeColor="text1"/>
          <w:sz w:val="22"/>
          <w:szCs w:val="22"/>
          <w:bdr w:val="none" w:sz="0" w:space="0" w:color="auto" w:frame="1"/>
          <w:shd w:val="clear" w:color="auto" w:fill="FFFFFF"/>
        </w:rPr>
        <w:t>International Journal of Qualitative Methods</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12(1), pp. 436–456. https://doi.org/10.1177/160940691301200122.</w:t>
      </w:r>
    </w:p>
    <w:p w14:paraId="7C8547A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Ridley, J., Larkins, C., Farrelly, N., Hussein, S., Austerberry, H., Manthorpe, J., and Stanley, N., 2016.  Investing in the relationship: practitioners’ relationships with looked-after children and care leavers in Social Work Practices.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21(1), pp. 55– 64. doi: 10.1111/cfs.12109.</w:t>
      </w:r>
    </w:p>
    <w:p w14:paraId="201B1E7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Roberts, I., 2012. Adolescence. In: P. Zwozdiak-Mayers (ed), 2012.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 and Youth Studies.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SAGE Learning Matters. Ch. 8.</w:t>
      </w:r>
    </w:p>
    <w:p w14:paraId="4B6BE59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Roesch</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Marsh, A., Gillies, A., and Green, D., 2017. Nurturing the virtuous circle: Looked After Children's participation in reviews, a cyclical and relational process.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22, pp. 904– 913. doi: 10.1111/cfs.12310.</w:t>
      </w:r>
    </w:p>
    <w:p w14:paraId="0553941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Rogers, R., 2011. ‘‘I remember thinking, why isn’t there someone to help me? Why isn’t there someone who can help me make sense of what I’m going through?’: ‘Instant adulthood’ and the transition of young people out of state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Sociology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47(4), pp. 411–426. doi: 10.1177/1440783311420793.</w:t>
      </w:r>
    </w:p>
    <w:p w14:paraId="7265261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Rogoswski, S., 2018. Neoliberalism and social work with children and families in the UK: On-going challenges and critical possibilities.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Aotearoa New Zealand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30(3), pp. 72-83. DOI: 10.11157/anzswj-vol30iss3id519.</w:t>
      </w:r>
    </w:p>
    <w:p w14:paraId="2D727A1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Rome, A., 2021.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Profitmaking and Risk in Independent Children’s Social Care Placement Providers.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[pdf] Available at: &lt;</w:t>
      </w:r>
      <w:r w:rsidRPr="00C47DDD">
        <w:rPr>
          <w:rFonts w:ascii="Arial" w:hAnsi="Arial" w:cs="Arial"/>
          <w:color w:val="000000" w:themeColor="text1"/>
          <w:sz w:val="22"/>
          <w:szCs w:val="22"/>
        </w:rPr>
        <w:t xml:space="preserve"> </w:t>
      </w:r>
      <w:hyperlink r:id="rId213"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https://www.revolution-consulting.org/wp-content/uploads/2021/05/Profit-Making-and-Risk-in-Independent-Childrens-Social-Care-Placement-Providers-FINAL-update-2-Spring-2021.pdf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23 June 2021].</w:t>
      </w:r>
    </w:p>
    <w:p w14:paraId="1BC1F65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Rose, N., 1999.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Powers of Freedom: Reframing Political Thought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Cambridge: Cambridge University Press. </w:t>
      </w:r>
    </w:p>
    <w:p w14:paraId="7B14D78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Rose, N. and Miller, P., 2010, Political power beyond the State: problematics of government.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Sociology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61, pp. 271-303. https://doi.org/10.1111/j.1468-4446.2009.01247.x. </w:t>
      </w:r>
    </w:p>
    <w:p w14:paraId="699D210B"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Rossman, G. and Rallis, S., 2011. </w:t>
      </w:r>
      <w:r w:rsidRPr="00C47DDD">
        <w:rPr>
          <w:rFonts w:ascii="Arial" w:hAnsi="Arial" w:cs="Arial"/>
          <w:i/>
          <w:iCs/>
          <w:color w:val="000000" w:themeColor="text1"/>
          <w:sz w:val="22"/>
          <w:szCs w:val="22"/>
          <w:shd w:val="clear" w:color="auto" w:fill="FFFFFF"/>
        </w:rPr>
        <w:t>Learning in the field: An introduction to qualitative research.</w:t>
      </w:r>
      <w:r w:rsidRPr="00C47DDD">
        <w:rPr>
          <w:rFonts w:ascii="Arial" w:hAnsi="Arial" w:cs="Arial"/>
          <w:color w:val="000000" w:themeColor="text1"/>
          <w:sz w:val="22"/>
          <w:szCs w:val="22"/>
          <w:shd w:val="clear" w:color="auto" w:fill="FFFFFF"/>
        </w:rPr>
        <w:t xml:space="preserve"> London: SAGE.</w:t>
      </w:r>
    </w:p>
    <w:p w14:paraId="4C099C74"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 xml:space="preserve">Rouse, J. 2007. Power/Knowledge. In: G. Gutting (ed.) </w:t>
      </w:r>
      <w:r w:rsidRPr="00C47DDD">
        <w:rPr>
          <w:rFonts w:ascii="Arial" w:hAnsi="Arial" w:cs="Arial"/>
          <w:i/>
          <w:iCs/>
          <w:color w:val="000000" w:themeColor="text1"/>
          <w:sz w:val="22"/>
          <w:szCs w:val="22"/>
          <w:shd w:val="clear" w:color="auto" w:fill="FFFFFF"/>
        </w:rPr>
        <w:t>The Cambridge Companion to Foucault.</w:t>
      </w:r>
      <w:r w:rsidRPr="00C47DDD">
        <w:rPr>
          <w:rFonts w:ascii="Arial" w:hAnsi="Arial" w:cs="Arial"/>
          <w:color w:val="000000" w:themeColor="text1"/>
          <w:sz w:val="22"/>
          <w:szCs w:val="22"/>
          <w:shd w:val="clear" w:color="auto" w:fill="FFFFFF"/>
        </w:rPr>
        <w:t xml:space="preserve"> Cambridge: Cambridge University Press. Ch.4.</w:t>
      </w:r>
    </w:p>
    <w:p w14:paraId="27C3F8D7"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Rousseau, J.J., 1991</w:t>
      </w:r>
      <w:r w:rsidRPr="00C47DDD">
        <w:rPr>
          <w:rFonts w:ascii="Arial" w:hAnsi="Arial" w:cs="Arial"/>
          <w:i/>
          <w:iCs/>
          <w:color w:val="000000" w:themeColor="text1"/>
          <w:sz w:val="22"/>
          <w:szCs w:val="22"/>
        </w:rPr>
        <w:t>. Emile or On Education</w:t>
      </w:r>
      <w:r w:rsidRPr="00C47DDD">
        <w:rPr>
          <w:rFonts w:ascii="Arial" w:hAnsi="Arial" w:cs="Arial"/>
          <w:color w:val="000000" w:themeColor="text1"/>
          <w:sz w:val="22"/>
          <w:szCs w:val="22"/>
        </w:rPr>
        <w:t>. Translated by B. Foxley, 2019. Harmondsworth: Penguin.</w:t>
      </w:r>
    </w:p>
    <w:p w14:paraId="242E1CC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Rubin, A. and Babbie, E. 2014.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Research Methods for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8</w:t>
      </w:r>
      <w:r w:rsidRPr="00C47DDD">
        <w:rPr>
          <w:rStyle w:val="bibauth"/>
          <w:rFonts w:ascii="Arial" w:eastAsiaTheme="majorEastAsia" w:hAnsi="Arial" w:cs="Arial"/>
          <w:color w:val="000000" w:themeColor="text1"/>
          <w:sz w:val="22"/>
          <w:szCs w:val="22"/>
          <w:bdr w:val="none" w:sz="0" w:space="0" w:color="auto" w:frame="1"/>
          <w:shd w:val="clear" w:color="auto" w:fill="FFFFFF"/>
          <w:vertAlign w:val="superscript"/>
        </w:rPr>
        <w:t>th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ed. Novato:  Brooks/Cole Cengage Learning. </w:t>
      </w:r>
    </w:p>
    <w:p w14:paraId="1812115A" w14:textId="3D72D7BF"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Ruch, G. 2013. Understanding Contemporary Social Work: We Need </w:t>
      </w:r>
      <w:r w:rsidR="005C5158" w:rsidRPr="00C47DDD">
        <w:rPr>
          <w:rStyle w:val="bibauth"/>
          <w:rFonts w:ascii="Arial" w:eastAsiaTheme="majorEastAsia" w:hAnsi="Arial" w:cs="Arial"/>
          <w:color w:val="000000" w:themeColor="text1"/>
          <w:sz w:val="22"/>
          <w:szCs w:val="22"/>
          <w:bdr w:val="none" w:sz="0" w:space="0" w:color="auto" w:frame="1"/>
          <w:shd w:val="clear" w:color="auto" w:fill="FFFFFF"/>
        </w:rPr>
        <w:t>to</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Talk About Relationships. In: Parker, Jonathan and Doel, Mark (eds.)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Professional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SAGE</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0830592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Ruch, G. 2014 ‘Beneficence in Psycho-Social Research and the Role of Containment’, </w:t>
      </w:r>
      <w:r w:rsidRPr="00C47DDD">
        <w:rPr>
          <w:rStyle w:val="bibauth"/>
          <w:rFonts w:ascii="Arial" w:eastAsiaTheme="majorEastAsia" w:hAnsi="Arial" w:cs="Arial"/>
          <w:i/>
          <w:iCs/>
          <w:color w:val="000000" w:themeColor="text1"/>
          <w:sz w:val="22"/>
          <w:szCs w:val="22"/>
          <w:bdr w:val="none" w:sz="0" w:space="0" w:color="auto" w:frame="1"/>
          <w:shd w:val="clear" w:color="auto" w:fill="FFFFFF"/>
        </w:rPr>
        <w:t>Qualitative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13 (4), pp. 522–538. doi: 10.1177/1473325013497390.</w:t>
      </w:r>
    </w:p>
    <w:p w14:paraId="41D7F9A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Ruch, G. and Julkunen, I. (eds) 2016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Relationship-based Research in Social Work Understanding Practice-Near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Kingsley Publishers.</w:t>
      </w:r>
    </w:p>
    <w:p w14:paraId="1590DA54"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Style w:val="identifier"/>
          <w:rFonts w:ascii="Arial" w:hAnsi="Arial" w:cs="Arial"/>
          <w:color w:val="000000" w:themeColor="text1"/>
          <w:sz w:val="22"/>
          <w:szCs w:val="22"/>
          <w:bdr w:val="none" w:sz="0" w:space="0" w:color="auto" w:frame="1"/>
          <w:shd w:val="clear" w:color="auto" w:fill="FFFFFF"/>
        </w:rPr>
        <w:t>Russ, E., Lonne, B., Lynch D., 2020. Increasing Child Protection Workforce Retention Through Promoting a Relational-Reflective Framework for Resilience.</w:t>
      </w:r>
      <w:r w:rsidRPr="00C47DDD">
        <w:rPr>
          <w:rStyle w:val="identifier"/>
          <w:rFonts w:ascii="Arial" w:hAnsi="Arial" w:cs="Arial"/>
          <w:i/>
          <w:iCs/>
          <w:color w:val="000000" w:themeColor="text1"/>
          <w:sz w:val="22"/>
          <w:szCs w:val="22"/>
          <w:bdr w:val="none" w:sz="0" w:space="0" w:color="auto" w:frame="1"/>
          <w:shd w:val="clear" w:color="auto" w:fill="FFFFFF"/>
        </w:rPr>
        <w:t xml:space="preserve"> Child abuse and Neglect, </w:t>
      </w:r>
      <w:r w:rsidRPr="00C47DDD">
        <w:rPr>
          <w:rStyle w:val="identifier"/>
          <w:rFonts w:ascii="Arial" w:hAnsi="Arial" w:cs="Arial"/>
          <w:color w:val="000000" w:themeColor="text1"/>
          <w:sz w:val="22"/>
          <w:szCs w:val="22"/>
          <w:bdr w:val="none" w:sz="0" w:space="0" w:color="auto" w:frame="1"/>
          <w:shd w:val="clear" w:color="auto" w:fill="FFFFFF"/>
        </w:rPr>
        <w:t xml:space="preserve">[e-journal] 110(3), pp. 104-245. </w:t>
      </w:r>
      <w:r w:rsidRPr="00C47DDD">
        <w:rPr>
          <w:rStyle w:val="id-label"/>
          <w:rFonts w:ascii="Arial" w:hAnsi="Arial" w:cs="Arial"/>
          <w:color w:val="000000" w:themeColor="text1"/>
          <w:sz w:val="22"/>
          <w:szCs w:val="22"/>
        </w:rPr>
        <w:t>DOI: </w:t>
      </w:r>
      <w:hyperlink r:id="rId214" w:tgtFrame="_blank" w:history="1">
        <w:r w:rsidRPr="00C47DDD">
          <w:rPr>
            <w:rStyle w:val="Hyperlink"/>
            <w:rFonts w:ascii="Arial" w:eastAsiaTheme="majorEastAsia" w:hAnsi="Arial" w:cs="Arial"/>
            <w:color w:val="000000" w:themeColor="text1"/>
            <w:sz w:val="22"/>
            <w:szCs w:val="22"/>
            <w:u w:val="none"/>
          </w:rPr>
          <w:t>10.1016/j.chiabu.2019.104245</w:t>
        </w:r>
      </w:hyperlink>
      <w:r w:rsidRPr="00C47DDD">
        <w:rPr>
          <w:rStyle w:val="Hyperlink"/>
          <w:rFonts w:ascii="Arial" w:eastAsiaTheme="majorEastAsia" w:hAnsi="Arial" w:cs="Arial"/>
          <w:color w:val="000000" w:themeColor="text1"/>
          <w:sz w:val="22"/>
          <w:szCs w:val="22"/>
          <w:u w:val="none"/>
        </w:rPr>
        <w:t>.</w:t>
      </w:r>
    </w:p>
    <w:p w14:paraId="7114828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Sadan, E. 2004.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Empowerment and Community planning</w:t>
      </w:r>
      <w:r w:rsidRPr="00C47DDD">
        <w:rPr>
          <w:rStyle w:val="bibauth"/>
          <w:rFonts w:ascii="Arial" w:eastAsiaTheme="majorEastAsia" w:hAnsi="Arial" w:cs="Arial"/>
          <w:color w:val="000000" w:themeColor="text1"/>
          <w:sz w:val="22"/>
          <w:szCs w:val="22"/>
          <w:bdr w:val="none" w:sz="0" w:space="0" w:color="auto" w:frame="1"/>
          <w:shd w:val="clear" w:color="auto" w:fill="FFFFFF"/>
        </w:rPr>
        <w:t>. [e-book] Jerusalem: Hakibutz Hameuchad (Hebrew) Self Published (English). Available at: &lt;</w:t>
      </w:r>
      <w:r w:rsidRPr="00C47DDD">
        <w:rPr>
          <w:rFonts w:ascii="Arial" w:hAnsi="Arial" w:cs="Arial"/>
          <w:color w:val="000000" w:themeColor="text1"/>
          <w:sz w:val="22"/>
          <w:szCs w:val="22"/>
        </w:rPr>
        <w:t xml:space="preserve"> </w:t>
      </w:r>
      <w:hyperlink r:id="rId21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https://pdf4pro.com/view/empowerment-and-community-planning-313485.html</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2</w:t>
      </w:r>
      <w:r w:rsidRPr="00C47DDD">
        <w:rPr>
          <w:rStyle w:val="bibauth"/>
          <w:rFonts w:ascii="Arial" w:eastAsiaTheme="majorEastAsia" w:hAnsi="Arial" w:cs="Arial"/>
          <w:color w:val="000000" w:themeColor="text1"/>
          <w:sz w:val="22"/>
          <w:szCs w:val="22"/>
          <w:bdr w:val="none" w:sz="0" w:space="0" w:color="auto" w:frame="1"/>
          <w:shd w:val="clear" w:color="auto" w:fill="FFFFFF"/>
          <w:vertAlign w:val="superscript"/>
        </w:rPr>
        <w:t>nd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June 2021]. </w:t>
      </w:r>
    </w:p>
    <w:p w14:paraId="3ADFA5B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Sanders, R. and Mace, S., 2006. Agency Policy and the Participation of Children and Young People in the Child Protection Process.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Abuse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15, pp. 89-109. DOI: 10.1002/car.927.</w:t>
      </w:r>
    </w:p>
    <w:p w14:paraId="30E469D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Samuel, M., 2021.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Regulator to probe whether profit comes at expense of quality in children’s social care market.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[online] Available at: &lt;</w:t>
      </w:r>
      <w:r w:rsidRPr="00C47DDD">
        <w:rPr>
          <w:rFonts w:ascii="Arial" w:hAnsi="Arial" w:cs="Arial"/>
          <w:color w:val="000000" w:themeColor="text1"/>
          <w:sz w:val="22"/>
          <w:szCs w:val="22"/>
        </w:rPr>
        <w:t xml:space="preserve"> </w:t>
      </w:r>
      <w:hyperlink r:id="rId216"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https://www.communitycare.co.uk/2021/03/12/regulator-probe-whether-profit-comes-expense-quality-childrens-social-care-market/</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25 June 2021].</w:t>
      </w:r>
    </w:p>
    <w:p w14:paraId="45BE391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Sarantakos, S., 2014. </w:t>
      </w:r>
      <w:r w:rsidRPr="00C47DDD">
        <w:rPr>
          <w:rStyle w:val="bibauth"/>
          <w:rFonts w:ascii="Arial" w:eastAsiaTheme="majorEastAsia" w:hAnsi="Arial" w:cs="Arial"/>
          <w:i/>
          <w:color w:val="000000" w:themeColor="text1"/>
          <w:sz w:val="22"/>
          <w:szCs w:val="22"/>
          <w:bdr w:val="none" w:sz="0" w:space="0" w:color="auto" w:frame="1"/>
          <w:shd w:val="clear" w:color="auto" w:fill="FFFFFF"/>
        </w:rPr>
        <w:t>Social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Basingstoke: Palgrave Macmillan.</w:t>
      </w:r>
    </w:p>
    <w:p w14:paraId="2DA0560F"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Schirato, T., Danaher, G., and Webb, J., 2012.  </w:t>
      </w:r>
      <w:r w:rsidRPr="00C47DDD">
        <w:rPr>
          <w:rFonts w:ascii="Arial" w:hAnsi="Arial" w:cs="Arial"/>
          <w:i/>
          <w:iCs/>
          <w:color w:val="000000" w:themeColor="text1"/>
          <w:sz w:val="22"/>
          <w:szCs w:val="22"/>
        </w:rPr>
        <w:t>Understanding Foucault – A critical Introduction</w:t>
      </w:r>
      <w:r w:rsidRPr="00C47DDD">
        <w:rPr>
          <w:rFonts w:ascii="Arial" w:hAnsi="Arial" w:cs="Arial"/>
          <w:color w:val="000000" w:themeColor="text1"/>
          <w:sz w:val="22"/>
          <w:szCs w:val="22"/>
        </w:rPr>
        <w:t>.  London: Taylor and Francis.</w:t>
      </w:r>
    </w:p>
    <w:p w14:paraId="7B125437"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Schmitz, R.M. and Tyler, K.A., 2015. Homeless Young People’s Experiences of Caregiver Rejection.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Child and Family Studies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24, pp. 2598–2609. </w:t>
      </w:r>
      <w:hyperlink r:id="rId21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https://doi.org/10.1007/s10826-014-0062-x</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0935A8D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and Beek M., 2005. Risk and Resilience in Long-term Foster Care. </w:t>
      </w:r>
      <w:r w:rsidRPr="00C47DDD">
        <w:rPr>
          <w:rStyle w:val="bibauth"/>
          <w:rFonts w:ascii="Arial" w:eastAsiaTheme="majorEastAsia" w:hAnsi="Arial" w:cs="Arial"/>
          <w:i/>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35(8), pp.1283-130. doi.org/10.1093/bjsw/bch213.</w:t>
      </w:r>
    </w:p>
    <w:p w14:paraId="6A9BC28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and Beek, M., 2005b. Providing a Secure Base: Parenting Children in Long-term Foster Care. </w:t>
      </w:r>
      <w:r w:rsidRPr="00C47DDD">
        <w:rPr>
          <w:rStyle w:val="bibauth"/>
          <w:rFonts w:ascii="Arial" w:eastAsiaTheme="majorEastAsia" w:hAnsi="Arial" w:cs="Arial"/>
          <w:i/>
          <w:color w:val="000000" w:themeColor="text1"/>
          <w:sz w:val="22"/>
          <w:szCs w:val="22"/>
          <w:bdr w:val="none" w:sz="0" w:space="0" w:color="auto" w:frame="1"/>
          <w:shd w:val="clear" w:color="auto" w:fill="FFFFFF"/>
        </w:rPr>
        <w:t>Attachment and Human Development</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7 (1), pp. 3-26. DOI: 10.1080/14616730500049019.</w:t>
      </w:r>
    </w:p>
    <w:p w14:paraId="7482C79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Beek. M., Ward, E. and Sellick, C., 2011.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Care Planning for Permanence in Foster Care</w:t>
      </w:r>
      <w:r w:rsidRPr="00C47DDD">
        <w:rPr>
          <w:rStyle w:val="bibauth"/>
          <w:rFonts w:ascii="Arial" w:eastAsiaTheme="majorEastAsia" w:hAnsi="Arial" w:cs="Arial"/>
          <w:color w:val="000000" w:themeColor="text1"/>
          <w:sz w:val="22"/>
          <w:szCs w:val="22"/>
          <w:bdr w:val="none" w:sz="0" w:space="0" w:color="auto" w:frame="1"/>
          <w:shd w:val="clear" w:color="auto" w:fill="FFFFFF"/>
        </w:rPr>
        <w:t>. [pdf] Available at:&lt;</w:t>
      </w:r>
      <w:r w:rsidRPr="00C47DDD">
        <w:rPr>
          <w:rFonts w:ascii="Arial" w:hAnsi="Arial" w:cs="Arial"/>
          <w:color w:val="000000" w:themeColor="text1"/>
          <w:sz w:val="22"/>
          <w:szCs w:val="22"/>
        </w:rPr>
        <w:t xml:space="preserve"> </w:t>
      </w:r>
      <w:hyperlink r:id="rId21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https://www.nuffieldfoundation.org/sites/default/files/files/Care%20Planning%20for%20Permanence%20in%20Foster%20Care%20Research%20Briefing.pdf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 February 2021].</w:t>
      </w:r>
    </w:p>
    <w:p w14:paraId="583043D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Beek, M. and Ward, E., 2012. Part of the family: Planning for permanence in long-term family foster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Review, [e-journal] 34(1), 44-253. </w:t>
      </w:r>
      <w:hyperlink r:id="rId21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https://doi.org/10.1016/j.childyouth.2011.10.020</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4EA8B5A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Larsson, B., and Ward, E., 2017. Risk, Resilience and Identity Construction in the Life Narratives of Young People Leaving Residential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22, pp. 782– 791. doi: 10.1111/cfs.12295.</w:t>
      </w:r>
    </w:p>
    <w:p w14:paraId="394C9F61" w14:textId="70854ECF"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Thoburn, J, Dickens, J, and Howell, D. 2007. The Search for Stability and Permanence: Modelling the Pathways of </w:t>
      </w:r>
      <w:r w:rsidR="005C5158" w:rsidRPr="00C47DDD">
        <w:rPr>
          <w:rStyle w:val="bibauth"/>
          <w:rFonts w:ascii="Arial" w:eastAsiaTheme="majorEastAsia" w:hAnsi="Arial" w:cs="Arial"/>
          <w:color w:val="000000" w:themeColor="text1"/>
          <w:sz w:val="22"/>
          <w:szCs w:val="22"/>
          <w:bdr w:val="none" w:sz="0" w:space="0" w:color="auto" w:frame="1"/>
          <w:shd w:val="clear" w:color="auto" w:fill="FFFFFF"/>
        </w:rPr>
        <w:t>Long stay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Looked After Children. The British Journal of Social Work, [e-journal] 37(4), pp. 619–642. https://doi.org/10.1093/bjsw/bch275. </w:t>
      </w:r>
    </w:p>
    <w:p w14:paraId="4B8B276D"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Schofield G. and Ward E., 2011. </w:t>
      </w:r>
      <w:r w:rsidRPr="00C47DDD">
        <w:rPr>
          <w:rStyle w:val="bibauth"/>
          <w:rFonts w:ascii="Arial" w:eastAsiaTheme="majorEastAsia" w:hAnsi="Arial" w:cs="Arial"/>
          <w:i/>
          <w:color w:val="000000" w:themeColor="text1"/>
          <w:sz w:val="22"/>
          <w:szCs w:val="22"/>
          <w:bdr w:val="none" w:sz="0" w:space="0" w:color="auto" w:frame="1"/>
          <w:shd w:val="clear" w:color="auto" w:fill="FFFFFF"/>
        </w:rPr>
        <w:t>Understanding and Working with Parents of Children Growing up in Foster Care</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Kingsley Publishers.</w:t>
      </w:r>
    </w:p>
    <w:p w14:paraId="34745C9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Scott, J., 2006.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Power.</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Cambridge: Polity Press.</w:t>
      </w:r>
    </w:p>
    <w:p w14:paraId="6F11A89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Scraton, P.,1997.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 in Crisis</w:t>
      </w:r>
      <w:r w:rsidRPr="00C47DDD">
        <w:rPr>
          <w:rStyle w:val="bibauth"/>
          <w:rFonts w:ascii="Arial" w:eastAsiaTheme="majorEastAsia" w:hAnsi="Arial" w:cs="Arial"/>
          <w:color w:val="000000" w:themeColor="text1"/>
          <w:sz w:val="22"/>
          <w:szCs w:val="22"/>
          <w:bdr w:val="none" w:sz="0" w:space="0" w:color="auto" w:frame="1"/>
          <w:shd w:val="clear" w:color="auto" w:fill="FFFFFF"/>
        </w:rPr>
        <w:t>. London: Routledge.</w:t>
      </w:r>
    </w:p>
    <w:p w14:paraId="137E3DA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Sebba, J.C., Berridge, D., Luke, N., Fletcher, J., Bell, K., Strand, S., Thomas, S., Sinclair, I., O’Higgins, A., 2015. </w:t>
      </w:r>
      <w:r w:rsidRPr="00C47DDD">
        <w:rPr>
          <w:rStyle w:val="bibauth"/>
          <w:rFonts w:ascii="Arial" w:eastAsiaTheme="majorEastAsia" w:hAnsi="Arial" w:cs="Arial"/>
          <w:i/>
          <w:color w:val="000000" w:themeColor="text1"/>
          <w:sz w:val="22"/>
          <w:szCs w:val="22"/>
          <w:bdr w:val="none" w:sz="0" w:space="0" w:color="auto" w:frame="1"/>
          <w:shd w:val="clear" w:color="auto" w:fill="FFFFFF"/>
        </w:rPr>
        <w:t>The Educational Progress of Looked After Children in England: Linking Care and Educational Data</w:t>
      </w:r>
      <w:r w:rsidRPr="00C47DDD">
        <w:rPr>
          <w:rStyle w:val="bibauth"/>
          <w:rFonts w:ascii="Arial" w:eastAsiaTheme="majorEastAsia" w:hAnsi="Arial" w:cs="Arial"/>
          <w:color w:val="000000" w:themeColor="text1"/>
          <w:sz w:val="22"/>
          <w:szCs w:val="22"/>
          <w:bdr w:val="none" w:sz="0" w:space="0" w:color="auto" w:frame="1"/>
          <w:shd w:val="clear" w:color="auto" w:fill="FFFFFF"/>
        </w:rPr>
        <w:t>. Oxford: Rees Centre and Bristol University.</w:t>
      </w:r>
    </w:p>
    <w:p w14:paraId="6D0F95D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Sellick, C., 2011. Commissioning Permanent Fostering Placements from External Providers: An Exploration of Current Policy and Practice.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The British Journal of Social Work,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[e-journal] 41(3), pp. 449–466. </w:t>
      </w:r>
      <w:hyperlink r:id="rId22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https://doi.org/10.1093/bjsw/bcq113</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09F3599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Sellick, C., 2014. Foster-Care Commissioning in an Age of Austerity: The Experiences and Views of the Independent Provider Sector in One English Region.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44(7), pp. 1788–1804. </w:t>
      </w:r>
      <w:hyperlink r:id="rId22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https://doi.org/10.1093/bjsw/bct046</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57C056E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Sellick, C., Thoburn, J. and Philpot, T., 2004. </w:t>
      </w:r>
      <w:r w:rsidRPr="00C47DDD">
        <w:rPr>
          <w:rStyle w:val="bibauth"/>
          <w:rFonts w:ascii="Arial" w:eastAsiaTheme="majorEastAsia" w:hAnsi="Arial" w:cs="Arial"/>
          <w:i/>
          <w:color w:val="000000" w:themeColor="text1"/>
          <w:sz w:val="22"/>
          <w:szCs w:val="22"/>
          <w:bdr w:val="none" w:sz="0" w:space="0" w:color="auto" w:frame="1"/>
          <w:shd w:val="clear" w:color="auto" w:fill="FFFFFF"/>
        </w:rPr>
        <w:t>What Works in Adoption and Foster Care</w:t>
      </w:r>
      <w:r w:rsidRPr="00C47DDD">
        <w:rPr>
          <w:rStyle w:val="bibauth"/>
          <w:rFonts w:ascii="Arial" w:eastAsiaTheme="majorEastAsia" w:hAnsi="Arial" w:cs="Arial"/>
          <w:color w:val="000000" w:themeColor="text1"/>
          <w:sz w:val="22"/>
          <w:szCs w:val="22"/>
          <w:bdr w:val="none" w:sz="0" w:space="0" w:color="auto" w:frame="1"/>
          <w:shd w:val="clear" w:color="auto" w:fill="FFFFFF"/>
        </w:rPr>
        <w:t>. Barkingside: Barnardo's.</w:t>
      </w:r>
    </w:p>
    <w:p w14:paraId="08D301D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Selwyn, J and Briheim-Crookall, L., 2017, ‘Our Lives, Our Care: looked after Children’s Views on Their Well-Being’ [pdf]. Available at: &lt;</w:t>
      </w:r>
      <w:hyperlink r:id="rId22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http://www.bristol.ac.uk/media-library/sites/sps/documents/hadleydocs/our-lives-our-care-report-2017.pdf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12 June 2017].</w:t>
      </w:r>
    </w:p>
    <w:p w14:paraId="21F941E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Selwyn, J., Saunders, H. and Farmer, E., 2010. The Views of Children and Young People on Being Cared for by an Independent Foster Care Provider. </w:t>
      </w:r>
      <w:r w:rsidRPr="00C47DDD">
        <w:rPr>
          <w:rStyle w:val="bibauth"/>
          <w:rFonts w:ascii="Arial" w:eastAsiaTheme="majorEastAsia" w:hAnsi="Arial" w:cs="Arial"/>
          <w:i/>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40(3), pp. 696-713.</w:t>
      </w:r>
      <w:r w:rsidRPr="00C47DDD">
        <w:rPr>
          <w:color w:val="000000" w:themeColor="text1"/>
          <w:sz w:val="22"/>
          <w:szCs w:val="22"/>
        </w:rPr>
        <w:t xml:space="preserve">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https://doi.org/10.1093/bjsw/bcn117. </w:t>
      </w:r>
    </w:p>
    <w:p w14:paraId="7261533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Sen, R., 2018. Effective Practice with Looked After Children. London: Palgrave.</w:t>
      </w:r>
    </w:p>
    <w:p w14:paraId="1AC2563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Shah, S., 2021.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Child’s Legal Journey Through Care</w:t>
      </w:r>
      <w:r w:rsidRPr="00C47DDD">
        <w:rPr>
          <w:rStyle w:val="bibauth"/>
          <w:rFonts w:ascii="Arial" w:eastAsiaTheme="majorEastAsia" w:hAnsi="Arial" w:cs="Arial"/>
          <w:color w:val="000000" w:themeColor="text1"/>
          <w:sz w:val="22"/>
          <w:szCs w:val="22"/>
          <w:bdr w:val="none" w:sz="0" w:space="0" w:color="auto" w:frame="1"/>
          <w:shd w:val="clear" w:color="auto" w:fill="FFFFFF"/>
        </w:rPr>
        <w:t>. London: CoramBAAF.</w:t>
      </w:r>
    </w:p>
    <w:p w14:paraId="2C71A7B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Shaw, I. and Gould, N., 2001. </w:t>
      </w:r>
      <w:r w:rsidRPr="00C47DDD">
        <w:rPr>
          <w:rStyle w:val="bibauth"/>
          <w:rFonts w:ascii="Arial" w:eastAsiaTheme="majorEastAsia" w:hAnsi="Arial" w:cs="Arial"/>
          <w:i/>
          <w:color w:val="000000" w:themeColor="text1"/>
          <w:sz w:val="22"/>
          <w:szCs w:val="22"/>
          <w:bdr w:val="none" w:sz="0" w:space="0" w:color="auto" w:frame="1"/>
          <w:shd w:val="clear" w:color="auto" w:fill="FFFFFF"/>
        </w:rPr>
        <w:t>Qualitative Research in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1F3AD78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Shemmings, D., 2000, Professionals’ Attitudes to Children’s Participation in Decision</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Making: Dichotomous Accounts and Doctrinal Contests.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5(3), pp. 235-243. </w:t>
      </w:r>
      <w:hyperlink r:id="rId223"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https://doi.org/10.1046/j.1365-2206.2000.00160.x</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2F6AAED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Shepard, C., 2002.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Participation Spice it Up!: Practical Tools for Engaging Children and Young People in Planning and Consultations.</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Save the Children.</w:t>
      </w:r>
    </w:p>
    <w:p w14:paraId="2AC2E17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Shier, H., 2001. Pathways to Participation: Openings, Opportunities and Obligations.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&amp; Society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15, pp.107-117. </w:t>
      </w:r>
      <w:hyperlink r:id="rId22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https://doi.org/10.1002/chi.617</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1150B79A" w14:textId="77777777" w:rsidR="00067907" w:rsidRPr="00C47DDD" w:rsidRDefault="00067907" w:rsidP="00B6099C">
      <w:pPr>
        <w:pStyle w:val="NormalWeb"/>
        <w:spacing w:line="240" w:lineRule="auto"/>
        <w:ind w:left="142" w:right="-52" w:hanging="142"/>
        <w:rPr>
          <w:rStyle w:val="bibauth"/>
          <w:rFonts w:ascii="Arial" w:eastAsiaTheme="majorEastAsia" w:hAnsi="Arial" w:cs="Arial"/>
          <w:i/>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Silverman, D., 2010. </w:t>
      </w:r>
      <w:r w:rsidRPr="00C47DDD">
        <w:rPr>
          <w:rStyle w:val="bibauth"/>
          <w:rFonts w:ascii="Arial" w:eastAsiaTheme="majorEastAsia" w:hAnsi="Arial" w:cs="Arial"/>
          <w:i/>
          <w:color w:val="000000" w:themeColor="text1"/>
          <w:sz w:val="22"/>
          <w:szCs w:val="22"/>
          <w:bdr w:val="none" w:sz="0" w:space="0" w:color="auto" w:frame="1"/>
          <w:shd w:val="clear" w:color="auto" w:fill="FFFFFF"/>
        </w:rPr>
        <w:t>Doing Qualitative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60A03DD9" w14:textId="79CB8756"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Simmons, H., 2009.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Case Study Research in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SAGE</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7E71A2C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Simmons, R. and Thompson, R., 2011. NEET Young People and Training for Work: Learning on the Margins. London: Trentham Books.</w:t>
      </w:r>
    </w:p>
    <w:p w14:paraId="687F3457" w14:textId="1013DCFD"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Sinclair, I., Baker, C., Lee, J., and Gibbs, I., 2007. </w:t>
      </w:r>
      <w:r w:rsidRPr="00C47DDD">
        <w:rPr>
          <w:rStyle w:val="bibauth"/>
          <w:rFonts w:ascii="Arial" w:eastAsiaTheme="majorEastAsia" w:hAnsi="Arial" w:cs="Arial"/>
          <w:i/>
          <w:color w:val="000000" w:themeColor="text1"/>
          <w:sz w:val="22"/>
          <w:szCs w:val="22"/>
          <w:bdr w:val="none" w:sz="0" w:space="0" w:color="auto" w:frame="1"/>
          <w:shd w:val="clear" w:color="auto" w:fill="FFFFFF"/>
        </w:rPr>
        <w:t>The Pursuit of Permanence: A Study of the English Care System. Quality Matters in Children's Services Series</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Kingsley Press</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7307CB57" w14:textId="65119B5E"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Sinclair, I., Gibbs, I., and Wilson K., 2004. </w:t>
      </w:r>
      <w:r w:rsidRPr="00C47DDD">
        <w:rPr>
          <w:rStyle w:val="bibauth"/>
          <w:rFonts w:ascii="Arial" w:eastAsiaTheme="majorEastAsia" w:hAnsi="Arial" w:cs="Arial"/>
          <w:i/>
          <w:color w:val="000000" w:themeColor="text1"/>
          <w:sz w:val="22"/>
          <w:szCs w:val="22"/>
          <w:bdr w:val="none" w:sz="0" w:space="0" w:color="auto" w:frame="1"/>
          <w:shd w:val="clear" w:color="auto" w:fill="FFFFFF"/>
        </w:rPr>
        <w:t>Foster Placements: Why they succeed and why they fail</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Kingsley Press</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0D10AB5D"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Smith, E., Johnson, R., Andersson, T., Belton, E., Kyriacou, S., and Hodson, D., 2019. Evaluating the Graded Care Profile 2: Comparisons with the Original Tool and Factors Affecting Uptake and Use of the Updated Tool.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Abuse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28(4), pp. 299– 309. https://doi.org/10.1002/car.2570.</w:t>
      </w:r>
    </w:p>
    <w:p w14:paraId="538AD1D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Smith, G. A., 2011. Selective hegemony and beyond-populations with ‘no productive function’: A framework for enquiry.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Identities</w:t>
      </w:r>
      <w:r w:rsidRPr="00C47DDD">
        <w:rPr>
          <w:rStyle w:val="bibauth"/>
          <w:rFonts w:ascii="Arial" w:eastAsiaTheme="majorEastAsia" w:hAnsi="Arial" w:cs="Arial"/>
          <w:color w:val="000000" w:themeColor="text1"/>
          <w:sz w:val="22"/>
          <w:szCs w:val="22"/>
          <w:bdr w:val="none" w:sz="0" w:space="0" w:color="auto" w:frame="1"/>
          <w:shd w:val="clear" w:color="auto" w:fill="FFFFFF"/>
        </w:rPr>
        <w:t>, [e-journal]18(1), pp. 2–38. doi:10.1080/1070289X.2011.59341.</w:t>
      </w:r>
    </w:p>
    <w:p w14:paraId="0FA13B1D"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Smith, H., 2019. Omniscience at the Edge of Chaos: Complexity, Defenses and Change in a Children and Families Social Work Department.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Work Practice</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33(4), pp. 471-480, doi: 10.1080/02650533.2019.1682332.</w:t>
      </w:r>
    </w:p>
    <w:p w14:paraId="376593BD"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Smith, K., 2012. Producing Governable Subjects: Images of Childhood Old and New.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19(1), pp. 24–37. </w:t>
      </w:r>
      <w:hyperlink r:id="rId22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https://doi.org/10.1177/0907568211401434</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4EE18915"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Sinclair, R., 2004. Participation in Practice: Making it Meaningful, Effective and Sustainable.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18, pp.106-118 </w:t>
      </w:r>
      <w:hyperlink r:id="rId226" w:history="1">
        <w:r w:rsidRPr="00C47DDD">
          <w:rPr>
            <w:rStyle w:val="Hyperlink"/>
            <w:rFonts w:ascii="Arial" w:eastAsiaTheme="majorEastAsia" w:hAnsi="Arial" w:cs="Arial"/>
            <w:color w:val="000000" w:themeColor="text1"/>
            <w:sz w:val="22"/>
            <w:szCs w:val="22"/>
            <w:u w:val="none"/>
          </w:rPr>
          <w:t>https://doi.org/10.1002/chi.817</w:t>
        </w:r>
      </w:hyperlink>
      <w:r w:rsidRPr="00C47DDD">
        <w:rPr>
          <w:rStyle w:val="Hyperlink"/>
          <w:rFonts w:ascii="Arial" w:eastAsiaTheme="majorEastAsia" w:hAnsi="Arial" w:cs="Arial"/>
          <w:color w:val="000000" w:themeColor="text1"/>
          <w:sz w:val="22"/>
          <w:szCs w:val="22"/>
          <w:u w:val="none"/>
        </w:rPr>
        <w:t>.</w:t>
      </w:r>
    </w:p>
    <w:p w14:paraId="3D54D92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Smith, R., 2008.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and Power.</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Basingstoke: Palgrave Macmillan.</w:t>
      </w:r>
    </w:p>
    <w:p w14:paraId="7B1B5D9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Smith, R., 2010.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 Universal Child?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Palgrave Macmillan.</w:t>
      </w:r>
    </w:p>
    <w:p w14:paraId="63E190E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Smith, R., 2021. Social Work as Policy Innovator: challenges and possibilities. In: U. Klammer, S. Leiber and S. Leitner. (eds) 2021.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and the Making of Social Policy</w:t>
      </w:r>
      <w:r w:rsidRPr="00C47DDD">
        <w:rPr>
          <w:rStyle w:val="bibauth"/>
          <w:rFonts w:ascii="Arial" w:eastAsiaTheme="majorEastAsia" w:hAnsi="Arial" w:cs="Arial"/>
          <w:color w:val="000000" w:themeColor="text1"/>
          <w:sz w:val="22"/>
          <w:szCs w:val="22"/>
          <w:bdr w:val="none" w:sz="0" w:space="0" w:color="auto" w:frame="1"/>
          <w:shd w:val="clear" w:color="auto" w:fill="FFFFFF"/>
        </w:rPr>
        <w:t>. Bristol: Policy Press. Ch.2.</w:t>
      </w:r>
    </w:p>
    <w:p w14:paraId="5F8149F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Stabler, L., 2020. Children’s and Parent’s Participation: current thinking. In: C. Diaz (ed) 2020.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Decision Making in Child and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Bristol: Policy Press. Ch.2.</w:t>
      </w:r>
    </w:p>
    <w:p w14:paraId="7E000E6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Stainton-Rogers, W. 2006. Logics of Enquiry. In: S. Potter (ed) 2006.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Doing Postgraduate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 Ch 4.</w:t>
      </w:r>
    </w:p>
    <w:p w14:paraId="6334842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2005.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Resilience and Young People Leaving Care: Overcoming the odds</w:t>
      </w:r>
      <w:r w:rsidRPr="00C47DDD">
        <w:rPr>
          <w:rStyle w:val="bibauth"/>
          <w:rFonts w:ascii="Arial" w:eastAsiaTheme="majorEastAsia" w:hAnsi="Arial" w:cs="Arial"/>
          <w:color w:val="000000" w:themeColor="text1"/>
          <w:sz w:val="22"/>
          <w:szCs w:val="22"/>
          <w:bdr w:val="none" w:sz="0" w:space="0" w:color="auto" w:frame="1"/>
          <w:shd w:val="clear" w:color="auto" w:fill="FFFFFF"/>
        </w:rPr>
        <w:t>. York: Joseph Rowntree Foundation.</w:t>
      </w:r>
    </w:p>
    <w:p w14:paraId="70BF32DF"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Stein, M., 2006, Research Review: Young People Leaving Care. </w:t>
      </w:r>
      <w:r w:rsidRPr="00C47DDD">
        <w:rPr>
          <w:rFonts w:ascii="Arial" w:hAnsi="Arial" w:cs="Arial"/>
          <w:i/>
          <w:iCs/>
          <w:color w:val="000000" w:themeColor="text1"/>
          <w:sz w:val="22"/>
          <w:szCs w:val="22"/>
          <w:bdr w:val="none" w:sz="0" w:space="0" w:color="auto" w:frame="1"/>
          <w:shd w:val="clear" w:color="auto" w:fill="FFFFFF"/>
        </w:rPr>
        <w:t>Child &amp; Family Social Work,</w:t>
      </w:r>
      <w:r w:rsidRPr="00C47DDD">
        <w:rPr>
          <w:rFonts w:ascii="Arial" w:hAnsi="Arial" w:cs="Arial"/>
          <w:color w:val="000000" w:themeColor="text1"/>
          <w:sz w:val="22"/>
          <w:szCs w:val="22"/>
          <w:bdr w:val="none" w:sz="0" w:space="0" w:color="auto" w:frame="1"/>
          <w:shd w:val="clear" w:color="auto" w:fill="FFFFFF"/>
        </w:rPr>
        <w:t xml:space="preserve"> [e-journal] 11(3), pp. 273-279. </w:t>
      </w:r>
      <w:hyperlink r:id="rId22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https://doi.org/10.1111/j.1365-2206.2006.00439.x</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20F794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2006b. </w:t>
      </w:r>
      <w:r w:rsidRPr="00C47DDD">
        <w:rPr>
          <w:rStyle w:val="bibauth"/>
          <w:rFonts w:ascii="Arial" w:eastAsiaTheme="majorEastAsia" w:hAnsi="Arial" w:cs="Arial"/>
          <w:i/>
          <w:iCs/>
          <w:color w:val="000000" w:themeColor="text1"/>
          <w:sz w:val="22"/>
          <w:szCs w:val="22"/>
          <w:bdr w:val="none" w:sz="0" w:space="0" w:color="auto" w:frame="1"/>
          <w:shd w:val="clear" w:color="auto" w:fill="FFFFFF"/>
        </w:rPr>
        <w:t>Wrong Turn</w:t>
      </w:r>
      <w:r w:rsidRPr="00C47DDD">
        <w:rPr>
          <w:rStyle w:val="bibauth"/>
          <w:rFonts w:ascii="Arial" w:eastAsiaTheme="majorEastAsia" w:hAnsi="Arial" w:cs="Arial"/>
          <w:color w:val="000000" w:themeColor="text1"/>
          <w:sz w:val="22"/>
          <w:szCs w:val="22"/>
          <w:bdr w:val="none" w:sz="0" w:space="0" w:color="auto" w:frame="1"/>
          <w:shd w:val="clear" w:color="auto" w:fill="FFFFFF"/>
        </w:rPr>
        <w:t>. [online] Available at &lt;</w:t>
      </w:r>
      <w:r w:rsidRPr="00C47DDD">
        <w:rPr>
          <w:rFonts w:ascii="Arial" w:hAnsi="Arial" w:cs="Arial"/>
          <w:color w:val="000000" w:themeColor="text1"/>
          <w:sz w:val="22"/>
          <w:szCs w:val="22"/>
        </w:rPr>
        <w:t xml:space="preserve"> </w:t>
      </w:r>
      <w:hyperlink r:id="rId22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https://www.theguardian.com/society/2006/dec/06/childrensservices.guardiansocietysupplement</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1&gt; [Accessed 12 June 2021].</w:t>
      </w:r>
    </w:p>
    <w:p w14:paraId="56AC010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2006c. Young People Aging Out of Care: The Poverty of Theory.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28(4), pp. 422-434, 10.1016/j.childyouth.2005.05.005.</w:t>
      </w:r>
    </w:p>
    <w:p w14:paraId="1FB0C6A9"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2011.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Care less lives: the story of the rights movement of young people in care</w:t>
      </w:r>
      <w:r w:rsidRPr="00C47DDD">
        <w:rPr>
          <w:rStyle w:val="bibauth"/>
          <w:rFonts w:ascii="Arial" w:eastAsiaTheme="majorEastAsia" w:hAnsi="Arial" w:cs="Arial"/>
          <w:color w:val="000000" w:themeColor="text1"/>
          <w:sz w:val="22"/>
          <w:szCs w:val="22"/>
          <w:bdr w:val="none" w:sz="0" w:space="0" w:color="auto" w:frame="1"/>
          <w:shd w:val="clear" w:color="auto" w:fill="FFFFFF"/>
        </w:rPr>
        <w:t>. London: Catch22.</w:t>
      </w:r>
    </w:p>
    <w:p w14:paraId="5BC1F5B1"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2012. </w:t>
      </w:r>
      <w:r w:rsidRPr="00C47DDD">
        <w:rPr>
          <w:rStyle w:val="bibauth"/>
          <w:rFonts w:ascii="Arial" w:eastAsiaTheme="majorEastAsia" w:hAnsi="Arial" w:cs="Arial"/>
          <w:i/>
          <w:color w:val="000000" w:themeColor="text1"/>
          <w:sz w:val="22"/>
          <w:szCs w:val="22"/>
          <w:bdr w:val="none" w:sz="0" w:space="0" w:color="auto" w:frame="1"/>
          <w:shd w:val="clear" w:color="auto" w:fill="FFFFFF"/>
        </w:rPr>
        <w:t xml:space="preserve">Young People Leaving Care: Supporting Pathways to Adulthood </w:t>
      </w:r>
      <w:r w:rsidRPr="00C47DDD">
        <w:rPr>
          <w:rStyle w:val="bibauth"/>
          <w:rFonts w:ascii="Arial" w:eastAsiaTheme="majorEastAsia" w:hAnsi="Arial" w:cs="Arial"/>
          <w:color w:val="000000" w:themeColor="text1"/>
          <w:sz w:val="22"/>
          <w:szCs w:val="22"/>
          <w:bdr w:val="none" w:sz="0" w:space="0" w:color="auto" w:frame="1"/>
          <w:shd w:val="clear" w:color="auto" w:fill="FFFFFF"/>
        </w:rPr>
        <w:t>London: Jessica Kingsley.</w:t>
      </w:r>
    </w:p>
    <w:p w14:paraId="3AFB7F4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2016. Foreword. In: P. Mendes and P. Snow (eds) 2016.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Young people transitioning from care: International research, policy, and practice. </w:t>
      </w:r>
      <w:r w:rsidRPr="00C47DDD">
        <w:rPr>
          <w:rStyle w:val="bibauth"/>
          <w:rFonts w:ascii="Arial" w:eastAsiaTheme="majorEastAsia" w:hAnsi="Arial" w:cs="Arial"/>
          <w:color w:val="000000" w:themeColor="text1"/>
          <w:sz w:val="22"/>
          <w:szCs w:val="22"/>
          <w:bdr w:val="none" w:sz="0" w:space="0" w:color="auto" w:frame="1"/>
          <w:shd w:val="clear" w:color="auto" w:fill="FFFFFF"/>
        </w:rPr>
        <w:t>Palgrave Macmillan</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color w:val="000000" w:themeColor="text1"/>
          <w:sz w:val="22"/>
          <w:szCs w:val="22"/>
          <w:bdr w:val="none" w:sz="0" w:space="0" w:color="auto" w:frame="1"/>
          <w:shd w:val="clear" w:color="auto" w:fill="FFFFFF"/>
        </w:rPr>
        <w:t>pp. v–vii.</w:t>
      </w:r>
    </w:p>
    <w:p w14:paraId="5D4DFFC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Stein, M. and Dumarat, A., 2011. The Mental Health of Young People Aging Out of Care and Entering Adulthood: Exploring the Evidence from England and France.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33(12), pp. 2504-2511. </w:t>
      </w:r>
      <w:hyperlink r:id="rId229" w:tgtFrame="_blank" w:tooltip="Persistent link using digital object identifier" w:history="1">
        <w:r w:rsidRPr="00C47DDD">
          <w:rPr>
            <w:rStyle w:val="Hyperlink"/>
            <w:rFonts w:ascii="Arial" w:eastAsiaTheme="majorEastAsia" w:hAnsi="Arial" w:cs="Arial"/>
            <w:color w:val="000000" w:themeColor="text1"/>
            <w:sz w:val="22"/>
            <w:szCs w:val="22"/>
            <w:u w:val="none"/>
          </w:rPr>
          <w:t>https://doi.org/10.1016/j.childyouth.2011.08.029</w:t>
        </w:r>
      </w:hyperlink>
      <w:r w:rsidRPr="00C47DDD">
        <w:rPr>
          <w:rFonts w:ascii="Arial" w:hAnsi="Arial" w:cs="Arial"/>
          <w:color w:val="000000" w:themeColor="text1"/>
          <w:sz w:val="22"/>
          <w:szCs w:val="22"/>
        </w:rPr>
        <w:t>.</w:t>
      </w:r>
    </w:p>
    <w:p w14:paraId="1459AE30" w14:textId="6F824D99"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Fonts w:ascii="Arial" w:hAnsi="Arial" w:cs="Arial"/>
          <w:color w:val="000000" w:themeColor="text1"/>
          <w:sz w:val="22"/>
          <w:szCs w:val="22"/>
          <w:shd w:val="clear" w:color="auto" w:fill="FFFFFF"/>
        </w:rPr>
        <w:t>Stein, M. and Maynard, C., 1985. </w:t>
      </w:r>
      <w:r w:rsidRPr="00C47DDD">
        <w:rPr>
          <w:rFonts w:ascii="Arial" w:hAnsi="Arial" w:cs="Arial"/>
          <w:i/>
          <w:iCs/>
          <w:color w:val="000000" w:themeColor="text1"/>
          <w:sz w:val="22"/>
          <w:szCs w:val="22"/>
          <w:shd w:val="clear" w:color="auto" w:fill="FFFFFF"/>
        </w:rPr>
        <w:t>I've Never Been so Lonely: A Survey of Young People Leaving Care</w:t>
      </w:r>
      <w:r w:rsidRPr="00C47DDD">
        <w:rPr>
          <w:rFonts w:ascii="Arial" w:hAnsi="Arial" w:cs="Arial"/>
          <w:color w:val="000000" w:themeColor="text1"/>
          <w:sz w:val="22"/>
          <w:szCs w:val="22"/>
          <w:shd w:val="clear" w:color="auto" w:fill="FFFFFF"/>
        </w:rPr>
        <w:t>. National Association of Young People in Care</w:t>
      </w:r>
      <w:r w:rsidR="002D394E" w:rsidRPr="00C47DDD">
        <w:rPr>
          <w:rFonts w:ascii="Arial" w:hAnsi="Arial" w:cs="Arial"/>
          <w:color w:val="000000" w:themeColor="text1"/>
          <w:sz w:val="22"/>
          <w:szCs w:val="22"/>
          <w:shd w:val="clear" w:color="auto" w:fill="FFFFFF"/>
        </w:rPr>
        <w:t>.</w:t>
      </w:r>
    </w:p>
    <w:p w14:paraId="4F7C32D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Stein, M. and Munro, E.R., 2008.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transition to adulthood for young people leaving public care: international comparisons and perspectives</w:t>
      </w:r>
      <w:r w:rsidRPr="00C47DDD">
        <w:rPr>
          <w:rStyle w:val="bibauth"/>
          <w:rFonts w:ascii="Arial" w:eastAsiaTheme="majorEastAsia" w:hAnsi="Arial" w:cs="Arial"/>
          <w:color w:val="000000" w:themeColor="text1"/>
          <w:sz w:val="22"/>
          <w:szCs w:val="22"/>
          <w:bdr w:val="none" w:sz="0" w:space="0" w:color="auto" w:frame="1"/>
          <w:shd w:val="clear" w:color="auto" w:fill="FFFFFF"/>
        </w:rPr>
        <w:t>. London: Jessica Kingsley Press.</w:t>
      </w:r>
    </w:p>
    <w:p w14:paraId="6AB64B6C" w14:textId="74E7C85C"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Stones, R., 2014. Power and Structuration Theory. In: S. Clegg and M. Haugaard, M. (eds) 2014.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SAGE Handbook of Power</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6E7863B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Storø, J., 2018. To manage on one’s own after leaving care? A Discussion of the Concepts Independence versus Interdependence, Nordic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Work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8(1) pp. 104-115. DOI: 10.1080/2156857X.2018.1463282.</w:t>
      </w:r>
    </w:p>
    <w:p w14:paraId="1B9682D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Stott, T., 2013. Transitioning youth: Policies and Outcomes.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35(2), pp. 218–27. </w:t>
      </w:r>
      <w:hyperlink r:id="rId23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https://doi.org/10.1016/j.childyouth.2012.10.019</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826CC8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Stuart, M. and Baines, C., 2004. Progress on Safeguards for Children Living Away from Home. [pdf] Available at:&lt;</w:t>
      </w:r>
      <w:r w:rsidRPr="00C47DDD">
        <w:rPr>
          <w:rFonts w:ascii="Arial" w:hAnsi="Arial" w:cs="Arial"/>
          <w:color w:val="000000" w:themeColor="text1"/>
          <w:sz w:val="22"/>
          <w:szCs w:val="22"/>
        </w:rPr>
        <w:t xml:space="preserve"> </w:t>
      </w:r>
      <w:hyperlink r:id="rId23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https://www.jrf.org.uk/report/progress-safeguards-children-living-away-home</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17 March 2021].</w:t>
      </w:r>
    </w:p>
    <w:p w14:paraId="0380F6A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TACT, 2019. Language that Cares: changing the way professionals talk about children in care.  [pdf] Available at: &lt;</w:t>
      </w:r>
      <w:r w:rsidRPr="00C47DDD">
        <w:rPr>
          <w:rFonts w:ascii="Arial" w:hAnsi="Arial" w:cs="Arial"/>
          <w:color w:val="000000" w:themeColor="text1"/>
          <w:sz w:val="22"/>
          <w:szCs w:val="22"/>
        </w:rPr>
        <w:t xml:space="preserve"> </w:t>
      </w:r>
      <w:hyperlink r:id="rId23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https://www.tactcare.org.uk/content/uploads/2019/03/TACT-Language-that-cares-2019_online.pdf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&gt; [Accessed 16 June 2021].</w:t>
      </w:r>
    </w:p>
    <w:p w14:paraId="0583A46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Tarren-Sweeney M., and Vetere A., 2014.Establishing the Need for Mental Health Services for Children and Young People in Care, and Those Who are Subsequently Adopted. In: M. Tarren-Sweeney and A. Vetere (eds) 2014. A. ‘</w:t>
      </w:r>
      <w:r w:rsidRPr="00C47DDD">
        <w:rPr>
          <w:rStyle w:val="bibauth"/>
          <w:rFonts w:ascii="Arial" w:eastAsiaTheme="majorEastAsia" w:hAnsi="Arial" w:cs="Arial"/>
          <w:i/>
          <w:color w:val="000000" w:themeColor="text1"/>
          <w:sz w:val="22"/>
          <w:szCs w:val="22"/>
          <w:bdr w:val="none" w:sz="0" w:space="0" w:color="auto" w:frame="1"/>
          <w:shd w:val="clear" w:color="auto" w:fill="FFFFFF"/>
        </w:rPr>
        <w:t>Mental Health Services for Vulnerable Children and Young People’</w:t>
      </w:r>
      <w:r w:rsidRPr="00C47DDD">
        <w:rPr>
          <w:rStyle w:val="bibauth"/>
          <w:rFonts w:ascii="Arial" w:eastAsiaTheme="majorEastAsia" w:hAnsi="Arial" w:cs="Arial"/>
          <w:color w:val="000000" w:themeColor="text1"/>
          <w:sz w:val="22"/>
          <w:szCs w:val="22"/>
          <w:bdr w:val="none" w:sz="0" w:space="0" w:color="auto" w:frame="1"/>
          <w:shd w:val="clear" w:color="auto" w:fill="FFFFFF"/>
        </w:rPr>
        <w:t>. London: Routledge.</w:t>
      </w:r>
    </w:p>
    <w:p w14:paraId="26472304"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Taylor, B., J., Killick, C. and McGlade, A., 2015.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Understanding and Using Research in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1217264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Taylor, B.J., 2017. </w:t>
      </w:r>
      <w:r w:rsidRPr="00C47DDD">
        <w:rPr>
          <w:rFonts w:ascii="Arial" w:hAnsi="Arial" w:cs="Arial"/>
          <w:i/>
          <w:iCs/>
          <w:color w:val="000000" w:themeColor="text1"/>
          <w:sz w:val="22"/>
          <w:szCs w:val="22"/>
        </w:rPr>
        <w:t>Decision making, Assessment and Risk in Social Work</w:t>
      </w:r>
      <w:r w:rsidRPr="00C47DDD">
        <w:rPr>
          <w:rFonts w:ascii="Arial" w:hAnsi="Arial" w:cs="Arial"/>
          <w:color w:val="000000" w:themeColor="text1"/>
          <w:sz w:val="22"/>
          <w:szCs w:val="22"/>
        </w:rPr>
        <w:t>. 3rd ed</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p>
    <w:p w14:paraId="1D2317E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Terry, J. and Coffey, M., 2019. Too Busy to Talk: Examining Service User Involvement in Nursing Work</w:t>
      </w:r>
      <w:r w:rsidRPr="00C47DDD">
        <w:rPr>
          <w:rStyle w:val="bibauth"/>
          <w:rFonts w:ascii="Arial" w:eastAsiaTheme="majorEastAsia" w:hAnsi="Arial" w:cs="Arial"/>
          <w:i/>
          <w:iCs/>
          <w:color w:val="000000" w:themeColor="text1"/>
          <w:sz w:val="22"/>
          <w:szCs w:val="22"/>
          <w:bdr w:val="none" w:sz="0" w:space="0" w:color="auto" w:frame="1"/>
          <w:shd w:val="clear" w:color="auto" w:fill="FFFFFF"/>
        </w:rPr>
        <w:t>. Issues in Mental Health Nursing</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40(11), pp. 957-965. DOI: 10.1080/01612840.2019.1635667.</w:t>
      </w:r>
    </w:p>
    <w:p w14:paraId="6658CAA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Tew, J., 2006. Understanding Power and Powerlessness: Towards a Framework for Emancipatory Practice in Social Work.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6: 33–51. doi:10.1177/1468017306062222.</w:t>
      </w:r>
    </w:p>
    <w:p w14:paraId="7763BC1D" w14:textId="77777777" w:rsidR="00067907" w:rsidRPr="00C47DDD" w:rsidRDefault="00067907" w:rsidP="00B6099C">
      <w:pPr>
        <w:pStyle w:val="NormalWeb"/>
        <w:spacing w:line="240" w:lineRule="auto"/>
        <w:ind w:left="142" w:right="-52" w:hanging="142"/>
        <w:rPr>
          <w:rStyle w:val="authors"/>
          <w:rFonts w:ascii="Arial" w:hAnsi="Arial" w:cs="Arial"/>
          <w:color w:val="000000" w:themeColor="text1"/>
          <w:sz w:val="22"/>
          <w:szCs w:val="22"/>
        </w:rPr>
      </w:pPr>
      <w:r w:rsidRPr="00C47DDD">
        <w:rPr>
          <w:rStyle w:val="authors"/>
          <w:rFonts w:ascii="Arial" w:hAnsi="Arial" w:cs="Arial"/>
          <w:color w:val="000000" w:themeColor="text1"/>
          <w:sz w:val="22"/>
          <w:szCs w:val="22"/>
        </w:rPr>
        <w:t xml:space="preserve">The Fostering Network. n.d. </w:t>
      </w:r>
      <w:r w:rsidRPr="00C47DDD">
        <w:rPr>
          <w:rStyle w:val="authors"/>
          <w:rFonts w:ascii="Arial" w:hAnsi="Arial" w:cs="Arial"/>
          <w:i/>
          <w:iCs/>
          <w:color w:val="000000" w:themeColor="text1"/>
          <w:sz w:val="22"/>
          <w:szCs w:val="22"/>
        </w:rPr>
        <w:t>Recruitment Targets</w:t>
      </w:r>
      <w:r w:rsidRPr="00C47DDD">
        <w:rPr>
          <w:rStyle w:val="authors"/>
          <w:rFonts w:ascii="Arial" w:hAnsi="Arial" w:cs="Arial"/>
          <w:color w:val="000000" w:themeColor="text1"/>
          <w:sz w:val="22"/>
          <w:szCs w:val="22"/>
        </w:rPr>
        <w:t xml:space="preserve">. [online] Available at:&lt; </w:t>
      </w:r>
      <w:hyperlink r:id="rId233" w:history="1">
        <w:r w:rsidRPr="00C47DDD">
          <w:rPr>
            <w:rStyle w:val="Hyperlink"/>
            <w:rFonts w:ascii="Arial" w:eastAsiaTheme="majorEastAsia" w:hAnsi="Arial" w:cs="Arial"/>
            <w:color w:val="000000" w:themeColor="text1"/>
            <w:sz w:val="22"/>
            <w:szCs w:val="22"/>
            <w:u w:val="none"/>
          </w:rPr>
          <w:t>https://www.thefosteringnetwork.org.uk/advice-information/all-about-fostering/recruitment-targets</w:t>
        </w:r>
      </w:hyperlink>
      <w:r w:rsidRPr="00C47DDD">
        <w:rPr>
          <w:rStyle w:val="authors"/>
          <w:rFonts w:ascii="Arial" w:hAnsi="Arial" w:cs="Arial"/>
          <w:color w:val="000000" w:themeColor="text1"/>
          <w:sz w:val="22"/>
          <w:szCs w:val="22"/>
        </w:rPr>
        <w:t>&gt; [Accessed 5 May 2021].</w:t>
      </w:r>
    </w:p>
    <w:p w14:paraId="48349501" w14:textId="7AFE7345"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The Fostering Network, 2013. Why foster carers care: How Understanding Values Can Transform Relationships and Improve Services. [pdf] Available at:&lt;</w:t>
      </w:r>
      <w:r w:rsidRPr="00C47DDD">
        <w:rPr>
          <w:rFonts w:ascii="Arial" w:hAnsi="Arial" w:cs="Arial"/>
          <w:color w:val="000000" w:themeColor="text1"/>
          <w:sz w:val="22"/>
          <w:szCs w:val="22"/>
        </w:rPr>
        <w:t xml:space="preserve"> </w:t>
      </w:r>
      <w:hyperlink r:id="rId23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https://www.thefosteringnetwork.org.uk/sites/default/files/content/why-foster-carers-care-report-v5.pdf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&gt; [Accessed 2 May 2021]</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2445139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The Fostering Network. 2016. ‘Post-18 care’ [online] Available at:&lt; </w:t>
      </w:r>
      <w:hyperlink r:id="rId23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https://www.thefosteringnetwork.org.uk/policy-practice/policy-positions/post-18-care</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30 June 2019].</w:t>
      </w:r>
    </w:p>
    <w:p w14:paraId="090C711A" w14:textId="77777777" w:rsidR="00067907" w:rsidRPr="00C47DDD" w:rsidRDefault="00067907" w:rsidP="00B6099C">
      <w:pPr>
        <w:pStyle w:val="NormalWeb"/>
        <w:spacing w:line="240" w:lineRule="auto"/>
        <w:ind w:left="142" w:right="-52" w:hanging="142"/>
        <w:rPr>
          <w:rStyle w:val="authors"/>
          <w:rFonts w:ascii="Arial" w:hAnsi="Arial" w:cs="Arial"/>
          <w:color w:val="000000" w:themeColor="text1"/>
          <w:sz w:val="22"/>
          <w:szCs w:val="22"/>
        </w:rPr>
      </w:pPr>
      <w:r w:rsidRPr="00C47DDD">
        <w:rPr>
          <w:rStyle w:val="authors"/>
          <w:rFonts w:ascii="Arial" w:hAnsi="Arial" w:cs="Arial"/>
          <w:color w:val="000000" w:themeColor="text1"/>
          <w:sz w:val="22"/>
          <w:szCs w:val="22"/>
        </w:rPr>
        <w:t xml:space="preserve">The Fostering Network. 2017. Staying Put: Guidance for Children and Young People Services, Fostering Services and Leaving Care Services. [pdf] Available at:&lt; </w:t>
      </w:r>
      <w:hyperlink r:id="rId236" w:history="1">
        <w:r w:rsidRPr="00C47DDD">
          <w:rPr>
            <w:rStyle w:val="Hyperlink"/>
            <w:rFonts w:ascii="Arial" w:eastAsiaTheme="majorEastAsia" w:hAnsi="Arial" w:cs="Arial"/>
            <w:color w:val="000000" w:themeColor="text1"/>
            <w:sz w:val="22"/>
            <w:szCs w:val="22"/>
            <w:u w:val="none"/>
          </w:rPr>
          <w:t>https://www.thefosteringnetwork.org.uk/sites/default/files/content/stayingputguidanceseptember2017.pdf</w:t>
        </w:r>
      </w:hyperlink>
      <w:r w:rsidRPr="00C47DDD">
        <w:rPr>
          <w:rStyle w:val="authors"/>
          <w:rFonts w:ascii="Arial" w:hAnsi="Arial" w:cs="Arial"/>
          <w:color w:val="000000" w:themeColor="text1"/>
          <w:sz w:val="22"/>
          <w:szCs w:val="22"/>
        </w:rPr>
        <w:t>&gt; [Accessed 5 May 2021].</w:t>
      </w:r>
    </w:p>
    <w:p w14:paraId="3D5BBA9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The Fostering Network. 2018. Staying Put: An Unfulfilled Promise. Available a:&lt; </w:t>
      </w:r>
      <w:hyperlink r:id="rId23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https://www.thefosteringnetwork.org.uk/sites/www.fostering.net/files/content/stayingput-anunfulfilledpromise.pdf</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&gt; [Accessed 2 May 2021].</w:t>
      </w:r>
    </w:p>
    <w:p w14:paraId="03127CB7"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Thomas, L. J., Jackl, J. A. and Crowley, J. L., 2017. “Family? … Not Just Blood”: Discursive Constructions of “Family” in Adult, Former Foster Children’s Narratives.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Family Communication,</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17(3), pp. 238-253. DOI: 10.1080/15267431.2017.1310728.</w:t>
      </w:r>
    </w:p>
    <w:p w14:paraId="774738FE" w14:textId="0E991608"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Thomas, N. and O’Kane, C., 1999. ‘Experiences of Decision-Making in Middle Childhood: The Example of Children `Looked After’ By Local Authorities’. </w:t>
      </w:r>
      <w:r w:rsidRPr="00C47DDD">
        <w:rPr>
          <w:rFonts w:ascii="Arial" w:hAnsi="Arial" w:cs="Arial"/>
          <w:i/>
          <w:iCs/>
          <w:color w:val="000000" w:themeColor="text1"/>
          <w:sz w:val="22"/>
          <w:szCs w:val="22"/>
        </w:rPr>
        <w:t>Childhood</w:t>
      </w:r>
      <w:r w:rsidRPr="00C47DDD">
        <w:rPr>
          <w:rFonts w:ascii="Arial" w:hAnsi="Arial" w:cs="Arial"/>
          <w:color w:val="000000" w:themeColor="text1"/>
          <w:sz w:val="22"/>
          <w:szCs w:val="22"/>
        </w:rPr>
        <w:t>, [e-journal] 6(3), pp. 369–387. doi: 10.1177/0907568299006003005</w:t>
      </w:r>
      <w:r w:rsidR="002D394E" w:rsidRPr="00C47DDD">
        <w:rPr>
          <w:rFonts w:ascii="Arial" w:hAnsi="Arial" w:cs="Arial"/>
          <w:color w:val="000000" w:themeColor="text1"/>
          <w:sz w:val="22"/>
          <w:szCs w:val="22"/>
        </w:rPr>
        <w:t>.</w:t>
      </w:r>
    </w:p>
    <w:p w14:paraId="0262512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Thomas, N., 2015. The Voice of the Child in Statutory Work. In: M. Ivory (ed.)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Voice of the Child: Meaningful engagement with Children and Young People</w:t>
      </w:r>
      <w:r w:rsidRPr="00C47DDD">
        <w:rPr>
          <w:rStyle w:val="bibauth"/>
          <w:rFonts w:ascii="Arial" w:eastAsiaTheme="majorEastAsia" w:hAnsi="Arial" w:cs="Arial"/>
          <w:color w:val="000000" w:themeColor="text1"/>
          <w:sz w:val="22"/>
          <w:szCs w:val="22"/>
          <w:bdr w:val="none" w:sz="0" w:space="0" w:color="auto" w:frame="1"/>
          <w:shd w:val="clear" w:color="auto" w:fill="FFFFFF"/>
        </w:rPr>
        <w:t>. Dartington: Research in Practice.</w:t>
      </w:r>
    </w:p>
    <w:p w14:paraId="10D1014B"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Thompson, L. J., and Wadley, D. A., 2018. Countering Globalization and Managerialism: Relationist Ethics in Social Work. </w:t>
      </w:r>
      <w:r w:rsidRPr="00C47DDD">
        <w:rPr>
          <w:rStyle w:val="bibauth"/>
          <w:rFonts w:ascii="Arial" w:eastAsiaTheme="majorEastAsia" w:hAnsi="Arial" w:cs="Arial"/>
          <w:i/>
          <w:iCs/>
          <w:color w:val="000000" w:themeColor="text1"/>
          <w:sz w:val="22"/>
          <w:szCs w:val="22"/>
          <w:bdr w:val="none" w:sz="0" w:space="0" w:color="auto" w:frame="1"/>
          <w:shd w:val="clear" w:color="auto" w:fill="FFFFFF"/>
        </w:rPr>
        <w:t>International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61(5), pp. 706–723. </w:t>
      </w:r>
      <w:hyperlink r:id="rId238"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https://doi.org/10.1177/0020872816655867</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D2B5AD6"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Thompson, N., 2020. </w:t>
      </w:r>
      <w:r w:rsidRPr="00C47DDD">
        <w:rPr>
          <w:rStyle w:val="Hyperlink"/>
          <w:rFonts w:ascii="Arial" w:eastAsiaTheme="majorEastAsia" w:hAnsi="Arial" w:cs="Arial"/>
          <w:i/>
          <w:iCs/>
          <w:color w:val="000000" w:themeColor="text1"/>
          <w:sz w:val="22"/>
          <w:szCs w:val="22"/>
          <w:u w:val="none"/>
          <w:bdr w:val="none" w:sz="0" w:space="0" w:color="auto" w:frame="1"/>
          <w:shd w:val="clear" w:color="auto" w:fill="FFFFFF"/>
        </w:rPr>
        <w:t>Understanding Social Work</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Basingstoke: Palgrave Macmillan.</w:t>
      </w:r>
    </w:p>
    <w:p w14:paraId="4348A44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Thomson, P. and Kamler, B., 2015. </w:t>
      </w:r>
      <w:r w:rsidRPr="00C47DDD">
        <w:rPr>
          <w:rStyle w:val="bibauth"/>
          <w:rFonts w:ascii="Arial" w:eastAsiaTheme="majorEastAsia" w:hAnsi="Arial" w:cs="Arial"/>
          <w:i/>
          <w:iCs/>
          <w:color w:val="000000" w:themeColor="text1"/>
          <w:sz w:val="22"/>
          <w:szCs w:val="22"/>
          <w:bdr w:val="none" w:sz="0" w:space="0" w:color="auto" w:frame="1"/>
          <w:shd w:val="clear" w:color="auto" w:fill="FFFFFF"/>
        </w:rPr>
        <w:t>Detox your Writing: Strategies for Doctoral Researchers</w:t>
      </w:r>
      <w:r w:rsidRPr="00C47DDD">
        <w:rPr>
          <w:rStyle w:val="bibauth"/>
          <w:rFonts w:ascii="Arial" w:eastAsiaTheme="majorEastAsia" w:hAnsi="Arial" w:cs="Arial"/>
          <w:color w:val="000000" w:themeColor="text1"/>
          <w:sz w:val="22"/>
          <w:szCs w:val="22"/>
          <w:bdr w:val="none" w:sz="0" w:space="0" w:color="auto" w:frame="1"/>
          <w:shd w:val="clear" w:color="auto" w:fill="FFFFFF"/>
        </w:rPr>
        <w:t>. Abingdon: Routledge.</w:t>
      </w:r>
    </w:p>
    <w:p w14:paraId="54D2034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Tilbury, C., 2004. The Influence of Performance Measurement on Child Welfare Policy and Practice. </w:t>
      </w:r>
      <w:r w:rsidRPr="00C47DDD">
        <w:rPr>
          <w:rStyle w:val="bibauth"/>
          <w:rFonts w:ascii="Arial" w:eastAsiaTheme="majorEastAsia" w:hAnsi="Arial" w:cs="Arial"/>
          <w:i/>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34(2), pp.225-241.http:// doi: 10.1093/bjsw/bch023.</w:t>
      </w:r>
    </w:p>
    <w:p w14:paraId="17D5182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Timor-Shlevin, S., and Benjamin, O., 2020. The Tension Between Managerial and Critical Professional Discourses in Social Work. </w:t>
      </w:r>
      <w:r w:rsidRPr="00C47DDD">
        <w:rPr>
          <w:rStyle w:val="bibauth"/>
          <w:rFonts w:ascii="Arial" w:eastAsiaTheme="majorEastAsia" w:hAnsi="Arial" w:cs="Arial"/>
          <w:i/>
          <w:iCs/>
          <w:color w:val="000000" w:themeColor="text1"/>
          <w:sz w:val="22"/>
          <w:szCs w:val="22"/>
          <w:bdr w:val="none" w:sz="0" w:space="0" w:color="auto" w:frame="1"/>
          <w:shd w:val="clear" w:color="auto" w:fill="FFFFFF"/>
        </w:rPr>
        <w:t>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21(4), pp. 1-19. https://doi.org/10.1177/1468017320949359.</w:t>
      </w:r>
    </w:p>
    <w:p w14:paraId="650B998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Toros, K. 2020. A Systematic review of Children’s Participation in Child Protection Decision</w:t>
      </w:r>
      <w:r w:rsidRPr="00C47DDD">
        <w:rPr>
          <w:rStyle w:val="bibauth"/>
          <w:rFonts w:ascii="Cambria Math" w:eastAsiaTheme="majorEastAsia" w:hAnsi="Cambria Math" w:cs="Cambria Math"/>
          <w:color w:val="000000" w:themeColor="text1"/>
          <w:sz w:val="22"/>
          <w:szCs w:val="22"/>
          <w:bdr w:val="none" w:sz="0" w:space="0" w:color="auto" w:frame="1"/>
          <w:shd w:val="clear" w:color="auto" w:fill="FFFFFF"/>
        </w:rPr>
        <w:t>‐</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Making: Tokenistic Presence or not?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&amp; Society</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35(3), pp. 1– 17. </w:t>
      </w:r>
      <w:hyperlink r:id="rId239"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https://doi.org/10.1111/chso.12418</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090EC830"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Törrönen, M. and Vornanen, R., 2014. Young People Leaving Care: Participatory Research to Improve Child Welfare Practices and the Rights of Children and Young People,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Australian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67(1), pp. 135-150. DOI: 10.1080/0312407X.2013.868012.</w:t>
      </w:r>
    </w:p>
    <w:p w14:paraId="1722869F" w14:textId="08B977BF"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Tosi, M and Grundy, E., 2018. Returns Home by Children and Changes in Parents’ Well-being in Europe.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Social Science &amp; Medicine</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200, pp. 99-106. </w:t>
      </w:r>
      <w:hyperlink r:id="rId240"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https://doi.org/10.1016/j.socscimed.2018.01.016</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4E3394C1" w14:textId="4B1A4443" w:rsidR="008C70DB" w:rsidRPr="00C47DDD" w:rsidRDefault="008C70DB"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Tracy, S.J. 2010. Qualitative Quality: Eight “Big-Tent” Criteria for Excellent Qualitative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Research. Qualitative Inquiry</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16(10), pp. 837–851. https://doi.org/10.1177/1077800410383121.</w:t>
      </w:r>
    </w:p>
    <w:p w14:paraId="2293498C"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Trafford, V. and Leshem, S., 2008. </w:t>
      </w:r>
      <w:r w:rsidRPr="00C47DDD">
        <w:rPr>
          <w:rStyle w:val="bibauth"/>
          <w:rFonts w:ascii="Arial" w:eastAsiaTheme="majorEastAsia" w:hAnsi="Arial" w:cs="Arial"/>
          <w:i/>
          <w:iCs/>
          <w:color w:val="000000" w:themeColor="text1"/>
          <w:sz w:val="22"/>
          <w:szCs w:val="22"/>
          <w:bdr w:val="none" w:sz="0" w:space="0" w:color="auto" w:frame="1"/>
          <w:shd w:val="clear" w:color="auto" w:fill="FFFFFF"/>
        </w:rPr>
        <w:t>Stepping Stones to Achieving your Doctorate</w:t>
      </w:r>
      <w:r w:rsidRPr="00C47DDD">
        <w:rPr>
          <w:rStyle w:val="bibauth"/>
          <w:rFonts w:ascii="Arial" w:eastAsiaTheme="majorEastAsia" w:hAnsi="Arial" w:cs="Arial"/>
          <w:color w:val="000000" w:themeColor="text1"/>
          <w:sz w:val="22"/>
          <w:szCs w:val="22"/>
          <w:bdr w:val="none" w:sz="0" w:space="0" w:color="auto" w:frame="1"/>
          <w:shd w:val="clear" w:color="auto" w:fill="FFFFFF"/>
        </w:rPr>
        <w:t>. Maidenhead: Open University Press.</w:t>
      </w:r>
    </w:p>
    <w:p w14:paraId="077933C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Travis, D. J., Lizano, L. E., Mor Barak, E., 2016. ‘I'm So Stressed!’: A Longitudinal Model of Stress, Burnout and Engagement among Social Workers in a Child Welfare Settings.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46(4), pp. 1076–1095, </w:t>
      </w:r>
      <w:hyperlink r:id="rId24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https://doi.org/10.1093/bjsw/bct205</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4FC47B2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Treseder, P., 1997.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Empowering Children and Young People</w:t>
      </w:r>
      <w:r w:rsidRPr="00C47DDD">
        <w:rPr>
          <w:rStyle w:val="bibauth"/>
          <w:rFonts w:ascii="Arial" w:eastAsiaTheme="majorEastAsia" w:hAnsi="Arial" w:cs="Arial"/>
          <w:color w:val="000000" w:themeColor="text1"/>
          <w:sz w:val="22"/>
          <w:szCs w:val="22"/>
          <w:bdr w:val="none" w:sz="0" w:space="0" w:color="auto" w:frame="1"/>
          <w:shd w:val="clear" w:color="auto" w:fill="FFFFFF"/>
        </w:rPr>
        <w:t>. London: Children’s Rights Office and Save the Children.</w:t>
      </w:r>
    </w:p>
    <w:p w14:paraId="3FB4D4BE" w14:textId="3C6E3443"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Truter, E., Fouché, A. and Theron, L., 2017. The Resilience of Child Protection Social Workers: Are They at Risk and If So, How Do They Adjust? A Systematic Meta-Synthesis,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47(3), pp. 846–863. </w:t>
      </w:r>
      <w:hyperlink r:id="rId24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https://doi.org/10.1093/bjsw/bcw048</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AD7CC13" w14:textId="5979D69D" w:rsidR="007956D0" w:rsidRPr="00C47DDD" w:rsidRDefault="007956D0" w:rsidP="007956D0">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United Nations. 1981. International Youth Year: A/36/215 19 June 1981. [online] Available at:</w:t>
      </w:r>
      <w:r w:rsidR="00834F3C" w:rsidRPr="00C47DDD">
        <w:rPr>
          <w:rStyle w:val="Hyperlink"/>
          <w:rFonts w:ascii="Arial" w:eastAsiaTheme="majorEastAsia" w:hAnsi="Arial" w:cs="Arial"/>
          <w:color w:val="000000" w:themeColor="text1"/>
          <w:sz w:val="22"/>
          <w:szCs w:val="22"/>
          <w:u w:val="none"/>
          <w:bdr w:val="none" w:sz="0" w:space="0" w:color="auto" w:frame="1"/>
          <w:shd w:val="clear" w:color="auto" w:fill="FFFFFF"/>
        </w:rPr>
        <w:t>&lt;</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 </w:t>
      </w:r>
      <w:hyperlink r:id="rId243" w:history="1">
        <w:r w:rsidRPr="00C47DDD">
          <w:rPr>
            <w:rStyle w:val="Hyperlink"/>
            <w:rFonts w:ascii="Arial" w:eastAsiaTheme="majorEastAsia" w:hAnsi="Arial" w:cs="Arial"/>
            <w:sz w:val="22"/>
            <w:szCs w:val="22"/>
            <w:bdr w:val="none" w:sz="0" w:space="0" w:color="auto" w:frame="1"/>
            <w:shd w:val="clear" w:color="auto" w:fill="FFFFFF"/>
          </w:rPr>
          <w:t>https://undocs.org/en/A/36/215</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 </w:t>
      </w:r>
      <w:r w:rsidR="00834F3C" w:rsidRPr="00C47DDD">
        <w:rPr>
          <w:rStyle w:val="Hyperlink"/>
          <w:rFonts w:ascii="Arial" w:eastAsiaTheme="majorEastAsia" w:hAnsi="Arial" w:cs="Arial"/>
          <w:color w:val="000000" w:themeColor="text1"/>
          <w:sz w:val="22"/>
          <w:szCs w:val="22"/>
          <w:u w:val="none"/>
          <w:bdr w:val="none" w:sz="0" w:space="0" w:color="auto" w:frame="1"/>
          <w:shd w:val="clear" w:color="auto" w:fill="FFFFFF"/>
        </w:rPr>
        <w:t>&gt; [Accessed 30 December 2021].</w:t>
      </w:r>
    </w:p>
    <w:p w14:paraId="17524D80" w14:textId="76C4CDBE"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United Nations.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1989. Convention of The Rights of the Child. New York</w:t>
      </w:r>
      <w:r w:rsidRPr="00C47DDD">
        <w:rPr>
          <w:rStyle w:val="bibauth"/>
          <w:rFonts w:ascii="Arial" w:eastAsiaTheme="majorEastAsia" w:hAnsi="Arial" w:cs="Arial"/>
          <w:color w:val="000000" w:themeColor="text1"/>
          <w:sz w:val="22"/>
          <w:szCs w:val="22"/>
          <w:bdr w:val="none" w:sz="0" w:space="0" w:color="auto" w:frame="1"/>
          <w:shd w:val="clear" w:color="auto" w:fill="FFFFFF"/>
        </w:rPr>
        <w:t>: United Nations.</w:t>
      </w:r>
    </w:p>
    <w:p w14:paraId="7715E004" w14:textId="5BE00C87" w:rsidR="0018772B" w:rsidRPr="00C47DDD" w:rsidRDefault="0018772B"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Unrau, Y. A., 2007. Research on placement moves: Seeking the perspective of foster children. Children and Youth Service Review, [e-journal] 29(1), pp. 122-137. https://doi.org/10.1016/j.childyouth.2006.08.003.</w:t>
      </w:r>
    </w:p>
    <w:p w14:paraId="4B73DE1F"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rPr>
        <w:t xml:space="preserve">Uprichard, E., 2008. ‘Children as “Being and Becomings”: Children, Childhood and Temporality’. </w:t>
      </w:r>
      <w:r w:rsidRPr="00C47DDD">
        <w:rPr>
          <w:rFonts w:ascii="Arial" w:hAnsi="Arial" w:cs="Arial"/>
          <w:i/>
          <w:iCs/>
          <w:color w:val="000000" w:themeColor="text1"/>
          <w:sz w:val="22"/>
          <w:szCs w:val="22"/>
        </w:rPr>
        <w:t>Children &amp; Society</w:t>
      </w:r>
      <w:r w:rsidRPr="00C47DDD">
        <w:rPr>
          <w:rFonts w:ascii="Arial" w:hAnsi="Arial" w:cs="Arial"/>
          <w:color w:val="000000" w:themeColor="text1"/>
          <w:sz w:val="22"/>
          <w:szCs w:val="22"/>
        </w:rPr>
        <w:t>, [e-journal] 22(4), pp. 303–313. doi: 10.1111/j.1099-0860.2007.00110.x.</w:t>
      </w:r>
    </w:p>
    <w:p w14:paraId="371D3510" w14:textId="322B2E29"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Urquhart, C., 2013. </w:t>
      </w:r>
      <w:r w:rsidRPr="00C47DDD">
        <w:rPr>
          <w:rStyle w:val="bibauth"/>
          <w:rFonts w:ascii="Arial" w:eastAsiaTheme="majorEastAsia" w:hAnsi="Arial" w:cs="Arial"/>
          <w:i/>
          <w:iCs/>
          <w:color w:val="000000" w:themeColor="text1"/>
          <w:sz w:val="22"/>
          <w:szCs w:val="22"/>
          <w:bdr w:val="none" w:sz="0" w:space="0" w:color="auto" w:frame="1"/>
          <w:shd w:val="clear" w:color="auto" w:fill="FFFFFF"/>
        </w:rPr>
        <w:t>Grounded Theory for Qualitative Research</w:t>
      </w:r>
      <w:r w:rsidRPr="00C47DDD">
        <w:rPr>
          <w:rStyle w:val="bibauth"/>
          <w:rFonts w:ascii="Arial" w:eastAsiaTheme="majorEastAsia" w:hAnsi="Arial" w:cs="Arial"/>
          <w:color w:val="000000" w:themeColor="text1"/>
          <w:sz w:val="22"/>
          <w:szCs w:val="22"/>
          <w:bdr w:val="none" w:sz="0" w:space="0" w:color="auto" w:frame="1"/>
          <w:shd w:val="clear" w:color="auto" w:fill="FFFFFF"/>
        </w:rPr>
        <w:t>. London: SAGE</w:t>
      </w:r>
      <w:r w:rsidR="00834F3C"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76896C9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Utting, W. 1997. </w:t>
      </w:r>
      <w:r w:rsidRPr="00C47DDD">
        <w:rPr>
          <w:rStyle w:val="bibauth"/>
          <w:rFonts w:ascii="Arial" w:eastAsiaTheme="majorEastAsia" w:hAnsi="Arial" w:cs="Arial"/>
          <w:i/>
          <w:iCs/>
          <w:color w:val="000000" w:themeColor="text1"/>
          <w:sz w:val="22"/>
          <w:szCs w:val="22"/>
          <w:bdr w:val="none" w:sz="0" w:space="0" w:color="auto" w:frame="1"/>
          <w:shd w:val="clear" w:color="auto" w:fill="FFFFFF"/>
        </w:rPr>
        <w:t>People like us: the report of the Review of the Safeguards for Children Living Away from Home</w:t>
      </w:r>
      <w:r w:rsidRPr="00C47DDD">
        <w:rPr>
          <w:rStyle w:val="bibauth"/>
          <w:rFonts w:ascii="Arial" w:eastAsiaTheme="majorEastAsia" w:hAnsi="Arial" w:cs="Arial"/>
          <w:color w:val="000000" w:themeColor="text1"/>
          <w:sz w:val="22"/>
          <w:szCs w:val="22"/>
          <w:bdr w:val="none" w:sz="0" w:space="0" w:color="auto" w:frame="1"/>
          <w:shd w:val="clear" w:color="auto" w:fill="FFFFFF"/>
        </w:rPr>
        <w:t>. London: The Stationary Office.</w:t>
      </w:r>
    </w:p>
    <w:p w14:paraId="1116FB01"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Utting, W., 1991.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Children in the Public Care: A Review of Residential Child Care</w:t>
      </w:r>
      <w:r w:rsidRPr="00C47DDD">
        <w:rPr>
          <w:rStyle w:val="bibauth"/>
          <w:rFonts w:ascii="Arial" w:eastAsiaTheme="majorEastAsia" w:hAnsi="Arial" w:cs="Arial"/>
          <w:color w:val="000000" w:themeColor="text1"/>
          <w:sz w:val="22"/>
          <w:szCs w:val="22"/>
          <w:bdr w:val="none" w:sz="0" w:space="0" w:color="auto" w:frame="1"/>
          <w:shd w:val="clear" w:color="auto" w:fill="FFFFFF"/>
        </w:rPr>
        <w:t>. London: HMSO.</w:t>
      </w:r>
    </w:p>
    <w:p w14:paraId="39A8007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van Bijleveld, G.G., Bunders-Aelen, J.F.G and Dedding, C.W.M., 2020. Exploring the essence of enabling child participation within child protection services.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25(2), pp. 286– 293. https://doi.org/10.1111/cfs.12684.</w:t>
      </w:r>
    </w:p>
    <w:p w14:paraId="7D260042"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van Breda, A., Munro, E. R., Gilligan, R., Anghel, R., Harder, A., Incarnato, M., Mann-Feder, V., Refaeli, T., Stohler, R. and Storø, J., 2020. Extended care: Global dialogue on policy, </w:t>
      </w: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practice and research. Children and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Youth Services Review </w:t>
      </w:r>
      <w:r w:rsidRPr="00C47DDD">
        <w:rPr>
          <w:rStyle w:val="bibauth"/>
          <w:rFonts w:ascii="Arial" w:eastAsiaTheme="majorEastAsia" w:hAnsi="Arial" w:cs="Arial"/>
          <w:color w:val="000000" w:themeColor="text1"/>
          <w:sz w:val="22"/>
          <w:szCs w:val="22"/>
          <w:bdr w:val="none" w:sz="0" w:space="0" w:color="auto" w:frame="1"/>
          <w:shd w:val="clear" w:color="auto" w:fill="FFFFFF"/>
        </w:rPr>
        <w:t>[e-journal] 119, pp. 1-14. https://doi.org/10.1016/j.childyouth.2020.105596.</w:t>
      </w:r>
    </w:p>
    <w:p w14:paraId="35E4E4E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Vis, S. and Fossum, S., 2013. Representation of Children's Views in Court Hearings about Custody and Parental Visitations - A Comparison Between What Children Wanted and What the Courts Ruled.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and Youth Service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35(12), pp. 2101–2109.     DOI: 10.1016/j.childyouth.2013.10.015.</w:t>
      </w:r>
    </w:p>
    <w:p w14:paraId="292F492B"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Vis, S.A. and Fossum, S., 2015. Organizational factors and child participation. Child &amp; Family Social Work [e-journal] 20, pp.277-287. https://doi.org/10.1111/cfs.12076.</w:t>
      </w:r>
    </w:p>
    <w:p w14:paraId="1616ADC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Vis, S., Holtan, A. and Thomas, N., 2012. Obstacles for Child Participation in Care and Protection cases: Why Norwegian social workers find it difficult. </w:t>
      </w:r>
      <w:r w:rsidRPr="00C47DDD">
        <w:rPr>
          <w:rStyle w:val="bibauth"/>
          <w:rFonts w:ascii="Arial" w:eastAsiaTheme="majorEastAsia" w:hAnsi="Arial" w:cs="Arial"/>
          <w:i/>
          <w:color w:val="000000" w:themeColor="text1"/>
          <w:sz w:val="22"/>
          <w:szCs w:val="22"/>
          <w:bdr w:val="none" w:sz="0" w:space="0" w:color="auto" w:frame="1"/>
          <w:shd w:val="clear" w:color="auto" w:fill="FFFFFF"/>
        </w:rPr>
        <w:t>Child Abuse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21, pp. 7–23. https://doi.org/10.1002/car.1155.</w:t>
      </w:r>
    </w:p>
    <w:p w14:paraId="7F152C6A"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Vis, S. A., and Thomas, N. 2009., Beyond talking—Children’s participation in Norwegian care and protection cases.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European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12(2), pp. 155–168. </w:t>
      </w:r>
      <w:hyperlink r:id="rId244"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https://doi.org/10.1080/13691450802567465</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6A55D425"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Wade, J., 2008. The Ties that Bind: Support from Birth Families and Substitute Families for Young People Leaving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The British Journal of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38(1), pp.39-54.http://doi: 10.1093/bjsw/bcl342.</w:t>
      </w:r>
    </w:p>
    <w:p w14:paraId="79B8702C" w14:textId="789F6A29"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Wade, J., Biehal, N., Farrelly N. and Sinclair, I., 2010.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Maltreated Children in The Looked After System: A Comparison of Outcomes for Those Who Go Home </w:t>
      </w:r>
      <w:r w:rsidR="005C5158" w:rsidRPr="00C47DDD">
        <w:rPr>
          <w:rStyle w:val="bibauth"/>
          <w:rFonts w:ascii="Arial" w:eastAsiaTheme="majorEastAsia" w:hAnsi="Arial" w:cs="Arial"/>
          <w:i/>
          <w:iCs/>
          <w:color w:val="000000" w:themeColor="text1"/>
          <w:sz w:val="22"/>
          <w:szCs w:val="22"/>
          <w:bdr w:val="none" w:sz="0" w:space="0" w:color="auto" w:frame="1"/>
          <w:shd w:val="clear" w:color="auto" w:fill="FFFFFF"/>
        </w:rPr>
        <w:t>and</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 Those Who Do Not</w:t>
      </w:r>
      <w:r w:rsidRPr="00C47DDD">
        <w:rPr>
          <w:rStyle w:val="bibauth"/>
          <w:rFonts w:ascii="Arial" w:eastAsiaTheme="majorEastAsia" w:hAnsi="Arial" w:cs="Arial"/>
          <w:color w:val="000000" w:themeColor="text1"/>
          <w:sz w:val="22"/>
          <w:szCs w:val="22"/>
          <w:bdr w:val="none" w:sz="0" w:space="0" w:color="auto" w:frame="1"/>
          <w:shd w:val="clear" w:color="auto" w:fill="FFFFFF"/>
        </w:rPr>
        <w:t>. [online] Available at: &lt;</w:t>
      </w:r>
      <w:r w:rsidRPr="00C47DDD">
        <w:rPr>
          <w:rFonts w:ascii="Arial" w:hAnsi="Arial" w:cs="Arial"/>
          <w:color w:val="000000" w:themeColor="text1"/>
          <w:sz w:val="22"/>
          <w:szCs w:val="22"/>
        </w:rPr>
        <w:t xml:space="preserve">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https://www.gov.uk/government/publications/maltreated-children-in-the-looked-after-system-a-comparison-of-outcomes-for-those-who-go-home-and-those-who-do-not&gt; [Accessed 4 June 2019]. </w:t>
      </w:r>
    </w:p>
    <w:p w14:paraId="33B434EE"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Wade, J. and Dixon, J., 2006, 'Making a Home, Finding a Job: Investigating Early Housing and Employment Outcomes for Young People Leaving Care'.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and Family Social</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w:t>
      </w:r>
      <w:r w:rsidRPr="00C47DDD">
        <w:rPr>
          <w:rStyle w:val="bibauth"/>
          <w:rFonts w:ascii="Arial" w:eastAsiaTheme="majorEastAsia" w:hAnsi="Arial" w:cs="Arial"/>
          <w:i/>
          <w:iCs/>
          <w:color w:val="000000" w:themeColor="text1"/>
          <w:sz w:val="22"/>
          <w:szCs w:val="22"/>
          <w:bdr w:val="none" w:sz="0" w:space="0" w:color="auto" w:frame="1"/>
          <w:shd w:val="clear" w:color="auto" w:fill="FFFFFF"/>
        </w:rPr>
        <w:t xml:space="preserve">Work, </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[e-journal] 11(3), pp. 199-208. </w:t>
      </w:r>
      <w:hyperlink r:id="rId245"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http://dx.doi.org/10.1111/j.1365-2206.2006.00428</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235F6C7F"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Ward, H., 2009. Patterns of instability: Moves within the care system, their reasons, contexts and consequences.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and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31(10), pp. 1113-1118. DOI: 10.1016/j.childyouth.2009.07.009.</w:t>
      </w:r>
    </w:p>
    <w:p w14:paraId="1ED21C6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Ward, H., 2011. Continuities and Discontinuities: Issues Concerning the Establishment of a Persistent Sense of Self Amongst Care Leavers. </w:t>
      </w:r>
      <w:r w:rsidRPr="00C47DDD">
        <w:rPr>
          <w:rStyle w:val="bibauth"/>
          <w:rFonts w:ascii="Arial" w:eastAsiaTheme="majorEastAsia" w:hAnsi="Arial" w:cs="Arial"/>
          <w:i/>
          <w:color w:val="000000" w:themeColor="text1"/>
          <w:sz w:val="22"/>
          <w:szCs w:val="22"/>
          <w:bdr w:val="none" w:sz="0" w:space="0" w:color="auto" w:frame="1"/>
          <w:shd w:val="clear" w:color="auto" w:fill="FFFFFF"/>
        </w:rPr>
        <w:t>Children and Youth Services Review</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33, pp. 2512-2518. DOI: 10.1016/j.childyouth.2011.08.028.</w:t>
      </w:r>
    </w:p>
    <w:p w14:paraId="7D987434" w14:textId="21EEDD0B"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Ward, H., Munro, E.R., and Dearden, C., 2006. </w:t>
      </w:r>
      <w:r w:rsidRPr="00C47DDD">
        <w:rPr>
          <w:rStyle w:val="bibauth"/>
          <w:rFonts w:ascii="Arial" w:eastAsiaTheme="majorEastAsia" w:hAnsi="Arial" w:cs="Arial"/>
          <w:i/>
          <w:color w:val="000000" w:themeColor="text1"/>
          <w:sz w:val="22"/>
          <w:szCs w:val="22"/>
          <w:bdr w:val="none" w:sz="0" w:space="0" w:color="auto" w:frame="1"/>
          <w:shd w:val="clear" w:color="auto" w:fill="FFFFFF"/>
        </w:rPr>
        <w:t xml:space="preserve">Babies and Young Children in Care: Life Pathways, Decision-making and Practice. </w:t>
      </w:r>
      <w:r w:rsidRPr="00C47DDD">
        <w:rPr>
          <w:rStyle w:val="bibauth"/>
          <w:rFonts w:ascii="Arial" w:eastAsiaTheme="majorEastAsia" w:hAnsi="Arial" w:cs="Arial"/>
          <w:color w:val="000000" w:themeColor="text1"/>
          <w:sz w:val="22"/>
          <w:szCs w:val="22"/>
          <w:bdr w:val="none" w:sz="0" w:space="0" w:color="auto" w:frame="1"/>
          <w:shd w:val="clear" w:color="auto" w:fill="FFFFFF"/>
        </w:rPr>
        <w:t>London: Jessica Kingsley Publishers</w:t>
      </w:r>
      <w:r w:rsidR="002D394E"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5CAEF875"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Fonts w:ascii="Arial" w:hAnsi="Arial" w:cs="Arial"/>
          <w:color w:val="000000" w:themeColor="text1"/>
          <w:sz w:val="22"/>
          <w:szCs w:val="22"/>
          <w:shd w:val="clear" w:color="auto" w:fill="FFFFFF"/>
        </w:rPr>
        <w:t>Warner, J., 2014.  ‘Heads Must Roll’? Emotional Politics, the Press and the Death of Baby P. </w:t>
      </w:r>
      <w:r w:rsidRPr="00C47DDD">
        <w:rPr>
          <w:rStyle w:val="Emphasis"/>
          <w:rFonts w:ascii="Arial" w:hAnsi="Arial" w:cs="Arial"/>
          <w:color w:val="000000" w:themeColor="text1"/>
          <w:sz w:val="22"/>
          <w:szCs w:val="22"/>
          <w:bdr w:val="none" w:sz="0" w:space="0" w:color="auto" w:frame="1"/>
          <w:shd w:val="clear" w:color="auto" w:fill="FFFFFF"/>
        </w:rPr>
        <w:t>The British Journal of Social Work</w:t>
      </w:r>
      <w:r w:rsidRPr="00C47DDD">
        <w:rPr>
          <w:rFonts w:ascii="Arial" w:hAnsi="Arial" w:cs="Arial"/>
          <w:color w:val="000000" w:themeColor="text1"/>
          <w:sz w:val="22"/>
          <w:szCs w:val="22"/>
          <w:shd w:val="clear" w:color="auto" w:fill="FFFFFF"/>
        </w:rPr>
        <w:t>, [e-journal] 44(6), pp. 1637–1653, </w:t>
      </w:r>
      <w:hyperlink r:id="rId246"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https://doi.org/10.1093/bjsw/bct039</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F7E8D3A" w14:textId="77777777"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Waterhouse, R., 2000. </w:t>
      </w:r>
      <w:r w:rsidRPr="00C47DDD">
        <w:rPr>
          <w:rStyle w:val="Hyperlink"/>
          <w:rFonts w:ascii="Arial" w:eastAsiaTheme="majorEastAsia" w:hAnsi="Arial" w:cs="Arial"/>
          <w:i/>
          <w:iCs/>
          <w:color w:val="000000" w:themeColor="text1"/>
          <w:sz w:val="22"/>
          <w:szCs w:val="22"/>
          <w:u w:val="none"/>
          <w:bdr w:val="none" w:sz="0" w:space="0" w:color="auto" w:frame="1"/>
          <w:shd w:val="clear" w:color="auto" w:fill="FFFFFF"/>
        </w:rPr>
        <w:t>Lost in Care: Summary of report.</w:t>
      </w: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 London: Stationary Office.</w:t>
      </w:r>
    </w:p>
    <w:p w14:paraId="74FCB30C" w14:textId="5E2B2998" w:rsidR="00067907" w:rsidRPr="00C47DDD" w:rsidRDefault="00067907" w:rsidP="00B6099C">
      <w:pPr>
        <w:pStyle w:val="NormalWeb"/>
        <w:spacing w:line="240" w:lineRule="auto"/>
        <w:ind w:left="142" w:right="-52" w:hanging="142"/>
        <w:rPr>
          <w:rStyle w:val="Hyperlink"/>
          <w:rFonts w:ascii="Arial" w:eastAsiaTheme="majorEastAsia" w:hAnsi="Arial" w:cs="Arial"/>
          <w:color w:val="000000" w:themeColor="text1"/>
          <w:sz w:val="22"/>
          <w:szCs w:val="22"/>
          <w:u w:val="none"/>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Weatherall, R., 2019. Writing the doctoral thesis differently. </w:t>
      </w:r>
      <w:r w:rsidRPr="00C47DDD">
        <w:rPr>
          <w:rStyle w:val="bibauth"/>
          <w:rFonts w:ascii="Arial" w:eastAsiaTheme="majorEastAsia" w:hAnsi="Arial" w:cs="Arial"/>
          <w:i/>
          <w:iCs/>
          <w:color w:val="000000" w:themeColor="text1"/>
          <w:sz w:val="22"/>
          <w:szCs w:val="22"/>
          <w:bdr w:val="none" w:sz="0" w:space="0" w:color="auto" w:frame="1"/>
          <w:shd w:val="clear" w:color="auto" w:fill="FFFFFF"/>
        </w:rPr>
        <w:t>Management Learning</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50(1), pp. 100–113. </w:t>
      </w:r>
      <w:hyperlink r:id="rId247"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https://doi.org/10.1177/1350507618799867</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722CB39B" w14:textId="5D4571E6" w:rsidR="003B0E45" w:rsidRPr="00C47DDD" w:rsidRDefault="009C25E4" w:rsidP="003B0E45">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Webb, S. 2014. </w:t>
      </w:r>
      <w:r w:rsidR="003B0E45" w:rsidRPr="00C47DDD">
        <w:rPr>
          <w:rStyle w:val="Hyperlink"/>
          <w:rFonts w:ascii="Arial" w:eastAsiaTheme="majorEastAsia" w:hAnsi="Arial" w:cs="Arial"/>
          <w:color w:val="000000" w:themeColor="text1"/>
          <w:sz w:val="22"/>
          <w:szCs w:val="22"/>
          <w:u w:val="none"/>
          <w:bdr w:val="none" w:sz="0" w:space="0" w:color="auto" w:frame="1"/>
          <w:shd w:val="clear" w:color="auto" w:fill="FFFFFF"/>
        </w:rPr>
        <w:t xml:space="preserve">The Subject of Social Work: Towards a New Perspective on Discrimination. In: C. Cocker and T. </w:t>
      </w:r>
      <w:r w:rsidR="003B0E45" w:rsidRPr="00C47DDD">
        <w:rPr>
          <w:rStyle w:val="bibauth"/>
          <w:rFonts w:ascii="Arial" w:eastAsiaTheme="majorEastAsia" w:hAnsi="Arial" w:cs="Arial"/>
          <w:color w:val="000000" w:themeColor="text1"/>
          <w:sz w:val="22"/>
          <w:szCs w:val="22"/>
          <w:bdr w:val="none" w:sz="0" w:space="0" w:color="auto" w:frame="1"/>
          <w:shd w:val="clear" w:color="auto" w:fill="FFFFFF"/>
        </w:rPr>
        <w:t>Hafford-Letchfield</w:t>
      </w:r>
      <w:r w:rsidR="00407E9E"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(eds)</w:t>
      </w:r>
      <w:r w:rsidR="003B0E45"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2014. </w:t>
      </w:r>
      <w:r w:rsidR="003B0E45" w:rsidRPr="00C47DDD">
        <w:rPr>
          <w:rStyle w:val="bibauth"/>
          <w:rFonts w:ascii="Arial" w:eastAsiaTheme="majorEastAsia" w:hAnsi="Arial" w:cs="Arial"/>
          <w:i/>
          <w:iCs/>
          <w:color w:val="000000" w:themeColor="text1"/>
          <w:sz w:val="22"/>
          <w:szCs w:val="22"/>
          <w:bdr w:val="none" w:sz="0" w:space="0" w:color="auto" w:frame="1"/>
          <w:shd w:val="clear" w:color="auto" w:fill="FFFFFF"/>
        </w:rPr>
        <w:t>Rethinking Anti-Discriminatory &amp; Anti-Oppressive Theories for Social Work Practice</w:t>
      </w:r>
      <w:r w:rsidR="003B0E45"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Basingstoke: Palgrave Macmillan. Ch. </w:t>
      </w:r>
      <w:r w:rsidR="00407E9E" w:rsidRPr="00C47DDD">
        <w:rPr>
          <w:rStyle w:val="bibauth"/>
          <w:rFonts w:ascii="Arial" w:eastAsiaTheme="majorEastAsia" w:hAnsi="Arial" w:cs="Arial"/>
          <w:color w:val="000000" w:themeColor="text1"/>
          <w:sz w:val="22"/>
          <w:szCs w:val="22"/>
          <w:bdr w:val="none" w:sz="0" w:space="0" w:color="auto" w:frame="1"/>
          <w:shd w:val="clear" w:color="auto" w:fill="FFFFFF"/>
        </w:rPr>
        <w:t>8.</w:t>
      </w:r>
    </w:p>
    <w:p w14:paraId="1D6DD06B"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Webb, S., 2017. </w:t>
      </w:r>
      <w:r w:rsidRPr="00C47DDD">
        <w:rPr>
          <w:rFonts w:ascii="Arial" w:hAnsi="Arial" w:cs="Arial"/>
          <w:i/>
          <w:iCs/>
          <w:color w:val="000000" w:themeColor="text1"/>
          <w:sz w:val="22"/>
          <w:szCs w:val="22"/>
          <w:shd w:val="clear" w:color="auto" w:fill="FFFFFF"/>
        </w:rPr>
        <w:t>Professional Identity and Social Work.</w:t>
      </w:r>
      <w:r w:rsidRPr="00C47DDD">
        <w:rPr>
          <w:rFonts w:ascii="Arial" w:hAnsi="Arial" w:cs="Arial"/>
          <w:color w:val="000000" w:themeColor="text1"/>
          <w:sz w:val="22"/>
          <w:szCs w:val="22"/>
          <w:shd w:val="clear" w:color="auto" w:fill="FFFFFF"/>
        </w:rPr>
        <w:t> London: Routledge Academic.</w:t>
      </w:r>
    </w:p>
    <w:p w14:paraId="18E1527E"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shd w:val="clear" w:color="auto" w:fill="FFFFFF"/>
        </w:rPr>
        <w:t xml:space="preserve">Weedon, C., 1997. </w:t>
      </w:r>
      <w:r w:rsidRPr="00C47DDD">
        <w:rPr>
          <w:rFonts w:ascii="Arial" w:hAnsi="Arial" w:cs="Arial"/>
          <w:i/>
          <w:iCs/>
          <w:color w:val="000000" w:themeColor="text1"/>
          <w:sz w:val="22"/>
          <w:szCs w:val="22"/>
          <w:shd w:val="clear" w:color="auto" w:fill="FFFFFF"/>
        </w:rPr>
        <w:t>Feminist Practice and Poststructuralist Theory</w:t>
      </w:r>
      <w:r w:rsidRPr="00C47DDD">
        <w:rPr>
          <w:rFonts w:ascii="Arial" w:hAnsi="Arial" w:cs="Arial"/>
          <w:color w:val="000000" w:themeColor="text1"/>
          <w:sz w:val="22"/>
          <w:szCs w:val="22"/>
          <w:shd w:val="clear" w:color="auto" w:fill="FFFFFF"/>
        </w:rPr>
        <w:t>. 2</w:t>
      </w:r>
      <w:r w:rsidRPr="00C47DDD">
        <w:rPr>
          <w:rFonts w:ascii="Arial" w:hAnsi="Arial" w:cs="Arial"/>
          <w:color w:val="000000" w:themeColor="text1"/>
          <w:sz w:val="22"/>
          <w:szCs w:val="22"/>
          <w:shd w:val="clear" w:color="auto" w:fill="FFFFFF"/>
          <w:vertAlign w:val="superscript"/>
        </w:rPr>
        <w:t>nd</w:t>
      </w:r>
      <w:r w:rsidRPr="00C47DDD">
        <w:rPr>
          <w:rFonts w:ascii="Arial" w:hAnsi="Arial" w:cs="Arial"/>
          <w:color w:val="000000" w:themeColor="text1"/>
          <w:sz w:val="22"/>
          <w:szCs w:val="22"/>
          <w:shd w:val="clear" w:color="auto" w:fill="FFFFFF"/>
        </w:rPr>
        <w:t xml:space="preserve"> ed. Oxford: Blackwell.</w:t>
      </w:r>
    </w:p>
    <w:p w14:paraId="17267967"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bdr w:val="none" w:sz="0" w:space="0" w:color="auto" w:frame="1"/>
          <w:shd w:val="clear" w:color="auto" w:fill="FFFFFF"/>
        </w:rPr>
      </w:pPr>
      <w:r w:rsidRPr="00C47DDD">
        <w:rPr>
          <w:rFonts w:ascii="Arial" w:hAnsi="Arial" w:cs="Arial"/>
          <w:color w:val="000000" w:themeColor="text1"/>
          <w:sz w:val="22"/>
          <w:szCs w:val="22"/>
          <w:bdr w:val="none" w:sz="0" w:space="0" w:color="auto" w:frame="1"/>
          <w:shd w:val="clear" w:color="auto" w:fill="FFFFFF"/>
        </w:rPr>
        <w:t xml:space="preserve">Welbourne, P. and Leeson, C., 2012. The Education of Children in Care: a research review. </w:t>
      </w:r>
      <w:r w:rsidRPr="00C47DDD">
        <w:rPr>
          <w:rFonts w:ascii="Arial" w:hAnsi="Arial" w:cs="Arial"/>
          <w:i/>
          <w:iCs/>
          <w:color w:val="000000" w:themeColor="text1"/>
          <w:sz w:val="22"/>
          <w:szCs w:val="22"/>
          <w:bdr w:val="none" w:sz="0" w:space="0" w:color="auto" w:frame="1"/>
          <w:shd w:val="clear" w:color="auto" w:fill="FFFFFF"/>
        </w:rPr>
        <w:t>Journal of Children's Services</w:t>
      </w:r>
      <w:r w:rsidRPr="00C47DDD">
        <w:rPr>
          <w:rFonts w:ascii="Arial" w:hAnsi="Arial" w:cs="Arial"/>
          <w:color w:val="000000" w:themeColor="text1"/>
          <w:sz w:val="22"/>
          <w:szCs w:val="22"/>
          <w:bdr w:val="none" w:sz="0" w:space="0" w:color="auto" w:frame="1"/>
          <w:shd w:val="clear" w:color="auto" w:fill="FFFFFF"/>
        </w:rPr>
        <w:t>, [e-journal] 7(2), pp. 128-143. https://doi.org/10.1108/17466661211238682.</w:t>
      </w:r>
    </w:p>
    <w:p w14:paraId="3A0C1ECA"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Whalen, A. 2015. Provision for Young Care Leavers at Risk of Homelessness. [pdf] Available at: &lt;</w:t>
      </w:r>
      <w:r w:rsidRPr="00C47DDD">
        <w:rPr>
          <w:color w:val="000000" w:themeColor="text1"/>
          <w:sz w:val="22"/>
          <w:szCs w:val="22"/>
        </w:rPr>
        <w:t xml:space="preserve"> </w:t>
      </w:r>
      <w:r w:rsidRPr="00C47DDD">
        <w:rPr>
          <w:rFonts w:ascii="Arial" w:hAnsi="Arial" w:cs="Arial"/>
          <w:color w:val="000000" w:themeColor="text1"/>
          <w:sz w:val="22"/>
          <w:szCs w:val="22"/>
        </w:rPr>
        <w:t>https://www.wcpp.org.uk/publication/provision-for-young-care-leavers-at-risk-of-homelessness/ &gt; [Accessed 29 July 2019].</w:t>
      </w:r>
    </w:p>
    <w:p w14:paraId="7E05F1F6"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Wilkins, D., Forrester, D., and Grant, L.,2017. What Happens in Child and Family Social Work Supervision? </w:t>
      </w:r>
      <w:r w:rsidRPr="00C47DDD">
        <w:rPr>
          <w:rFonts w:ascii="Arial" w:hAnsi="Arial" w:cs="Arial"/>
          <w:i/>
          <w:iCs/>
          <w:color w:val="000000" w:themeColor="text1"/>
          <w:sz w:val="22"/>
          <w:szCs w:val="22"/>
        </w:rPr>
        <w:t>Child &amp; Family Social Work,</w:t>
      </w:r>
      <w:r w:rsidRPr="00C47DDD">
        <w:rPr>
          <w:rFonts w:ascii="Arial" w:hAnsi="Arial" w:cs="Arial"/>
          <w:color w:val="000000" w:themeColor="text1"/>
          <w:sz w:val="22"/>
          <w:szCs w:val="22"/>
        </w:rPr>
        <w:t xml:space="preserve"> [e-journal] 22(2), pp.942– 951. doi: 10.1111/cfs.12314.</w:t>
      </w:r>
    </w:p>
    <w:p w14:paraId="45206E9E"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Willmott, J., 2019. </w:t>
      </w:r>
      <w:r w:rsidRPr="00C47DDD">
        <w:rPr>
          <w:rFonts w:ascii="Arial" w:hAnsi="Arial" w:cs="Arial"/>
          <w:i/>
          <w:iCs/>
          <w:color w:val="000000" w:themeColor="text1"/>
          <w:sz w:val="22"/>
          <w:szCs w:val="22"/>
        </w:rPr>
        <w:t>Making sense of study steering groups: the Approach study</w:t>
      </w:r>
      <w:r w:rsidRPr="00C47DDD">
        <w:rPr>
          <w:rFonts w:ascii="Arial" w:hAnsi="Arial" w:cs="Arial"/>
          <w:color w:val="000000" w:themeColor="text1"/>
          <w:sz w:val="22"/>
          <w:szCs w:val="22"/>
        </w:rPr>
        <w:t>. [online] Available at: &lt;https://www.invo.org.uk/making-sense-of-study-steering-groups-the-approach-study-2/&gt; [Accessed 29 July 2019].</w:t>
      </w:r>
    </w:p>
    <w:p w14:paraId="08406DCE" w14:textId="63A2A1F2"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Winter, K., 2006. Widening our Knowledge Concerning Young Looked After Children: </w:t>
      </w:r>
      <w:r w:rsidR="005C5158" w:rsidRPr="00C47DDD">
        <w:rPr>
          <w:rFonts w:ascii="Arial" w:hAnsi="Arial" w:cs="Arial"/>
          <w:color w:val="000000" w:themeColor="text1"/>
          <w:sz w:val="22"/>
          <w:szCs w:val="22"/>
        </w:rPr>
        <w:t>The</w:t>
      </w:r>
      <w:r w:rsidRPr="00C47DDD">
        <w:rPr>
          <w:rFonts w:ascii="Arial" w:hAnsi="Arial" w:cs="Arial"/>
          <w:color w:val="000000" w:themeColor="text1"/>
          <w:sz w:val="22"/>
          <w:szCs w:val="22"/>
        </w:rPr>
        <w:t xml:space="preserve"> Case for Research using Sociological Models of Childhood. </w:t>
      </w:r>
      <w:r w:rsidRPr="00C47DDD">
        <w:rPr>
          <w:rFonts w:ascii="Arial" w:hAnsi="Arial" w:cs="Arial"/>
          <w:i/>
          <w:iCs/>
          <w:color w:val="000000" w:themeColor="text1"/>
          <w:sz w:val="22"/>
          <w:szCs w:val="22"/>
        </w:rPr>
        <w:t>Child &amp; Family Social Work</w:t>
      </w:r>
      <w:r w:rsidRPr="00C47DDD">
        <w:rPr>
          <w:rFonts w:ascii="Arial" w:hAnsi="Arial" w:cs="Arial"/>
          <w:color w:val="000000" w:themeColor="text1"/>
          <w:sz w:val="22"/>
          <w:szCs w:val="22"/>
        </w:rPr>
        <w:t>, [e-journal] 11, pp. 55-64. doi:10.1111/j.1365-2206.2006.00385.x</w:t>
      </w:r>
      <w:r w:rsidR="002D394E" w:rsidRPr="00C47DDD">
        <w:rPr>
          <w:rFonts w:ascii="Arial" w:hAnsi="Arial" w:cs="Arial"/>
          <w:color w:val="000000" w:themeColor="text1"/>
          <w:sz w:val="22"/>
          <w:szCs w:val="22"/>
        </w:rPr>
        <w:t>.</w:t>
      </w:r>
    </w:p>
    <w:p w14:paraId="2AC1397A"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Winter, K., 2010. The Perspectives of Young Children in Care About their Circumstances and Implications for Social Work Practice. </w:t>
      </w:r>
      <w:r w:rsidRPr="00C47DDD">
        <w:rPr>
          <w:rFonts w:ascii="Arial" w:hAnsi="Arial" w:cs="Arial"/>
          <w:i/>
          <w:iCs/>
          <w:color w:val="000000" w:themeColor="text1"/>
          <w:sz w:val="22"/>
          <w:szCs w:val="22"/>
        </w:rPr>
        <w:t>Child &amp; Family Social Work, [e-journal]</w:t>
      </w:r>
      <w:r w:rsidRPr="00C47DDD">
        <w:rPr>
          <w:rFonts w:ascii="Arial" w:hAnsi="Arial" w:cs="Arial"/>
          <w:color w:val="000000" w:themeColor="text1"/>
          <w:sz w:val="22"/>
          <w:szCs w:val="22"/>
        </w:rPr>
        <w:t xml:space="preserve"> 15 (2), pp. 186–195. </w:t>
      </w:r>
      <w:hyperlink r:id="rId248" w:history="1">
        <w:r w:rsidRPr="00C47DDD">
          <w:rPr>
            <w:rStyle w:val="Hyperlink"/>
            <w:rFonts w:ascii="Arial" w:eastAsiaTheme="majorEastAsia" w:hAnsi="Arial" w:cs="Arial"/>
            <w:color w:val="000000" w:themeColor="text1"/>
            <w:sz w:val="22"/>
            <w:szCs w:val="22"/>
            <w:u w:val="none"/>
          </w:rPr>
          <w:t>https://doi.org/10.1111/j.1365-2206.2009.00658.x</w:t>
        </w:r>
      </w:hyperlink>
      <w:r w:rsidRPr="00C47DDD">
        <w:rPr>
          <w:rFonts w:ascii="Arial" w:hAnsi="Arial" w:cs="Arial"/>
          <w:color w:val="000000" w:themeColor="text1"/>
          <w:sz w:val="22"/>
          <w:szCs w:val="22"/>
        </w:rPr>
        <w:t>.</w:t>
      </w:r>
    </w:p>
    <w:p w14:paraId="51C6B54A"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Winter, K. and Cree, V., 2016. Social Work Home Visits to Children and Families in the UK: A Foucauldian Perspective. The British Journal of Social Work, [e-journal] 46(5), pp. 1175–1190. https://doi.org/10.1093/bjsw/bcv069.</w:t>
      </w:r>
    </w:p>
    <w:p w14:paraId="4F25CC05"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Winter, K., Cree, V., Hallett, S., Hadfield, M., Ruch, G., Morrison, F. and Holland, S., 2016. Exploring communication between social workers, children and Young People. </w:t>
      </w:r>
      <w:r w:rsidRPr="00C47DDD">
        <w:rPr>
          <w:rFonts w:ascii="Arial" w:hAnsi="Arial" w:cs="Arial"/>
          <w:i/>
          <w:iCs/>
          <w:color w:val="000000" w:themeColor="text1"/>
          <w:sz w:val="22"/>
          <w:szCs w:val="22"/>
        </w:rPr>
        <w:t>The British Journal of Social Work</w:t>
      </w:r>
      <w:r w:rsidRPr="00C47DDD">
        <w:rPr>
          <w:rFonts w:ascii="Arial" w:hAnsi="Arial" w:cs="Arial"/>
          <w:color w:val="000000" w:themeColor="text1"/>
          <w:sz w:val="22"/>
          <w:szCs w:val="22"/>
        </w:rPr>
        <w:t>, [e-journal] 47(5), pp. 1-30. https://doi.org/10.1093/bjsw/bcw083.</w:t>
      </w:r>
    </w:p>
    <w:p w14:paraId="7810CA7B"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Wilson, K., Sinclair, I., Taylor, C., and Pithouse, A., 2004. Fostering Success: An Exploration of the Research Literature on Foster Care, Knowledge Review, Social Care Institute of Excellence. [online] Available at: &lt;</w:t>
      </w:r>
      <w:hyperlink r:id="rId249" w:history="1">
        <w:r w:rsidRPr="00C47DDD">
          <w:rPr>
            <w:rStyle w:val="Hyperlink"/>
            <w:rFonts w:ascii="Arial" w:eastAsiaTheme="majorEastAsia" w:hAnsi="Arial" w:cs="Arial"/>
            <w:color w:val="000000" w:themeColor="text1"/>
            <w:sz w:val="22"/>
            <w:szCs w:val="22"/>
            <w:u w:val="none"/>
          </w:rPr>
          <w:t>http://www.york.ac.uk/inst/spru/pubs/pdf/fostering.pdf</w:t>
        </w:r>
      </w:hyperlink>
      <w:r w:rsidRPr="00C47DDD">
        <w:rPr>
          <w:rFonts w:ascii="Arial" w:hAnsi="Arial" w:cs="Arial"/>
          <w:color w:val="000000" w:themeColor="text1"/>
          <w:sz w:val="22"/>
          <w:szCs w:val="22"/>
        </w:rPr>
        <w:t>&gt; [Accessed 12 March 2018].</w:t>
      </w:r>
    </w:p>
    <w:p w14:paraId="3734DBC0"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hAnsi="Arial" w:cs="Arial"/>
          <w:color w:val="000000" w:themeColor="text1"/>
          <w:sz w:val="22"/>
          <w:szCs w:val="22"/>
        </w:rPr>
        <w:t xml:space="preserve">Wolcott, H. F., 1994. </w:t>
      </w:r>
      <w:r w:rsidRPr="00C47DDD">
        <w:rPr>
          <w:rFonts w:ascii="Arial" w:hAnsi="Arial" w:cs="Arial"/>
          <w:i/>
          <w:iCs/>
          <w:color w:val="000000" w:themeColor="text1"/>
          <w:sz w:val="22"/>
          <w:szCs w:val="22"/>
        </w:rPr>
        <w:t>Transforming Qualitative Data: description analysis and interpretation</w:t>
      </w:r>
      <w:r w:rsidRPr="00C47DDD">
        <w:rPr>
          <w:rFonts w:ascii="Arial" w:hAnsi="Arial" w:cs="Arial"/>
          <w:color w:val="000000" w:themeColor="text1"/>
          <w:sz w:val="22"/>
          <w:szCs w:val="22"/>
        </w:rPr>
        <w:t>. Thousand Oaks: SAGE.</w:t>
      </w:r>
    </w:p>
    <w:p w14:paraId="01DF336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lastRenderedPageBreak/>
        <w:t xml:space="preserve">Woodman, E., Roche, S., McArthur, M., 2018. Child protection practitioners: Including children in decision making.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[e-journal] 23(3), pp. 475–484. https://doi.org/10.1111/cfs.12439.</w:t>
      </w:r>
    </w:p>
    <w:p w14:paraId="6AC32040" w14:textId="77777777" w:rsidR="00067907" w:rsidRPr="00C47DDD" w:rsidRDefault="00067907" w:rsidP="00B6099C">
      <w:pPr>
        <w:pStyle w:val="NormalWeb"/>
        <w:spacing w:line="240" w:lineRule="auto"/>
        <w:ind w:left="142" w:right="-52" w:hanging="142"/>
        <w:rPr>
          <w:rFonts w:ascii="Arial" w:eastAsia="MS Gothic" w:hAnsi="Arial" w:cs="Arial"/>
          <w:color w:val="000000" w:themeColor="text1"/>
          <w:sz w:val="22"/>
          <w:szCs w:val="22"/>
        </w:rPr>
      </w:pPr>
      <w:r w:rsidRPr="00C47DDD">
        <w:rPr>
          <w:rFonts w:ascii="Arial" w:hAnsi="Arial" w:cs="Arial"/>
          <w:color w:val="000000" w:themeColor="text1"/>
          <w:sz w:val="22"/>
          <w:szCs w:val="22"/>
        </w:rPr>
        <w:t xml:space="preserve">Woodward, K., 2002 </w:t>
      </w:r>
      <w:r w:rsidRPr="00C47DDD">
        <w:rPr>
          <w:rFonts w:ascii="Arial" w:hAnsi="Arial" w:cs="Arial"/>
          <w:i/>
          <w:iCs/>
          <w:color w:val="000000" w:themeColor="text1"/>
          <w:sz w:val="22"/>
          <w:szCs w:val="22"/>
        </w:rPr>
        <w:t xml:space="preserve">Understanding identity </w:t>
      </w:r>
      <w:r w:rsidRPr="00C47DDD">
        <w:rPr>
          <w:rFonts w:ascii="Arial" w:hAnsi="Arial" w:cs="Arial"/>
          <w:color w:val="000000" w:themeColor="text1"/>
          <w:sz w:val="22"/>
          <w:szCs w:val="22"/>
        </w:rPr>
        <w:t>London, Arnold Publishers.</w:t>
      </w:r>
      <w:r w:rsidRPr="00C47DDD">
        <w:rPr>
          <w:rFonts w:ascii="MS Gothic" w:eastAsia="MS Gothic" w:hAnsi="MS Gothic" w:cs="MS Gothic" w:hint="eastAsia"/>
          <w:color w:val="000000" w:themeColor="text1"/>
          <w:sz w:val="22"/>
          <w:szCs w:val="22"/>
        </w:rPr>
        <w:t> </w:t>
      </w:r>
    </w:p>
    <w:p w14:paraId="5AB91570" w14:textId="77777777" w:rsidR="00067907" w:rsidRPr="00C47DDD" w:rsidRDefault="00067907" w:rsidP="00B6099C">
      <w:pPr>
        <w:pStyle w:val="NormalWeb"/>
        <w:spacing w:line="240" w:lineRule="auto"/>
        <w:ind w:left="142" w:right="-52" w:hanging="142"/>
        <w:rPr>
          <w:rFonts w:ascii="Arial" w:hAnsi="Arial" w:cs="Arial"/>
          <w:color w:val="000000" w:themeColor="text1"/>
          <w:sz w:val="22"/>
          <w:szCs w:val="22"/>
        </w:rPr>
      </w:pPr>
      <w:r w:rsidRPr="00C47DDD">
        <w:rPr>
          <w:rFonts w:ascii="Arial" w:eastAsia="MS Gothic" w:hAnsi="Arial" w:cs="Arial"/>
          <w:color w:val="000000" w:themeColor="text1"/>
          <w:sz w:val="22"/>
          <w:szCs w:val="22"/>
        </w:rPr>
        <w:t xml:space="preserve">Wright, P., Turner, C., Clay, D. and Mills H., 2006. </w:t>
      </w:r>
      <w:r w:rsidRPr="00C47DDD">
        <w:rPr>
          <w:rFonts w:ascii="Arial" w:eastAsia="MS Gothic" w:hAnsi="Arial" w:cs="Arial"/>
          <w:i/>
          <w:iCs/>
          <w:color w:val="000000" w:themeColor="text1"/>
          <w:sz w:val="22"/>
          <w:szCs w:val="22"/>
        </w:rPr>
        <w:t>The Participation of Children and Young People in Developing Social Care</w:t>
      </w:r>
      <w:r w:rsidRPr="00C47DDD">
        <w:rPr>
          <w:rFonts w:ascii="Arial" w:eastAsia="MS Gothic" w:hAnsi="Arial" w:cs="Arial"/>
          <w:color w:val="000000" w:themeColor="text1"/>
          <w:sz w:val="22"/>
          <w:szCs w:val="22"/>
        </w:rPr>
        <w:t>. [online] Available at: &lt;</w:t>
      </w:r>
      <w:r w:rsidRPr="00C47DDD">
        <w:rPr>
          <w:color w:val="000000" w:themeColor="text1"/>
          <w:sz w:val="22"/>
          <w:szCs w:val="22"/>
        </w:rPr>
        <w:t xml:space="preserve"> </w:t>
      </w:r>
      <w:hyperlink r:id="rId250" w:history="1">
        <w:r w:rsidRPr="00C47DDD">
          <w:rPr>
            <w:rStyle w:val="Hyperlink"/>
            <w:rFonts w:ascii="Arial" w:eastAsia="MS Gothic" w:hAnsi="Arial" w:cs="Arial"/>
            <w:color w:val="000000" w:themeColor="text1"/>
            <w:sz w:val="22"/>
            <w:szCs w:val="22"/>
            <w:u w:val="none"/>
          </w:rPr>
          <w:t>https://www.scie.org.uk/publications/guides/guide11/context.asp</w:t>
        </w:r>
      </w:hyperlink>
      <w:r w:rsidRPr="00C47DDD">
        <w:rPr>
          <w:rFonts w:ascii="Arial" w:eastAsia="MS Gothic" w:hAnsi="Arial" w:cs="Arial"/>
          <w:color w:val="000000" w:themeColor="text1"/>
          <w:sz w:val="22"/>
          <w:szCs w:val="22"/>
        </w:rPr>
        <w:t xml:space="preserve">&gt; </w:t>
      </w:r>
      <w:r w:rsidRPr="00C47DDD">
        <w:rPr>
          <w:rFonts w:ascii="Arial" w:hAnsi="Arial" w:cs="Arial"/>
          <w:color w:val="000000" w:themeColor="text1"/>
          <w:sz w:val="22"/>
          <w:szCs w:val="22"/>
        </w:rPr>
        <w:t>[Accessed 29 July 2019].</w:t>
      </w:r>
    </w:p>
    <w:p w14:paraId="09784088"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Wyness, M. 2000.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Contesting Childhood.</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London: Falmer Press.</w:t>
      </w:r>
    </w:p>
    <w:p w14:paraId="655068E3" w14:textId="77777777" w:rsidR="00067907" w:rsidRPr="00C47DDD" w:rsidRDefault="00067907" w:rsidP="00B6099C">
      <w:pPr>
        <w:pStyle w:val="NormalWeb"/>
        <w:spacing w:line="240" w:lineRule="auto"/>
        <w:ind w:left="142" w:right="-52" w:hanging="142"/>
        <w:rPr>
          <w:rStyle w:val="bibauth"/>
          <w:rFonts w:ascii="Arial" w:eastAsiaTheme="majorEastAsia" w:hAnsi="Arial" w:cs="Arial"/>
          <w:color w:val="000000" w:themeColor="text1"/>
          <w:sz w:val="22"/>
          <w:szCs w:val="22"/>
          <w:bdr w:val="none" w:sz="0" w:space="0" w:color="auto" w:frame="1"/>
          <w:shd w:val="clear" w:color="auto" w:fill="FFFFFF"/>
        </w:rPr>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Zeijlmans, K, López, M, Grietens, H. and Knorth, E.J., 2018. “Nothing goes as planned”: Practitioners reflect on matching children and foster families.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&amp; Family Social Work</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23(3), pp, 458– 465. </w:t>
      </w:r>
      <w:hyperlink r:id="rId251"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https://doi.org/10.1111/cfs.12437</w:t>
        </w:r>
      </w:hyperlink>
      <w:r w:rsidRPr="00C47DDD">
        <w:rPr>
          <w:rStyle w:val="Hyperlink"/>
          <w:rFonts w:ascii="Arial" w:eastAsiaTheme="majorEastAsia" w:hAnsi="Arial" w:cs="Arial"/>
          <w:color w:val="000000" w:themeColor="text1"/>
          <w:sz w:val="22"/>
          <w:szCs w:val="22"/>
          <w:u w:val="none"/>
          <w:bdr w:val="none" w:sz="0" w:space="0" w:color="auto" w:frame="1"/>
          <w:shd w:val="clear" w:color="auto" w:fill="FFFFFF"/>
        </w:rPr>
        <w:t>.</w:t>
      </w:r>
    </w:p>
    <w:p w14:paraId="349445DF" w14:textId="4AB5A229" w:rsidR="005B667D" w:rsidRPr="00C47DDD" w:rsidRDefault="00067907" w:rsidP="00B6099C">
      <w:pPr>
        <w:pStyle w:val="NormalWeb"/>
        <w:spacing w:line="240" w:lineRule="auto"/>
        <w:ind w:left="142" w:right="-52" w:hanging="142"/>
      </w:pP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Zeijlmans, K., López López, M., Grietens, H., Knorth, E. J., 2019. Participation of children, birth parents and foster carers in the matching decision. Paternalism or partnership? </w:t>
      </w:r>
      <w:r w:rsidRPr="00C47DDD">
        <w:rPr>
          <w:rStyle w:val="bibauth"/>
          <w:rFonts w:ascii="Arial" w:eastAsiaTheme="majorEastAsia" w:hAnsi="Arial" w:cs="Arial"/>
          <w:i/>
          <w:iCs/>
          <w:color w:val="000000" w:themeColor="text1"/>
          <w:sz w:val="22"/>
          <w:szCs w:val="22"/>
          <w:bdr w:val="none" w:sz="0" w:space="0" w:color="auto" w:frame="1"/>
          <w:shd w:val="clear" w:color="auto" w:fill="FFFFFF"/>
        </w:rPr>
        <w:t>Child Abuse Review,</w:t>
      </w:r>
      <w:r w:rsidRPr="00C47DDD">
        <w:rPr>
          <w:rStyle w:val="bibauth"/>
          <w:rFonts w:ascii="Arial" w:eastAsiaTheme="majorEastAsia" w:hAnsi="Arial" w:cs="Arial"/>
          <w:color w:val="000000" w:themeColor="text1"/>
          <w:sz w:val="22"/>
          <w:szCs w:val="22"/>
          <w:bdr w:val="none" w:sz="0" w:space="0" w:color="auto" w:frame="1"/>
          <w:shd w:val="clear" w:color="auto" w:fill="FFFFFF"/>
        </w:rPr>
        <w:t xml:space="preserve"> [e-journal] 28(2), pp. 139–151. </w:t>
      </w:r>
      <w:hyperlink r:id="rId252" w:history="1">
        <w:r w:rsidRPr="00C47DDD">
          <w:rPr>
            <w:rStyle w:val="Hyperlink"/>
            <w:rFonts w:ascii="Arial" w:eastAsiaTheme="majorEastAsia" w:hAnsi="Arial" w:cs="Arial"/>
            <w:color w:val="000000" w:themeColor="text1"/>
            <w:sz w:val="22"/>
            <w:szCs w:val="22"/>
            <w:u w:val="none"/>
            <w:bdr w:val="none" w:sz="0" w:space="0" w:color="auto" w:frame="1"/>
            <w:shd w:val="clear" w:color="auto" w:fill="FFFFFF"/>
          </w:rPr>
          <w:t>https://doi.org/10.1002/car.2544</w:t>
        </w:r>
      </w:hyperlink>
      <w:r w:rsidRPr="00C47DDD">
        <w:rPr>
          <w:rStyle w:val="bibauth"/>
          <w:rFonts w:ascii="Arial" w:eastAsiaTheme="majorEastAsia" w:hAnsi="Arial" w:cs="Arial"/>
          <w:color w:val="000000" w:themeColor="text1"/>
          <w:sz w:val="22"/>
          <w:szCs w:val="22"/>
          <w:bdr w:val="none" w:sz="0" w:space="0" w:color="auto" w:frame="1"/>
          <w:shd w:val="clear" w:color="auto" w:fill="FFFFFF"/>
        </w:rPr>
        <w:t>.</w:t>
      </w:r>
    </w:p>
    <w:p w14:paraId="1141B6F6" w14:textId="2114A840" w:rsidR="005B667D" w:rsidRPr="00C47DDD" w:rsidRDefault="005B667D" w:rsidP="005B667D">
      <w:pPr>
        <w:ind w:firstLine="720"/>
      </w:pPr>
    </w:p>
    <w:p w14:paraId="15F7F7F4" w14:textId="77777777" w:rsidR="0045538D" w:rsidRPr="00C47DDD" w:rsidRDefault="0045538D">
      <w:pPr>
        <w:spacing w:after="0" w:line="240" w:lineRule="auto"/>
        <w:rPr>
          <w:rFonts w:eastAsiaTheme="majorEastAsia"/>
          <w:b/>
          <w:color w:val="000000" w:themeColor="text1"/>
          <w:sz w:val="36"/>
          <w:szCs w:val="32"/>
        </w:rPr>
      </w:pPr>
      <w:r w:rsidRPr="00C47DDD">
        <w:br w:type="page"/>
      </w:r>
    </w:p>
    <w:p w14:paraId="30877186" w14:textId="06349144" w:rsidR="005B667D" w:rsidRPr="00C47DDD" w:rsidRDefault="0045538D" w:rsidP="00127FD5">
      <w:pPr>
        <w:pStyle w:val="ChapterHeading1"/>
      </w:pPr>
      <w:bookmarkStart w:id="107" w:name="_Toc101108539"/>
      <w:r w:rsidRPr="00C47DDD">
        <w:lastRenderedPageBreak/>
        <w:t>Appendices</w:t>
      </w:r>
      <w:bookmarkEnd w:id="107"/>
    </w:p>
    <w:p w14:paraId="0694FCE9" w14:textId="77777777" w:rsidR="00090DB4" w:rsidRPr="00C47DDD" w:rsidRDefault="00090DB4" w:rsidP="00090DB4">
      <w:pPr>
        <w:pStyle w:val="Appendixlist"/>
      </w:pPr>
      <w:r w:rsidRPr="00C47DDD">
        <w:t xml:space="preserve">Appendix 1: Participant Information – Advisory Group </w:t>
      </w:r>
    </w:p>
    <w:p w14:paraId="1CB71BE3" w14:textId="77777777" w:rsidR="00090DB4" w:rsidRPr="00C47DDD" w:rsidRDefault="00090DB4" w:rsidP="00090DB4">
      <w:pPr>
        <w:pStyle w:val="Appendixlist"/>
      </w:pPr>
      <w:r w:rsidRPr="00C47DDD">
        <w:t>Appendix 2: Consent Form – Advisory Group</w:t>
      </w:r>
    </w:p>
    <w:p w14:paraId="37B59182" w14:textId="77777777" w:rsidR="00090DB4" w:rsidRPr="00C47DDD" w:rsidRDefault="00090DB4" w:rsidP="00090DB4">
      <w:pPr>
        <w:pStyle w:val="Appendixlist"/>
      </w:pPr>
      <w:r w:rsidRPr="00C47DDD">
        <w:t>Appendix 3: Topic Guide</w:t>
      </w:r>
    </w:p>
    <w:p w14:paraId="4B9BEAFD" w14:textId="77777777" w:rsidR="00090DB4" w:rsidRPr="00C47DDD" w:rsidRDefault="00090DB4" w:rsidP="00090DB4">
      <w:pPr>
        <w:pStyle w:val="Appendixlist"/>
      </w:pPr>
      <w:r w:rsidRPr="00C47DDD">
        <w:t>Appendix 4: Topic Guide – Young People</w:t>
      </w:r>
    </w:p>
    <w:p w14:paraId="3792BFAE" w14:textId="77777777" w:rsidR="00090DB4" w:rsidRPr="00C47DDD" w:rsidRDefault="00090DB4" w:rsidP="00090DB4">
      <w:pPr>
        <w:pStyle w:val="Appendixlist"/>
      </w:pPr>
      <w:r w:rsidRPr="00C47DDD">
        <w:t>Appendix 5: Ethics Panel Approval Dates</w:t>
      </w:r>
    </w:p>
    <w:p w14:paraId="13D052E6" w14:textId="77777777" w:rsidR="00090DB4" w:rsidRPr="00C47DDD" w:rsidRDefault="00090DB4" w:rsidP="00090DB4">
      <w:pPr>
        <w:pStyle w:val="Appendixlist"/>
      </w:pPr>
      <w:r w:rsidRPr="00C47DDD">
        <w:t>Appendix 6: Written Information for the Local Authority</w:t>
      </w:r>
    </w:p>
    <w:p w14:paraId="3A090F7B" w14:textId="77777777" w:rsidR="00090DB4" w:rsidRPr="00C47DDD" w:rsidRDefault="00090DB4" w:rsidP="00090DB4">
      <w:pPr>
        <w:pStyle w:val="Appendixlist"/>
      </w:pPr>
      <w:r w:rsidRPr="00C47DDD">
        <w:t xml:space="preserve">Appendix 7: Art Materials </w:t>
      </w:r>
    </w:p>
    <w:p w14:paraId="08A3B7EE" w14:textId="77777777" w:rsidR="00090DB4" w:rsidRPr="00C47DDD" w:rsidRDefault="00090DB4" w:rsidP="00090DB4">
      <w:pPr>
        <w:pStyle w:val="Appendixlist"/>
      </w:pPr>
      <w:r w:rsidRPr="00C47DDD">
        <w:t>Appendix 8: Participant Information Sheet</w:t>
      </w:r>
    </w:p>
    <w:p w14:paraId="3DF9D3FA" w14:textId="0BD3DB90" w:rsidR="00BB48C6" w:rsidRPr="00C47DDD" w:rsidRDefault="00090DB4" w:rsidP="00090DB4">
      <w:pPr>
        <w:spacing w:after="0" w:line="240" w:lineRule="auto"/>
      </w:pPr>
      <w:r w:rsidRPr="00C47DDD">
        <w:t>Appendix 9: Participant Consent Form</w:t>
      </w:r>
      <w:r w:rsidR="00BB48C6" w:rsidRPr="00C47DDD">
        <w:br w:type="page"/>
      </w:r>
    </w:p>
    <w:p w14:paraId="094F7251" w14:textId="3890ABF0" w:rsidR="005B667D" w:rsidRDefault="00BB48C6" w:rsidP="00090DB4">
      <w:pPr>
        <w:pStyle w:val="Heading3"/>
      </w:pPr>
      <w:r w:rsidRPr="00C47DDD">
        <w:lastRenderedPageBreak/>
        <w:t>Appendix 1: Participant Information – Advisory Group</w:t>
      </w:r>
    </w:p>
    <w:p w14:paraId="2120EEAE" w14:textId="5A9B200D" w:rsidR="00BB48C6" w:rsidRDefault="00BB48C6" w:rsidP="00BB48C6">
      <w:pPr>
        <w:pStyle w:val="Appendixlist"/>
      </w:pPr>
      <w:r w:rsidRPr="00BB48C6">
        <w:rPr>
          <w:noProof/>
        </w:rPr>
        <w:drawing>
          <wp:inline distT="0" distB="0" distL="0" distR="0" wp14:anchorId="5C863F5B" wp14:editId="19929527">
            <wp:extent cx="5727700" cy="8105140"/>
            <wp:effectExtent l="0" t="0" r="0" b="0"/>
            <wp:docPr id="14" name="Picture 14" descr="Participation Information Sheet for young people in an advisory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Participation Information Sheet for young people in an advisory group"/>
                    <pic:cNvPicPr/>
                  </pic:nvPicPr>
                  <pic:blipFill>
                    <a:blip r:embed="rId253"/>
                    <a:stretch>
                      <a:fillRect/>
                    </a:stretch>
                  </pic:blipFill>
                  <pic:spPr>
                    <a:xfrm>
                      <a:off x="0" y="0"/>
                      <a:ext cx="5727700" cy="8105140"/>
                    </a:xfrm>
                    <a:prstGeom prst="rect">
                      <a:avLst/>
                    </a:prstGeom>
                  </pic:spPr>
                </pic:pic>
              </a:graphicData>
            </a:graphic>
          </wp:inline>
        </w:drawing>
      </w:r>
    </w:p>
    <w:p w14:paraId="0C296A3E" w14:textId="03886414" w:rsidR="00BB48C6" w:rsidRDefault="00BB48C6" w:rsidP="00BB48C6">
      <w:pPr>
        <w:pStyle w:val="Appendixlist"/>
      </w:pPr>
      <w:r w:rsidRPr="00BB48C6">
        <w:rPr>
          <w:noProof/>
        </w:rPr>
        <w:lastRenderedPageBreak/>
        <w:drawing>
          <wp:inline distT="0" distB="0" distL="0" distR="0" wp14:anchorId="1E058183" wp14:editId="10BE3717">
            <wp:extent cx="5727700" cy="8105140"/>
            <wp:effectExtent l="0" t="0" r="0" b="0"/>
            <wp:docPr id="15" name="Picture 15" descr="Pariticpation information sheet for young people in the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Pariticpation information sheet for young people in the study"/>
                    <pic:cNvPicPr/>
                  </pic:nvPicPr>
                  <pic:blipFill>
                    <a:blip r:embed="rId254"/>
                    <a:stretch>
                      <a:fillRect/>
                    </a:stretch>
                  </pic:blipFill>
                  <pic:spPr>
                    <a:xfrm>
                      <a:off x="0" y="0"/>
                      <a:ext cx="5727700" cy="8105140"/>
                    </a:xfrm>
                    <a:prstGeom prst="rect">
                      <a:avLst/>
                    </a:prstGeom>
                  </pic:spPr>
                </pic:pic>
              </a:graphicData>
            </a:graphic>
          </wp:inline>
        </w:drawing>
      </w:r>
    </w:p>
    <w:p w14:paraId="22740A0A" w14:textId="5EE91798" w:rsidR="00090DB4" w:rsidRDefault="00090DB4">
      <w:pPr>
        <w:spacing w:after="0" w:line="240" w:lineRule="auto"/>
      </w:pPr>
      <w:r>
        <w:br w:type="page"/>
      </w:r>
    </w:p>
    <w:p w14:paraId="2F3B159C" w14:textId="3043B50A" w:rsidR="00090DB4" w:rsidRDefault="00090DB4" w:rsidP="00090DB4">
      <w:pPr>
        <w:pStyle w:val="Heading3"/>
      </w:pPr>
      <w:r w:rsidRPr="00252F8B">
        <w:lastRenderedPageBreak/>
        <w:t>Appendix 2: Consent Form</w:t>
      </w:r>
      <w:r>
        <w:t xml:space="preserve"> – Advisory </w:t>
      </w:r>
      <w:r w:rsidRPr="00252F8B">
        <w:t>Group</w:t>
      </w:r>
    </w:p>
    <w:p w14:paraId="308500C6" w14:textId="4905DC47" w:rsidR="00090DB4" w:rsidRDefault="00090DB4" w:rsidP="00090DB4">
      <w:r>
        <w:rPr>
          <w:noProof/>
        </w:rPr>
        <w:drawing>
          <wp:inline distT="0" distB="0" distL="0" distR="0" wp14:anchorId="582BF4AD" wp14:editId="60691820">
            <wp:extent cx="5727700" cy="8105140"/>
            <wp:effectExtent l="0" t="0" r="0" b="0"/>
            <wp:docPr id="17" name="Picture 17" descr="Consent for for young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onsent for for young people"/>
                    <pic:cNvPicPr/>
                  </pic:nvPicPr>
                  <pic:blipFill>
                    <a:blip r:embed="rId255">
                      <a:extLst>
                        <a:ext uri="{28A0092B-C50C-407E-A947-70E740481C1C}">
                          <a14:useLocalDpi xmlns:a14="http://schemas.microsoft.com/office/drawing/2010/main" val="0"/>
                        </a:ext>
                      </a:extLst>
                    </a:blip>
                    <a:stretch>
                      <a:fillRect/>
                    </a:stretch>
                  </pic:blipFill>
                  <pic:spPr>
                    <a:xfrm>
                      <a:off x="0" y="0"/>
                      <a:ext cx="5727700" cy="8105140"/>
                    </a:xfrm>
                    <a:prstGeom prst="rect">
                      <a:avLst/>
                    </a:prstGeom>
                  </pic:spPr>
                </pic:pic>
              </a:graphicData>
            </a:graphic>
          </wp:inline>
        </w:drawing>
      </w:r>
    </w:p>
    <w:p w14:paraId="00E07B05" w14:textId="0DE08195" w:rsidR="00090DB4" w:rsidRDefault="00090DB4" w:rsidP="00090DB4">
      <w:pPr>
        <w:pStyle w:val="Heading3"/>
      </w:pPr>
      <w:r w:rsidRPr="00252F8B">
        <w:lastRenderedPageBreak/>
        <w:t>Appendix 3: Topic Guide</w:t>
      </w:r>
      <w:r w:rsidRPr="00090DB4">
        <w:rPr>
          <w:noProof/>
        </w:rPr>
        <w:drawing>
          <wp:inline distT="0" distB="0" distL="0" distR="0" wp14:anchorId="78D7ED4B" wp14:editId="51ADF8A8">
            <wp:extent cx="5727700" cy="4047490"/>
            <wp:effectExtent l="0" t="0" r="0" b="0"/>
            <wp:docPr id="19" name="Picture 19" descr="part on of the topic guide for the interviews - includes a table of questions and promp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part on of the topic guide for the interviews - includes a table of questions and prompts"/>
                    <pic:cNvPicPr/>
                  </pic:nvPicPr>
                  <pic:blipFill>
                    <a:blip r:embed="rId256"/>
                    <a:stretch>
                      <a:fillRect/>
                    </a:stretch>
                  </pic:blipFill>
                  <pic:spPr>
                    <a:xfrm>
                      <a:off x="0" y="0"/>
                      <a:ext cx="5727700" cy="4047490"/>
                    </a:xfrm>
                    <a:prstGeom prst="rect">
                      <a:avLst/>
                    </a:prstGeom>
                  </pic:spPr>
                </pic:pic>
              </a:graphicData>
            </a:graphic>
          </wp:inline>
        </w:drawing>
      </w:r>
    </w:p>
    <w:p w14:paraId="7B6411A5" w14:textId="1798A404" w:rsidR="00090DB4" w:rsidRDefault="00090DB4" w:rsidP="00090DB4">
      <w:r w:rsidRPr="00090DB4">
        <w:rPr>
          <w:noProof/>
        </w:rPr>
        <w:drawing>
          <wp:inline distT="0" distB="0" distL="0" distR="0" wp14:anchorId="50DA0998" wp14:editId="012E7D3B">
            <wp:extent cx="5727700" cy="4047490"/>
            <wp:effectExtent l="0" t="0" r="0" b="0"/>
            <wp:docPr id="20" name="Picture 20" descr="second part of the topic gui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second part of the topic guide"/>
                    <pic:cNvPicPr/>
                  </pic:nvPicPr>
                  <pic:blipFill>
                    <a:blip r:embed="rId257"/>
                    <a:stretch>
                      <a:fillRect/>
                    </a:stretch>
                  </pic:blipFill>
                  <pic:spPr>
                    <a:xfrm>
                      <a:off x="0" y="0"/>
                      <a:ext cx="5727700" cy="4047490"/>
                    </a:xfrm>
                    <a:prstGeom prst="rect">
                      <a:avLst/>
                    </a:prstGeom>
                  </pic:spPr>
                </pic:pic>
              </a:graphicData>
            </a:graphic>
          </wp:inline>
        </w:drawing>
      </w:r>
    </w:p>
    <w:p w14:paraId="55D8F2E9" w14:textId="546A0252" w:rsidR="00090DB4" w:rsidRDefault="00090DB4" w:rsidP="00090DB4">
      <w:pPr>
        <w:pStyle w:val="Heading3"/>
      </w:pPr>
      <w:r w:rsidRPr="00252F8B">
        <w:lastRenderedPageBreak/>
        <w:t>Appendix 4: Topic Guide</w:t>
      </w:r>
      <w:r>
        <w:t xml:space="preserve"> – Young People</w:t>
      </w:r>
    </w:p>
    <w:p w14:paraId="01E7F59C" w14:textId="77777777" w:rsidR="00090DB4" w:rsidRPr="00090DB4" w:rsidRDefault="00090DB4" w:rsidP="00090DB4"/>
    <w:p w14:paraId="3A6DF8F7" w14:textId="77777777" w:rsidR="00090DB4" w:rsidRDefault="00090DB4" w:rsidP="00090DB4">
      <w:r w:rsidRPr="00090DB4">
        <w:rPr>
          <w:noProof/>
        </w:rPr>
        <w:drawing>
          <wp:inline distT="0" distB="0" distL="0" distR="0" wp14:anchorId="15B1CF3B" wp14:editId="6FEF9307">
            <wp:extent cx="5727700" cy="3221990"/>
            <wp:effectExtent l="0" t="0" r="0" b="3810"/>
            <wp:docPr id="22" name="Picture 22" descr="Visual aide for young people detailing what would be discussed in the intervi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Visual aide for young people detailing what would be discussed in the interviews"/>
                    <pic:cNvPicPr/>
                  </pic:nvPicPr>
                  <pic:blipFill>
                    <a:blip r:embed="rId258"/>
                    <a:stretch>
                      <a:fillRect/>
                    </a:stretch>
                  </pic:blipFill>
                  <pic:spPr>
                    <a:xfrm>
                      <a:off x="0" y="0"/>
                      <a:ext cx="5727700" cy="3221990"/>
                    </a:xfrm>
                    <a:prstGeom prst="rect">
                      <a:avLst/>
                    </a:prstGeom>
                  </pic:spPr>
                </pic:pic>
              </a:graphicData>
            </a:graphic>
          </wp:inline>
        </w:drawing>
      </w:r>
    </w:p>
    <w:p w14:paraId="6E29CB52" w14:textId="77777777" w:rsidR="00090DB4" w:rsidRDefault="00090DB4" w:rsidP="00090DB4"/>
    <w:p w14:paraId="7DD60C09" w14:textId="26A3FDAB" w:rsidR="00090DB4" w:rsidRDefault="00090DB4" w:rsidP="00090DB4">
      <w:r w:rsidRPr="00090DB4">
        <w:rPr>
          <w:noProof/>
        </w:rPr>
        <w:drawing>
          <wp:inline distT="0" distB="0" distL="0" distR="0" wp14:anchorId="0D85A5A4" wp14:editId="0BB930E2">
            <wp:extent cx="5727700" cy="3221990"/>
            <wp:effectExtent l="0" t="0" r="0" b="3810"/>
            <wp:docPr id="21" name="Picture 21" descr="Visual aide for young people detailing what would be discussed in the intervi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Visual aide for young people detailing what would be discussed in the interviews"/>
                    <pic:cNvPicPr/>
                  </pic:nvPicPr>
                  <pic:blipFill>
                    <a:blip r:embed="rId259"/>
                    <a:stretch>
                      <a:fillRect/>
                    </a:stretch>
                  </pic:blipFill>
                  <pic:spPr>
                    <a:xfrm>
                      <a:off x="0" y="0"/>
                      <a:ext cx="5727700" cy="3221990"/>
                    </a:xfrm>
                    <a:prstGeom prst="rect">
                      <a:avLst/>
                    </a:prstGeom>
                  </pic:spPr>
                </pic:pic>
              </a:graphicData>
            </a:graphic>
          </wp:inline>
        </w:drawing>
      </w:r>
    </w:p>
    <w:p w14:paraId="7C474CA1" w14:textId="5653AF94" w:rsidR="00821009" w:rsidRDefault="00821009">
      <w:pPr>
        <w:spacing w:after="0" w:line="240" w:lineRule="auto"/>
      </w:pPr>
      <w:r>
        <w:br w:type="page"/>
      </w:r>
    </w:p>
    <w:p w14:paraId="63839A9A" w14:textId="7F658D6C" w:rsidR="00821009" w:rsidRDefault="00821009" w:rsidP="00821009">
      <w:pPr>
        <w:pStyle w:val="Heading3"/>
      </w:pPr>
      <w:r w:rsidRPr="00252F8B">
        <w:lastRenderedPageBreak/>
        <w:t>Appendix 5: Ethics Panel Approval Dates</w:t>
      </w:r>
    </w:p>
    <w:p w14:paraId="75EF600B" w14:textId="3084541B" w:rsidR="00821009" w:rsidRDefault="00821009" w:rsidP="00821009"/>
    <w:p w14:paraId="6528B9E4" w14:textId="77777777" w:rsidR="00821009" w:rsidRDefault="00821009" w:rsidP="00821009">
      <w:r>
        <w:t>Anglia Ruskin University – 11 May 2017</w:t>
      </w:r>
    </w:p>
    <w:p w14:paraId="0015651A" w14:textId="77777777" w:rsidR="00821009" w:rsidRDefault="00821009" w:rsidP="00821009">
      <w:r>
        <w:t>Local Authority A – 28 February 2019</w:t>
      </w:r>
    </w:p>
    <w:p w14:paraId="1ACC1AF3" w14:textId="77777777" w:rsidR="00821009" w:rsidRDefault="00821009" w:rsidP="00821009">
      <w:r>
        <w:t>Local Authority B – 2 July 2019</w:t>
      </w:r>
    </w:p>
    <w:p w14:paraId="5F9B556A" w14:textId="43307A08" w:rsidR="003B5561" w:rsidRDefault="003B5561">
      <w:pPr>
        <w:spacing w:after="0" w:line="240" w:lineRule="auto"/>
      </w:pPr>
      <w:r>
        <w:br w:type="page"/>
      </w:r>
    </w:p>
    <w:p w14:paraId="35C64B1D" w14:textId="2E2A16F5" w:rsidR="00821009" w:rsidRDefault="003B5561" w:rsidP="003B5561">
      <w:pPr>
        <w:pStyle w:val="Heading3"/>
      </w:pPr>
      <w:r w:rsidRPr="00252F8B">
        <w:lastRenderedPageBreak/>
        <w:t>Appendix 6: Written Information for the Local Authority</w:t>
      </w:r>
    </w:p>
    <w:p w14:paraId="1FBF7658" w14:textId="4960C23D" w:rsidR="003B5561" w:rsidRDefault="003B5561" w:rsidP="003B5561">
      <w:r w:rsidRPr="003B5561">
        <w:rPr>
          <w:noProof/>
        </w:rPr>
        <w:drawing>
          <wp:inline distT="0" distB="0" distL="0" distR="0" wp14:anchorId="7118BE79" wp14:editId="1E562173">
            <wp:extent cx="5727700" cy="8105140"/>
            <wp:effectExtent l="0" t="0" r="0" b="0"/>
            <wp:docPr id="23" name="Picture 23" descr="Information for social workers an perosnal advisors detailing the research and my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Information for social workers an perosnal advisors detailing the research and my role."/>
                    <pic:cNvPicPr/>
                  </pic:nvPicPr>
                  <pic:blipFill>
                    <a:blip r:embed="rId260"/>
                    <a:stretch>
                      <a:fillRect/>
                    </a:stretch>
                  </pic:blipFill>
                  <pic:spPr>
                    <a:xfrm>
                      <a:off x="0" y="0"/>
                      <a:ext cx="5727700" cy="8105140"/>
                    </a:xfrm>
                    <a:prstGeom prst="rect">
                      <a:avLst/>
                    </a:prstGeom>
                  </pic:spPr>
                </pic:pic>
              </a:graphicData>
            </a:graphic>
          </wp:inline>
        </w:drawing>
      </w:r>
    </w:p>
    <w:p w14:paraId="200873CE" w14:textId="3F7CE2A2" w:rsidR="003B5561" w:rsidRDefault="003B5561" w:rsidP="003B5561">
      <w:r w:rsidRPr="003B5561">
        <w:rPr>
          <w:noProof/>
        </w:rPr>
        <w:lastRenderedPageBreak/>
        <w:drawing>
          <wp:inline distT="0" distB="0" distL="0" distR="0" wp14:anchorId="318F526D" wp14:editId="052921BD">
            <wp:extent cx="5727700" cy="8105140"/>
            <wp:effectExtent l="0" t="0" r="0" b="0"/>
            <wp:docPr id="24" name="Picture 24" descr="continued information for social workers an perosnal advisors detailing the research and my r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ontinued information for social workers an perosnal advisors detailing the research and my role."/>
                    <pic:cNvPicPr/>
                  </pic:nvPicPr>
                  <pic:blipFill>
                    <a:blip r:embed="rId261"/>
                    <a:stretch>
                      <a:fillRect/>
                    </a:stretch>
                  </pic:blipFill>
                  <pic:spPr>
                    <a:xfrm>
                      <a:off x="0" y="0"/>
                      <a:ext cx="5727700" cy="8105140"/>
                    </a:xfrm>
                    <a:prstGeom prst="rect">
                      <a:avLst/>
                    </a:prstGeom>
                  </pic:spPr>
                </pic:pic>
              </a:graphicData>
            </a:graphic>
          </wp:inline>
        </w:drawing>
      </w:r>
    </w:p>
    <w:p w14:paraId="350F2BEE" w14:textId="3F3AB483" w:rsidR="003B5561" w:rsidRDefault="003B5561">
      <w:pPr>
        <w:spacing w:after="0" w:line="240" w:lineRule="auto"/>
      </w:pPr>
      <w:r>
        <w:br w:type="page"/>
      </w:r>
    </w:p>
    <w:p w14:paraId="4A2BCA4C" w14:textId="7048348A" w:rsidR="003B5561" w:rsidRDefault="003A67A1" w:rsidP="003A67A1">
      <w:pPr>
        <w:pStyle w:val="Heading3"/>
      </w:pPr>
      <w:r w:rsidRPr="00252F8B">
        <w:lastRenderedPageBreak/>
        <w:t>Appendix 7: Art Materials</w:t>
      </w:r>
    </w:p>
    <w:p w14:paraId="1D1491D0" w14:textId="22827D87" w:rsidR="003A67A1" w:rsidRDefault="003A67A1" w:rsidP="003A67A1">
      <w:r>
        <w:rPr>
          <w:noProof/>
        </w:rPr>
        <w:drawing>
          <wp:inline distT="0" distB="0" distL="0" distR="0" wp14:anchorId="3686C247" wp14:editId="1B9B05A7">
            <wp:extent cx="5727700" cy="8105140"/>
            <wp:effectExtent l="0" t="0" r="0" b="0"/>
            <wp:docPr id="25" name="Picture 25" descr="examples of art materials shared with the young people in the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examples of art materials shared with the young people in the study"/>
                    <pic:cNvPicPr/>
                  </pic:nvPicPr>
                  <pic:blipFill>
                    <a:blip r:embed="rId262">
                      <a:extLst>
                        <a:ext uri="{28A0092B-C50C-407E-A947-70E740481C1C}">
                          <a14:useLocalDpi xmlns:a14="http://schemas.microsoft.com/office/drawing/2010/main" val="0"/>
                        </a:ext>
                      </a:extLst>
                    </a:blip>
                    <a:stretch>
                      <a:fillRect/>
                    </a:stretch>
                  </pic:blipFill>
                  <pic:spPr>
                    <a:xfrm>
                      <a:off x="0" y="0"/>
                      <a:ext cx="5727700" cy="8105140"/>
                    </a:xfrm>
                    <a:prstGeom prst="rect">
                      <a:avLst/>
                    </a:prstGeom>
                  </pic:spPr>
                </pic:pic>
              </a:graphicData>
            </a:graphic>
          </wp:inline>
        </w:drawing>
      </w:r>
    </w:p>
    <w:p w14:paraId="031668E8" w14:textId="1388F652" w:rsidR="003A67A1" w:rsidRDefault="003A67A1" w:rsidP="003A67A1">
      <w:pPr>
        <w:pStyle w:val="Heading3"/>
      </w:pPr>
      <w:r w:rsidRPr="00252F8B">
        <w:lastRenderedPageBreak/>
        <w:t>Appendix 8: Participant Information Sheet</w:t>
      </w:r>
    </w:p>
    <w:p w14:paraId="085E62C3" w14:textId="751217E9" w:rsidR="003A67A1" w:rsidRDefault="003A67A1" w:rsidP="003A67A1">
      <w:r w:rsidRPr="003A67A1">
        <w:rPr>
          <w:noProof/>
        </w:rPr>
        <w:drawing>
          <wp:inline distT="0" distB="0" distL="0" distR="0" wp14:anchorId="70995C4A" wp14:editId="38B49771">
            <wp:extent cx="5727700" cy="8105140"/>
            <wp:effectExtent l="0" t="0" r="0" b="0"/>
            <wp:docPr id="26" name="Picture 26" descr="Particiaption inforamtion for young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Particiaption inforamtion for young people"/>
                    <pic:cNvPicPr/>
                  </pic:nvPicPr>
                  <pic:blipFill>
                    <a:blip r:embed="rId263"/>
                    <a:stretch>
                      <a:fillRect/>
                    </a:stretch>
                  </pic:blipFill>
                  <pic:spPr>
                    <a:xfrm>
                      <a:off x="0" y="0"/>
                      <a:ext cx="5727700" cy="8105140"/>
                    </a:xfrm>
                    <a:prstGeom prst="rect">
                      <a:avLst/>
                    </a:prstGeom>
                  </pic:spPr>
                </pic:pic>
              </a:graphicData>
            </a:graphic>
          </wp:inline>
        </w:drawing>
      </w:r>
    </w:p>
    <w:p w14:paraId="522C4459" w14:textId="60DBA4C1" w:rsidR="003A67A1" w:rsidRDefault="003A67A1" w:rsidP="003A67A1">
      <w:r w:rsidRPr="003A67A1">
        <w:rPr>
          <w:noProof/>
        </w:rPr>
        <w:lastRenderedPageBreak/>
        <w:drawing>
          <wp:inline distT="0" distB="0" distL="0" distR="0" wp14:anchorId="6863D5B2" wp14:editId="093D23DF">
            <wp:extent cx="5727700" cy="8105140"/>
            <wp:effectExtent l="0" t="0" r="0" b="0"/>
            <wp:docPr id="27" name="Picture 27" descr="Continuation of the particiaption information fr young peo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ontinuation of the particiaption information fr young people"/>
                    <pic:cNvPicPr/>
                  </pic:nvPicPr>
                  <pic:blipFill>
                    <a:blip r:embed="rId264"/>
                    <a:stretch>
                      <a:fillRect/>
                    </a:stretch>
                  </pic:blipFill>
                  <pic:spPr>
                    <a:xfrm>
                      <a:off x="0" y="0"/>
                      <a:ext cx="5727700" cy="8105140"/>
                    </a:xfrm>
                    <a:prstGeom prst="rect">
                      <a:avLst/>
                    </a:prstGeom>
                  </pic:spPr>
                </pic:pic>
              </a:graphicData>
            </a:graphic>
          </wp:inline>
        </w:drawing>
      </w:r>
    </w:p>
    <w:p w14:paraId="654C6590" w14:textId="27BD5119" w:rsidR="003A67A1" w:rsidRDefault="003A67A1">
      <w:pPr>
        <w:spacing w:after="0" w:line="240" w:lineRule="auto"/>
      </w:pPr>
      <w:r>
        <w:br w:type="page"/>
      </w:r>
    </w:p>
    <w:p w14:paraId="24DCEE65" w14:textId="772A16E8" w:rsidR="003A67A1" w:rsidRDefault="003A67A1" w:rsidP="003A67A1">
      <w:pPr>
        <w:pStyle w:val="Heading3"/>
      </w:pPr>
      <w:r w:rsidRPr="00252F8B">
        <w:lastRenderedPageBreak/>
        <w:t>Appendix 9: Participant Consent Form</w:t>
      </w:r>
    </w:p>
    <w:p w14:paraId="24BDBD3E" w14:textId="5951664E" w:rsidR="003A67A1" w:rsidRPr="003A67A1" w:rsidRDefault="003A67A1" w:rsidP="003A67A1">
      <w:r>
        <w:rPr>
          <w:noProof/>
        </w:rPr>
        <w:drawing>
          <wp:inline distT="0" distB="0" distL="0" distR="0" wp14:anchorId="22CE9DDF" wp14:editId="2A3C5641">
            <wp:extent cx="5727700" cy="8105140"/>
            <wp:effectExtent l="0" t="0" r="0" b="0"/>
            <wp:docPr id="28" name="Picture 28" descr="Consent form for young people in the stu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onsent form for young people in the study"/>
                    <pic:cNvPicPr/>
                  </pic:nvPicPr>
                  <pic:blipFill>
                    <a:blip r:embed="rId265">
                      <a:extLst>
                        <a:ext uri="{28A0092B-C50C-407E-A947-70E740481C1C}">
                          <a14:useLocalDpi xmlns:a14="http://schemas.microsoft.com/office/drawing/2010/main" val="0"/>
                        </a:ext>
                      </a:extLst>
                    </a:blip>
                    <a:stretch>
                      <a:fillRect/>
                    </a:stretch>
                  </pic:blipFill>
                  <pic:spPr>
                    <a:xfrm>
                      <a:off x="0" y="0"/>
                      <a:ext cx="5727700" cy="8105140"/>
                    </a:xfrm>
                    <a:prstGeom prst="rect">
                      <a:avLst/>
                    </a:prstGeom>
                  </pic:spPr>
                </pic:pic>
              </a:graphicData>
            </a:graphic>
          </wp:inline>
        </w:drawing>
      </w:r>
    </w:p>
    <w:sectPr w:rsidR="003A67A1" w:rsidRPr="003A67A1" w:rsidSect="005912C7">
      <w:footerReference w:type="even" r:id="rId266"/>
      <w:footerReference w:type="default" r:id="rId267"/>
      <w:pgSz w:w="11900" w:h="16840"/>
      <w:pgMar w:top="1440" w:right="1440" w:bottom="1298" w:left="1440" w:header="709" w:footer="0"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D5F8E3" w14:textId="77777777" w:rsidR="00672E80" w:rsidRDefault="00672E80" w:rsidP="008E4AF2">
      <w:r>
        <w:separator/>
      </w:r>
    </w:p>
  </w:endnote>
  <w:endnote w:type="continuationSeparator" w:id="0">
    <w:p w14:paraId="2177F9FD" w14:textId="77777777" w:rsidR="00672E80" w:rsidRDefault="00672E80" w:rsidP="008E4AF2">
      <w:r>
        <w:continuationSeparator/>
      </w:r>
    </w:p>
  </w:endnote>
  <w:endnote w:type="continuationNotice" w:id="1">
    <w:p w14:paraId="1820CF71" w14:textId="77777777" w:rsidR="006C42DC" w:rsidRDefault="006C42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_serif_sil">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 w:name="Cambria Math">
    <w:panose1 w:val="02040503050406030204"/>
    <w:charset w:val="00"/>
    <w:family w:val="roman"/>
    <w:pitch w:val="variable"/>
    <w:sig w:usb0="E00006FF" w:usb1="420024FF" w:usb2="02000000" w:usb3="00000000" w:csb0="0000019F" w:csb1="00000000"/>
  </w:font>
  <w:font w:name="AppleSystemUIFont">
    <w:altName w:val="Calibri"/>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34754141"/>
      <w:docPartObj>
        <w:docPartGallery w:val="Page Numbers (Bottom of Page)"/>
        <w:docPartUnique/>
      </w:docPartObj>
    </w:sdtPr>
    <w:sdtEndPr>
      <w:rPr>
        <w:rStyle w:val="PageNumber"/>
      </w:rPr>
    </w:sdtEndPr>
    <w:sdtContent>
      <w:p w14:paraId="518F2DD7" w14:textId="7B355D88" w:rsidR="00047718" w:rsidRDefault="00047718" w:rsidP="00453E1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1360666975"/>
      <w:docPartObj>
        <w:docPartGallery w:val="Page Numbers (Bottom of Page)"/>
        <w:docPartUnique/>
      </w:docPartObj>
    </w:sdtPr>
    <w:sdtEndPr>
      <w:rPr>
        <w:rStyle w:val="PageNumber"/>
      </w:rPr>
    </w:sdtEndPr>
    <w:sdtContent>
      <w:p w14:paraId="7AC061DB" w14:textId="0DCEF3FD" w:rsidR="00047718" w:rsidRDefault="00047718" w:rsidP="00453E12">
        <w:pPr>
          <w:pStyle w:val="Footer"/>
          <w:framePr w:wrap="none" w:vAnchor="text" w:hAnchor="margin" w:xAlign="right" w:y="1"/>
          <w:ind w:right="360"/>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D1A185A" w14:textId="46C8C6AC" w:rsidR="0024638A" w:rsidRDefault="0024638A" w:rsidP="00047718">
    <w:pPr>
      <w:pStyle w:val="Footer"/>
      <w:ind w:right="360"/>
      <w:rPr>
        <w:rStyle w:val="PageNumber"/>
        <w:rFonts w:ascii="Arial" w:hAnsi="Arial" w:cs="Arial"/>
        <w:sz w:val="22"/>
        <w:szCs w:val="22"/>
      </w:rPr>
    </w:pPr>
  </w:p>
  <w:p w14:paraId="4A5940DC" w14:textId="77777777" w:rsidR="0024638A" w:rsidRDefault="0024638A" w:rsidP="006E348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2104218"/>
      <w:docPartObj>
        <w:docPartGallery w:val="Page Numbers (Bottom of Page)"/>
        <w:docPartUnique/>
      </w:docPartObj>
    </w:sdtPr>
    <w:sdtEndPr>
      <w:rPr>
        <w:rStyle w:val="PageNumber"/>
      </w:rPr>
    </w:sdtEndPr>
    <w:sdtContent>
      <w:p w14:paraId="61C1A2B7" w14:textId="33906E35" w:rsidR="00047718" w:rsidRDefault="00047718" w:rsidP="00453E12">
        <w:pPr>
          <w:pStyle w:val="Footer"/>
          <w:framePr w:wrap="none" w:vAnchor="text" w:hAnchor="margin" w:xAlign="right" w:y="1"/>
          <w:spacing w:before="480"/>
          <w:rPr>
            <w:rStyle w:val="PageNumber"/>
          </w:rPr>
        </w:pPr>
        <w:r w:rsidRPr="0045538D">
          <w:rPr>
            <w:rStyle w:val="PageNumber"/>
            <w:rFonts w:ascii="Arial" w:hAnsi="Arial" w:cs="Arial"/>
            <w:sz w:val="21"/>
            <w:szCs w:val="21"/>
          </w:rPr>
          <w:fldChar w:fldCharType="begin"/>
        </w:r>
        <w:r w:rsidRPr="0045538D">
          <w:rPr>
            <w:rStyle w:val="PageNumber"/>
            <w:rFonts w:ascii="Arial" w:hAnsi="Arial" w:cs="Arial"/>
            <w:sz w:val="21"/>
            <w:szCs w:val="21"/>
          </w:rPr>
          <w:instrText xml:space="preserve"> PAGE </w:instrText>
        </w:r>
        <w:r w:rsidRPr="0045538D">
          <w:rPr>
            <w:rStyle w:val="PageNumber"/>
            <w:rFonts w:ascii="Arial" w:hAnsi="Arial" w:cs="Arial"/>
            <w:sz w:val="21"/>
            <w:szCs w:val="21"/>
          </w:rPr>
          <w:fldChar w:fldCharType="separate"/>
        </w:r>
        <w:r w:rsidRPr="0045538D">
          <w:rPr>
            <w:rStyle w:val="PageNumber"/>
            <w:rFonts w:ascii="Arial" w:hAnsi="Arial" w:cs="Arial"/>
            <w:noProof/>
            <w:sz w:val="21"/>
            <w:szCs w:val="21"/>
          </w:rPr>
          <w:t>1</w:t>
        </w:r>
        <w:r w:rsidRPr="0045538D">
          <w:rPr>
            <w:rStyle w:val="PageNumber"/>
            <w:rFonts w:ascii="Arial" w:hAnsi="Arial" w:cs="Arial"/>
            <w:sz w:val="21"/>
            <w:szCs w:val="21"/>
          </w:rPr>
          <w:fldChar w:fldCharType="end"/>
        </w:r>
      </w:p>
    </w:sdtContent>
  </w:sdt>
  <w:sdt>
    <w:sdtPr>
      <w:rPr>
        <w:rStyle w:val="PageNumber"/>
      </w:rPr>
      <w:id w:val="-1514600450"/>
      <w:docPartObj>
        <w:docPartGallery w:val="Page Numbers (Bottom of Page)"/>
        <w:docPartUnique/>
      </w:docPartObj>
    </w:sdtPr>
    <w:sdtEndPr>
      <w:rPr>
        <w:rStyle w:val="PageNumber"/>
        <w:rFonts w:ascii="Arial" w:hAnsi="Arial" w:cs="Arial"/>
      </w:rPr>
    </w:sdtEndPr>
    <w:sdtContent>
      <w:p w14:paraId="5E2E3E39" w14:textId="77777777" w:rsidR="00047718" w:rsidRDefault="00047718" w:rsidP="00D47D87">
        <w:pPr>
          <w:pStyle w:val="Footer"/>
          <w:spacing w:before="240"/>
          <w:ind w:right="360"/>
          <w:jc w:val="right"/>
          <w:rPr>
            <w:rStyle w:val="PageNumber"/>
          </w:rPr>
        </w:pPr>
      </w:p>
      <w:p w14:paraId="32D8D096" w14:textId="3419D5DD" w:rsidR="000B48A3" w:rsidRPr="000B48A3" w:rsidRDefault="00E26E21" w:rsidP="00047718">
        <w:pPr>
          <w:pStyle w:val="Footer"/>
          <w:ind w:right="360"/>
          <w:jc w:val="right"/>
          <w:rPr>
            <w:rStyle w:val="PageNumber"/>
            <w:rFonts w:ascii="Arial" w:hAnsi="Arial" w:cs="Arial"/>
          </w:rPr>
        </w:pPr>
      </w:p>
    </w:sdtContent>
  </w:sdt>
  <w:p w14:paraId="5F4121C0" w14:textId="77777777" w:rsidR="0024638A" w:rsidRPr="000B48A3" w:rsidRDefault="0024638A" w:rsidP="006E348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6984435"/>
      <w:docPartObj>
        <w:docPartGallery w:val="Page Numbers (Bottom of Page)"/>
        <w:docPartUnique/>
      </w:docPartObj>
    </w:sdtPr>
    <w:sdtEndPr>
      <w:rPr>
        <w:rStyle w:val="PageNumber"/>
      </w:rPr>
    </w:sdtEndPr>
    <w:sdtContent>
      <w:p w14:paraId="088C96AF" w14:textId="77777777" w:rsidR="00B16C99" w:rsidRDefault="00B16C99" w:rsidP="00453E1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547618851"/>
      <w:docPartObj>
        <w:docPartGallery w:val="Page Numbers (Bottom of Page)"/>
        <w:docPartUnique/>
      </w:docPartObj>
    </w:sdtPr>
    <w:sdtEndPr>
      <w:rPr>
        <w:rStyle w:val="PageNumber"/>
      </w:rPr>
    </w:sdtEndPr>
    <w:sdtContent>
      <w:p w14:paraId="147D68F4" w14:textId="77777777" w:rsidR="00B16C99" w:rsidRDefault="00B16C99" w:rsidP="00453E12">
        <w:pPr>
          <w:pStyle w:val="Footer"/>
          <w:framePr w:wrap="none" w:vAnchor="text" w:hAnchor="margin" w:xAlign="right" w:y="1"/>
          <w:ind w:right="360"/>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A302704" w14:textId="77777777" w:rsidR="00B16C99" w:rsidRDefault="00B16C99" w:rsidP="00047718">
    <w:pPr>
      <w:pStyle w:val="Footer"/>
      <w:ind w:right="360"/>
      <w:rPr>
        <w:rStyle w:val="PageNumber"/>
        <w:rFonts w:ascii="Arial" w:hAnsi="Arial" w:cs="Arial"/>
        <w:sz w:val="22"/>
        <w:szCs w:val="22"/>
      </w:rPr>
    </w:pPr>
  </w:p>
  <w:p w14:paraId="14559E25" w14:textId="77777777" w:rsidR="00B16C99" w:rsidRDefault="00B16C99" w:rsidP="006E348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50262014"/>
      <w:docPartObj>
        <w:docPartGallery w:val="Page Numbers (Bottom of Page)"/>
        <w:docPartUnique/>
      </w:docPartObj>
    </w:sdtPr>
    <w:sdtEndPr>
      <w:rPr>
        <w:rStyle w:val="PageNumber"/>
      </w:rPr>
    </w:sdtEndPr>
    <w:sdtContent>
      <w:p w14:paraId="375360FB" w14:textId="77777777" w:rsidR="00B16C99" w:rsidRDefault="00B16C99" w:rsidP="00453E12">
        <w:pPr>
          <w:pStyle w:val="Footer"/>
          <w:framePr w:wrap="none" w:vAnchor="text" w:hAnchor="margin" w:xAlign="right" w:y="1"/>
          <w:spacing w:before="480"/>
          <w:rPr>
            <w:rStyle w:val="PageNumber"/>
          </w:rPr>
        </w:pPr>
        <w:r w:rsidRPr="0045538D">
          <w:rPr>
            <w:rStyle w:val="PageNumber"/>
            <w:rFonts w:ascii="Arial" w:hAnsi="Arial" w:cs="Arial"/>
            <w:sz w:val="21"/>
            <w:szCs w:val="21"/>
          </w:rPr>
          <w:fldChar w:fldCharType="begin"/>
        </w:r>
        <w:r w:rsidRPr="0045538D">
          <w:rPr>
            <w:rStyle w:val="PageNumber"/>
            <w:rFonts w:ascii="Arial" w:hAnsi="Arial" w:cs="Arial"/>
            <w:sz w:val="21"/>
            <w:szCs w:val="21"/>
          </w:rPr>
          <w:instrText xml:space="preserve"> PAGE </w:instrText>
        </w:r>
        <w:r w:rsidRPr="0045538D">
          <w:rPr>
            <w:rStyle w:val="PageNumber"/>
            <w:rFonts w:ascii="Arial" w:hAnsi="Arial" w:cs="Arial"/>
            <w:sz w:val="21"/>
            <w:szCs w:val="21"/>
          </w:rPr>
          <w:fldChar w:fldCharType="separate"/>
        </w:r>
        <w:r w:rsidRPr="0045538D">
          <w:rPr>
            <w:rStyle w:val="PageNumber"/>
            <w:rFonts w:ascii="Arial" w:hAnsi="Arial" w:cs="Arial"/>
            <w:noProof/>
            <w:sz w:val="21"/>
            <w:szCs w:val="21"/>
          </w:rPr>
          <w:t>1</w:t>
        </w:r>
        <w:r w:rsidRPr="0045538D">
          <w:rPr>
            <w:rStyle w:val="PageNumber"/>
            <w:rFonts w:ascii="Arial" w:hAnsi="Arial" w:cs="Arial"/>
            <w:sz w:val="21"/>
            <w:szCs w:val="21"/>
          </w:rPr>
          <w:fldChar w:fldCharType="end"/>
        </w:r>
      </w:p>
    </w:sdtContent>
  </w:sdt>
  <w:sdt>
    <w:sdtPr>
      <w:rPr>
        <w:rStyle w:val="PageNumber"/>
      </w:rPr>
      <w:id w:val="-1196769534"/>
      <w:docPartObj>
        <w:docPartGallery w:val="Page Numbers (Bottom of Page)"/>
        <w:docPartUnique/>
      </w:docPartObj>
    </w:sdtPr>
    <w:sdtEndPr>
      <w:rPr>
        <w:rStyle w:val="PageNumber"/>
        <w:rFonts w:ascii="Arial" w:hAnsi="Arial" w:cs="Arial"/>
      </w:rPr>
    </w:sdtEndPr>
    <w:sdtContent>
      <w:p w14:paraId="14BC4AAA" w14:textId="77777777" w:rsidR="00B16C99" w:rsidRDefault="00B16C99" w:rsidP="00D47D87">
        <w:pPr>
          <w:pStyle w:val="Footer"/>
          <w:spacing w:before="240"/>
          <w:ind w:right="360"/>
          <w:jc w:val="right"/>
          <w:rPr>
            <w:rStyle w:val="PageNumber"/>
          </w:rPr>
        </w:pPr>
      </w:p>
      <w:p w14:paraId="16890831" w14:textId="77777777" w:rsidR="00B16C99" w:rsidRPr="000B48A3" w:rsidRDefault="00E26E21" w:rsidP="00047718">
        <w:pPr>
          <w:pStyle w:val="Footer"/>
          <w:ind w:right="360"/>
          <w:jc w:val="right"/>
          <w:rPr>
            <w:rStyle w:val="PageNumber"/>
            <w:rFonts w:ascii="Arial" w:hAnsi="Arial" w:cs="Arial"/>
          </w:rPr>
        </w:pPr>
      </w:p>
    </w:sdtContent>
  </w:sdt>
  <w:p w14:paraId="220C0EA1" w14:textId="77777777" w:rsidR="00B16C99" w:rsidRPr="000B48A3" w:rsidRDefault="00B16C99" w:rsidP="006E348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FDF3F" w14:textId="77777777" w:rsidR="00672E80" w:rsidRDefault="00672E80" w:rsidP="008E4AF2">
      <w:r>
        <w:separator/>
      </w:r>
    </w:p>
  </w:footnote>
  <w:footnote w:type="continuationSeparator" w:id="0">
    <w:p w14:paraId="5D27EDCB" w14:textId="77777777" w:rsidR="00672E80" w:rsidRDefault="00672E80" w:rsidP="008E4AF2">
      <w:r>
        <w:continuationSeparator/>
      </w:r>
    </w:p>
  </w:footnote>
  <w:footnote w:type="continuationNotice" w:id="1">
    <w:p w14:paraId="55349D80" w14:textId="77777777" w:rsidR="006C42DC" w:rsidRDefault="006C42DC">
      <w:pPr>
        <w:spacing w:after="0" w:line="240" w:lineRule="auto"/>
      </w:pPr>
    </w:p>
  </w:footnote>
  <w:footnote w:id="2">
    <w:p w14:paraId="21B157C3" w14:textId="0C742BC2" w:rsidR="00730160" w:rsidRDefault="00730160">
      <w:pPr>
        <w:pStyle w:val="FootnoteText"/>
      </w:pPr>
      <w:r>
        <w:rPr>
          <w:rStyle w:val="FootnoteReference"/>
        </w:rPr>
        <w:footnoteRef/>
      </w:r>
      <w:r>
        <w:t xml:space="preserve"> </w:t>
      </w:r>
      <w:r w:rsidR="00653255">
        <w:t>Maria, who had been living with her aunt and uncle under a foster care arrangement, was returned to her mother’s care and subsequently killed by her mother’s partner.</w:t>
      </w:r>
    </w:p>
  </w:footnote>
  <w:footnote w:id="3">
    <w:p w14:paraId="025718D5" w14:textId="4838F8A8" w:rsidR="002C187A" w:rsidRDefault="002C187A">
      <w:pPr>
        <w:pStyle w:val="FootnoteText"/>
      </w:pPr>
      <w:r>
        <w:rPr>
          <w:rStyle w:val="FootnoteReference"/>
        </w:rPr>
        <w:footnoteRef/>
      </w:r>
      <w:r>
        <w:t xml:space="preserve"> </w:t>
      </w:r>
      <w:r w:rsidRPr="002C187A">
        <w:t>Children and Family Court Advisory and Support Service</w:t>
      </w:r>
    </w:p>
  </w:footnote>
  <w:footnote w:id="4">
    <w:p w14:paraId="4EF16F35" w14:textId="04F3C33B" w:rsidR="00F03F49" w:rsidRDefault="00F03F49">
      <w:pPr>
        <w:pStyle w:val="FootnoteText"/>
      </w:pPr>
      <w:r>
        <w:rPr>
          <w:rStyle w:val="FootnoteReference"/>
        </w:rPr>
        <w:footnoteRef/>
      </w:r>
      <w:r>
        <w:t xml:space="preserve"> Full time equivalent</w:t>
      </w:r>
    </w:p>
  </w:footnote>
  <w:footnote w:id="5">
    <w:p w14:paraId="7294FFE5" w14:textId="77777777" w:rsidR="002F7F16" w:rsidRDefault="002F7F16" w:rsidP="008E4AF2">
      <w:pPr>
        <w:pStyle w:val="FootnoteText"/>
      </w:pPr>
      <w:r>
        <w:rPr>
          <w:rStyle w:val="FootnoteReference"/>
        </w:rPr>
        <w:footnoteRef/>
      </w:r>
      <w:r>
        <w:t xml:space="preserve"> Community Care is a trade magazine for social workers.</w:t>
      </w:r>
    </w:p>
  </w:footnote>
  <w:footnote w:id="6">
    <w:p w14:paraId="14630390" w14:textId="30EAD434" w:rsidR="005E7E25" w:rsidRDefault="005E7E25">
      <w:pPr>
        <w:pStyle w:val="FootnoteText"/>
      </w:pPr>
      <w:r>
        <w:rPr>
          <w:rStyle w:val="FootnoteReference"/>
        </w:rPr>
        <w:footnoteRef/>
      </w:r>
      <w:r>
        <w:t xml:space="preserve"> </w:t>
      </w:r>
      <w:r>
        <w:rPr>
          <w:shd w:val="clear" w:color="auto" w:fill="FFFFFF"/>
        </w:rPr>
        <w:t>Widely used in social work practice, Gillick competency tests stem from case law relating to a child’s role in medical decisions without parental consent (Shah, 2021).</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D2E0F"/>
    <w:multiLevelType w:val="hybridMultilevel"/>
    <w:tmpl w:val="5EE045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CE0CCF"/>
    <w:multiLevelType w:val="hybridMultilevel"/>
    <w:tmpl w:val="6840EC34"/>
    <w:lvl w:ilvl="0" w:tplc="0F602856">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95D5510"/>
    <w:multiLevelType w:val="hybridMultilevel"/>
    <w:tmpl w:val="185A7A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3338C9"/>
    <w:multiLevelType w:val="hybridMultilevel"/>
    <w:tmpl w:val="104EEB1E"/>
    <w:lvl w:ilvl="0" w:tplc="D112331C">
      <w:numFmt w:val="bullet"/>
      <w:lvlText w:val="—"/>
      <w:lvlJc w:val="left"/>
      <w:pPr>
        <w:ind w:left="720" w:hanging="360"/>
      </w:pPr>
      <w:rPr>
        <w:rFonts w:ascii="c_serif_sil" w:eastAsia="Times New Roman" w:hAnsi="c_serif_si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845D70"/>
    <w:multiLevelType w:val="hybridMultilevel"/>
    <w:tmpl w:val="B39296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F26568A"/>
    <w:multiLevelType w:val="hybridMultilevel"/>
    <w:tmpl w:val="5A96C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5DF4B97"/>
    <w:multiLevelType w:val="hybridMultilevel"/>
    <w:tmpl w:val="3904C3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73D267C"/>
    <w:multiLevelType w:val="hybridMultilevel"/>
    <w:tmpl w:val="1F0EA5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73D44FA"/>
    <w:multiLevelType w:val="hybridMultilevel"/>
    <w:tmpl w:val="E19CB278"/>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3AD4ED1"/>
    <w:multiLevelType w:val="hybridMultilevel"/>
    <w:tmpl w:val="C66CBB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4E34A7F"/>
    <w:multiLevelType w:val="hybridMultilevel"/>
    <w:tmpl w:val="47D40E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5392B1B"/>
    <w:multiLevelType w:val="hybridMultilevel"/>
    <w:tmpl w:val="E69463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69678EE"/>
    <w:multiLevelType w:val="hybridMultilevel"/>
    <w:tmpl w:val="4A4A5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F6F74DB"/>
    <w:multiLevelType w:val="hybridMultilevel"/>
    <w:tmpl w:val="6F2ED0AC"/>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F8B2880"/>
    <w:multiLevelType w:val="hybridMultilevel"/>
    <w:tmpl w:val="015EBA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2BA4ACB"/>
    <w:multiLevelType w:val="hybridMultilevel"/>
    <w:tmpl w:val="3ED26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6301C90"/>
    <w:multiLevelType w:val="hybridMultilevel"/>
    <w:tmpl w:val="E8408F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8F976BA"/>
    <w:multiLevelType w:val="hybridMultilevel"/>
    <w:tmpl w:val="1FA2F9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F3640B9"/>
    <w:multiLevelType w:val="hybridMultilevel"/>
    <w:tmpl w:val="54A6F66E"/>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96E1007"/>
    <w:multiLevelType w:val="hybridMultilevel"/>
    <w:tmpl w:val="A6FA37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08F17E1"/>
    <w:multiLevelType w:val="hybridMultilevel"/>
    <w:tmpl w:val="FE5827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0E61EB8"/>
    <w:multiLevelType w:val="multilevel"/>
    <w:tmpl w:val="5ECC54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7613749"/>
    <w:multiLevelType w:val="hybridMultilevel"/>
    <w:tmpl w:val="4C2A5E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C5E1A13"/>
    <w:multiLevelType w:val="hybridMultilevel"/>
    <w:tmpl w:val="F8B836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6E3834EC"/>
    <w:multiLevelType w:val="multilevel"/>
    <w:tmpl w:val="20E65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79A1958"/>
    <w:multiLevelType w:val="hybridMultilevel"/>
    <w:tmpl w:val="FBC2FC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7BA6122"/>
    <w:multiLevelType w:val="hybridMultilevel"/>
    <w:tmpl w:val="5E404442"/>
    <w:lvl w:ilvl="0" w:tplc="42A2B4C2">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7C88480B"/>
    <w:multiLevelType w:val="hybridMultilevel"/>
    <w:tmpl w:val="454CE5C2"/>
    <w:lvl w:ilvl="0" w:tplc="006A22BE">
      <w:start w:val="1"/>
      <w:numFmt w:val="bullet"/>
      <w:lvlText w:val="•"/>
      <w:lvlJc w:val="left"/>
      <w:pPr>
        <w:tabs>
          <w:tab w:val="num" w:pos="720"/>
        </w:tabs>
        <w:ind w:left="720" w:hanging="360"/>
      </w:pPr>
      <w:rPr>
        <w:rFonts w:ascii="Arial" w:hAnsi="Arial" w:hint="default"/>
      </w:rPr>
    </w:lvl>
    <w:lvl w:ilvl="1" w:tplc="171624A8" w:tentative="1">
      <w:start w:val="1"/>
      <w:numFmt w:val="bullet"/>
      <w:lvlText w:val="•"/>
      <w:lvlJc w:val="left"/>
      <w:pPr>
        <w:tabs>
          <w:tab w:val="num" w:pos="1440"/>
        </w:tabs>
        <w:ind w:left="1440" w:hanging="360"/>
      </w:pPr>
      <w:rPr>
        <w:rFonts w:ascii="Arial" w:hAnsi="Arial" w:hint="default"/>
      </w:rPr>
    </w:lvl>
    <w:lvl w:ilvl="2" w:tplc="A3AA2254" w:tentative="1">
      <w:start w:val="1"/>
      <w:numFmt w:val="bullet"/>
      <w:lvlText w:val="•"/>
      <w:lvlJc w:val="left"/>
      <w:pPr>
        <w:tabs>
          <w:tab w:val="num" w:pos="2160"/>
        </w:tabs>
        <w:ind w:left="2160" w:hanging="360"/>
      </w:pPr>
      <w:rPr>
        <w:rFonts w:ascii="Arial" w:hAnsi="Arial" w:hint="default"/>
      </w:rPr>
    </w:lvl>
    <w:lvl w:ilvl="3" w:tplc="6A5A88BA" w:tentative="1">
      <w:start w:val="1"/>
      <w:numFmt w:val="bullet"/>
      <w:lvlText w:val="•"/>
      <w:lvlJc w:val="left"/>
      <w:pPr>
        <w:tabs>
          <w:tab w:val="num" w:pos="2880"/>
        </w:tabs>
        <w:ind w:left="2880" w:hanging="360"/>
      </w:pPr>
      <w:rPr>
        <w:rFonts w:ascii="Arial" w:hAnsi="Arial" w:hint="default"/>
      </w:rPr>
    </w:lvl>
    <w:lvl w:ilvl="4" w:tplc="BE8696B0" w:tentative="1">
      <w:start w:val="1"/>
      <w:numFmt w:val="bullet"/>
      <w:lvlText w:val="•"/>
      <w:lvlJc w:val="left"/>
      <w:pPr>
        <w:tabs>
          <w:tab w:val="num" w:pos="3600"/>
        </w:tabs>
        <w:ind w:left="3600" w:hanging="360"/>
      </w:pPr>
      <w:rPr>
        <w:rFonts w:ascii="Arial" w:hAnsi="Arial" w:hint="default"/>
      </w:rPr>
    </w:lvl>
    <w:lvl w:ilvl="5" w:tplc="51A6C820" w:tentative="1">
      <w:start w:val="1"/>
      <w:numFmt w:val="bullet"/>
      <w:lvlText w:val="•"/>
      <w:lvlJc w:val="left"/>
      <w:pPr>
        <w:tabs>
          <w:tab w:val="num" w:pos="4320"/>
        </w:tabs>
        <w:ind w:left="4320" w:hanging="360"/>
      </w:pPr>
      <w:rPr>
        <w:rFonts w:ascii="Arial" w:hAnsi="Arial" w:hint="default"/>
      </w:rPr>
    </w:lvl>
    <w:lvl w:ilvl="6" w:tplc="EC4CE65A" w:tentative="1">
      <w:start w:val="1"/>
      <w:numFmt w:val="bullet"/>
      <w:lvlText w:val="•"/>
      <w:lvlJc w:val="left"/>
      <w:pPr>
        <w:tabs>
          <w:tab w:val="num" w:pos="5040"/>
        </w:tabs>
        <w:ind w:left="5040" w:hanging="360"/>
      </w:pPr>
      <w:rPr>
        <w:rFonts w:ascii="Arial" w:hAnsi="Arial" w:hint="default"/>
      </w:rPr>
    </w:lvl>
    <w:lvl w:ilvl="7" w:tplc="8610B1A8" w:tentative="1">
      <w:start w:val="1"/>
      <w:numFmt w:val="bullet"/>
      <w:lvlText w:val="•"/>
      <w:lvlJc w:val="left"/>
      <w:pPr>
        <w:tabs>
          <w:tab w:val="num" w:pos="5760"/>
        </w:tabs>
        <w:ind w:left="5760" w:hanging="360"/>
      </w:pPr>
      <w:rPr>
        <w:rFonts w:ascii="Arial" w:hAnsi="Arial" w:hint="default"/>
      </w:rPr>
    </w:lvl>
    <w:lvl w:ilvl="8" w:tplc="04E63216"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CF45F78"/>
    <w:multiLevelType w:val="multilevel"/>
    <w:tmpl w:val="821C0E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79545612">
    <w:abstractNumId w:val="14"/>
  </w:num>
  <w:num w:numId="2" w16cid:durableId="1486094400">
    <w:abstractNumId w:val="25"/>
  </w:num>
  <w:num w:numId="3" w16cid:durableId="500581983">
    <w:abstractNumId w:val="2"/>
  </w:num>
  <w:num w:numId="4" w16cid:durableId="344594342">
    <w:abstractNumId w:val="22"/>
  </w:num>
  <w:num w:numId="5" w16cid:durableId="790129477">
    <w:abstractNumId w:val="11"/>
  </w:num>
  <w:num w:numId="6" w16cid:durableId="195849345">
    <w:abstractNumId w:val="1"/>
  </w:num>
  <w:num w:numId="7" w16cid:durableId="340088024">
    <w:abstractNumId w:val="18"/>
  </w:num>
  <w:num w:numId="8" w16cid:durableId="131749183">
    <w:abstractNumId w:val="8"/>
  </w:num>
  <w:num w:numId="9" w16cid:durableId="461924907">
    <w:abstractNumId w:val="13"/>
  </w:num>
  <w:num w:numId="10" w16cid:durableId="525405916">
    <w:abstractNumId w:val="15"/>
  </w:num>
  <w:num w:numId="11" w16cid:durableId="1717436758">
    <w:abstractNumId w:val="12"/>
  </w:num>
  <w:num w:numId="12" w16cid:durableId="438380479">
    <w:abstractNumId w:val="4"/>
  </w:num>
  <w:num w:numId="13" w16cid:durableId="1666519306">
    <w:abstractNumId w:val="0"/>
  </w:num>
  <w:num w:numId="14" w16cid:durableId="835724043">
    <w:abstractNumId w:val="23"/>
  </w:num>
  <w:num w:numId="15" w16cid:durableId="2127653379">
    <w:abstractNumId w:val="17"/>
  </w:num>
  <w:num w:numId="16" w16cid:durableId="500392200">
    <w:abstractNumId w:val="26"/>
  </w:num>
  <w:num w:numId="17" w16cid:durableId="518466585">
    <w:abstractNumId w:val="10"/>
  </w:num>
  <w:num w:numId="18" w16cid:durableId="1262185413">
    <w:abstractNumId w:val="27"/>
  </w:num>
  <w:num w:numId="19" w16cid:durableId="2082096599">
    <w:abstractNumId w:val="3"/>
  </w:num>
  <w:num w:numId="20" w16cid:durableId="887954017">
    <w:abstractNumId w:val="21"/>
  </w:num>
  <w:num w:numId="21" w16cid:durableId="1058239159">
    <w:abstractNumId w:val="24"/>
  </w:num>
  <w:num w:numId="22" w16cid:durableId="139925648">
    <w:abstractNumId w:val="28"/>
  </w:num>
  <w:num w:numId="23" w16cid:durableId="2108841971">
    <w:abstractNumId w:val="6"/>
  </w:num>
  <w:num w:numId="24" w16cid:durableId="1731538059">
    <w:abstractNumId w:val="7"/>
  </w:num>
  <w:num w:numId="25" w16cid:durableId="1108934748">
    <w:abstractNumId w:val="19"/>
  </w:num>
  <w:num w:numId="26" w16cid:durableId="1697732390">
    <w:abstractNumId w:val="9"/>
  </w:num>
  <w:num w:numId="27" w16cid:durableId="1243491855">
    <w:abstractNumId w:val="20"/>
  </w:num>
  <w:num w:numId="28" w16cid:durableId="468593958">
    <w:abstractNumId w:val="5"/>
  </w:num>
  <w:num w:numId="29" w16cid:durableId="6600250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444D"/>
    <w:rsid w:val="00000D14"/>
    <w:rsid w:val="00001675"/>
    <w:rsid w:val="00001BC8"/>
    <w:rsid w:val="0000291B"/>
    <w:rsid w:val="000033AC"/>
    <w:rsid w:val="00004AC6"/>
    <w:rsid w:val="00005283"/>
    <w:rsid w:val="00005F6F"/>
    <w:rsid w:val="000079B3"/>
    <w:rsid w:val="00007CFC"/>
    <w:rsid w:val="00010179"/>
    <w:rsid w:val="00010835"/>
    <w:rsid w:val="000109A4"/>
    <w:rsid w:val="00011DF0"/>
    <w:rsid w:val="00013895"/>
    <w:rsid w:val="0001547F"/>
    <w:rsid w:val="00015C7D"/>
    <w:rsid w:val="00015D04"/>
    <w:rsid w:val="0001643A"/>
    <w:rsid w:val="00016D23"/>
    <w:rsid w:val="00021C64"/>
    <w:rsid w:val="00022798"/>
    <w:rsid w:val="000247DB"/>
    <w:rsid w:val="00024897"/>
    <w:rsid w:val="00024D20"/>
    <w:rsid w:val="00024D80"/>
    <w:rsid w:val="00025112"/>
    <w:rsid w:val="00025293"/>
    <w:rsid w:val="00025378"/>
    <w:rsid w:val="00025C55"/>
    <w:rsid w:val="00027432"/>
    <w:rsid w:val="00030378"/>
    <w:rsid w:val="0003067B"/>
    <w:rsid w:val="0003068B"/>
    <w:rsid w:val="000310AA"/>
    <w:rsid w:val="000336BB"/>
    <w:rsid w:val="00033A54"/>
    <w:rsid w:val="00034CEC"/>
    <w:rsid w:val="00035F5C"/>
    <w:rsid w:val="00037191"/>
    <w:rsid w:val="00037BBF"/>
    <w:rsid w:val="00040CA4"/>
    <w:rsid w:val="00041524"/>
    <w:rsid w:val="00042C44"/>
    <w:rsid w:val="000433BF"/>
    <w:rsid w:val="000444D9"/>
    <w:rsid w:val="000445DE"/>
    <w:rsid w:val="000446DE"/>
    <w:rsid w:val="000472A9"/>
    <w:rsid w:val="00047718"/>
    <w:rsid w:val="00047CD0"/>
    <w:rsid w:val="00052D60"/>
    <w:rsid w:val="00054CE3"/>
    <w:rsid w:val="00055B84"/>
    <w:rsid w:val="000566A6"/>
    <w:rsid w:val="00056C6C"/>
    <w:rsid w:val="00057BE9"/>
    <w:rsid w:val="0006017D"/>
    <w:rsid w:val="00060A88"/>
    <w:rsid w:val="00061382"/>
    <w:rsid w:val="00065842"/>
    <w:rsid w:val="0006614E"/>
    <w:rsid w:val="00066281"/>
    <w:rsid w:val="00067907"/>
    <w:rsid w:val="00067E39"/>
    <w:rsid w:val="00070733"/>
    <w:rsid w:val="000713FB"/>
    <w:rsid w:val="00071E3D"/>
    <w:rsid w:val="0007533B"/>
    <w:rsid w:val="0007547D"/>
    <w:rsid w:val="00076ED7"/>
    <w:rsid w:val="00077553"/>
    <w:rsid w:val="00081683"/>
    <w:rsid w:val="00081B6C"/>
    <w:rsid w:val="00082B4D"/>
    <w:rsid w:val="0008555F"/>
    <w:rsid w:val="00085A60"/>
    <w:rsid w:val="00087385"/>
    <w:rsid w:val="00087D03"/>
    <w:rsid w:val="00090DB4"/>
    <w:rsid w:val="000916A5"/>
    <w:rsid w:val="00092427"/>
    <w:rsid w:val="000924FE"/>
    <w:rsid w:val="000927DC"/>
    <w:rsid w:val="00094B90"/>
    <w:rsid w:val="00094DC1"/>
    <w:rsid w:val="000A0F62"/>
    <w:rsid w:val="000A114F"/>
    <w:rsid w:val="000A1477"/>
    <w:rsid w:val="000A21A9"/>
    <w:rsid w:val="000A294E"/>
    <w:rsid w:val="000A39B9"/>
    <w:rsid w:val="000A4C65"/>
    <w:rsid w:val="000A6561"/>
    <w:rsid w:val="000A6F8E"/>
    <w:rsid w:val="000A75F5"/>
    <w:rsid w:val="000B0D7E"/>
    <w:rsid w:val="000B136A"/>
    <w:rsid w:val="000B2159"/>
    <w:rsid w:val="000B2CB5"/>
    <w:rsid w:val="000B3A65"/>
    <w:rsid w:val="000B3E51"/>
    <w:rsid w:val="000B41B6"/>
    <w:rsid w:val="000B48A3"/>
    <w:rsid w:val="000B5755"/>
    <w:rsid w:val="000B61CB"/>
    <w:rsid w:val="000B689A"/>
    <w:rsid w:val="000B74ED"/>
    <w:rsid w:val="000C0170"/>
    <w:rsid w:val="000C0388"/>
    <w:rsid w:val="000C10E7"/>
    <w:rsid w:val="000C1156"/>
    <w:rsid w:val="000C16BA"/>
    <w:rsid w:val="000C3F60"/>
    <w:rsid w:val="000C415F"/>
    <w:rsid w:val="000C570D"/>
    <w:rsid w:val="000C5992"/>
    <w:rsid w:val="000C65AB"/>
    <w:rsid w:val="000C66F0"/>
    <w:rsid w:val="000C6A98"/>
    <w:rsid w:val="000C7182"/>
    <w:rsid w:val="000C7437"/>
    <w:rsid w:val="000C74FD"/>
    <w:rsid w:val="000D0EFD"/>
    <w:rsid w:val="000D38A5"/>
    <w:rsid w:val="000D38C5"/>
    <w:rsid w:val="000D3C96"/>
    <w:rsid w:val="000D4216"/>
    <w:rsid w:val="000D4243"/>
    <w:rsid w:val="000D4BC7"/>
    <w:rsid w:val="000D63C1"/>
    <w:rsid w:val="000D7704"/>
    <w:rsid w:val="000E2FEC"/>
    <w:rsid w:val="000E4018"/>
    <w:rsid w:val="000E63B5"/>
    <w:rsid w:val="000F0A13"/>
    <w:rsid w:val="000F0AFB"/>
    <w:rsid w:val="000F2BD4"/>
    <w:rsid w:val="000F2CA2"/>
    <w:rsid w:val="000F3A0C"/>
    <w:rsid w:val="000F434E"/>
    <w:rsid w:val="000F48F1"/>
    <w:rsid w:val="000F4E26"/>
    <w:rsid w:val="000F4EB4"/>
    <w:rsid w:val="000F4F31"/>
    <w:rsid w:val="000F51B7"/>
    <w:rsid w:val="000F5527"/>
    <w:rsid w:val="000F5C7F"/>
    <w:rsid w:val="000F7928"/>
    <w:rsid w:val="000F7D8B"/>
    <w:rsid w:val="0010086D"/>
    <w:rsid w:val="0010137B"/>
    <w:rsid w:val="00102D47"/>
    <w:rsid w:val="00103977"/>
    <w:rsid w:val="0010397E"/>
    <w:rsid w:val="00103E8D"/>
    <w:rsid w:val="00105472"/>
    <w:rsid w:val="00106586"/>
    <w:rsid w:val="00111699"/>
    <w:rsid w:val="00112BD6"/>
    <w:rsid w:val="00113250"/>
    <w:rsid w:val="00113BAA"/>
    <w:rsid w:val="00113DFB"/>
    <w:rsid w:val="00115006"/>
    <w:rsid w:val="0011645C"/>
    <w:rsid w:val="00117272"/>
    <w:rsid w:val="001219A1"/>
    <w:rsid w:val="001229E0"/>
    <w:rsid w:val="001235B2"/>
    <w:rsid w:val="001240DC"/>
    <w:rsid w:val="0012418C"/>
    <w:rsid w:val="001254BE"/>
    <w:rsid w:val="00127E4A"/>
    <w:rsid w:val="00127FD5"/>
    <w:rsid w:val="001319C5"/>
    <w:rsid w:val="00132782"/>
    <w:rsid w:val="00132DEC"/>
    <w:rsid w:val="00134760"/>
    <w:rsid w:val="001374E6"/>
    <w:rsid w:val="00141033"/>
    <w:rsid w:val="001413ED"/>
    <w:rsid w:val="001420E6"/>
    <w:rsid w:val="00143A81"/>
    <w:rsid w:val="001455D2"/>
    <w:rsid w:val="00145DF6"/>
    <w:rsid w:val="00147E4B"/>
    <w:rsid w:val="00150FE5"/>
    <w:rsid w:val="00151377"/>
    <w:rsid w:val="00152544"/>
    <w:rsid w:val="00152F84"/>
    <w:rsid w:val="00153431"/>
    <w:rsid w:val="00154351"/>
    <w:rsid w:val="00154868"/>
    <w:rsid w:val="00155051"/>
    <w:rsid w:val="00156E6D"/>
    <w:rsid w:val="00157629"/>
    <w:rsid w:val="00160268"/>
    <w:rsid w:val="00161E1F"/>
    <w:rsid w:val="001638CE"/>
    <w:rsid w:val="0016564E"/>
    <w:rsid w:val="001669D5"/>
    <w:rsid w:val="0016718D"/>
    <w:rsid w:val="00167D14"/>
    <w:rsid w:val="0017109C"/>
    <w:rsid w:val="00171952"/>
    <w:rsid w:val="00171972"/>
    <w:rsid w:val="001742D1"/>
    <w:rsid w:val="00176748"/>
    <w:rsid w:val="00177168"/>
    <w:rsid w:val="0018032A"/>
    <w:rsid w:val="001829EE"/>
    <w:rsid w:val="00183155"/>
    <w:rsid w:val="001832D6"/>
    <w:rsid w:val="0018390A"/>
    <w:rsid w:val="00183EB2"/>
    <w:rsid w:val="00184956"/>
    <w:rsid w:val="00185B4C"/>
    <w:rsid w:val="00185E96"/>
    <w:rsid w:val="0018621E"/>
    <w:rsid w:val="0018772B"/>
    <w:rsid w:val="001879AF"/>
    <w:rsid w:val="00190A83"/>
    <w:rsid w:val="00190B8C"/>
    <w:rsid w:val="001911B6"/>
    <w:rsid w:val="00191533"/>
    <w:rsid w:val="00191AB1"/>
    <w:rsid w:val="001925BD"/>
    <w:rsid w:val="00194E04"/>
    <w:rsid w:val="00196062"/>
    <w:rsid w:val="00196E5A"/>
    <w:rsid w:val="00197AB3"/>
    <w:rsid w:val="001A1164"/>
    <w:rsid w:val="001A1714"/>
    <w:rsid w:val="001A3857"/>
    <w:rsid w:val="001A3E0A"/>
    <w:rsid w:val="001A41C8"/>
    <w:rsid w:val="001A4C6D"/>
    <w:rsid w:val="001A4CA9"/>
    <w:rsid w:val="001A558F"/>
    <w:rsid w:val="001A5699"/>
    <w:rsid w:val="001A5794"/>
    <w:rsid w:val="001A76A9"/>
    <w:rsid w:val="001A7A49"/>
    <w:rsid w:val="001B0634"/>
    <w:rsid w:val="001B1380"/>
    <w:rsid w:val="001B1F6B"/>
    <w:rsid w:val="001B2AF7"/>
    <w:rsid w:val="001B416D"/>
    <w:rsid w:val="001B5C42"/>
    <w:rsid w:val="001B60BB"/>
    <w:rsid w:val="001C011E"/>
    <w:rsid w:val="001C0950"/>
    <w:rsid w:val="001C0BC3"/>
    <w:rsid w:val="001C0EC9"/>
    <w:rsid w:val="001C23E3"/>
    <w:rsid w:val="001C311C"/>
    <w:rsid w:val="001C31FC"/>
    <w:rsid w:val="001C4BF5"/>
    <w:rsid w:val="001C573B"/>
    <w:rsid w:val="001C633D"/>
    <w:rsid w:val="001C6E21"/>
    <w:rsid w:val="001C7060"/>
    <w:rsid w:val="001C77F0"/>
    <w:rsid w:val="001D1249"/>
    <w:rsid w:val="001D1C45"/>
    <w:rsid w:val="001D1D94"/>
    <w:rsid w:val="001D408B"/>
    <w:rsid w:val="001D4C7C"/>
    <w:rsid w:val="001D5474"/>
    <w:rsid w:val="001D645E"/>
    <w:rsid w:val="001E0854"/>
    <w:rsid w:val="001E2FBC"/>
    <w:rsid w:val="001E37C7"/>
    <w:rsid w:val="001E3B3F"/>
    <w:rsid w:val="001E3E6A"/>
    <w:rsid w:val="001E4507"/>
    <w:rsid w:val="001F13AD"/>
    <w:rsid w:val="001F23F3"/>
    <w:rsid w:val="001F27E0"/>
    <w:rsid w:val="001F3275"/>
    <w:rsid w:val="001F39DA"/>
    <w:rsid w:val="001F4287"/>
    <w:rsid w:val="001F4617"/>
    <w:rsid w:val="001F5E8D"/>
    <w:rsid w:val="001F6472"/>
    <w:rsid w:val="001F648F"/>
    <w:rsid w:val="001F7437"/>
    <w:rsid w:val="001F7B5A"/>
    <w:rsid w:val="00200194"/>
    <w:rsid w:val="00200BC5"/>
    <w:rsid w:val="002018D0"/>
    <w:rsid w:val="00202172"/>
    <w:rsid w:val="00202655"/>
    <w:rsid w:val="00202851"/>
    <w:rsid w:val="00202CDE"/>
    <w:rsid w:val="00202ED0"/>
    <w:rsid w:val="00203E14"/>
    <w:rsid w:val="00204959"/>
    <w:rsid w:val="0020537E"/>
    <w:rsid w:val="002075CF"/>
    <w:rsid w:val="00207DD5"/>
    <w:rsid w:val="002106BD"/>
    <w:rsid w:val="00210EFF"/>
    <w:rsid w:val="00210F3A"/>
    <w:rsid w:val="002168AF"/>
    <w:rsid w:val="002200B2"/>
    <w:rsid w:val="00220BD8"/>
    <w:rsid w:val="002218A2"/>
    <w:rsid w:val="00222C21"/>
    <w:rsid w:val="002234AF"/>
    <w:rsid w:val="00223505"/>
    <w:rsid w:val="00223CEE"/>
    <w:rsid w:val="0022544B"/>
    <w:rsid w:val="00226544"/>
    <w:rsid w:val="00227512"/>
    <w:rsid w:val="00230C01"/>
    <w:rsid w:val="00231363"/>
    <w:rsid w:val="00235135"/>
    <w:rsid w:val="0023581C"/>
    <w:rsid w:val="0024638A"/>
    <w:rsid w:val="002476D8"/>
    <w:rsid w:val="0025121E"/>
    <w:rsid w:val="002516E1"/>
    <w:rsid w:val="00251A15"/>
    <w:rsid w:val="00251AD5"/>
    <w:rsid w:val="00252F8B"/>
    <w:rsid w:val="002533BD"/>
    <w:rsid w:val="002537DC"/>
    <w:rsid w:val="002540AF"/>
    <w:rsid w:val="00256B93"/>
    <w:rsid w:val="00256D5C"/>
    <w:rsid w:val="00257300"/>
    <w:rsid w:val="00257346"/>
    <w:rsid w:val="00257AF6"/>
    <w:rsid w:val="00261BBE"/>
    <w:rsid w:val="00262A4F"/>
    <w:rsid w:val="00262DDA"/>
    <w:rsid w:val="00263BE8"/>
    <w:rsid w:val="00264047"/>
    <w:rsid w:val="00265B19"/>
    <w:rsid w:val="00266692"/>
    <w:rsid w:val="00267A9F"/>
    <w:rsid w:val="00270798"/>
    <w:rsid w:val="00270D10"/>
    <w:rsid w:val="00271F8C"/>
    <w:rsid w:val="00273E6F"/>
    <w:rsid w:val="0028027E"/>
    <w:rsid w:val="002808D8"/>
    <w:rsid w:val="002814AA"/>
    <w:rsid w:val="00283140"/>
    <w:rsid w:val="00283580"/>
    <w:rsid w:val="00283E9A"/>
    <w:rsid w:val="00284209"/>
    <w:rsid w:val="00286080"/>
    <w:rsid w:val="00291E1D"/>
    <w:rsid w:val="002924CB"/>
    <w:rsid w:val="00292D81"/>
    <w:rsid w:val="00293443"/>
    <w:rsid w:val="00293860"/>
    <w:rsid w:val="00297BBB"/>
    <w:rsid w:val="002A1286"/>
    <w:rsid w:val="002A15EC"/>
    <w:rsid w:val="002A22D1"/>
    <w:rsid w:val="002A27EB"/>
    <w:rsid w:val="002A2ABF"/>
    <w:rsid w:val="002A3F1A"/>
    <w:rsid w:val="002A52C5"/>
    <w:rsid w:val="002A53A9"/>
    <w:rsid w:val="002A740A"/>
    <w:rsid w:val="002B114E"/>
    <w:rsid w:val="002B1E21"/>
    <w:rsid w:val="002B2453"/>
    <w:rsid w:val="002B45D0"/>
    <w:rsid w:val="002B5861"/>
    <w:rsid w:val="002B59CB"/>
    <w:rsid w:val="002C07B7"/>
    <w:rsid w:val="002C0990"/>
    <w:rsid w:val="002C187A"/>
    <w:rsid w:val="002C1BB9"/>
    <w:rsid w:val="002C1DC6"/>
    <w:rsid w:val="002C3DB9"/>
    <w:rsid w:val="002C3F4C"/>
    <w:rsid w:val="002C4781"/>
    <w:rsid w:val="002C5413"/>
    <w:rsid w:val="002C5A99"/>
    <w:rsid w:val="002C665D"/>
    <w:rsid w:val="002C6966"/>
    <w:rsid w:val="002D00D0"/>
    <w:rsid w:val="002D04F7"/>
    <w:rsid w:val="002D1525"/>
    <w:rsid w:val="002D394E"/>
    <w:rsid w:val="002D5015"/>
    <w:rsid w:val="002D509D"/>
    <w:rsid w:val="002D5E2A"/>
    <w:rsid w:val="002E01AC"/>
    <w:rsid w:val="002E06E5"/>
    <w:rsid w:val="002E2070"/>
    <w:rsid w:val="002E2717"/>
    <w:rsid w:val="002E38E2"/>
    <w:rsid w:val="002E41E9"/>
    <w:rsid w:val="002E5611"/>
    <w:rsid w:val="002E584D"/>
    <w:rsid w:val="002E5C98"/>
    <w:rsid w:val="002E5D14"/>
    <w:rsid w:val="002E7473"/>
    <w:rsid w:val="002F2B6E"/>
    <w:rsid w:val="002F36D4"/>
    <w:rsid w:val="002F4CD2"/>
    <w:rsid w:val="002F5278"/>
    <w:rsid w:val="002F69E5"/>
    <w:rsid w:val="002F6C29"/>
    <w:rsid w:val="002F77F7"/>
    <w:rsid w:val="002F7B16"/>
    <w:rsid w:val="002F7F16"/>
    <w:rsid w:val="00300D3D"/>
    <w:rsid w:val="00301A3B"/>
    <w:rsid w:val="0030246E"/>
    <w:rsid w:val="0030261B"/>
    <w:rsid w:val="00302FB8"/>
    <w:rsid w:val="003055CF"/>
    <w:rsid w:val="003057B2"/>
    <w:rsid w:val="00305AB9"/>
    <w:rsid w:val="003063B8"/>
    <w:rsid w:val="00307D5E"/>
    <w:rsid w:val="00307DE6"/>
    <w:rsid w:val="0031073E"/>
    <w:rsid w:val="00310F20"/>
    <w:rsid w:val="00311F9E"/>
    <w:rsid w:val="00312942"/>
    <w:rsid w:val="0031449D"/>
    <w:rsid w:val="003149EF"/>
    <w:rsid w:val="00316317"/>
    <w:rsid w:val="00317DE5"/>
    <w:rsid w:val="0032016A"/>
    <w:rsid w:val="00322E3B"/>
    <w:rsid w:val="00324130"/>
    <w:rsid w:val="0032478B"/>
    <w:rsid w:val="00324BD7"/>
    <w:rsid w:val="003250BE"/>
    <w:rsid w:val="00325838"/>
    <w:rsid w:val="00326EF1"/>
    <w:rsid w:val="003270FA"/>
    <w:rsid w:val="00330704"/>
    <w:rsid w:val="00330B2E"/>
    <w:rsid w:val="00330D92"/>
    <w:rsid w:val="00330E7A"/>
    <w:rsid w:val="00332EF2"/>
    <w:rsid w:val="00333360"/>
    <w:rsid w:val="0033371C"/>
    <w:rsid w:val="003348CD"/>
    <w:rsid w:val="00335DE9"/>
    <w:rsid w:val="00335DEB"/>
    <w:rsid w:val="00337119"/>
    <w:rsid w:val="00337ACE"/>
    <w:rsid w:val="003402C3"/>
    <w:rsid w:val="00340F38"/>
    <w:rsid w:val="00341765"/>
    <w:rsid w:val="00342C6A"/>
    <w:rsid w:val="00350AB5"/>
    <w:rsid w:val="00350DAD"/>
    <w:rsid w:val="003514F4"/>
    <w:rsid w:val="0035215B"/>
    <w:rsid w:val="003531E4"/>
    <w:rsid w:val="00353D16"/>
    <w:rsid w:val="00354108"/>
    <w:rsid w:val="00355717"/>
    <w:rsid w:val="00355B51"/>
    <w:rsid w:val="00357168"/>
    <w:rsid w:val="003639A5"/>
    <w:rsid w:val="00363ABB"/>
    <w:rsid w:val="00364081"/>
    <w:rsid w:val="003640A9"/>
    <w:rsid w:val="003642DD"/>
    <w:rsid w:val="00364789"/>
    <w:rsid w:val="00365BC1"/>
    <w:rsid w:val="003665A2"/>
    <w:rsid w:val="00367C72"/>
    <w:rsid w:val="0037089F"/>
    <w:rsid w:val="00370A66"/>
    <w:rsid w:val="0037147E"/>
    <w:rsid w:val="003721B4"/>
    <w:rsid w:val="00372B3C"/>
    <w:rsid w:val="0037323D"/>
    <w:rsid w:val="0037441D"/>
    <w:rsid w:val="00376D22"/>
    <w:rsid w:val="00377366"/>
    <w:rsid w:val="0037759F"/>
    <w:rsid w:val="00377D93"/>
    <w:rsid w:val="0038004E"/>
    <w:rsid w:val="003801EF"/>
    <w:rsid w:val="00381FE8"/>
    <w:rsid w:val="00382B73"/>
    <w:rsid w:val="003831E8"/>
    <w:rsid w:val="00383422"/>
    <w:rsid w:val="00384042"/>
    <w:rsid w:val="00384173"/>
    <w:rsid w:val="003854FA"/>
    <w:rsid w:val="00385B87"/>
    <w:rsid w:val="00385F05"/>
    <w:rsid w:val="00386A6B"/>
    <w:rsid w:val="00386B8D"/>
    <w:rsid w:val="003904D6"/>
    <w:rsid w:val="003906A7"/>
    <w:rsid w:val="00390B90"/>
    <w:rsid w:val="00391165"/>
    <w:rsid w:val="003914D5"/>
    <w:rsid w:val="00391630"/>
    <w:rsid w:val="003916B3"/>
    <w:rsid w:val="003920D9"/>
    <w:rsid w:val="00392190"/>
    <w:rsid w:val="00392F50"/>
    <w:rsid w:val="0039345E"/>
    <w:rsid w:val="00394CAA"/>
    <w:rsid w:val="003964B8"/>
    <w:rsid w:val="00397AAE"/>
    <w:rsid w:val="003A0414"/>
    <w:rsid w:val="003A0504"/>
    <w:rsid w:val="003A0F46"/>
    <w:rsid w:val="003A14A1"/>
    <w:rsid w:val="003A1ADC"/>
    <w:rsid w:val="003A2118"/>
    <w:rsid w:val="003A3994"/>
    <w:rsid w:val="003A3A22"/>
    <w:rsid w:val="003A49D7"/>
    <w:rsid w:val="003A67A1"/>
    <w:rsid w:val="003A6F55"/>
    <w:rsid w:val="003A7812"/>
    <w:rsid w:val="003A7C43"/>
    <w:rsid w:val="003B04EE"/>
    <w:rsid w:val="003B0E45"/>
    <w:rsid w:val="003B17D4"/>
    <w:rsid w:val="003B278E"/>
    <w:rsid w:val="003B312B"/>
    <w:rsid w:val="003B3192"/>
    <w:rsid w:val="003B3464"/>
    <w:rsid w:val="003B41F1"/>
    <w:rsid w:val="003B42B1"/>
    <w:rsid w:val="003B4DF9"/>
    <w:rsid w:val="003B5561"/>
    <w:rsid w:val="003B6A2F"/>
    <w:rsid w:val="003B7362"/>
    <w:rsid w:val="003C0EBC"/>
    <w:rsid w:val="003C352D"/>
    <w:rsid w:val="003C36CD"/>
    <w:rsid w:val="003C5C94"/>
    <w:rsid w:val="003C5DF0"/>
    <w:rsid w:val="003C6B56"/>
    <w:rsid w:val="003C6FC3"/>
    <w:rsid w:val="003D04AC"/>
    <w:rsid w:val="003D07CE"/>
    <w:rsid w:val="003D0D92"/>
    <w:rsid w:val="003D107D"/>
    <w:rsid w:val="003D1373"/>
    <w:rsid w:val="003D2064"/>
    <w:rsid w:val="003D2B0A"/>
    <w:rsid w:val="003D48D7"/>
    <w:rsid w:val="003D58B2"/>
    <w:rsid w:val="003D5CCF"/>
    <w:rsid w:val="003D60C8"/>
    <w:rsid w:val="003D67EF"/>
    <w:rsid w:val="003D7897"/>
    <w:rsid w:val="003E0476"/>
    <w:rsid w:val="003E0605"/>
    <w:rsid w:val="003E06CE"/>
    <w:rsid w:val="003E0859"/>
    <w:rsid w:val="003E1160"/>
    <w:rsid w:val="003E1E6D"/>
    <w:rsid w:val="003E44CE"/>
    <w:rsid w:val="003E4872"/>
    <w:rsid w:val="003F1F42"/>
    <w:rsid w:val="003F306D"/>
    <w:rsid w:val="003F322F"/>
    <w:rsid w:val="003F332B"/>
    <w:rsid w:val="003F52F4"/>
    <w:rsid w:val="003F5ECA"/>
    <w:rsid w:val="003F61B8"/>
    <w:rsid w:val="003F67F5"/>
    <w:rsid w:val="003F7373"/>
    <w:rsid w:val="00401190"/>
    <w:rsid w:val="00401CE6"/>
    <w:rsid w:val="00402B23"/>
    <w:rsid w:val="004032E4"/>
    <w:rsid w:val="00403AAA"/>
    <w:rsid w:val="004043A0"/>
    <w:rsid w:val="004061D1"/>
    <w:rsid w:val="0040683E"/>
    <w:rsid w:val="004069C5"/>
    <w:rsid w:val="0040797B"/>
    <w:rsid w:val="004079FD"/>
    <w:rsid w:val="00407E9E"/>
    <w:rsid w:val="00410C73"/>
    <w:rsid w:val="00411CC3"/>
    <w:rsid w:val="00412E63"/>
    <w:rsid w:val="00412FCB"/>
    <w:rsid w:val="004135C3"/>
    <w:rsid w:val="00414FD4"/>
    <w:rsid w:val="00415F2B"/>
    <w:rsid w:val="00416E9E"/>
    <w:rsid w:val="004170D4"/>
    <w:rsid w:val="00417344"/>
    <w:rsid w:val="00420294"/>
    <w:rsid w:val="00420BA8"/>
    <w:rsid w:val="00421F4C"/>
    <w:rsid w:val="00423341"/>
    <w:rsid w:val="00424593"/>
    <w:rsid w:val="00424B56"/>
    <w:rsid w:val="00426467"/>
    <w:rsid w:val="004264EA"/>
    <w:rsid w:val="00430C3C"/>
    <w:rsid w:val="004310CE"/>
    <w:rsid w:val="00432F9F"/>
    <w:rsid w:val="00433E6F"/>
    <w:rsid w:val="00440E01"/>
    <w:rsid w:val="00440FE6"/>
    <w:rsid w:val="004449B5"/>
    <w:rsid w:val="004460AE"/>
    <w:rsid w:val="004466FD"/>
    <w:rsid w:val="00446A4D"/>
    <w:rsid w:val="00447E9A"/>
    <w:rsid w:val="00451B7E"/>
    <w:rsid w:val="00452D19"/>
    <w:rsid w:val="004537B3"/>
    <w:rsid w:val="00453BA5"/>
    <w:rsid w:val="00453C63"/>
    <w:rsid w:val="00453E12"/>
    <w:rsid w:val="00454C03"/>
    <w:rsid w:val="0045538D"/>
    <w:rsid w:val="00455411"/>
    <w:rsid w:val="00455902"/>
    <w:rsid w:val="00456278"/>
    <w:rsid w:val="00456769"/>
    <w:rsid w:val="00457305"/>
    <w:rsid w:val="00457422"/>
    <w:rsid w:val="004574E7"/>
    <w:rsid w:val="00460B00"/>
    <w:rsid w:val="00461278"/>
    <w:rsid w:val="0046130F"/>
    <w:rsid w:val="004627C1"/>
    <w:rsid w:val="00463068"/>
    <w:rsid w:val="00463B4A"/>
    <w:rsid w:val="00463DA7"/>
    <w:rsid w:val="00466E4A"/>
    <w:rsid w:val="0047128D"/>
    <w:rsid w:val="00472362"/>
    <w:rsid w:val="0047298A"/>
    <w:rsid w:val="0047361C"/>
    <w:rsid w:val="004743A9"/>
    <w:rsid w:val="004748E5"/>
    <w:rsid w:val="0047624D"/>
    <w:rsid w:val="0048018A"/>
    <w:rsid w:val="00480CFB"/>
    <w:rsid w:val="004810FE"/>
    <w:rsid w:val="0048196E"/>
    <w:rsid w:val="0048246F"/>
    <w:rsid w:val="004843B9"/>
    <w:rsid w:val="004848AA"/>
    <w:rsid w:val="00486029"/>
    <w:rsid w:val="004863CE"/>
    <w:rsid w:val="00486437"/>
    <w:rsid w:val="00486EF0"/>
    <w:rsid w:val="004874DE"/>
    <w:rsid w:val="00490217"/>
    <w:rsid w:val="00490BF5"/>
    <w:rsid w:val="00491F5A"/>
    <w:rsid w:val="004921F1"/>
    <w:rsid w:val="0049273B"/>
    <w:rsid w:val="0049332E"/>
    <w:rsid w:val="00495CB3"/>
    <w:rsid w:val="00497D1C"/>
    <w:rsid w:val="004A069B"/>
    <w:rsid w:val="004A16F0"/>
    <w:rsid w:val="004A328F"/>
    <w:rsid w:val="004A478D"/>
    <w:rsid w:val="004A47FD"/>
    <w:rsid w:val="004A511E"/>
    <w:rsid w:val="004A5260"/>
    <w:rsid w:val="004A5C40"/>
    <w:rsid w:val="004A5DED"/>
    <w:rsid w:val="004A626F"/>
    <w:rsid w:val="004A6A52"/>
    <w:rsid w:val="004A6D7D"/>
    <w:rsid w:val="004A6E1F"/>
    <w:rsid w:val="004B0396"/>
    <w:rsid w:val="004B0C70"/>
    <w:rsid w:val="004B0C92"/>
    <w:rsid w:val="004B380B"/>
    <w:rsid w:val="004B4107"/>
    <w:rsid w:val="004B444C"/>
    <w:rsid w:val="004B47CC"/>
    <w:rsid w:val="004B5F3E"/>
    <w:rsid w:val="004B6A76"/>
    <w:rsid w:val="004B72FC"/>
    <w:rsid w:val="004C1BAD"/>
    <w:rsid w:val="004C2F15"/>
    <w:rsid w:val="004C2FC4"/>
    <w:rsid w:val="004C3F08"/>
    <w:rsid w:val="004C6A56"/>
    <w:rsid w:val="004C7CE8"/>
    <w:rsid w:val="004D00FC"/>
    <w:rsid w:val="004D0E57"/>
    <w:rsid w:val="004D1A93"/>
    <w:rsid w:val="004D4840"/>
    <w:rsid w:val="004D5DE5"/>
    <w:rsid w:val="004D6943"/>
    <w:rsid w:val="004D6B39"/>
    <w:rsid w:val="004D6B68"/>
    <w:rsid w:val="004D7601"/>
    <w:rsid w:val="004D7AB9"/>
    <w:rsid w:val="004E0132"/>
    <w:rsid w:val="004E0657"/>
    <w:rsid w:val="004E20A9"/>
    <w:rsid w:val="004E2B2E"/>
    <w:rsid w:val="004E39A1"/>
    <w:rsid w:val="004E4280"/>
    <w:rsid w:val="004E4DA0"/>
    <w:rsid w:val="004E5BBD"/>
    <w:rsid w:val="004E6C3D"/>
    <w:rsid w:val="004E70A0"/>
    <w:rsid w:val="004E74B3"/>
    <w:rsid w:val="004F07D5"/>
    <w:rsid w:val="004F15F8"/>
    <w:rsid w:val="004F1A88"/>
    <w:rsid w:val="004F1F43"/>
    <w:rsid w:val="004F38BD"/>
    <w:rsid w:val="004F4572"/>
    <w:rsid w:val="004F5698"/>
    <w:rsid w:val="004F5A8F"/>
    <w:rsid w:val="004F6692"/>
    <w:rsid w:val="004F7CE7"/>
    <w:rsid w:val="005023B4"/>
    <w:rsid w:val="005029A5"/>
    <w:rsid w:val="00503153"/>
    <w:rsid w:val="00503781"/>
    <w:rsid w:val="0050391B"/>
    <w:rsid w:val="0050463C"/>
    <w:rsid w:val="005049AA"/>
    <w:rsid w:val="005057F3"/>
    <w:rsid w:val="00505884"/>
    <w:rsid w:val="0051193F"/>
    <w:rsid w:val="00511C3E"/>
    <w:rsid w:val="00512198"/>
    <w:rsid w:val="00512FC5"/>
    <w:rsid w:val="005132F1"/>
    <w:rsid w:val="00513E4D"/>
    <w:rsid w:val="005141D1"/>
    <w:rsid w:val="00515942"/>
    <w:rsid w:val="00516499"/>
    <w:rsid w:val="005167BE"/>
    <w:rsid w:val="00516D69"/>
    <w:rsid w:val="00516E56"/>
    <w:rsid w:val="00517ACB"/>
    <w:rsid w:val="0052090F"/>
    <w:rsid w:val="005223A2"/>
    <w:rsid w:val="00522F87"/>
    <w:rsid w:val="00523602"/>
    <w:rsid w:val="005249C3"/>
    <w:rsid w:val="005258D8"/>
    <w:rsid w:val="00526DFE"/>
    <w:rsid w:val="005302EB"/>
    <w:rsid w:val="005303B2"/>
    <w:rsid w:val="00531363"/>
    <w:rsid w:val="00531E25"/>
    <w:rsid w:val="005323AA"/>
    <w:rsid w:val="005326D3"/>
    <w:rsid w:val="00533473"/>
    <w:rsid w:val="005346AE"/>
    <w:rsid w:val="00534F7E"/>
    <w:rsid w:val="00535659"/>
    <w:rsid w:val="00535813"/>
    <w:rsid w:val="005360D9"/>
    <w:rsid w:val="005368CD"/>
    <w:rsid w:val="005373BE"/>
    <w:rsid w:val="00537A7F"/>
    <w:rsid w:val="00537D01"/>
    <w:rsid w:val="005403E2"/>
    <w:rsid w:val="00540562"/>
    <w:rsid w:val="00540AC9"/>
    <w:rsid w:val="00541CBE"/>
    <w:rsid w:val="005427A1"/>
    <w:rsid w:val="005429AE"/>
    <w:rsid w:val="005444A2"/>
    <w:rsid w:val="00544BAD"/>
    <w:rsid w:val="00545B82"/>
    <w:rsid w:val="00545BA4"/>
    <w:rsid w:val="00546194"/>
    <w:rsid w:val="00546FDA"/>
    <w:rsid w:val="0054702C"/>
    <w:rsid w:val="005474C8"/>
    <w:rsid w:val="0055091B"/>
    <w:rsid w:val="00550C6D"/>
    <w:rsid w:val="00550CB5"/>
    <w:rsid w:val="0055110D"/>
    <w:rsid w:val="00551440"/>
    <w:rsid w:val="005526F4"/>
    <w:rsid w:val="005527DD"/>
    <w:rsid w:val="00552EDB"/>
    <w:rsid w:val="005537DE"/>
    <w:rsid w:val="00553DA9"/>
    <w:rsid w:val="0055782F"/>
    <w:rsid w:val="00560717"/>
    <w:rsid w:val="005607FD"/>
    <w:rsid w:val="0056096D"/>
    <w:rsid w:val="00560BA6"/>
    <w:rsid w:val="005628F2"/>
    <w:rsid w:val="00562B3B"/>
    <w:rsid w:val="005632FD"/>
    <w:rsid w:val="00563C79"/>
    <w:rsid w:val="00565B29"/>
    <w:rsid w:val="00565B61"/>
    <w:rsid w:val="00566043"/>
    <w:rsid w:val="005665A9"/>
    <w:rsid w:val="0056661A"/>
    <w:rsid w:val="0056790A"/>
    <w:rsid w:val="00574209"/>
    <w:rsid w:val="00576E46"/>
    <w:rsid w:val="00581906"/>
    <w:rsid w:val="00583C0C"/>
    <w:rsid w:val="00585300"/>
    <w:rsid w:val="00585374"/>
    <w:rsid w:val="00585A80"/>
    <w:rsid w:val="00586DAC"/>
    <w:rsid w:val="00587214"/>
    <w:rsid w:val="00590070"/>
    <w:rsid w:val="00590359"/>
    <w:rsid w:val="005912C7"/>
    <w:rsid w:val="00591AB7"/>
    <w:rsid w:val="005925B2"/>
    <w:rsid w:val="00592650"/>
    <w:rsid w:val="00592C03"/>
    <w:rsid w:val="00593B89"/>
    <w:rsid w:val="005946F4"/>
    <w:rsid w:val="005946F6"/>
    <w:rsid w:val="00595711"/>
    <w:rsid w:val="00596CEF"/>
    <w:rsid w:val="00596E7D"/>
    <w:rsid w:val="00597B67"/>
    <w:rsid w:val="00597FC1"/>
    <w:rsid w:val="005A1E41"/>
    <w:rsid w:val="005A2526"/>
    <w:rsid w:val="005A4909"/>
    <w:rsid w:val="005A4CCB"/>
    <w:rsid w:val="005A5AA5"/>
    <w:rsid w:val="005A5CD9"/>
    <w:rsid w:val="005B0516"/>
    <w:rsid w:val="005B1A29"/>
    <w:rsid w:val="005B28EF"/>
    <w:rsid w:val="005B3073"/>
    <w:rsid w:val="005B4A30"/>
    <w:rsid w:val="005B4D3A"/>
    <w:rsid w:val="005B524B"/>
    <w:rsid w:val="005B5406"/>
    <w:rsid w:val="005B6113"/>
    <w:rsid w:val="005B62D0"/>
    <w:rsid w:val="005B640B"/>
    <w:rsid w:val="005B667D"/>
    <w:rsid w:val="005B6CEE"/>
    <w:rsid w:val="005B7A2E"/>
    <w:rsid w:val="005C0095"/>
    <w:rsid w:val="005C00A4"/>
    <w:rsid w:val="005C1430"/>
    <w:rsid w:val="005C1F2C"/>
    <w:rsid w:val="005C1FA8"/>
    <w:rsid w:val="005C2238"/>
    <w:rsid w:val="005C22EF"/>
    <w:rsid w:val="005C2E5E"/>
    <w:rsid w:val="005C4777"/>
    <w:rsid w:val="005C5158"/>
    <w:rsid w:val="005C5CBA"/>
    <w:rsid w:val="005C65E8"/>
    <w:rsid w:val="005C6F17"/>
    <w:rsid w:val="005D05D8"/>
    <w:rsid w:val="005D0959"/>
    <w:rsid w:val="005D0F33"/>
    <w:rsid w:val="005D1383"/>
    <w:rsid w:val="005D2E31"/>
    <w:rsid w:val="005D5FE9"/>
    <w:rsid w:val="005D639B"/>
    <w:rsid w:val="005E0D31"/>
    <w:rsid w:val="005E17B9"/>
    <w:rsid w:val="005E1B1E"/>
    <w:rsid w:val="005E2122"/>
    <w:rsid w:val="005E2F05"/>
    <w:rsid w:val="005E339D"/>
    <w:rsid w:val="005E3E84"/>
    <w:rsid w:val="005E6817"/>
    <w:rsid w:val="005E7E25"/>
    <w:rsid w:val="005F068C"/>
    <w:rsid w:val="005F14C3"/>
    <w:rsid w:val="005F1597"/>
    <w:rsid w:val="005F15B6"/>
    <w:rsid w:val="005F16BA"/>
    <w:rsid w:val="005F214E"/>
    <w:rsid w:val="005F2A83"/>
    <w:rsid w:val="005F2D38"/>
    <w:rsid w:val="005F35CE"/>
    <w:rsid w:val="005F44D4"/>
    <w:rsid w:val="005F497F"/>
    <w:rsid w:val="005F5442"/>
    <w:rsid w:val="005F668A"/>
    <w:rsid w:val="005F71A3"/>
    <w:rsid w:val="00600955"/>
    <w:rsid w:val="00600EA4"/>
    <w:rsid w:val="0060175B"/>
    <w:rsid w:val="0060431C"/>
    <w:rsid w:val="0060525B"/>
    <w:rsid w:val="00605984"/>
    <w:rsid w:val="0061130B"/>
    <w:rsid w:val="006116FA"/>
    <w:rsid w:val="0061171E"/>
    <w:rsid w:val="0061286D"/>
    <w:rsid w:val="00613ABD"/>
    <w:rsid w:val="006152B2"/>
    <w:rsid w:val="00620CF7"/>
    <w:rsid w:val="00620F39"/>
    <w:rsid w:val="00620F54"/>
    <w:rsid w:val="00621698"/>
    <w:rsid w:val="006224E4"/>
    <w:rsid w:val="00623C92"/>
    <w:rsid w:val="00624BD7"/>
    <w:rsid w:val="00624F13"/>
    <w:rsid w:val="00625F55"/>
    <w:rsid w:val="006268B4"/>
    <w:rsid w:val="00627367"/>
    <w:rsid w:val="00631A4D"/>
    <w:rsid w:val="00631A8C"/>
    <w:rsid w:val="00631FD9"/>
    <w:rsid w:val="006321A6"/>
    <w:rsid w:val="00632305"/>
    <w:rsid w:val="0063579C"/>
    <w:rsid w:val="00635948"/>
    <w:rsid w:val="006363D4"/>
    <w:rsid w:val="00637352"/>
    <w:rsid w:val="006377EA"/>
    <w:rsid w:val="00637A57"/>
    <w:rsid w:val="00637B97"/>
    <w:rsid w:val="00640708"/>
    <w:rsid w:val="0064107E"/>
    <w:rsid w:val="00642566"/>
    <w:rsid w:val="0064299B"/>
    <w:rsid w:val="00642FBB"/>
    <w:rsid w:val="00644262"/>
    <w:rsid w:val="00647630"/>
    <w:rsid w:val="006479E9"/>
    <w:rsid w:val="00647CF1"/>
    <w:rsid w:val="006508F3"/>
    <w:rsid w:val="006509ED"/>
    <w:rsid w:val="00650BDA"/>
    <w:rsid w:val="00651177"/>
    <w:rsid w:val="006513FD"/>
    <w:rsid w:val="006519C0"/>
    <w:rsid w:val="00653104"/>
    <w:rsid w:val="00653255"/>
    <w:rsid w:val="0065330A"/>
    <w:rsid w:val="0065333D"/>
    <w:rsid w:val="00653C00"/>
    <w:rsid w:val="00656C8A"/>
    <w:rsid w:val="00657D76"/>
    <w:rsid w:val="00657E13"/>
    <w:rsid w:val="00657E14"/>
    <w:rsid w:val="0066350E"/>
    <w:rsid w:val="0066395E"/>
    <w:rsid w:val="0066498F"/>
    <w:rsid w:val="00664B7A"/>
    <w:rsid w:val="00665C7A"/>
    <w:rsid w:val="00666110"/>
    <w:rsid w:val="00666C58"/>
    <w:rsid w:val="0066791B"/>
    <w:rsid w:val="00672E80"/>
    <w:rsid w:val="00673348"/>
    <w:rsid w:val="006734B3"/>
    <w:rsid w:val="00673B53"/>
    <w:rsid w:val="0067448C"/>
    <w:rsid w:val="006744BF"/>
    <w:rsid w:val="00674D9F"/>
    <w:rsid w:val="0067547D"/>
    <w:rsid w:val="00676289"/>
    <w:rsid w:val="00677D71"/>
    <w:rsid w:val="0068054D"/>
    <w:rsid w:val="00680E00"/>
    <w:rsid w:val="006814C6"/>
    <w:rsid w:val="00682503"/>
    <w:rsid w:val="0068311F"/>
    <w:rsid w:val="0068497C"/>
    <w:rsid w:val="00684A55"/>
    <w:rsid w:val="00684DB6"/>
    <w:rsid w:val="00686E98"/>
    <w:rsid w:val="00687970"/>
    <w:rsid w:val="00687B43"/>
    <w:rsid w:val="00687C77"/>
    <w:rsid w:val="006910BD"/>
    <w:rsid w:val="00691CB5"/>
    <w:rsid w:val="00692446"/>
    <w:rsid w:val="00692CA2"/>
    <w:rsid w:val="00695206"/>
    <w:rsid w:val="00695BCE"/>
    <w:rsid w:val="0069625A"/>
    <w:rsid w:val="00697D7E"/>
    <w:rsid w:val="006A10F6"/>
    <w:rsid w:val="006A1B91"/>
    <w:rsid w:val="006A30BF"/>
    <w:rsid w:val="006A3D2A"/>
    <w:rsid w:val="006A4910"/>
    <w:rsid w:val="006A7526"/>
    <w:rsid w:val="006A75FF"/>
    <w:rsid w:val="006B0ECD"/>
    <w:rsid w:val="006B1101"/>
    <w:rsid w:val="006B2753"/>
    <w:rsid w:val="006B2B03"/>
    <w:rsid w:val="006B360C"/>
    <w:rsid w:val="006B36D6"/>
    <w:rsid w:val="006B4339"/>
    <w:rsid w:val="006B4340"/>
    <w:rsid w:val="006B78CA"/>
    <w:rsid w:val="006B7D71"/>
    <w:rsid w:val="006C0B82"/>
    <w:rsid w:val="006C1845"/>
    <w:rsid w:val="006C2A56"/>
    <w:rsid w:val="006C42DC"/>
    <w:rsid w:val="006C4B1B"/>
    <w:rsid w:val="006C67D8"/>
    <w:rsid w:val="006D0B75"/>
    <w:rsid w:val="006D1C9A"/>
    <w:rsid w:val="006D325A"/>
    <w:rsid w:val="006D45E9"/>
    <w:rsid w:val="006D4E07"/>
    <w:rsid w:val="006D656A"/>
    <w:rsid w:val="006D69B6"/>
    <w:rsid w:val="006D6ED6"/>
    <w:rsid w:val="006D6F17"/>
    <w:rsid w:val="006D7196"/>
    <w:rsid w:val="006E0264"/>
    <w:rsid w:val="006E03D2"/>
    <w:rsid w:val="006E0DCA"/>
    <w:rsid w:val="006E20B0"/>
    <w:rsid w:val="006E2E4E"/>
    <w:rsid w:val="006E3485"/>
    <w:rsid w:val="006E3A5A"/>
    <w:rsid w:val="006E3C1F"/>
    <w:rsid w:val="006E3DE5"/>
    <w:rsid w:val="006E3F89"/>
    <w:rsid w:val="006E7D0D"/>
    <w:rsid w:val="006E7D5B"/>
    <w:rsid w:val="006F0604"/>
    <w:rsid w:val="006F16B3"/>
    <w:rsid w:val="006F21BF"/>
    <w:rsid w:val="006F3263"/>
    <w:rsid w:val="006F4D5F"/>
    <w:rsid w:val="006F4FE3"/>
    <w:rsid w:val="006F5F8D"/>
    <w:rsid w:val="006F6005"/>
    <w:rsid w:val="006F6913"/>
    <w:rsid w:val="0070041A"/>
    <w:rsid w:val="007005BE"/>
    <w:rsid w:val="00701807"/>
    <w:rsid w:val="00701C06"/>
    <w:rsid w:val="00701F6B"/>
    <w:rsid w:val="007057B5"/>
    <w:rsid w:val="00710F96"/>
    <w:rsid w:val="007110E8"/>
    <w:rsid w:val="007118C1"/>
    <w:rsid w:val="0071207E"/>
    <w:rsid w:val="00712C4D"/>
    <w:rsid w:val="0071322E"/>
    <w:rsid w:val="00713B5C"/>
    <w:rsid w:val="00713FCE"/>
    <w:rsid w:val="0071416B"/>
    <w:rsid w:val="007152A9"/>
    <w:rsid w:val="00715A53"/>
    <w:rsid w:val="007162FC"/>
    <w:rsid w:val="00716C9A"/>
    <w:rsid w:val="00716F63"/>
    <w:rsid w:val="00722135"/>
    <w:rsid w:val="0072340A"/>
    <w:rsid w:val="0072356D"/>
    <w:rsid w:val="00723FD5"/>
    <w:rsid w:val="00724656"/>
    <w:rsid w:val="00727A08"/>
    <w:rsid w:val="00727ED4"/>
    <w:rsid w:val="00730160"/>
    <w:rsid w:val="007302D5"/>
    <w:rsid w:val="00730483"/>
    <w:rsid w:val="007307A1"/>
    <w:rsid w:val="00730E50"/>
    <w:rsid w:val="0073120B"/>
    <w:rsid w:val="007312B1"/>
    <w:rsid w:val="00731AAC"/>
    <w:rsid w:val="007323F3"/>
    <w:rsid w:val="00732697"/>
    <w:rsid w:val="007331A0"/>
    <w:rsid w:val="00733819"/>
    <w:rsid w:val="007345CF"/>
    <w:rsid w:val="0073470F"/>
    <w:rsid w:val="007348AC"/>
    <w:rsid w:val="00740369"/>
    <w:rsid w:val="0074137B"/>
    <w:rsid w:val="00741800"/>
    <w:rsid w:val="007432F5"/>
    <w:rsid w:val="007447A6"/>
    <w:rsid w:val="0074524C"/>
    <w:rsid w:val="00745B02"/>
    <w:rsid w:val="00746F8D"/>
    <w:rsid w:val="00750939"/>
    <w:rsid w:val="00751438"/>
    <w:rsid w:val="00752CA3"/>
    <w:rsid w:val="00752D6F"/>
    <w:rsid w:val="00752EC7"/>
    <w:rsid w:val="00753B47"/>
    <w:rsid w:val="007549A7"/>
    <w:rsid w:val="0075504F"/>
    <w:rsid w:val="00756E8E"/>
    <w:rsid w:val="00757254"/>
    <w:rsid w:val="0075739E"/>
    <w:rsid w:val="00760711"/>
    <w:rsid w:val="007610F1"/>
    <w:rsid w:val="007612E6"/>
    <w:rsid w:val="00761E95"/>
    <w:rsid w:val="0076262F"/>
    <w:rsid w:val="00762AFC"/>
    <w:rsid w:val="007635BC"/>
    <w:rsid w:val="00763A5C"/>
    <w:rsid w:val="0077064A"/>
    <w:rsid w:val="00770897"/>
    <w:rsid w:val="007715AB"/>
    <w:rsid w:val="007720CC"/>
    <w:rsid w:val="007733FC"/>
    <w:rsid w:val="00781632"/>
    <w:rsid w:val="0078226D"/>
    <w:rsid w:val="00782C46"/>
    <w:rsid w:val="00783370"/>
    <w:rsid w:val="007850BB"/>
    <w:rsid w:val="00785CBB"/>
    <w:rsid w:val="00785CE1"/>
    <w:rsid w:val="00786A02"/>
    <w:rsid w:val="007870C0"/>
    <w:rsid w:val="00790AB1"/>
    <w:rsid w:val="007912CF"/>
    <w:rsid w:val="00792317"/>
    <w:rsid w:val="0079243C"/>
    <w:rsid w:val="00792DBB"/>
    <w:rsid w:val="00794026"/>
    <w:rsid w:val="00795220"/>
    <w:rsid w:val="007956D0"/>
    <w:rsid w:val="00795B09"/>
    <w:rsid w:val="00795EC8"/>
    <w:rsid w:val="00795F4B"/>
    <w:rsid w:val="007A01AB"/>
    <w:rsid w:val="007A0FDF"/>
    <w:rsid w:val="007A125E"/>
    <w:rsid w:val="007A1401"/>
    <w:rsid w:val="007A1DD7"/>
    <w:rsid w:val="007A2413"/>
    <w:rsid w:val="007A32DD"/>
    <w:rsid w:val="007A34FB"/>
    <w:rsid w:val="007A37DA"/>
    <w:rsid w:val="007A4225"/>
    <w:rsid w:val="007A4449"/>
    <w:rsid w:val="007A453D"/>
    <w:rsid w:val="007A476F"/>
    <w:rsid w:val="007B0219"/>
    <w:rsid w:val="007B0882"/>
    <w:rsid w:val="007B1F78"/>
    <w:rsid w:val="007B418C"/>
    <w:rsid w:val="007B44A8"/>
    <w:rsid w:val="007B4C41"/>
    <w:rsid w:val="007B5BAE"/>
    <w:rsid w:val="007B5CC6"/>
    <w:rsid w:val="007B67B0"/>
    <w:rsid w:val="007B709C"/>
    <w:rsid w:val="007B73EA"/>
    <w:rsid w:val="007B7C54"/>
    <w:rsid w:val="007B7E57"/>
    <w:rsid w:val="007C104D"/>
    <w:rsid w:val="007C194D"/>
    <w:rsid w:val="007C2D58"/>
    <w:rsid w:val="007C3147"/>
    <w:rsid w:val="007C3189"/>
    <w:rsid w:val="007C3368"/>
    <w:rsid w:val="007C3C1B"/>
    <w:rsid w:val="007C50B9"/>
    <w:rsid w:val="007C51DB"/>
    <w:rsid w:val="007C5A77"/>
    <w:rsid w:val="007C6B65"/>
    <w:rsid w:val="007D1F22"/>
    <w:rsid w:val="007D2374"/>
    <w:rsid w:val="007D2B7F"/>
    <w:rsid w:val="007D3287"/>
    <w:rsid w:val="007D418D"/>
    <w:rsid w:val="007D43E9"/>
    <w:rsid w:val="007D4403"/>
    <w:rsid w:val="007D4701"/>
    <w:rsid w:val="007D4F17"/>
    <w:rsid w:val="007D4F73"/>
    <w:rsid w:val="007D5AC4"/>
    <w:rsid w:val="007D6363"/>
    <w:rsid w:val="007D737C"/>
    <w:rsid w:val="007E0504"/>
    <w:rsid w:val="007E0736"/>
    <w:rsid w:val="007E1255"/>
    <w:rsid w:val="007E1C86"/>
    <w:rsid w:val="007E2CC5"/>
    <w:rsid w:val="007E490D"/>
    <w:rsid w:val="007E4C9A"/>
    <w:rsid w:val="007E6C3E"/>
    <w:rsid w:val="007E72FF"/>
    <w:rsid w:val="007F01D9"/>
    <w:rsid w:val="007F2124"/>
    <w:rsid w:val="007F2FDA"/>
    <w:rsid w:val="007F5660"/>
    <w:rsid w:val="007F5FA7"/>
    <w:rsid w:val="007F6CC2"/>
    <w:rsid w:val="008013E7"/>
    <w:rsid w:val="00807612"/>
    <w:rsid w:val="00811804"/>
    <w:rsid w:val="00811EC5"/>
    <w:rsid w:val="008126B8"/>
    <w:rsid w:val="008130BD"/>
    <w:rsid w:val="00813B7F"/>
    <w:rsid w:val="00813E88"/>
    <w:rsid w:val="008149F5"/>
    <w:rsid w:val="00815A23"/>
    <w:rsid w:val="00816687"/>
    <w:rsid w:val="00816AB3"/>
    <w:rsid w:val="00821009"/>
    <w:rsid w:val="00822531"/>
    <w:rsid w:val="00822E9A"/>
    <w:rsid w:val="008233DB"/>
    <w:rsid w:val="00824156"/>
    <w:rsid w:val="00824A29"/>
    <w:rsid w:val="00826063"/>
    <w:rsid w:val="008300F4"/>
    <w:rsid w:val="008307C7"/>
    <w:rsid w:val="008309A6"/>
    <w:rsid w:val="00834F3C"/>
    <w:rsid w:val="00835111"/>
    <w:rsid w:val="008358EC"/>
    <w:rsid w:val="008377CB"/>
    <w:rsid w:val="008408C6"/>
    <w:rsid w:val="00840F8A"/>
    <w:rsid w:val="00841BB0"/>
    <w:rsid w:val="00841D44"/>
    <w:rsid w:val="00842B3B"/>
    <w:rsid w:val="008431BA"/>
    <w:rsid w:val="0084353A"/>
    <w:rsid w:val="008437DA"/>
    <w:rsid w:val="00844E69"/>
    <w:rsid w:val="00846433"/>
    <w:rsid w:val="0084675B"/>
    <w:rsid w:val="00850E41"/>
    <w:rsid w:val="008512DC"/>
    <w:rsid w:val="00851818"/>
    <w:rsid w:val="00852410"/>
    <w:rsid w:val="008543F9"/>
    <w:rsid w:val="00856283"/>
    <w:rsid w:val="00857256"/>
    <w:rsid w:val="008574BD"/>
    <w:rsid w:val="00860A5E"/>
    <w:rsid w:val="00860C41"/>
    <w:rsid w:val="008636B0"/>
    <w:rsid w:val="008637B0"/>
    <w:rsid w:val="00863C99"/>
    <w:rsid w:val="00864364"/>
    <w:rsid w:val="0086672D"/>
    <w:rsid w:val="00866CD9"/>
    <w:rsid w:val="0086770C"/>
    <w:rsid w:val="0087001B"/>
    <w:rsid w:val="008707C6"/>
    <w:rsid w:val="00870894"/>
    <w:rsid w:val="008719DE"/>
    <w:rsid w:val="008733C5"/>
    <w:rsid w:val="00875165"/>
    <w:rsid w:val="008763D0"/>
    <w:rsid w:val="0087720A"/>
    <w:rsid w:val="00877252"/>
    <w:rsid w:val="0087737A"/>
    <w:rsid w:val="0088021B"/>
    <w:rsid w:val="008816A6"/>
    <w:rsid w:val="008819E4"/>
    <w:rsid w:val="00882529"/>
    <w:rsid w:val="00882EAD"/>
    <w:rsid w:val="00883290"/>
    <w:rsid w:val="00883F9C"/>
    <w:rsid w:val="00885B94"/>
    <w:rsid w:val="00885DEB"/>
    <w:rsid w:val="008862E0"/>
    <w:rsid w:val="0088659B"/>
    <w:rsid w:val="00890E5F"/>
    <w:rsid w:val="00891D8B"/>
    <w:rsid w:val="00891EE2"/>
    <w:rsid w:val="00891FFE"/>
    <w:rsid w:val="00892677"/>
    <w:rsid w:val="00892E36"/>
    <w:rsid w:val="008941AE"/>
    <w:rsid w:val="00894423"/>
    <w:rsid w:val="0089727A"/>
    <w:rsid w:val="00897773"/>
    <w:rsid w:val="00897F44"/>
    <w:rsid w:val="008A018F"/>
    <w:rsid w:val="008A1C76"/>
    <w:rsid w:val="008A3F06"/>
    <w:rsid w:val="008A4B13"/>
    <w:rsid w:val="008A69E0"/>
    <w:rsid w:val="008B0501"/>
    <w:rsid w:val="008B10F2"/>
    <w:rsid w:val="008B17A9"/>
    <w:rsid w:val="008B1EB9"/>
    <w:rsid w:val="008B2DE8"/>
    <w:rsid w:val="008B32F5"/>
    <w:rsid w:val="008B3709"/>
    <w:rsid w:val="008B4E54"/>
    <w:rsid w:val="008B5F1F"/>
    <w:rsid w:val="008B6CB9"/>
    <w:rsid w:val="008C079F"/>
    <w:rsid w:val="008C1378"/>
    <w:rsid w:val="008C1A0E"/>
    <w:rsid w:val="008C242C"/>
    <w:rsid w:val="008C293C"/>
    <w:rsid w:val="008C3D7E"/>
    <w:rsid w:val="008C4FEF"/>
    <w:rsid w:val="008C70DB"/>
    <w:rsid w:val="008D0E81"/>
    <w:rsid w:val="008D1834"/>
    <w:rsid w:val="008D25C7"/>
    <w:rsid w:val="008D27A2"/>
    <w:rsid w:val="008D2A32"/>
    <w:rsid w:val="008D552C"/>
    <w:rsid w:val="008D651E"/>
    <w:rsid w:val="008D66CC"/>
    <w:rsid w:val="008E2138"/>
    <w:rsid w:val="008E314D"/>
    <w:rsid w:val="008E3534"/>
    <w:rsid w:val="008E4733"/>
    <w:rsid w:val="008E4AF2"/>
    <w:rsid w:val="008E4B21"/>
    <w:rsid w:val="008E4FB4"/>
    <w:rsid w:val="008E7B8D"/>
    <w:rsid w:val="008F1DD2"/>
    <w:rsid w:val="008F26E1"/>
    <w:rsid w:val="008F306C"/>
    <w:rsid w:val="008F39D3"/>
    <w:rsid w:val="008F3B03"/>
    <w:rsid w:val="008F3BA4"/>
    <w:rsid w:val="008F4F67"/>
    <w:rsid w:val="008F5626"/>
    <w:rsid w:val="008F6206"/>
    <w:rsid w:val="008F658C"/>
    <w:rsid w:val="008F74F0"/>
    <w:rsid w:val="00900032"/>
    <w:rsid w:val="00900817"/>
    <w:rsid w:val="009010F9"/>
    <w:rsid w:val="009016B4"/>
    <w:rsid w:val="00903398"/>
    <w:rsid w:val="00903E0A"/>
    <w:rsid w:val="00905B06"/>
    <w:rsid w:val="00906813"/>
    <w:rsid w:val="00906CA2"/>
    <w:rsid w:val="00907360"/>
    <w:rsid w:val="00907DA7"/>
    <w:rsid w:val="00911FE2"/>
    <w:rsid w:val="009125F8"/>
    <w:rsid w:val="009166B2"/>
    <w:rsid w:val="00920CA5"/>
    <w:rsid w:val="00920F81"/>
    <w:rsid w:val="00921C41"/>
    <w:rsid w:val="00923695"/>
    <w:rsid w:val="00924685"/>
    <w:rsid w:val="00924D72"/>
    <w:rsid w:val="009250E5"/>
    <w:rsid w:val="009256F4"/>
    <w:rsid w:val="00925BC8"/>
    <w:rsid w:val="009268E9"/>
    <w:rsid w:val="00926E5E"/>
    <w:rsid w:val="00927CE8"/>
    <w:rsid w:val="0093054E"/>
    <w:rsid w:val="00931B56"/>
    <w:rsid w:val="0093475E"/>
    <w:rsid w:val="009356B8"/>
    <w:rsid w:val="00937944"/>
    <w:rsid w:val="009402DD"/>
    <w:rsid w:val="0094384B"/>
    <w:rsid w:val="009439ED"/>
    <w:rsid w:val="00944D76"/>
    <w:rsid w:val="00945506"/>
    <w:rsid w:val="00945A69"/>
    <w:rsid w:val="009504D7"/>
    <w:rsid w:val="00952A3B"/>
    <w:rsid w:val="00952DDE"/>
    <w:rsid w:val="00952EAF"/>
    <w:rsid w:val="00954893"/>
    <w:rsid w:val="009563BB"/>
    <w:rsid w:val="00957329"/>
    <w:rsid w:val="00960C3A"/>
    <w:rsid w:val="00961A61"/>
    <w:rsid w:val="00962569"/>
    <w:rsid w:val="00965EAE"/>
    <w:rsid w:val="00965EC1"/>
    <w:rsid w:val="00967A08"/>
    <w:rsid w:val="00967B7A"/>
    <w:rsid w:val="009703D8"/>
    <w:rsid w:val="00970BCE"/>
    <w:rsid w:val="00971CE1"/>
    <w:rsid w:val="009727BF"/>
    <w:rsid w:val="0097286A"/>
    <w:rsid w:val="009736F9"/>
    <w:rsid w:val="00973EE0"/>
    <w:rsid w:val="00975EF2"/>
    <w:rsid w:val="009760E8"/>
    <w:rsid w:val="00976F52"/>
    <w:rsid w:val="009777D3"/>
    <w:rsid w:val="00982E58"/>
    <w:rsid w:val="0098313C"/>
    <w:rsid w:val="0098430A"/>
    <w:rsid w:val="0098593D"/>
    <w:rsid w:val="00985F12"/>
    <w:rsid w:val="009865F6"/>
    <w:rsid w:val="00986879"/>
    <w:rsid w:val="009872D4"/>
    <w:rsid w:val="00987730"/>
    <w:rsid w:val="0099067D"/>
    <w:rsid w:val="00990CA8"/>
    <w:rsid w:val="00991685"/>
    <w:rsid w:val="0099219E"/>
    <w:rsid w:val="00992719"/>
    <w:rsid w:val="009947EB"/>
    <w:rsid w:val="00995899"/>
    <w:rsid w:val="00995C2E"/>
    <w:rsid w:val="00996113"/>
    <w:rsid w:val="00997208"/>
    <w:rsid w:val="0099727D"/>
    <w:rsid w:val="00997637"/>
    <w:rsid w:val="009976C7"/>
    <w:rsid w:val="009979E8"/>
    <w:rsid w:val="009A21C9"/>
    <w:rsid w:val="009A2EFF"/>
    <w:rsid w:val="009A2F00"/>
    <w:rsid w:val="009A2F95"/>
    <w:rsid w:val="009A3430"/>
    <w:rsid w:val="009A3C4E"/>
    <w:rsid w:val="009A41CE"/>
    <w:rsid w:val="009A56BF"/>
    <w:rsid w:val="009A5772"/>
    <w:rsid w:val="009A6D43"/>
    <w:rsid w:val="009B060F"/>
    <w:rsid w:val="009B11B9"/>
    <w:rsid w:val="009B413B"/>
    <w:rsid w:val="009B54F2"/>
    <w:rsid w:val="009B5B6D"/>
    <w:rsid w:val="009C012E"/>
    <w:rsid w:val="009C0718"/>
    <w:rsid w:val="009C0AFE"/>
    <w:rsid w:val="009C25A6"/>
    <w:rsid w:val="009C25E4"/>
    <w:rsid w:val="009C2BE3"/>
    <w:rsid w:val="009C2C25"/>
    <w:rsid w:val="009C2EE0"/>
    <w:rsid w:val="009C3BD9"/>
    <w:rsid w:val="009C3FD2"/>
    <w:rsid w:val="009C59E3"/>
    <w:rsid w:val="009C5E8E"/>
    <w:rsid w:val="009C661F"/>
    <w:rsid w:val="009C6623"/>
    <w:rsid w:val="009D0C27"/>
    <w:rsid w:val="009D0F56"/>
    <w:rsid w:val="009D2BDC"/>
    <w:rsid w:val="009D372F"/>
    <w:rsid w:val="009D47BD"/>
    <w:rsid w:val="009D5B32"/>
    <w:rsid w:val="009D67A9"/>
    <w:rsid w:val="009D6DF7"/>
    <w:rsid w:val="009D6FAB"/>
    <w:rsid w:val="009D7D7A"/>
    <w:rsid w:val="009E0928"/>
    <w:rsid w:val="009E31B0"/>
    <w:rsid w:val="009E3F08"/>
    <w:rsid w:val="009E3F24"/>
    <w:rsid w:val="009E444D"/>
    <w:rsid w:val="009E4670"/>
    <w:rsid w:val="009E4F69"/>
    <w:rsid w:val="009E59AE"/>
    <w:rsid w:val="009E6E85"/>
    <w:rsid w:val="009F51FA"/>
    <w:rsid w:val="009F539B"/>
    <w:rsid w:val="009F5556"/>
    <w:rsid w:val="009F5DFB"/>
    <w:rsid w:val="009F6A4E"/>
    <w:rsid w:val="009F6B28"/>
    <w:rsid w:val="009F7E92"/>
    <w:rsid w:val="00A0031B"/>
    <w:rsid w:val="00A0033A"/>
    <w:rsid w:val="00A04019"/>
    <w:rsid w:val="00A05900"/>
    <w:rsid w:val="00A05E47"/>
    <w:rsid w:val="00A10540"/>
    <w:rsid w:val="00A1094F"/>
    <w:rsid w:val="00A10F19"/>
    <w:rsid w:val="00A113CD"/>
    <w:rsid w:val="00A12A30"/>
    <w:rsid w:val="00A14911"/>
    <w:rsid w:val="00A2083A"/>
    <w:rsid w:val="00A20A8D"/>
    <w:rsid w:val="00A22625"/>
    <w:rsid w:val="00A2277B"/>
    <w:rsid w:val="00A22A91"/>
    <w:rsid w:val="00A23937"/>
    <w:rsid w:val="00A24830"/>
    <w:rsid w:val="00A25266"/>
    <w:rsid w:val="00A25490"/>
    <w:rsid w:val="00A258D7"/>
    <w:rsid w:val="00A259B7"/>
    <w:rsid w:val="00A3245A"/>
    <w:rsid w:val="00A32704"/>
    <w:rsid w:val="00A33FFA"/>
    <w:rsid w:val="00A34E9F"/>
    <w:rsid w:val="00A35BC2"/>
    <w:rsid w:val="00A36C2F"/>
    <w:rsid w:val="00A3717C"/>
    <w:rsid w:val="00A42078"/>
    <w:rsid w:val="00A4208E"/>
    <w:rsid w:val="00A42387"/>
    <w:rsid w:val="00A43BB5"/>
    <w:rsid w:val="00A4423E"/>
    <w:rsid w:val="00A45549"/>
    <w:rsid w:val="00A45D07"/>
    <w:rsid w:val="00A46304"/>
    <w:rsid w:val="00A466E5"/>
    <w:rsid w:val="00A479A9"/>
    <w:rsid w:val="00A47B84"/>
    <w:rsid w:val="00A508EF"/>
    <w:rsid w:val="00A51871"/>
    <w:rsid w:val="00A576AD"/>
    <w:rsid w:val="00A57BF7"/>
    <w:rsid w:val="00A57EB5"/>
    <w:rsid w:val="00A60591"/>
    <w:rsid w:val="00A60D66"/>
    <w:rsid w:val="00A60E88"/>
    <w:rsid w:val="00A610F1"/>
    <w:rsid w:val="00A620F1"/>
    <w:rsid w:val="00A63286"/>
    <w:rsid w:val="00A66133"/>
    <w:rsid w:val="00A71CAC"/>
    <w:rsid w:val="00A727CB"/>
    <w:rsid w:val="00A73A0E"/>
    <w:rsid w:val="00A74BF0"/>
    <w:rsid w:val="00A75246"/>
    <w:rsid w:val="00A7694C"/>
    <w:rsid w:val="00A76D4E"/>
    <w:rsid w:val="00A7702A"/>
    <w:rsid w:val="00A77665"/>
    <w:rsid w:val="00A80EA3"/>
    <w:rsid w:val="00A8101A"/>
    <w:rsid w:val="00A82151"/>
    <w:rsid w:val="00A84E9F"/>
    <w:rsid w:val="00A85117"/>
    <w:rsid w:val="00A85BC7"/>
    <w:rsid w:val="00A8632F"/>
    <w:rsid w:val="00A864C7"/>
    <w:rsid w:val="00A864D6"/>
    <w:rsid w:val="00A86E3B"/>
    <w:rsid w:val="00A874D4"/>
    <w:rsid w:val="00A87597"/>
    <w:rsid w:val="00A90789"/>
    <w:rsid w:val="00A92421"/>
    <w:rsid w:val="00A94ABD"/>
    <w:rsid w:val="00A94F63"/>
    <w:rsid w:val="00A95050"/>
    <w:rsid w:val="00A9534D"/>
    <w:rsid w:val="00A961E2"/>
    <w:rsid w:val="00A96FCA"/>
    <w:rsid w:val="00A97AA4"/>
    <w:rsid w:val="00AA2114"/>
    <w:rsid w:val="00AA6996"/>
    <w:rsid w:val="00AA7139"/>
    <w:rsid w:val="00AB099F"/>
    <w:rsid w:val="00AB18E6"/>
    <w:rsid w:val="00AB22B3"/>
    <w:rsid w:val="00AB4616"/>
    <w:rsid w:val="00AB487E"/>
    <w:rsid w:val="00AB4E16"/>
    <w:rsid w:val="00AB5EEA"/>
    <w:rsid w:val="00AB65D7"/>
    <w:rsid w:val="00AB6B04"/>
    <w:rsid w:val="00AB7E80"/>
    <w:rsid w:val="00AC5306"/>
    <w:rsid w:val="00AC5A18"/>
    <w:rsid w:val="00AC5D98"/>
    <w:rsid w:val="00AC672D"/>
    <w:rsid w:val="00AC760D"/>
    <w:rsid w:val="00AC765E"/>
    <w:rsid w:val="00AD00F8"/>
    <w:rsid w:val="00AD2306"/>
    <w:rsid w:val="00AD28D1"/>
    <w:rsid w:val="00AD37B0"/>
    <w:rsid w:val="00AD4651"/>
    <w:rsid w:val="00AD49E9"/>
    <w:rsid w:val="00AD5189"/>
    <w:rsid w:val="00AD5245"/>
    <w:rsid w:val="00AD5865"/>
    <w:rsid w:val="00AD6B7A"/>
    <w:rsid w:val="00AD7314"/>
    <w:rsid w:val="00AD7CF2"/>
    <w:rsid w:val="00AE1923"/>
    <w:rsid w:val="00AE2718"/>
    <w:rsid w:val="00AE2C43"/>
    <w:rsid w:val="00AE3BCB"/>
    <w:rsid w:val="00AE5C64"/>
    <w:rsid w:val="00AE657E"/>
    <w:rsid w:val="00AE6C45"/>
    <w:rsid w:val="00AF3725"/>
    <w:rsid w:val="00AF38D1"/>
    <w:rsid w:val="00AF46E6"/>
    <w:rsid w:val="00AF699C"/>
    <w:rsid w:val="00AF6A09"/>
    <w:rsid w:val="00AF7D11"/>
    <w:rsid w:val="00AF7FF9"/>
    <w:rsid w:val="00B0088B"/>
    <w:rsid w:val="00B00DD1"/>
    <w:rsid w:val="00B01800"/>
    <w:rsid w:val="00B02146"/>
    <w:rsid w:val="00B02757"/>
    <w:rsid w:val="00B04214"/>
    <w:rsid w:val="00B043E3"/>
    <w:rsid w:val="00B04887"/>
    <w:rsid w:val="00B04B66"/>
    <w:rsid w:val="00B058D5"/>
    <w:rsid w:val="00B05C9E"/>
    <w:rsid w:val="00B11F27"/>
    <w:rsid w:val="00B128DF"/>
    <w:rsid w:val="00B12A98"/>
    <w:rsid w:val="00B13354"/>
    <w:rsid w:val="00B13A07"/>
    <w:rsid w:val="00B143B7"/>
    <w:rsid w:val="00B14EFB"/>
    <w:rsid w:val="00B16C99"/>
    <w:rsid w:val="00B1754A"/>
    <w:rsid w:val="00B20AF4"/>
    <w:rsid w:val="00B20B8C"/>
    <w:rsid w:val="00B214BA"/>
    <w:rsid w:val="00B21BDA"/>
    <w:rsid w:val="00B23782"/>
    <w:rsid w:val="00B248B9"/>
    <w:rsid w:val="00B26259"/>
    <w:rsid w:val="00B274EE"/>
    <w:rsid w:val="00B30911"/>
    <w:rsid w:val="00B30A8B"/>
    <w:rsid w:val="00B317F0"/>
    <w:rsid w:val="00B3196D"/>
    <w:rsid w:val="00B3304A"/>
    <w:rsid w:val="00B34016"/>
    <w:rsid w:val="00B347BF"/>
    <w:rsid w:val="00B35664"/>
    <w:rsid w:val="00B36855"/>
    <w:rsid w:val="00B375EB"/>
    <w:rsid w:val="00B37B00"/>
    <w:rsid w:val="00B404B1"/>
    <w:rsid w:val="00B4194B"/>
    <w:rsid w:val="00B429E2"/>
    <w:rsid w:val="00B432CA"/>
    <w:rsid w:val="00B43F0B"/>
    <w:rsid w:val="00B44BEF"/>
    <w:rsid w:val="00B457BD"/>
    <w:rsid w:val="00B47552"/>
    <w:rsid w:val="00B476EE"/>
    <w:rsid w:val="00B47F6F"/>
    <w:rsid w:val="00B50539"/>
    <w:rsid w:val="00B50E3C"/>
    <w:rsid w:val="00B5243E"/>
    <w:rsid w:val="00B5261C"/>
    <w:rsid w:val="00B52C3C"/>
    <w:rsid w:val="00B53453"/>
    <w:rsid w:val="00B537B9"/>
    <w:rsid w:val="00B54889"/>
    <w:rsid w:val="00B55283"/>
    <w:rsid w:val="00B56774"/>
    <w:rsid w:val="00B5748C"/>
    <w:rsid w:val="00B6099C"/>
    <w:rsid w:val="00B63005"/>
    <w:rsid w:val="00B6349A"/>
    <w:rsid w:val="00B647AF"/>
    <w:rsid w:val="00B64C16"/>
    <w:rsid w:val="00B6511A"/>
    <w:rsid w:val="00B67459"/>
    <w:rsid w:val="00B706F3"/>
    <w:rsid w:val="00B707F5"/>
    <w:rsid w:val="00B70A72"/>
    <w:rsid w:val="00B713A6"/>
    <w:rsid w:val="00B713A8"/>
    <w:rsid w:val="00B7167D"/>
    <w:rsid w:val="00B71705"/>
    <w:rsid w:val="00B71C1E"/>
    <w:rsid w:val="00B7224B"/>
    <w:rsid w:val="00B7379C"/>
    <w:rsid w:val="00B74016"/>
    <w:rsid w:val="00B74585"/>
    <w:rsid w:val="00B764E0"/>
    <w:rsid w:val="00B772FE"/>
    <w:rsid w:val="00B77F11"/>
    <w:rsid w:val="00B80313"/>
    <w:rsid w:val="00B815A8"/>
    <w:rsid w:val="00B81B33"/>
    <w:rsid w:val="00B844AE"/>
    <w:rsid w:val="00B84CD1"/>
    <w:rsid w:val="00B84E9B"/>
    <w:rsid w:val="00B84ED4"/>
    <w:rsid w:val="00B86C1B"/>
    <w:rsid w:val="00B87033"/>
    <w:rsid w:val="00B87F8B"/>
    <w:rsid w:val="00B9048A"/>
    <w:rsid w:val="00B934BF"/>
    <w:rsid w:val="00B941F3"/>
    <w:rsid w:val="00B94516"/>
    <w:rsid w:val="00B949BA"/>
    <w:rsid w:val="00B9557B"/>
    <w:rsid w:val="00B9572D"/>
    <w:rsid w:val="00B95DD1"/>
    <w:rsid w:val="00B9781C"/>
    <w:rsid w:val="00BA0F69"/>
    <w:rsid w:val="00BA11A5"/>
    <w:rsid w:val="00BA21AF"/>
    <w:rsid w:val="00BA44A1"/>
    <w:rsid w:val="00BA4757"/>
    <w:rsid w:val="00BA4F12"/>
    <w:rsid w:val="00BA728A"/>
    <w:rsid w:val="00BB14A5"/>
    <w:rsid w:val="00BB1E1C"/>
    <w:rsid w:val="00BB1F89"/>
    <w:rsid w:val="00BB25D5"/>
    <w:rsid w:val="00BB30A6"/>
    <w:rsid w:val="00BB3524"/>
    <w:rsid w:val="00BB3D6A"/>
    <w:rsid w:val="00BB413D"/>
    <w:rsid w:val="00BB48C6"/>
    <w:rsid w:val="00BB5FF9"/>
    <w:rsid w:val="00BB750B"/>
    <w:rsid w:val="00BC0C44"/>
    <w:rsid w:val="00BC0D7C"/>
    <w:rsid w:val="00BC2670"/>
    <w:rsid w:val="00BC494C"/>
    <w:rsid w:val="00BC54B4"/>
    <w:rsid w:val="00BC7DE2"/>
    <w:rsid w:val="00BD18D2"/>
    <w:rsid w:val="00BD2C2E"/>
    <w:rsid w:val="00BD3000"/>
    <w:rsid w:val="00BD526C"/>
    <w:rsid w:val="00BD546B"/>
    <w:rsid w:val="00BD5A88"/>
    <w:rsid w:val="00BD7C6A"/>
    <w:rsid w:val="00BE0053"/>
    <w:rsid w:val="00BE4591"/>
    <w:rsid w:val="00BE4A26"/>
    <w:rsid w:val="00BE5AD6"/>
    <w:rsid w:val="00BE5B94"/>
    <w:rsid w:val="00BE6569"/>
    <w:rsid w:val="00BE7263"/>
    <w:rsid w:val="00BE74A8"/>
    <w:rsid w:val="00BE7AC3"/>
    <w:rsid w:val="00BE7C89"/>
    <w:rsid w:val="00BF07E0"/>
    <w:rsid w:val="00BF0A41"/>
    <w:rsid w:val="00BF0F1D"/>
    <w:rsid w:val="00BF1508"/>
    <w:rsid w:val="00BF1709"/>
    <w:rsid w:val="00BF21F0"/>
    <w:rsid w:val="00BF2CD2"/>
    <w:rsid w:val="00BF36AB"/>
    <w:rsid w:val="00BF3957"/>
    <w:rsid w:val="00BF3E46"/>
    <w:rsid w:val="00BF4B5A"/>
    <w:rsid w:val="00BF4E65"/>
    <w:rsid w:val="00BF510B"/>
    <w:rsid w:val="00BF558F"/>
    <w:rsid w:val="00BF6DE6"/>
    <w:rsid w:val="00BF6DEE"/>
    <w:rsid w:val="00C00007"/>
    <w:rsid w:val="00C000B0"/>
    <w:rsid w:val="00C00D51"/>
    <w:rsid w:val="00C044A0"/>
    <w:rsid w:val="00C06708"/>
    <w:rsid w:val="00C06852"/>
    <w:rsid w:val="00C06F67"/>
    <w:rsid w:val="00C07630"/>
    <w:rsid w:val="00C10757"/>
    <w:rsid w:val="00C10EC0"/>
    <w:rsid w:val="00C13051"/>
    <w:rsid w:val="00C13062"/>
    <w:rsid w:val="00C14580"/>
    <w:rsid w:val="00C14966"/>
    <w:rsid w:val="00C15136"/>
    <w:rsid w:val="00C2177C"/>
    <w:rsid w:val="00C2384B"/>
    <w:rsid w:val="00C26918"/>
    <w:rsid w:val="00C26A3A"/>
    <w:rsid w:val="00C3022D"/>
    <w:rsid w:val="00C30374"/>
    <w:rsid w:val="00C30583"/>
    <w:rsid w:val="00C30852"/>
    <w:rsid w:val="00C32592"/>
    <w:rsid w:val="00C328B8"/>
    <w:rsid w:val="00C3401E"/>
    <w:rsid w:val="00C34258"/>
    <w:rsid w:val="00C35BB1"/>
    <w:rsid w:val="00C35BC4"/>
    <w:rsid w:val="00C35EC7"/>
    <w:rsid w:val="00C3691E"/>
    <w:rsid w:val="00C37379"/>
    <w:rsid w:val="00C42E9D"/>
    <w:rsid w:val="00C432FF"/>
    <w:rsid w:val="00C4394B"/>
    <w:rsid w:val="00C440DD"/>
    <w:rsid w:val="00C442DF"/>
    <w:rsid w:val="00C463DB"/>
    <w:rsid w:val="00C47DDD"/>
    <w:rsid w:val="00C50811"/>
    <w:rsid w:val="00C51601"/>
    <w:rsid w:val="00C5257D"/>
    <w:rsid w:val="00C52CF8"/>
    <w:rsid w:val="00C53F6A"/>
    <w:rsid w:val="00C54A69"/>
    <w:rsid w:val="00C57A77"/>
    <w:rsid w:val="00C611A2"/>
    <w:rsid w:val="00C6130F"/>
    <w:rsid w:val="00C6302B"/>
    <w:rsid w:val="00C636CF"/>
    <w:rsid w:val="00C644C8"/>
    <w:rsid w:val="00C67192"/>
    <w:rsid w:val="00C67908"/>
    <w:rsid w:val="00C703DF"/>
    <w:rsid w:val="00C70855"/>
    <w:rsid w:val="00C71A83"/>
    <w:rsid w:val="00C72A43"/>
    <w:rsid w:val="00C7489D"/>
    <w:rsid w:val="00C7497B"/>
    <w:rsid w:val="00C74E44"/>
    <w:rsid w:val="00C74F18"/>
    <w:rsid w:val="00C76484"/>
    <w:rsid w:val="00C76765"/>
    <w:rsid w:val="00C774D0"/>
    <w:rsid w:val="00C77BA4"/>
    <w:rsid w:val="00C77DC3"/>
    <w:rsid w:val="00C77DE4"/>
    <w:rsid w:val="00C80451"/>
    <w:rsid w:val="00C81495"/>
    <w:rsid w:val="00C82004"/>
    <w:rsid w:val="00C8230A"/>
    <w:rsid w:val="00C84E10"/>
    <w:rsid w:val="00C86002"/>
    <w:rsid w:val="00C87864"/>
    <w:rsid w:val="00C879CC"/>
    <w:rsid w:val="00C90062"/>
    <w:rsid w:val="00C927ED"/>
    <w:rsid w:val="00C92D06"/>
    <w:rsid w:val="00C966CD"/>
    <w:rsid w:val="00C96EC7"/>
    <w:rsid w:val="00C97128"/>
    <w:rsid w:val="00CA0AF8"/>
    <w:rsid w:val="00CA3A5D"/>
    <w:rsid w:val="00CA44F1"/>
    <w:rsid w:val="00CA4AED"/>
    <w:rsid w:val="00CA5977"/>
    <w:rsid w:val="00CA635C"/>
    <w:rsid w:val="00CA69E9"/>
    <w:rsid w:val="00CA7041"/>
    <w:rsid w:val="00CA70FB"/>
    <w:rsid w:val="00CB0BE9"/>
    <w:rsid w:val="00CB10C7"/>
    <w:rsid w:val="00CB15FD"/>
    <w:rsid w:val="00CB1BFF"/>
    <w:rsid w:val="00CB21C1"/>
    <w:rsid w:val="00CB27A5"/>
    <w:rsid w:val="00CB365B"/>
    <w:rsid w:val="00CB4B50"/>
    <w:rsid w:val="00CB5A5B"/>
    <w:rsid w:val="00CB5B5E"/>
    <w:rsid w:val="00CB7A0D"/>
    <w:rsid w:val="00CB7A9B"/>
    <w:rsid w:val="00CC0661"/>
    <w:rsid w:val="00CC1016"/>
    <w:rsid w:val="00CC2A77"/>
    <w:rsid w:val="00CC336D"/>
    <w:rsid w:val="00CC3865"/>
    <w:rsid w:val="00CC4160"/>
    <w:rsid w:val="00CC54B6"/>
    <w:rsid w:val="00CC5F5F"/>
    <w:rsid w:val="00CC6E09"/>
    <w:rsid w:val="00CC74D2"/>
    <w:rsid w:val="00CD0923"/>
    <w:rsid w:val="00CD1A22"/>
    <w:rsid w:val="00CD275C"/>
    <w:rsid w:val="00CD3816"/>
    <w:rsid w:val="00CD3E72"/>
    <w:rsid w:val="00CD45F5"/>
    <w:rsid w:val="00CD5A47"/>
    <w:rsid w:val="00CE1A40"/>
    <w:rsid w:val="00CE275D"/>
    <w:rsid w:val="00CE51A6"/>
    <w:rsid w:val="00CE5569"/>
    <w:rsid w:val="00CE56DC"/>
    <w:rsid w:val="00CE5E84"/>
    <w:rsid w:val="00CE6A81"/>
    <w:rsid w:val="00CE6E9B"/>
    <w:rsid w:val="00CF022A"/>
    <w:rsid w:val="00CF073C"/>
    <w:rsid w:val="00CF189E"/>
    <w:rsid w:val="00CF43A7"/>
    <w:rsid w:val="00CF6229"/>
    <w:rsid w:val="00CF63E8"/>
    <w:rsid w:val="00CF7F8D"/>
    <w:rsid w:val="00CF7F94"/>
    <w:rsid w:val="00D00449"/>
    <w:rsid w:val="00D004B4"/>
    <w:rsid w:val="00D0073B"/>
    <w:rsid w:val="00D02D02"/>
    <w:rsid w:val="00D03117"/>
    <w:rsid w:val="00D0445C"/>
    <w:rsid w:val="00D05983"/>
    <w:rsid w:val="00D063A8"/>
    <w:rsid w:val="00D102D4"/>
    <w:rsid w:val="00D11C45"/>
    <w:rsid w:val="00D13AE5"/>
    <w:rsid w:val="00D13F9C"/>
    <w:rsid w:val="00D14A4C"/>
    <w:rsid w:val="00D16960"/>
    <w:rsid w:val="00D2048A"/>
    <w:rsid w:val="00D20E3A"/>
    <w:rsid w:val="00D22D5A"/>
    <w:rsid w:val="00D22D70"/>
    <w:rsid w:val="00D240C0"/>
    <w:rsid w:val="00D24989"/>
    <w:rsid w:val="00D24A78"/>
    <w:rsid w:val="00D24ACB"/>
    <w:rsid w:val="00D26662"/>
    <w:rsid w:val="00D266FB"/>
    <w:rsid w:val="00D26E61"/>
    <w:rsid w:val="00D27313"/>
    <w:rsid w:val="00D31CBB"/>
    <w:rsid w:val="00D36B9E"/>
    <w:rsid w:val="00D40124"/>
    <w:rsid w:val="00D40CC5"/>
    <w:rsid w:val="00D40EA5"/>
    <w:rsid w:val="00D41319"/>
    <w:rsid w:val="00D419BD"/>
    <w:rsid w:val="00D4208C"/>
    <w:rsid w:val="00D42912"/>
    <w:rsid w:val="00D44778"/>
    <w:rsid w:val="00D45FBA"/>
    <w:rsid w:val="00D46228"/>
    <w:rsid w:val="00D46973"/>
    <w:rsid w:val="00D47D87"/>
    <w:rsid w:val="00D53A93"/>
    <w:rsid w:val="00D53C94"/>
    <w:rsid w:val="00D56FA5"/>
    <w:rsid w:val="00D5779C"/>
    <w:rsid w:val="00D60E6F"/>
    <w:rsid w:val="00D61BEC"/>
    <w:rsid w:val="00D621AC"/>
    <w:rsid w:val="00D62B3C"/>
    <w:rsid w:val="00D63069"/>
    <w:rsid w:val="00D63F9E"/>
    <w:rsid w:val="00D65B1A"/>
    <w:rsid w:val="00D67703"/>
    <w:rsid w:val="00D701E9"/>
    <w:rsid w:val="00D7187B"/>
    <w:rsid w:val="00D718B6"/>
    <w:rsid w:val="00D72953"/>
    <w:rsid w:val="00D73003"/>
    <w:rsid w:val="00D74057"/>
    <w:rsid w:val="00D7407D"/>
    <w:rsid w:val="00D742C9"/>
    <w:rsid w:val="00D74A1C"/>
    <w:rsid w:val="00D75574"/>
    <w:rsid w:val="00D75AD5"/>
    <w:rsid w:val="00D75C87"/>
    <w:rsid w:val="00D7693D"/>
    <w:rsid w:val="00D77552"/>
    <w:rsid w:val="00D8098E"/>
    <w:rsid w:val="00D81EAB"/>
    <w:rsid w:val="00D82703"/>
    <w:rsid w:val="00D82B21"/>
    <w:rsid w:val="00D835EA"/>
    <w:rsid w:val="00D8364B"/>
    <w:rsid w:val="00D83C6A"/>
    <w:rsid w:val="00D845C7"/>
    <w:rsid w:val="00D86EDC"/>
    <w:rsid w:val="00D91FD9"/>
    <w:rsid w:val="00D923D7"/>
    <w:rsid w:val="00D93A4B"/>
    <w:rsid w:val="00D94FFB"/>
    <w:rsid w:val="00D9547B"/>
    <w:rsid w:val="00D95781"/>
    <w:rsid w:val="00D964A8"/>
    <w:rsid w:val="00D97400"/>
    <w:rsid w:val="00DA095F"/>
    <w:rsid w:val="00DA1BE3"/>
    <w:rsid w:val="00DA2190"/>
    <w:rsid w:val="00DA2ABF"/>
    <w:rsid w:val="00DA30B8"/>
    <w:rsid w:val="00DA3C1C"/>
    <w:rsid w:val="00DA3F66"/>
    <w:rsid w:val="00DA425E"/>
    <w:rsid w:val="00DA4283"/>
    <w:rsid w:val="00DA480B"/>
    <w:rsid w:val="00DA5F8E"/>
    <w:rsid w:val="00DA676C"/>
    <w:rsid w:val="00DA7C74"/>
    <w:rsid w:val="00DA7E78"/>
    <w:rsid w:val="00DB0097"/>
    <w:rsid w:val="00DB2398"/>
    <w:rsid w:val="00DB2F5E"/>
    <w:rsid w:val="00DB50B0"/>
    <w:rsid w:val="00DB545B"/>
    <w:rsid w:val="00DB5F51"/>
    <w:rsid w:val="00DB7494"/>
    <w:rsid w:val="00DB7D8C"/>
    <w:rsid w:val="00DC4613"/>
    <w:rsid w:val="00DC59B2"/>
    <w:rsid w:val="00DC5EF6"/>
    <w:rsid w:val="00DC70F2"/>
    <w:rsid w:val="00DD0EC4"/>
    <w:rsid w:val="00DD1704"/>
    <w:rsid w:val="00DD23A3"/>
    <w:rsid w:val="00DD35D5"/>
    <w:rsid w:val="00DD4457"/>
    <w:rsid w:val="00DD4ACC"/>
    <w:rsid w:val="00DD4BD7"/>
    <w:rsid w:val="00DD6234"/>
    <w:rsid w:val="00DD77C8"/>
    <w:rsid w:val="00DE0295"/>
    <w:rsid w:val="00DE107B"/>
    <w:rsid w:val="00DE33BA"/>
    <w:rsid w:val="00DE438F"/>
    <w:rsid w:val="00DE48A9"/>
    <w:rsid w:val="00DE4E99"/>
    <w:rsid w:val="00DE6B63"/>
    <w:rsid w:val="00DE74DF"/>
    <w:rsid w:val="00DF0749"/>
    <w:rsid w:val="00DF0B95"/>
    <w:rsid w:val="00DF0D2E"/>
    <w:rsid w:val="00DF1B37"/>
    <w:rsid w:val="00DF1E86"/>
    <w:rsid w:val="00DF33A5"/>
    <w:rsid w:val="00DF6B6D"/>
    <w:rsid w:val="00DF7598"/>
    <w:rsid w:val="00E0019E"/>
    <w:rsid w:val="00E00235"/>
    <w:rsid w:val="00E009EB"/>
    <w:rsid w:val="00E02F0B"/>
    <w:rsid w:val="00E04BEB"/>
    <w:rsid w:val="00E07539"/>
    <w:rsid w:val="00E10AC7"/>
    <w:rsid w:val="00E10AE9"/>
    <w:rsid w:val="00E11390"/>
    <w:rsid w:val="00E11AE6"/>
    <w:rsid w:val="00E11FE6"/>
    <w:rsid w:val="00E12101"/>
    <w:rsid w:val="00E12389"/>
    <w:rsid w:val="00E14725"/>
    <w:rsid w:val="00E14C90"/>
    <w:rsid w:val="00E15FE0"/>
    <w:rsid w:val="00E16B03"/>
    <w:rsid w:val="00E17936"/>
    <w:rsid w:val="00E17A2B"/>
    <w:rsid w:val="00E17AE5"/>
    <w:rsid w:val="00E20752"/>
    <w:rsid w:val="00E22522"/>
    <w:rsid w:val="00E2343E"/>
    <w:rsid w:val="00E26185"/>
    <w:rsid w:val="00E26E21"/>
    <w:rsid w:val="00E26F33"/>
    <w:rsid w:val="00E270CA"/>
    <w:rsid w:val="00E316B9"/>
    <w:rsid w:val="00E3243A"/>
    <w:rsid w:val="00E33B00"/>
    <w:rsid w:val="00E33F59"/>
    <w:rsid w:val="00E34FCF"/>
    <w:rsid w:val="00E35796"/>
    <w:rsid w:val="00E35D3E"/>
    <w:rsid w:val="00E36577"/>
    <w:rsid w:val="00E37337"/>
    <w:rsid w:val="00E40E74"/>
    <w:rsid w:val="00E4148E"/>
    <w:rsid w:val="00E41851"/>
    <w:rsid w:val="00E42310"/>
    <w:rsid w:val="00E4405C"/>
    <w:rsid w:val="00E447DF"/>
    <w:rsid w:val="00E4519B"/>
    <w:rsid w:val="00E4525D"/>
    <w:rsid w:val="00E45B2E"/>
    <w:rsid w:val="00E47DBE"/>
    <w:rsid w:val="00E5073C"/>
    <w:rsid w:val="00E516C8"/>
    <w:rsid w:val="00E518BF"/>
    <w:rsid w:val="00E52EF7"/>
    <w:rsid w:val="00E53223"/>
    <w:rsid w:val="00E55C8E"/>
    <w:rsid w:val="00E569F6"/>
    <w:rsid w:val="00E56F65"/>
    <w:rsid w:val="00E57C77"/>
    <w:rsid w:val="00E609D9"/>
    <w:rsid w:val="00E61361"/>
    <w:rsid w:val="00E6193A"/>
    <w:rsid w:val="00E623C6"/>
    <w:rsid w:val="00E62546"/>
    <w:rsid w:val="00E6399D"/>
    <w:rsid w:val="00E64519"/>
    <w:rsid w:val="00E648AA"/>
    <w:rsid w:val="00E650DA"/>
    <w:rsid w:val="00E705EF"/>
    <w:rsid w:val="00E71CEE"/>
    <w:rsid w:val="00E747ED"/>
    <w:rsid w:val="00E75012"/>
    <w:rsid w:val="00E7588D"/>
    <w:rsid w:val="00E7737F"/>
    <w:rsid w:val="00E80775"/>
    <w:rsid w:val="00E82146"/>
    <w:rsid w:val="00E83F72"/>
    <w:rsid w:val="00E84137"/>
    <w:rsid w:val="00E841DA"/>
    <w:rsid w:val="00E84DC9"/>
    <w:rsid w:val="00E85CE2"/>
    <w:rsid w:val="00E85D8D"/>
    <w:rsid w:val="00E85E77"/>
    <w:rsid w:val="00E93173"/>
    <w:rsid w:val="00E94C0B"/>
    <w:rsid w:val="00E95B51"/>
    <w:rsid w:val="00E96EFC"/>
    <w:rsid w:val="00EA0745"/>
    <w:rsid w:val="00EA0A73"/>
    <w:rsid w:val="00EA1CC0"/>
    <w:rsid w:val="00EA1D2E"/>
    <w:rsid w:val="00EA47CC"/>
    <w:rsid w:val="00EA6832"/>
    <w:rsid w:val="00EA6F8D"/>
    <w:rsid w:val="00EA7B33"/>
    <w:rsid w:val="00EB1403"/>
    <w:rsid w:val="00EB1937"/>
    <w:rsid w:val="00EB1AC8"/>
    <w:rsid w:val="00EB1FB6"/>
    <w:rsid w:val="00EB38B5"/>
    <w:rsid w:val="00EB38D4"/>
    <w:rsid w:val="00EB5C85"/>
    <w:rsid w:val="00EB6150"/>
    <w:rsid w:val="00EB645B"/>
    <w:rsid w:val="00EB7053"/>
    <w:rsid w:val="00EB7128"/>
    <w:rsid w:val="00EB7FEB"/>
    <w:rsid w:val="00EC08A2"/>
    <w:rsid w:val="00EC17C7"/>
    <w:rsid w:val="00EC298F"/>
    <w:rsid w:val="00EC3889"/>
    <w:rsid w:val="00EC3D40"/>
    <w:rsid w:val="00EC475D"/>
    <w:rsid w:val="00EC55CF"/>
    <w:rsid w:val="00EC5FCA"/>
    <w:rsid w:val="00EC6132"/>
    <w:rsid w:val="00EC7FA8"/>
    <w:rsid w:val="00ED0512"/>
    <w:rsid w:val="00ED0D2D"/>
    <w:rsid w:val="00ED0EAC"/>
    <w:rsid w:val="00ED1107"/>
    <w:rsid w:val="00ED3974"/>
    <w:rsid w:val="00ED3BC9"/>
    <w:rsid w:val="00ED4B8F"/>
    <w:rsid w:val="00ED5391"/>
    <w:rsid w:val="00ED632A"/>
    <w:rsid w:val="00ED6E55"/>
    <w:rsid w:val="00ED74C3"/>
    <w:rsid w:val="00EE02CC"/>
    <w:rsid w:val="00EE1F66"/>
    <w:rsid w:val="00EE2C9C"/>
    <w:rsid w:val="00EE3015"/>
    <w:rsid w:val="00EE3C9D"/>
    <w:rsid w:val="00EE5C66"/>
    <w:rsid w:val="00EE6BAE"/>
    <w:rsid w:val="00EE6C26"/>
    <w:rsid w:val="00EE7A6E"/>
    <w:rsid w:val="00EE7D2B"/>
    <w:rsid w:val="00EF233A"/>
    <w:rsid w:val="00EF46E6"/>
    <w:rsid w:val="00EF4BF8"/>
    <w:rsid w:val="00EF5465"/>
    <w:rsid w:val="00EF5DF2"/>
    <w:rsid w:val="00EF7760"/>
    <w:rsid w:val="00F0010F"/>
    <w:rsid w:val="00F00B9F"/>
    <w:rsid w:val="00F01EA3"/>
    <w:rsid w:val="00F03672"/>
    <w:rsid w:val="00F037FA"/>
    <w:rsid w:val="00F03F49"/>
    <w:rsid w:val="00F04BF6"/>
    <w:rsid w:val="00F04CAB"/>
    <w:rsid w:val="00F05444"/>
    <w:rsid w:val="00F05A1B"/>
    <w:rsid w:val="00F06582"/>
    <w:rsid w:val="00F108E3"/>
    <w:rsid w:val="00F109F0"/>
    <w:rsid w:val="00F10B3D"/>
    <w:rsid w:val="00F112A6"/>
    <w:rsid w:val="00F11A97"/>
    <w:rsid w:val="00F14CFC"/>
    <w:rsid w:val="00F151C6"/>
    <w:rsid w:val="00F1576C"/>
    <w:rsid w:val="00F16A09"/>
    <w:rsid w:val="00F20681"/>
    <w:rsid w:val="00F2085F"/>
    <w:rsid w:val="00F2318A"/>
    <w:rsid w:val="00F23EEB"/>
    <w:rsid w:val="00F244FE"/>
    <w:rsid w:val="00F272BD"/>
    <w:rsid w:val="00F27354"/>
    <w:rsid w:val="00F274D4"/>
    <w:rsid w:val="00F30743"/>
    <w:rsid w:val="00F3094A"/>
    <w:rsid w:val="00F30ACE"/>
    <w:rsid w:val="00F311FB"/>
    <w:rsid w:val="00F316CC"/>
    <w:rsid w:val="00F31E35"/>
    <w:rsid w:val="00F323D0"/>
    <w:rsid w:val="00F37AAF"/>
    <w:rsid w:val="00F37B17"/>
    <w:rsid w:val="00F41AC5"/>
    <w:rsid w:val="00F424D4"/>
    <w:rsid w:val="00F42A15"/>
    <w:rsid w:val="00F43CF3"/>
    <w:rsid w:val="00F44DA4"/>
    <w:rsid w:val="00F45438"/>
    <w:rsid w:val="00F45930"/>
    <w:rsid w:val="00F45BF4"/>
    <w:rsid w:val="00F53B25"/>
    <w:rsid w:val="00F54259"/>
    <w:rsid w:val="00F5485C"/>
    <w:rsid w:val="00F5583A"/>
    <w:rsid w:val="00F572DB"/>
    <w:rsid w:val="00F573A0"/>
    <w:rsid w:val="00F573AB"/>
    <w:rsid w:val="00F57A59"/>
    <w:rsid w:val="00F60891"/>
    <w:rsid w:val="00F608B1"/>
    <w:rsid w:val="00F619A8"/>
    <w:rsid w:val="00F619F6"/>
    <w:rsid w:val="00F64D96"/>
    <w:rsid w:val="00F6558E"/>
    <w:rsid w:val="00F6669E"/>
    <w:rsid w:val="00F671C0"/>
    <w:rsid w:val="00F671D1"/>
    <w:rsid w:val="00F678B8"/>
    <w:rsid w:val="00F7070D"/>
    <w:rsid w:val="00F70A5A"/>
    <w:rsid w:val="00F71A6F"/>
    <w:rsid w:val="00F71B73"/>
    <w:rsid w:val="00F72239"/>
    <w:rsid w:val="00F73A5A"/>
    <w:rsid w:val="00F7470F"/>
    <w:rsid w:val="00F74FF7"/>
    <w:rsid w:val="00F7666B"/>
    <w:rsid w:val="00F766F6"/>
    <w:rsid w:val="00F76B63"/>
    <w:rsid w:val="00F77725"/>
    <w:rsid w:val="00F778A4"/>
    <w:rsid w:val="00F806F5"/>
    <w:rsid w:val="00F82A17"/>
    <w:rsid w:val="00F83010"/>
    <w:rsid w:val="00F84237"/>
    <w:rsid w:val="00F91811"/>
    <w:rsid w:val="00F92BE1"/>
    <w:rsid w:val="00F93723"/>
    <w:rsid w:val="00F93965"/>
    <w:rsid w:val="00F93BF8"/>
    <w:rsid w:val="00F93FA2"/>
    <w:rsid w:val="00F943E7"/>
    <w:rsid w:val="00F95986"/>
    <w:rsid w:val="00F95DE7"/>
    <w:rsid w:val="00F97466"/>
    <w:rsid w:val="00F976D3"/>
    <w:rsid w:val="00F97CC4"/>
    <w:rsid w:val="00FA1E36"/>
    <w:rsid w:val="00FA2E57"/>
    <w:rsid w:val="00FA3BD7"/>
    <w:rsid w:val="00FA52A9"/>
    <w:rsid w:val="00FA681A"/>
    <w:rsid w:val="00FA72A6"/>
    <w:rsid w:val="00FB2A09"/>
    <w:rsid w:val="00FB36CA"/>
    <w:rsid w:val="00FB43F6"/>
    <w:rsid w:val="00FB594D"/>
    <w:rsid w:val="00FB6161"/>
    <w:rsid w:val="00FB7590"/>
    <w:rsid w:val="00FC01FE"/>
    <w:rsid w:val="00FC1BB9"/>
    <w:rsid w:val="00FC26BF"/>
    <w:rsid w:val="00FC2E67"/>
    <w:rsid w:val="00FC3F45"/>
    <w:rsid w:val="00FC6374"/>
    <w:rsid w:val="00FC6991"/>
    <w:rsid w:val="00FC73D6"/>
    <w:rsid w:val="00FD0343"/>
    <w:rsid w:val="00FD2D4F"/>
    <w:rsid w:val="00FD4953"/>
    <w:rsid w:val="00FD560D"/>
    <w:rsid w:val="00FD65B4"/>
    <w:rsid w:val="00FD7268"/>
    <w:rsid w:val="00FD7D85"/>
    <w:rsid w:val="00FE2CA1"/>
    <w:rsid w:val="00FE3753"/>
    <w:rsid w:val="00FE39B8"/>
    <w:rsid w:val="00FE412F"/>
    <w:rsid w:val="00FE484D"/>
    <w:rsid w:val="00FE6263"/>
    <w:rsid w:val="00FE6642"/>
    <w:rsid w:val="00FE665A"/>
    <w:rsid w:val="00FE6AB2"/>
    <w:rsid w:val="00FE6AF1"/>
    <w:rsid w:val="00FE7665"/>
    <w:rsid w:val="00FF10AC"/>
    <w:rsid w:val="00FF1853"/>
    <w:rsid w:val="00FF2000"/>
    <w:rsid w:val="00FF268D"/>
    <w:rsid w:val="00FF3016"/>
    <w:rsid w:val="00FF53F9"/>
    <w:rsid w:val="00FF610D"/>
    <w:rsid w:val="00FF6B61"/>
    <w:rsid w:val="00FF6DC2"/>
    <w:rsid w:val="00FF7D8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FD9519"/>
  <w15:chartTrackingRefBased/>
  <w15:docId w15:val="{20AB6CA6-5946-9F42-BD7B-0D58A19B51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 w:val="22"/>
        <w:szCs w:val="22"/>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66E4A"/>
    <w:pPr>
      <w:spacing w:after="240" w:line="360" w:lineRule="auto"/>
    </w:pPr>
  </w:style>
  <w:style w:type="paragraph" w:styleId="Heading1">
    <w:name w:val="heading 1"/>
    <w:aliases w:val="Part Heading 1"/>
    <w:next w:val="Normal"/>
    <w:link w:val="Heading1Char"/>
    <w:autoRedefine/>
    <w:uiPriority w:val="9"/>
    <w:qFormat/>
    <w:rsid w:val="00301A3B"/>
    <w:pPr>
      <w:keepNext/>
      <w:keepLines/>
      <w:pBdr>
        <w:bottom w:val="single" w:sz="24" w:space="12" w:color="E7E6E6" w:themeColor="background2"/>
      </w:pBdr>
      <w:spacing w:before="240" w:after="480"/>
      <w:outlineLvl w:val="0"/>
    </w:pPr>
    <w:rPr>
      <w:rFonts w:eastAsiaTheme="majorEastAsia"/>
      <w:b/>
      <w:color w:val="000000" w:themeColor="text1"/>
      <w:sz w:val="40"/>
      <w:szCs w:val="32"/>
    </w:rPr>
  </w:style>
  <w:style w:type="paragraph" w:styleId="Heading2">
    <w:name w:val="heading 2"/>
    <w:next w:val="Normal"/>
    <w:link w:val="Heading2Char"/>
    <w:uiPriority w:val="9"/>
    <w:unhideWhenUsed/>
    <w:qFormat/>
    <w:rsid w:val="001C23E3"/>
    <w:pPr>
      <w:keepNext/>
      <w:keepLines/>
      <w:spacing w:before="240" w:after="240"/>
      <w:outlineLvl w:val="1"/>
    </w:pPr>
    <w:rPr>
      <w:rFonts w:eastAsiaTheme="majorEastAsia" w:cstheme="majorBidi"/>
      <w:b/>
      <w:color w:val="000000" w:themeColor="text1"/>
      <w:sz w:val="32"/>
      <w:szCs w:val="26"/>
    </w:rPr>
  </w:style>
  <w:style w:type="paragraph" w:styleId="Heading3">
    <w:name w:val="heading 3"/>
    <w:next w:val="Normal"/>
    <w:link w:val="Heading3Char"/>
    <w:uiPriority w:val="9"/>
    <w:unhideWhenUsed/>
    <w:qFormat/>
    <w:rsid w:val="003640A9"/>
    <w:pPr>
      <w:keepNext/>
      <w:keepLines/>
      <w:spacing w:before="40" w:after="120"/>
      <w:outlineLvl w:val="2"/>
    </w:pPr>
    <w:rPr>
      <w:rFonts w:eastAsiaTheme="majorEastAsia" w:cs="Times New Roman (Headings CS)"/>
      <w:b/>
      <w:color w:val="000000" w:themeColor="text1"/>
      <w:szCs w:val="24"/>
    </w:rPr>
  </w:style>
  <w:style w:type="paragraph" w:styleId="Heading4">
    <w:name w:val="heading 4"/>
    <w:basedOn w:val="Normal"/>
    <w:link w:val="Heading4Char"/>
    <w:uiPriority w:val="9"/>
    <w:qFormat/>
    <w:rsid w:val="00357168"/>
    <w:pPr>
      <w:spacing w:before="100" w:beforeAutospacing="1" w:after="100" w:afterAutospacing="1"/>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art Heading 1 Char"/>
    <w:basedOn w:val="DefaultParagraphFont"/>
    <w:link w:val="Heading1"/>
    <w:uiPriority w:val="9"/>
    <w:rsid w:val="00301A3B"/>
    <w:rPr>
      <w:rFonts w:eastAsiaTheme="majorEastAsia"/>
      <w:b/>
      <w:color w:val="000000" w:themeColor="text1"/>
      <w:sz w:val="40"/>
      <w:szCs w:val="32"/>
    </w:rPr>
  </w:style>
  <w:style w:type="character" w:customStyle="1" w:styleId="Heading2Char">
    <w:name w:val="Heading 2 Char"/>
    <w:basedOn w:val="DefaultParagraphFont"/>
    <w:link w:val="Heading2"/>
    <w:uiPriority w:val="9"/>
    <w:rsid w:val="001C23E3"/>
    <w:rPr>
      <w:rFonts w:eastAsiaTheme="majorEastAsia" w:cstheme="majorBidi"/>
      <w:b/>
      <w:color w:val="000000" w:themeColor="text1"/>
      <w:sz w:val="32"/>
      <w:szCs w:val="26"/>
    </w:rPr>
  </w:style>
  <w:style w:type="character" w:customStyle="1" w:styleId="Heading3Char">
    <w:name w:val="Heading 3 Char"/>
    <w:basedOn w:val="DefaultParagraphFont"/>
    <w:link w:val="Heading3"/>
    <w:uiPriority w:val="9"/>
    <w:rsid w:val="003640A9"/>
    <w:rPr>
      <w:rFonts w:eastAsiaTheme="majorEastAsia" w:cs="Times New Roman (Headings CS)"/>
      <w:b/>
      <w:color w:val="000000" w:themeColor="text1"/>
      <w:szCs w:val="24"/>
    </w:rPr>
  </w:style>
  <w:style w:type="character" w:customStyle="1" w:styleId="Heading4Char">
    <w:name w:val="Heading 4 Char"/>
    <w:basedOn w:val="DefaultParagraphFont"/>
    <w:link w:val="Heading4"/>
    <w:uiPriority w:val="9"/>
    <w:rsid w:val="00357168"/>
    <w:rPr>
      <w:rFonts w:ascii="Times New Roman" w:eastAsia="Times New Roman" w:hAnsi="Times New Roman" w:cs="Times New Roman"/>
      <w:b/>
      <w:bCs/>
      <w:sz w:val="24"/>
      <w:szCs w:val="24"/>
    </w:rPr>
  </w:style>
  <w:style w:type="paragraph" w:styleId="TOCHeading">
    <w:name w:val="TOC Heading"/>
    <w:next w:val="Normal"/>
    <w:uiPriority w:val="39"/>
    <w:unhideWhenUsed/>
    <w:qFormat/>
    <w:rsid w:val="00D7407D"/>
    <w:pPr>
      <w:spacing w:before="480" w:line="276" w:lineRule="auto"/>
    </w:pPr>
    <w:rPr>
      <w:rFonts w:eastAsiaTheme="majorEastAsia"/>
      <w:bCs/>
      <w:color w:val="000000" w:themeColor="text1"/>
      <w:szCs w:val="28"/>
      <w:lang w:val="en-US"/>
    </w:rPr>
  </w:style>
  <w:style w:type="paragraph" w:styleId="TOC1">
    <w:name w:val="toc 1"/>
    <w:next w:val="Normal"/>
    <w:autoRedefine/>
    <w:uiPriority w:val="39"/>
    <w:unhideWhenUsed/>
    <w:rsid w:val="003A67A1"/>
    <w:pPr>
      <w:spacing w:before="120"/>
    </w:pPr>
    <w:rPr>
      <w:b/>
      <w:bCs/>
      <w:i/>
      <w:iCs/>
      <w:sz w:val="24"/>
      <w:szCs w:val="24"/>
    </w:rPr>
  </w:style>
  <w:style w:type="paragraph" w:styleId="TOC2">
    <w:name w:val="toc 2"/>
    <w:next w:val="Normal"/>
    <w:autoRedefine/>
    <w:uiPriority w:val="39"/>
    <w:unhideWhenUsed/>
    <w:rsid w:val="003A67A1"/>
    <w:pPr>
      <w:spacing w:before="120"/>
      <w:ind w:left="220"/>
    </w:pPr>
    <w:rPr>
      <w:b/>
      <w:bCs/>
    </w:rPr>
  </w:style>
  <w:style w:type="paragraph" w:styleId="TOC3">
    <w:name w:val="toc 3"/>
    <w:next w:val="Normal"/>
    <w:autoRedefine/>
    <w:uiPriority w:val="39"/>
    <w:unhideWhenUsed/>
    <w:rsid w:val="003A67A1"/>
    <w:pPr>
      <w:ind w:left="440"/>
    </w:pPr>
    <w:rPr>
      <w:sz w:val="20"/>
      <w:szCs w:val="20"/>
    </w:rPr>
  </w:style>
  <w:style w:type="paragraph" w:styleId="TOC4">
    <w:name w:val="toc 4"/>
    <w:next w:val="Normal"/>
    <w:autoRedefine/>
    <w:uiPriority w:val="39"/>
    <w:unhideWhenUsed/>
    <w:rsid w:val="003A67A1"/>
    <w:pPr>
      <w:ind w:left="660"/>
    </w:pPr>
    <w:rPr>
      <w:sz w:val="20"/>
      <w:szCs w:val="20"/>
    </w:rPr>
  </w:style>
  <w:style w:type="paragraph" w:styleId="TOC5">
    <w:name w:val="toc 5"/>
    <w:basedOn w:val="Normal"/>
    <w:next w:val="Normal"/>
    <w:autoRedefine/>
    <w:uiPriority w:val="39"/>
    <w:unhideWhenUsed/>
    <w:rsid w:val="003A67A1"/>
    <w:pPr>
      <w:ind w:left="880"/>
    </w:pPr>
    <w:rPr>
      <w:sz w:val="20"/>
      <w:szCs w:val="20"/>
    </w:rPr>
  </w:style>
  <w:style w:type="paragraph" w:styleId="TOC6">
    <w:name w:val="toc 6"/>
    <w:basedOn w:val="Normal"/>
    <w:next w:val="Normal"/>
    <w:autoRedefine/>
    <w:uiPriority w:val="39"/>
    <w:unhideWhenUsed/>
    <w:rsid w:val="003A67A1"/>
    <w:pPr>
      <w:ind w:left="1100"/>
    </w:pPr>
    <w:rPr>
      <w:sz w:val="20"/>
      <w:szCs w:val="20"/>
    </w:rPr>
  </w:style>
  <w:style w:type="paragraph" w:styleId="TOC7">
    <w:name w:val="toc 7"/>
    <w:basedOn w:val="Normal"/>
    <w:next w:val="Normal"/>
    <w:autoRedefine/>
    <w:uiPriority w:val="39"/>
    <w:unhideWhenUsed/>
    <w:rsid w:val="003A67A1"/>
    <w:pPr>
      <w:ind w:left="1320"/>
    </w:pPr>
    <w:rPr>
      <w:sz w:val="20"/>
      <w:szCs w:val="20"/>
    </w:rPr>
  </w:style>
  <w:style w:type="paragraph" w:styleId="TOC8">
    <w:name w:val="toc 8"/>
    <w:basedOn w:val="Normal"/>
    <w:next w:val="Normal"/>
    <w:autoRedefine/>
    <w:uiPriority w:val="39"/>
    <w:unhideWhenUsed/>
    <w:rsid w:val="003A67A1"/>
    <w:pPr>
      <w:ind w:left="1540"/>
    </w:pPr>
    <w:rPr>
      <w:sz w:val="20"/>
      <w:szCs w:val="20"/>
    </w:rPr>
  </w:style>
  <w:style w:type="paragraph" w:styleId="TOC9">
    <w:name w:val="toc 9"/>
    <w:basedOn w:val="Normal"/>
    <w:next w:val="Normal"/>
    <w:autoRedefine/>
    <w:uiPriority w:val="39"/>
    <w:unhideWhenUsed/>
    <w:rsid w:val="003A67A1"/>
    <w:pPr>
      <w:ind w:left="1760"/>
    </w:pPr>
    <w:rPr>
      <w:sz w:val="20"/>
      <w:szCs w:val="20"/>
    </w:rPr>
  </w:style>
  <w:style w:type="character" w:styleId="CommentReference">
    <w:name w:val="annotation reference"/>
    <w:basedOn w:val="DefaultParagraphFont"/>
    <w:unhideWhenUsed/>
    <w:rsid w:val="00DF33A5"/>
    <w:rPr>
      <w:sz w:val="16"/>
      <w:szCs w:val="16"/>
    </w:rPr>
  </w:style>
  <w:style w:type="paragraph" w:styleId="CommentText">
    <w:name w:val="annotation text"/>
    <w:basedOn w:val="Normal"/>
    <w:link w:val="CommentTextChar"/>
    <w:unhideWhenUsed/>
    <w:rsid w:val="00DF33A5"/>
    <w:rPr>
      <w:sz w:val="20"/>
      <w:szCs w:val="20"/>
    </w:rPr>
  </w:style>
  <w:style w:type="character" w:customStyle="1" w:styleId="CommentTextChar">
    <w:name w:val="Comment Text Char"/>
    <w:basedOn w:val="DefaultParagraphFont"/>
    <w:link w:val="CommentText"/>
    <w:rsid w:val="00DF33A5"/>
    <w:rPr>
      <w:sz w:val="20"/>
      <w:szCs w:val="20"/>
    </w:rPr>
  </w:style>
  <w:style w:type="paragraph" w:styleId="CommentSubject">
    <w:name w:val="annotation subject"/>
    <w:basedOn w:val="CommentText"/>
    <w:next w:val="CommentText"/>
    <w:link w:val="CommentSubjectChar"/>
    <w:unhideWhenUsed/>
    <w:rsid w:val="00DF33A5"/>
    <w:rPr>
      <w:b/>
      <w:bCs/>
    </w:rPr>
  </w:style>
  <w:style w:type="character" w:customStyle="1" w:styleId="CommentSubjectChar">
    <w:name w:val="Comment Subject Char"/>
    <w:basedOn w:val="CommentTextChar"/>
    <w:link w:val="CommentSubject"/>
    <w:rsid w:val="00DF33A5"/>
    <w:rPr>
      <w:b/>
      <w:bCs/>
      <w:sz w:val="20"/>
      <w:szCs w:val="20"/>
    </w:rPr>
  </w:style>
  <w:style w:type="table" w:customStyle="1" w:styleId="TableGrid1">
    <w:name w:val="Table Grid1"/>
    <w:basedOn w:val="TableNormal"/>
    <w:next w:val="TableGrid"/>
    <w:uiPriority w:val="39"/>
    <w:rsid w:val="00D957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D957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ibauth">
    <w:name w:val="bib_auth"/>
    <w:rsid w:val="00357168"/>
  </w:style>
  <w:style w:type="character" w:customStyle="1" w:styleId="publisher-name">
    <w:name w:val="publisher-name"/>
    <w:basedOn w:val="DefaultParagraphFont"/>
    <w:rsid w:val="00357168"/>
  </w:style>
  <w:style w:type="paragraph" w:styleId="Footer">
    <w:name w:val="footer"/>
    <w:basedOn w:val="Normal"/>
    <w:link w:val="FooterChar"/>
    <w:uiPriority w:val="99"/>
    <w:unhideWhenUsed/>
    <w:rsid w:val="00357168"/>
    <w:pPr>
      <w:tabs>
        <w:tab w:val="center" w:pos="4680"/>
        <w:tab w:val="right" w:pos="9360"/>
      </w:tabs>
    </w:pPr>
    <w:rPr>
      <w:rFonts w:asciiTheme="minorHAnsi" w:hAnsiTheme="minorHAnsi" w:cstheme="minorBidi"/>
      <w:sz w:val="24"/>
      <w:szCs w:val="24"/>
    </w:rPr>
  </w:style>
  <w:style w:type="character" w:customStyle="1" w:styleId="FooterChar">
    <w:name w:val="Footer Char"/>
    <w:basedOn w:val="DefaultParagraphFont"/>
    <w:link w:val="Footer"/>
    <w:uiPriority w:val="99"/>
    <w:rsid w:val="00357168"/>
    <w:rPr>
      <w:rFonts w:asciiTheme="minorHAnsi" w:hAnsiTheme="minorHAnsi" w:cstheme="minorBidi"/>
      <w:sz w:val="24"/>
      <w:szCs w:val="24"/>
    </w:rPr>
  </w:style>
  <w:style w:type="character" w:styleId="PageNumber">
    <w:name w:val="page number"/>
    <w:basedOn w:val="DefaultParagraphFont"/>
    <w:uiPriority w:val="99"/>
    <w:semiHidden/>
    <w:unhideWhenUsed/>
    <w:rsid w:val="00357168"/>
  </w:style>
  <w:style w:type="paragraph" w:styleId="BalloonText">
    <w:name w:val="Balloon Text"/>
    <w:basedOn w:val="Normal"/>
    <w:link w:val="BalloonTextChar"/>
    <w:unhideWhenUsed/>
    <w:rsid w:val="00357168"/>
    <w:rPr>
      <w:rFonts w:ascii="Times New Roman" w:hAnsi="Times New Roman" w:cs="Times New Roman"/>
      <w:sz w:val="18"/>
      <w:szCs w:val="18"/>
    </w:rPr>
  </w:style>
  <w:style w:type="character" w:customStyle="1" w:styleId="BalloonTextChar">
    <w:name w:val="Balloon Text Char"/>
    <w:basedOn w:val="DefaultParagraphFont"/>
    <w:link w:val="BalloonText"/>
    <w:rsid w:val="00357168"/>
    <w:rPr>
      <w:rFonts w:ascii="Times New Roman" w:hAnsi="Times New Roman" w:cs="Times New Roman"/>
      <w:sz w:val="18"/>
      <w:szCs w:val="18"/>
    </w:rPr>
  </w:style>
  <w:style w:type="paragraph" w:styleId="NormalWeb">
    <w:name w:val="Normal (Web)"/>
    <w:basedOn w:val="Normal"/>
    <w:unhideWhenUsed/>
    <w:rsid w:val="00357168"/>
    <w:pPr>
      <w:spacing w:before="100" w:beforeAutospacing="1" w:after="100" w:afterAutospacing="1"/>
    </w:pPr>
    <w:rPr>
      <w:rFonts w:ascii="Times New Roman" w:eastAsia="Times New Roman" w:hAnsi="Times New Roman" w:cs="Times New Roman"/>
      <w:sz w:val="24"/>
      <w:szCs w:val="24"/>
    </w:rPr>
  </w:style>
  <w:style w:type="paragraph" w:customStyle="1" w:styleId="Blockquote">
    <w:name w:val="Blockquote"/>
    <w:basedOn w:val="Normal"/>
    <w:uiPriority w:val="99"/>
    <w:rsid w:val="00357168"/>
    <w:pPr>
      <w:autoSpaceDE w:val="0"/>
      <w:autoSpaceDN w:val="0"/>
      <w:adjustRightInd w:val="0"/>
      <w:spacing w:before="100" w:after="100"/>
      <w:ind w:left="360" w:right="360"/>
    </w:pPr>
    <w:rPr>
      <w:rFonts w:ascii="Times New Roman" w:hAnsi="Times New Roman" w:cs="Times New Roman"/>
      <w:sz w:val="24"/>
      <w:szCs w:val="24"/>
    </w:rPr>
  </w:style>
  <w:style w:type="character" w:styleId="Hyperlink">
    <w:name w:val="Hyperlink"/>
    <w:basedOn w:val="DefaultParagraphFont"/>
    <w:uiPriority w:val="99"/>
    <w:rsid w:val="00357168"/>
    <w:rPr>
      <w:color w:val="0000FF"/>
      <w:u w:val="single"/>
    </w:rPr>
  </w:style>
  <w:style w:type="character" w:customStyle="1" w:styleId="sc">
    <w:name w:val="sc"/>
    <w:basedOn w:val="DefaultParagraphFont"/>
    <w:rsid w:val="00357168"/>
  </w:style>
  <w:style w:type="character" w:customStyle="1" w:styleId="authors">
    <w:name w:val="authors"/>
    <w:basedOn w:val="DefaultParagraphFont"/>
    <w:rsid w:val="00357168"/>
  </w:style>
  <w:style w:type="character" w:customStyle="1" w:styleId="Date1">
    <w:name w:val="Date1"/>
    <w:basedOn w:val="DefaultParagraphFont"/>
    <w:rsid w:val="00357168"/>
  </w:style>
  <w:style w:type="character" w:customStyle="1" w:styleId="arttitle">
    <w:name w:val="art_title"/>
    <w:basedOn w:val="DefaultParagraphFont"/>
    <w:rsid w:val="00357168"/>
  </w:style>
  <w:style w:type="character" w:customStyle="1" w:styleId="serialtitle">
    <w:name w:val="serial_title"/>
    <w:basedOn w:val="DefaultParagraphFont"/>
    <w:rsid w:val="00357168"/>
  </w:style>
  <w:style w:type="character" w:customStyle="1" w:styleId="volumeissue">
    <w:name w:val="volume_issue"/>
    <w:basedOn w:val="DefaultParagraphFont"/>
    <w:rsid w:val="00357168"/>
  </w:style>
  <w:style w:type="character" w:customStyle="1" w:styleId="pagerange">
    <w:name w:val="page_range"/>
    <w:basedOn w:val="DefaultParagraphFont"/>
    <w:rsid w:val="00357168"/>
  </w:style>
  <w:style w:type="character" w:customStyle="1" w:styleId="doilink">
    <w:name w:val="doi_link"/>
    <w:basedOn w:val="DefaultParagraphFont"/>
    <w:rsid w:val="00357168"/>
  </w:style>
  <w:style w:type="character" w:customStyle="1" w:styleId="ref-lnk">
    <w:name w:val="ref-lnk"/>
    <w:basedOn w:val="DefaultParagraphFont"/>
    <w:rsid w:val="00357168"/>
  </w:style>
  <w:style w:type="character" w:customStyle="1" w:styleId="ref-overlay">
    <w:name w:val="ref-overlay"/>
    <w:basedOn w:val="DefaultParagraphFont"/>
    <w:rsid w:val="00357168"/>
  </w:style>
  <w:style w:type="character" w:customStyle="1" w:styleId="hlfld-contribauthor">
    <w:name w:val="hlfld-contribauthor"/>
    <w:basedOn w:val="DefaultParagraphFont"/>
    <w:rsid w:val="00357168"/>
  </w:style>
  <w:style w:type="character" w:customStyle="1" w:styleId="nlmgiven-names">
    <w:name w:val="nlm_given-names"/>
    <w:basedOn w:val="DefaultParagraphFont"/>
    <w:rsid w:val="00357168"/>
  </w:style>
  <w:style w:type="character" w:customStyle="1" w:styleId="nlmyear">
    <w:name w:val="nlm_year"/>
    <w:basedOn w:val="DefaultParagraphFont"/>
    <w:rsid w:val="00357168"/>
  </w:style>
  <w:style w:type="character" w:customStyle="1" w:styleId="nlmpublisher-loc">
    <w:name w:val="nlm_publisher-loc"/>
    <w:basedOn w:val="DefaultParagraphFont"/>
    <w:rsid w:val="00357168"/>
  </w:style>
  <w:style w:type="character" w:customStyle="1" w:styleId="nlmpublisher-name">
    <w:name w:val="nlm_publisher-name"/>
    <w:basedOn w:val="DefaultParagraphFont"/>
    <w:rsid w:val="00357168"/>
  </w:style>
  <w:style w:type="character" w:customStyle="1" w:styleId="ref-links">
    <w:name w:val="ref-links"/>
    <w:basedOn w:val="DefaultParagraphFont"/>
    <w:rsid w:val="00357168"/>
  </w:style>
  <w:style w:type="character" w:customStyle="1" w:styleId="xlinks-container">
    <w:name w:val="xlinks-container"/>
    <w:basedOn w:val="DefaultParagraphFont"/>
    <w:rsid w:val="00357168"/>
  </w:style>
  <w:style w:type="character" w:customStyle="1" w:styleId="googlescholar-container">
    <w:name w:val="googlescholar-container"/>
    <w:basedOn w:val="DefaultParagraphFont"/>
    <w:rsid w:val="00357168"/>
  </w:style>
  <w:style w:type="character" w:customStyle="1" w:styleId="nlmchapter-title">
    <w:name w:val="nlm_chapter-title"/>
    <w:basedOn w:val="DefaultParagraphFont"/>
    <w:rsid w:val="00357168"/>
  </w:style>
  <w:style w:type="character" w:styleId="UnresolvedMention">
    <w:name w:val="Unresolved Mention"/>
    <w:basedOn w:val="DefaultParagraphFont"/>
    <w:uiPriority w:val="99"/>
    <w:semiHidden/>
    <w:unhideWhenUsed/>
    <w:rsid w:val="00357168"/>
    <w:rPr>
      <w:color w:val="605E5C"/>
      <w:shd w:val="clear" w:color="auto" w:fill="E1DFDD"/>
    </w:rPr>
  </w:style>
  <w:style w:type="character" w:customStyle="1" w:styleId="nlmarticle-title">
    <w:name w:val="nlm_article-title"/>
    <w:basedOn w:val="DefaultParagraphFont"/>
    <w:rsid w:val="00357168"/>
  </w:style>
  <w:style w:type="character" w:customStyle="1" w:styleId="nlmedition">
    <w:name w:val="nlm_edition"/>
    <w:basedOn w:val="DefaultParagraphFont"/>
    <w:rsid w:val="00357168"/>
  </w:style>
  <w:style w:type="character" w:customStyle="1" w:styleId="nlmfpage">
    <w:name w:val="nlm_fpage"/>
    <w:basedOn w:val="DefaultParagraphFont"/>
    <w:rsid w:val="00357168"/>
  </w:style>
  <w:style w:type="character" w:customStyle="1" w:styleId="nlmlpage">
    <w:name w:val="nlm_lpage"/>
    <w:basedOn w:val="DefaultParagraphFont"/>
    <w:rsid w:val="00357168"/>
  </w:style>
  <w:style w:type="character" w:customStyle="1" w:styleId="nlmpub-id">
    <w:name w:val="nlm_pub-id"/>
    <w:basedOn w:val="DefaultParagraphFont"/>
    <w:rsid w:val="00357168"/>
  </w:style>
  <w:style w:type="character" w:styleId="FollowedHyperlink">
    <w:name w:val="FollowedHyperlink"/>
    <w:basedOn w:val="DefaultParagraphFont"/>
    <w:unhideWhenUsed/>
    <w:rsid w:val="00357168"/>
    <w:rPr>
      <w:color w:val="954F72" w:themeColor="followedHyperlink"/>
      <w:u w:val="single"/>
    </w:rPr>
  </w:style>
  <w:style w:type="character" w:customStyle="1" w:styleId="Date2">
    <w:name w:val="Date2"/>
    <w:basedOn w:val="DefaultParagraphFont"/>
    <w:rsid w:val="00357168"/>
  </w:style>
  <w:style w:type="paragraph" w:styleId="Revision">
    <w:name w:val="Revision"/>
    <w:hidden/>
    <w:uiPriority w:val="99"/>
    <w:semiHidden/>
    <w:rsid w:val="00357168"/>
    <w:rPr>
      <w:rFonts w:asciiTheme="minorHAnsi" w:hAnsiTheme="minorHAnsi" w:cstheme="minorBidi"/>
      <w:sz w:val="24"/>
      <w:szCs w:val="24"/>
    </w:rPr>
  </w:style>
  <w:style w:type="paragraph" w:styleId="Header">
    <w:name w:val="header"/>
    <w:basedOn w:val="Normal"/>
    <w:link w:val="HeaderChar"/>
    <w:rsid w:val="004A626F"/>
    <w:pPr>
      <w:tabs>
        <w:tab w:val="center" w:pos="4513"/>
        <w:tab w:val="right" w:pos="9026"/>
      </w:tabs>
    </w:pPr>
    <w:rPr>
      <w:rFonts w:ascii="Times New Roman" w:eastAsia="Times New Roman" w:hAnsi="Times New Roman" w:cs="Times New Roman"/>
      <w:sz w:val="24"/>
      <w:szCs w:val="24"/>
      <w:lang w:eastAsia="en-GB"/>
    </w:rPr>
  </w:style>
  <w:style w:type="character" w:customStyle="1" w:styleId="HeaderChar">
    <w:name w:val="Header Char"/>
    <w:basedOn w:val="DefaultParagraphFont"/>
    <w:link w:val="Header"/>
    <w:rsid w:val="004A626F"/>
    <w:rPr>
      <w:rFonts w:ascii="Times New Roman" w:eastAsia="Times New Roman" w:hAnsi="Times New Roman" w:cs="Times New Roman"/>
      <w:sz w:val="24"/>
      <w:szCs w:val="24"/>
      <w:lang w:eastAsia="en-GB"/>
    </w:rPr>
  </w:style>
  <w:style w:type="paragraph" w:styleId="ListParagraph">
    <w:name w:val="List Paragraph"/>
    <w:aliases w:val="Bulleted List Paragraph"/>
    <w:basedOn w:val="Normal"/>
    <w:link w:val="ListParagraphChar"/>
    <w:autoRedefine/>
    <w:uiPriority w:val="34"/>
    <w:qFormat/>
    <w:rsid w:val="00B3304A"/>
    <w:pPr>
      <w:numPr>
        <w:numId w:val="6"/>
      </w:numPr>
      <w:spacing w:before="240"/>
    </w:pPr>
    <w:rPr>
      <w:rFonts w:eastAsia="Times New Roman"/>
      <w:color w:val="000000" w:themeColor="text1"/>
      <w:szCs w:val="24"/>
      <w:lang w:eastAsia="en-GB"/>
    </w:rPr>
  </w:style>
  <w:style w:type="paragraph" w:styleId="Caption">
    <w:name w:val="caption"/>
    <w:next w:val="Normal"/>
    <w:uiPriority w:val="35"/>
    <w:unhideWhenUsed/>
    <w:qFormat/>
    <w:rsid w:val="00F57A59"/>
    <w:pPr>
      <w:spacing w:before="240" w:after="480"/>
    </w:pPr>
    <w:rPr>
      <w:i/>
      <w:iCs/>
      <w:color w:val="44546A" w:themeColor="text2"/>
      <w:sz w:val="18"/>
      <w:szCs w:val="18"/>
    </w:rPr>
  </w:style>
  <w:style w:type="paragraph" w:styleId="FootnoteText">
    <w:name w:val="footnote text"/>
    <w:link w:val="FootnoteTextChar"/>
    <w:unhideWhenUsed/>
    <w:rsid w:val="00AB6B04"/>
    <w:rPr>
      <w:sz w:val="20"/>
      <w:szCs w:val="20"/>
    </w:rPr>
  </w:style>
  <w:style w:type="character" w:customStyle="1" w:styleId="FootnoteTextChar">
    <w:name w:val="Footnote Text Char"/>
    <w:basedOn w:val="DefaultParagraphFont"/>
    <w:link w:val="FootnoteText"/>
    <w:rsid w:val="00AB6B04"/>
    <w:rPr>
      <w:sz w:val="20"/>
      <w:szCs w:val="20"/>
    </w:rPr>
  </w:style>
  <w:style w:type="character" w:styleId="FootnoteReference">
    <w:name w:val="footnote reference"/>
    <w:basedOn w:val="DefaultParagraphFont"/>
    <w:unhideWhenUsed/>
    <w:rsid w:val="002F7F16"/>
    <w:rPr>
      <w:vertAlign w:val="superscript"/>
    </w:rPr>
  </w:style>
  <w:style w:type="character" w:customStyle="1" w:styleId="ListParagraphChar">
    <w:name w:val="List Paragraph Char"/>
    <w:aliases w:val="Bulleted List Paragraph Char"/>
    <w:basedOn w:val="DefaultParagraphFont"/>
    <w:link w:val="ListParagraph"/>
    <w:uiPriority w:val="34"/>
    <w:rsid w:val="00B3304A"/>
    <w:rPr>
      <w:rFonts w:eastAsia="Times New Roman"/>
      <w:color w:val="000000" w:themeColor="text1"/>
      <w:szCs w:val="24"/>
      <w:lang w:eastAsia="en-GB"/>
    </w:rPr>
  </w:style>
  <w:style w:type="paragraph" w:customStyle="1" w:styleId="ChapterHeading1">
    <w:name w:val="Chapter Heading 1"/>
    <w:autoRedefine/>
    <w:qFormat/>
    <w:rsid w:val="00127FD5"/>
    <w:pPr>
      <w:pBdr>
        <w:bottom w:val="single" w:sz="4" w:space="12" w:color="auto"/>
      </w:pBdr>
      <w:spacing w:before="240" w:after="480"/>
    </w:pPr>
    <w:rPr>
      <w:rFonts w:eastAsiaTheme="majorEastAsia"/>
      <w:b/>
      <w:color w:val="000000" w:themeColor="text1"/>
      <w:sz w:val="36"/>
      <w:szCs w:val="32"/>
    </w:rPr>
  </w:style>
  <w:style w:type="paragraph" w:styleId="Quote">
    <w:name w:val="Quote"/>
    <w:next w:val="Normal"/>
    <w:link w:val="QuoteChar"/>
    <w:autoRedefine/>
    <w:uiPriority w:val="29"/>
    <w:qFormat/>
    <w:rsid w:val="00A23937"/>
    <w:pPr>
      <w:spacing w:before="480"/>
      <w:ind w:left="284" w:right="284"/>
    </w:pPr>
    <w:rPr>
      <w:i/>
      <w:iCs/>
      <w:color w:val="404040" w:themeColor="text1" w:themeTint="BF"/>
      <w:sz w:val="28"/>
    </w:rPr>
  </w:style>
  <w:style w:type="character" w:customStyle="1" w:styleId="QuoteChar">
    <w:name w:val="Quote Char"/>
    <w:basedOn w:val="DefaultParagraphFont"/>
    <w:link w:val="Quote"/>
    <w:uiPriority w:val="29"/>
    <w:rsid w:val="00A23937"/>
    <w:rPr>
      <w:i/>
      <w:iCs/>
      <w:color w:val="404040" w:themeColor="text1" w:themeTint="BF"/>
      <w:sz w:val="28"/>
    </w:rPr>
  </w:style>
  <w:style w:type="paragraph" w:customStyle="1" w:styleId="Quotecitation">
    <w:name w:val="Quote citation"/>
    <w:qFormat/>
    <w:rsid w:val="00365BC1"/>
    <w:pPr>
      <w:spacing w:after="480"/>
      <w:ind w:left="709" w:right="709"/>
      <w:jc w:val="right"/>
    </w:pPr>
    <w:rPr>
      <w:sz w:val="24"/>
    </w:rPr>
  </w:style>
  <w:style w:type="paragraph" w:customStyle="1" w:styleId="Frontpage-h3">
    <w:name w:val="Front page - h3"/>
    <w:autoRedefine/>
    <w:qFormat/>
    <w:rsid w:val="00C06F67"/>
    <w:pPr>
      <w:spacing w:line="360" w:lineRule="auto"/>
      <w:jc w:val="center"/>
    </w:pPr>
    <w:rPr>
      <w:sz w:val="28"/>
      <w:szCs w:val="28"/>
    </w:rPr>
  </w:style>
  <w:style w:type="paragraph" w:customStyle="1" w:styleId="Frontpage-h1">
    <w:name w:val="Front page - h1"/>
    <w:qFormat/>
    <w:rsid w:val="00531E25"/>
    <w:pPr>
      <w:contextualSpacing/>
      <w:jc w:val="center"/>
    </w:pPr>
    <w:rPr>
      <w:b/>
      <w:bCs/>
      <w:sz w:val="56"/>
      <w:szCs w:val="56"/>
      <w:shd w:val="clear" w:color="auto" w:fill="FFFFFF"/>
      <w:lang w:eastAsia="en-GB"/>
    </w:rPr>
  </w:style>
  <w:style w:type="paragraph" w:customStyle="1" w:styleId="Frontpage-h2">
    <w:name w:val="Front page - h2"/>
    <w:qFormat/>
    <w:rsid w:val="00531E25"/>
    <w:pPr>
      <w:jc w:val="center"/>
    </w:pPr>
    <w:rPr>
      <w:sz w:val="36"/>
    </w:rPr>
  </w:style>
  <w:style w:type="paragraph" w:customStyle="1" w:styleId="Abstractheadings">
    <w:name w:val="Abstract headings"/>
    <w:qFormat/>
    <w:rsid w:val="00EA7B33"/>
    <w:pPr>
      <w:jc w:val="center"/>
    </w:pPr>
    <w:rPr>
      <w:caps/>
    </w:rPr>
  </w:style>
  <w:style w:type="paragraph" w:customStyle="1" w:styleId="Style1">
    <w:name w:val="Style1"/>
    <w:basedOn w:val="Quote"/>
    <w:qFormat/>
    <w:rsid w:val="000444D9"/>
    <w:pPr>
      <w:spacing w:before="240" w:after="120"/>
    </w:pPr>
  </w:style>
  <w:style w:type="paragraph" w:customStyle="1" w:styleId="Abstract">
    <w:name w:val="Abstract"/>
    <w:qFormat/>
    <w:rsid w:val="00DA2190"/>
  </w:style>
  <w:style w:type="paragraph" w:customStyle="1" w:styleId="PageNumber1">
    <w:name w:val="Page Number1"/>
    <w:basedOn w:val="Footer"/>
    <w:qFormat/>
    <w:rsid w:val="00D75AD5"/>
    <w:pPr>
      <w:jc w:val="right"/>
    </w:pPr>
    <w:rPr>
      <w:rFonts w:ascii="Arial" w:hAnsi="Arial" w:cs="Arial"/>
    </w:rPr>
  </w:style>
  <w:style w:type="paragraph" w:customStyle="1" w:styleId="Tableheading">
    <w:name w:val="Table heading"/>
    <w:qFormat/>
    <w:rsid w:val="00B05C9E"/>
    <w:pPr>
      <w:spacing w:line="288" w:lineRule="auto"/>
    </w:pPr>
    <w:rPr>
      <w:b/>
      <w:szCs w:val="28"/>
    </w:rPr>
  </w:style>
  <w:style w:type="paragraph" w:customStyle="1" w:styleId="Tablecontent">
    <w:name w:val="Table content"/>
    <w:qFormat/>
    <w:rsid w:val="00025112"/>
    <w:pPr>
      <w:spacing w:line="288" w:lineRule="auto"/>
    </w:pPr>
  </w:style>
  <w:style w:type="paragraph" w:styleId="TableofFigures">
    <w:name w:val="table of figures"/>
    <w:basedOn w:val="Normal"/>
    <w:next w:val="Normal"/>
    <w:uiPriority w:val="99"/>
    <w:unhideWhenUsed/>
    <w:rsid w:val="00466E4A"/>
    <w:pPr>
      <w:spacing w:after="0"/>
    </w:pPr>
  </w:style>
  <w:style w:type="paragraph" w:customStyle="1" w:styleId="tablecontent-singlespaced">
    <w:name w:val="table content - single spaced"/>
    <w:basedOn w:val="Tablecontent"/>
    <w:qFormat/>
    <w:rsid w:val="007B4C41"/>
    <w:pPr>
      <w:spacing w:line="240" w:lineRule="auto"/>
    </w:pPr>
  </w:style>
  <w:style w:type="paragraph" w:styleId="EndnoteText">
    <w:name w:val="endnote text"/>
    <w:basedOn w:val="Normal"/>
    <w:link w:val="EndnoteTextChar"/>
    <w:uiPriority w:val="99"/>
    <w:semiHidden/>
    <w:unhideWhenUsed/>
    <w:rsid w:val="002C187A"/>
    <w:pPr>
      <w:spacing w:after="0" w:line="240" w:lineRule="auto"/>
    </w:pPr>
    <w:rPr>
      <w:sz w:val="20"/>
      <w:szCs w:val="20"/>
    </w:rPr>
  </w:style>
  <w:style w:type="character" w:customStyle="1" w:styleId="EndnoteTextChar">
    <w:name w:val="Endnote Text Char"/>
    <w:basedOn w:val="DefaultParagraphFont"/>
    <w:link w:val="EndnoteText"/>
    <w:uiPriority w:val="99"/>
    <w:semiHidden/>
    <w:rsid w:val="002C187A"/>
    <w:rPr>
      <w:sz w:val="20"/>
      <w:szCs w:val="20"/>
    </w:rPr>
  </w:style>
  <w:style w:type="character" w:styleId="EndnoteReference">
    <w:name w:val="endnote reference"/>
    <w:basedOn w:val="DefaultParagraphFont"/>
    <w:uiPriority w:val="99"/>
    <w:semiHidden/>
    <w:unhideWhenUsed/>
    <w:rsid w:val="002C187A"/>
    <w:rPr>
      <w:vertAlign w:val="superscript"/>
    </w:rPr>
  </w:style>
  <w:style w:type="character" w:customStyle="1" w:styleId="Date3">
    <w:name w:val="Date3"/>
    <w:basedOn w:val="DefaultParagraphFont"/>
    <w:rsid w:val="00BB750B"/>
  </w:style>
  <w:style w:type="paragraph" w:styleId="NoSpacing">
    <w:name w:val="No Spacing"/>
    <w:link w:val="NoSpacingChar"/>
    <w:uiPriority w:val="1"/>
    <w:qFormat/>
    <w:rsid w:val="00F671C0"/>
  </w:style>
  <w:style w:type="character" w:customStyle="1" w:styleId="NoSpacingChar">
    <w:name w:val="No Spacing Char"/>
    <w:basedOn w:val="DefaultParagraphFont"/>
    <w:link w:val="NoSpacing"/>
    <w:uiPriority w:val="1"/>
    <w:rsid w:val="00BF4B5A"/>
  </w:style>
  <w:style w:type="paragraph" w:customStyle="1" w:styleId="AcknowledgementsTitle">
    <w:name w:val="Acknowledgements Title"/>
    <w:qFormat/>
    <w:rsid w:val="00231363"/>
    <w:pPr>
      <w:pBdr>
        <w:bottom w:val="single" w:sz="4" w:space="12" w:color="auto"/>
      </w:pBdr>
      <w:spacing w:before="240" w:after="480"/>
    </w:pPr>
    <w:rPr>
      <w:rFonts w:eastAsiaTheme="majorEastAsia"/>
      <w:b/>
      <w:color w:val="000000" w:themeColor="text1"/>
      <w:sz w:val="36"/>
      <w:szCs w:val="32"/>
    </w:rPr>
  </w:style>
  <w:style w:type="paragraph" w:customStyle="1" w:styleId="Appendixlist">
    <w:name w:val="Appendix list"/>
    <w:qFormat/>
    <w:rsid w:val="008F658C"/>
    <w:pPr>
      <w:spacing w:after="120"/>
    </w:pPr>
  </w:style>
  <w:style w:type="character" w:customStyle="1" w:styleId="cls-response">
    <w:name w:val="cls-response"/>
    <w:basedOn w:val="DefaultParagraphFont"/>
    <w:rsid w:val="00067907"/>
  </w:style>
  <w:style w:type="character" w:styleId="Emphasis">
    <w:name w:val="Emphasis"/>
    <w:basedOn w:val="DefaultParagraphFont"/>
    <w:uiPriority w:val="20"/>
    <w:qFormat/>
    <w:rsid w:val="00067907"/>
    <w:rPr>
      <w:i/>
      <w:iCs/>
    </w:rPr>
  </w:style>
  <w:style w:type="character" w:customStyle="1" w:styleId="author">
    <w:name w:val="author"/>
    <w:basedOn w:val="DefaultParagraphFont"/>
    <w:rsid w:val="00067907"/>
  </w:style>
  <w:style w:type="character" w:customStyle="1" w:styleId="surname">
    <w:name w:val="surname"/>
    <w:basedOn w:val="DefaultParagraphFont"/>
    <w:rsid w:val="00067907"/>
  </w:style>
  <w:style w:type="character" w:customStyle="1" w:styleId="given-names">
    <w:name w:val="given-names"/>
    <w:basedOn w:val="DefaultParagraphFont"/>
    <w:rsid w:val="00067907"/>
  </w:style>
  <w:style w:type="character" w:customStyle="1" w:styleId="year">
    <w:name w:val="year"/>
    <w:basedOn w:val="DefaultParagraphFont"/>
    <w:rsid w:val="00067907"/>
  </w:style>
  <w:style w:type="character" w:customStyle="1" w:styleId="source">
    <w:name w:val="source"/>
    <w:basedOn w:val="DefaultParagraphFont"/>
    <w:rsid w:val="00067907"/>
  </w:style>
  <w:style w:type="character" w:customStyle="1" w:styleId="publisher-loc">
    <w:name w:val="publisher-loc"/>
    <w:basedOn w:val="DefaultParagraphFont"/>
    <w:rsid w:val="00067907"/>
  </w:style>
  <w:style w:type="character" w:styleId="HTMLCite">
    <w:name w:val="HTML Cite"/>
    <w:basedOn w:val="DefaultParagraphFont"/>
    <w:uiPriority w:val="99"/>
    <w:unhideWhenUsed/>
    <w:rsid w:val="00067907"/>
    <w:rPr>
      <w:i/>
      <w:iCs/>
    </w:rPr>
  </w:style>
  <w:style w:type="character" w:customStyle="1" w:styleId="groupname">
    <w:name w:val="groupname"/>
    <w:basedOn w:val="DefaultParagraphFont"/>
    <w:rsid w:val="00067907"/>
  </w:style>
  <w:style w:type="character" w:customStyle="1" w:styleId="pubyear">
    <w:name w:val="pubyear"/>
    <w:basedOn w:val="DefaultParagraphFont"/>
    <w:rsid w:val="00067907"/>
  </w:style>
  <w:style w:type="character" w:customStyle="1" w:styleId="booktitle">
    <w:name w:val="booktitle"/>
    <w:basedOn w:val="DefaultParagraphFont"/>
    <w:rsid w:val="00067907"/>
  </w:style>
  <w:style w:type="character" w:customStyle="1" w:styleId="pull-double">
    <w:name w:val="pull-double"/>
    <w:basedOn w:val="DefaultParagraphFont"/>
    <w:rsid w:val="00067907"/>
  </w:style>
  <w:style w:type="character" w:customStyle="1" w:styleId="date10">
    <w:name w:val="date1"/>
    <w:basedOn w:val="DefaultParagraphFont"/>
    <w:rsid w:val="00067907"/>
  </w:style>
  <w:style w:type="paragraph" w:customStyle="1" w:styleId="pubdate">
    <w:name w:val="pubdate"/>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Strong">
    <w:name w:val="Strong"/>
    <w:basedOn w:val="DefaultParagraphFont"/>
    <w:uiPriority w:val="22"/>
    <w:qFormat/>
    <w:rsid w:val="00067907"/>
    <w:rPr>
      <w:b/>
      <w:bCs/>
    </w:rPr>
  </w:style>
  <w:style w:type="paragraph" w:customStyle="1" w:styleId="isbn">
    <w:name w:val="isbn"/>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ages">
    <w:name w:val="pages"/>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format">
    <w:name w:val="format"/>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prices">
    <w:name w:val="prices"/>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price">
    <w:name w:val="price"/>
    <w:basedOn w:val="DefaultParagraphFont"/>
    <w:rsid w:val="00067907"/>
  </w:style>
  <w:style w:type="paragraph" w:customStyle="1" w:styleId="publisher">
    <w:name w:val="publisher"/>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main-heading">
    <w:name w:val="main-heading"/>
    <w:basedOn w:val="DefaultParagraphFont"/>
    <w:rsid w:val="00067907"/>
  </w:style>
  <w:style w:type="paragraph" w:customStyle="1" w:styleId="dx-doi">
    <w:name w:val="dx-doi"/>
    <w:basedOn w:val="Normal"/>
    <w:rsid w:val="00067907"/>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dentifier">
    <w:name w:val="identifier"/>
    <w:basedOn w:val="DefaultParagraphFont"/>
    <w:rsid w:val="00067907"/>
  </w:style>
  <w:style w:type="character" w:customStyle="1" w:styleId="id-label">
    <w:name w:val="id-label"/>
    <w:basedOn w:val="DefaultParagraphFont"/>
    <w:rsid w:val="00067907"/>
  </w:style>
  <w:style w:type="character" w:customStyle="1" w:styleId="al-author-name-more">
    <w:name w:val="al-author-name-more"/>
    <w:basedOn w:val="DefaultParagraphFont"/>
    <w:rsid w:val="00067907"/>
  </w:style>
  <w:style w:type="character" w:customStyle="1" w:styleId="delimiter">
    <w:name w:val="delimiter"/>
    <w:basedOn w:val="DefaultParagraphFont"/>
    <w:rsid w:val="00067907"/>
  </w:style>
  <w:style w:type="paragraph" w:customStyle="1" w:styleId="xmsonormal">
    <w:name w:val="x_msonormal"/>
    <w:basedOn w:val="Normal"/>
    <w:rsid w:val="00F97CC4"/>
    <w:pPr>
      <w:spacing w:after="0" w:line="240" w:lineRule="auto"/>
    </w:pPr>
    <w:rPr>
      <w:rFonts w:ascii="Calibri" w:hAnsi="Calibri" w:cs="Calibri"/>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616903">
      <w:bodyDiv w:val="1"/>
      <w:marLeft w:val="0"/>
      <w:marRight w:val="0"/>
      <w:marTop w:val="0"/>
      <w:marBottom w:val="0"/>
      <w:divBdr>
        <w:top w:val="none" w:sz="0" w:space="0" w:color="auto"/>
        <w:left w:val="none" w:sz="0" w:space="0" w:color="auto"/>
        <w:bottom w:val="none" w:sz="0" w:space="0" w:color="auto"/>
        <w:right w:val="none" w:sz="0" w:space="0" w:color="auto"/>
      </w:divBdr>
    </w:div>
    <w:div w:id="48919275">
      <w:bodyDiv w:val="1"/>
      <w:marLeft w:val="0"/>
      <w:marRight w:val="0"/>
      <w:marTop w:val="0"/>
      <w:marBottom w:val="0"/>
      <w:divBdr>
        <w:top w:val="none" w:sz="0" w:space="0" w:color="auto"/>
        <w:left w:val="none" w:sz="0" w:space="0" w:color="auto"/>
        <w:bottom w:val="none" w:sz="0" w:space="0" w:color="auto"/>
        <w:right w:val="none" w:sz="0" w:space="0" w:color="auto"/>
      </w:divBdr>
    </w:div>
    <w:div w:id="82383595">
      <w:bodyDiv w:val="1"/>
      <w:marLeft w:val="0"/>
      <w:marRight w:val="0"/>
      <w:marTop w:val="0"/>
      <w:marBottom w:val="0"/>
      <w:divBdr>
        <w:top w:val="none" w:sz="0" w:space="0" w:color="auto"/>
        <w:left w:val="none" w:sz="0" w:space="0" w:color="auto"/>
        <w:bottom w:val="none" w:sz="0" w:space="0" w:color="auto"/>
        <w:right w:val="none" w:sz="0" w:space="0" w:color="auto"/>
      </w:divBdr>
    </w:div>
    <w:div w:id="180360529">
      <w:bodyDiv w:val="1"/>
      <w:marLeft w:val="0"/>
      <w:marRight w:val="0"/>
      <w:marTop w:val="0"/>
      <w:marBottom w:val="0"/>
      <w:divBdr>
        <w:top w:val="none" w:sz="0" w:space="0" w:color="auto"/>
        <w:left w:val="none" w:sz="0" w:space="0" w:color="auto"/>
        <w:bottom w:val="none" w:sz="0" w:space="0" w:color="auto"/>
        <w:right w:val="none" w:sz="0" w:space="0" w:color="auto"/>
      </w:divBdr>
    </w:div>
    <w:div w:id="240409982">
      <w:bodyDiv w:val="1"/>
      <w:marLeft w:val="0"/>
      <w:marRight w:val="0"/>
      <w:marTop w:val="0"/>
      <w:marBottom w:val="0"/>
      <w:divBdr>
        <w:top w:val="none" w:sz="0" w:space="0" w:color="auto"/>
        <w:left w:val="none" w:sz="0" w:space="0" w:color="auto"/>
        <w:bottom w:val="none" w:sz="0" w:space="0" w:color="auto"/>
        <w:right w:val="none" w:sz="0" w:space="0" w:color="auto"/>
      </w:divBdr>
    </w:div>
    <w:div w:id="366830046">
      <w:bodyDiv w:val="1"/>
      <w:marLeft w:val="0"/>
      <w:marRight w:val="0"/>
      <w:marTop w:val="0"/>
      <w:marBottom w:val="0"/>
      <w:divBdr>
        <w:top w:val="none" w:sz="0" w:space="0" w:color="auto"/>
        <w:left w:val="none" w:sz="0" w:space="0" w:color="auto"/>
        <w:bottom w:val="none" w:sz="0" w:space="0" w:color="auto"/>
        <w:right w:val="none" w:sz="0" w:space="0" w:color="auto"/>
      </w:divBdr>
    </w:div>
    <w:div w:id="511185578">
      <w:bodyDiv w:val="1"/>
      <w:marLeft w:val="0"/>
      <w:marRight w:val="0"/>
      <w:marTop w:val="0"/>
      <w:marBottom w:val="0"/>
      <w:divBdr>
        <w:top w:val="none" w:sz="0" w:space="0" w:color="auto"/>
        <w:left w:val="none" w:sz="0" w:space="0" w:color="auto"/>
        <w:bottom w:val="none" w:sz="0" w:space="0" w:color="auto"/>
        <w:right w:val="none" w:sz="0" w:space="0" w:color="auto"/>
      </w:divBdr>
      <w:divsChild>
        <w:div w:id="1644237039">
          <w:marLeft w:val="0"/>
          <w:marRight w:val="0"/>
          <w:marTop w:val="0"/>
          <w:marBottom w:val="0"/>
          <w:divBdr>
            <w:top w:val="none" w:sz="0" w:space="0" w:color="auto"/>
            <w:left w:val="none" w:sz="0" w:space="0" w:color="auto"/>
            <w:bottom w:val="none" w:sz="0" w:space="0" w:color="auto"/>
            <w:right w:val="none" w:sz="0" w:space="0" w:color="auto"/>
          </w:divBdr>
          <w:divsChild>
            <w:div w:id="358288110">
              <w:marLeft w:val="0"/>
              <w:marRight w:val="0"/>
              <w:marTop w:val="0"/>
              <w:marBottom w:val="0"/>
              <w:divBdr>
                <w:top w:val="none" w:sz="0" w:space="0" w:color="auto"/>
                <w:left w:val="none" w:sz="0" w:space="0" w:color="auto"/>
                <w:bottom w:val="none" w:sz="0" w:space="0" w:color="auto"/>
                <w:right w:val="none" w:sz="0" w:space="0" w:color="auto"/>
              </w:divBdr>
              <w:divsChild>
                <w:div w:id="157458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778608">
      <w:bodyDiv w:val="1"/>
      <w:marLeft w:val="0"/>
      <w:marRight w:val="0"/>
      <w:marTop w:val="0"/>
      <w:marBottom w:val="0"/>
      <w:divBdr>
        <w:top w:val="none" w:sz="0" w:space="0" w:color="auto"/>
        <w:left w:val="none" w:sz="0" w:space="0" w:color="auto"/>
        <w:bottom w:val="none" w:sz="0" w:space="0" w:color="auto"/>
        <w:right w:val="none" w:sz="0" w:space="0" w:color="auto"/>
      </w:divBdr>
      <w:divsChild>
        <w:div w:id="1394163637">
          <w:marLeft w:val="547"/>
          <w:marRight w:val="0"/>
          <w:marTop w:val="0"/>
          <w:marBottom w:val="0"/>
          <w:divBdr>
            <w:top w:val="none" w:sz="0" w:space="0" w:color="auto"/>
            <w:left w:val="none" w:sz="0" w:space="0" w:color="auto"/>
            <w:bottom w:val="none" w:sz="0" w:space="0" w:color="auto"/>
            <w:right w:val="none" w:sz="0" w:space="0" w:color="auto"/>
          </w:divBdr>
        </w:div>
      </w:divsChild>
    </w:div>
    <w:div w:id="580216603">
      <w:bodyDiv w:val="1"/>
      <w:marLeft w:val="0"/>
      <w:marRight w:val="0"/>
      <w:marTop w:val="0"/>
      <w:marBottom w:val="0"/>
      <w:divBdr>
        <w:top w:val="none" w:sz="0" w:space="0" w:color="auto"/>
        <w:left w:val="none" w:sz="0" w:space="0" w:color="auto"/>
        <w:bottom w:val="none" w:sz="0" w:space="0" w:color="auto"/>
        <w:right w:val="none" w:sz="0" w:space="0" w:color="auto"/>
      </w:divBdr>
    </w:div>
    <w:div w:id="586306159">
      <w:bodyDiv w:val="1"/>
      <w:marLeft w:val="0"/>
      <w:marRight w:val="0"/>
      <w:marTop w:val="0"/>
      <w:marBottom w:val="0"/>
      <w:divBdr>
        <w:top w:val="none" w:sz="0" w:space="0" w:color="auto"/>
        <w:left w:val="none" w:sz="0" w:space="0" w:color="auto"/>
        <w:bottom w:val="none" w:sz="0" w:space="0" w:color="auto"/>
        <w:right w:val="none" w:sz="0" w:space="0" w:color="auto"/>
      </w:divBdr>
    </w:div>
    <w:div w:id="708147129">
      <w:bodyDiv w:val="1"/>
      <w:marLeft w:val="0"/>
      <w:marRight w:val="0"/>
      <w:marTop w:val="0"/>
      <w:marBottom w:val="0"/>
      <w:divBdr>
        <w:top w:val="none" w:sz="0" w:space="0" w:color="auto"/>
        <w:left w:val="none" w:sz="0" w:space="0" w:color="auto"/>
        <w:bottom w:val="none" w:sz="0" w:space="0" w:color="auto"/>
        <w:right w:val="none" w:sz="0" w:space="0" w:color="auto"/>
      </w:divBdr>
    </w:div>
    <w:div w:id="761727188">
      <w:bodyDiv w:val="1"/>
      <w:marLeft w:val="0"/>
      <w:marRight w:val="0"/>
      <w:marTop w:val="0"/>
      <w:marBottom w:val="0"/>
      <w:divBdr>
        <w:top w:val="none" w:sz="0" w:space="0" w:color="auto"/>
        <w:left w:val="none" w:sz="0" w:space="0" w:color="auto"/>
        <w:bottom w:val="none" w:sz="0" w:space="0" w:color="auto"/>
        <w:right w:val="none" w:sz="0" w:space="0" w:color="auto"/>
      </w:divBdr>
    </w:div>
    <w:div w:id="1396590128">
      <w:bodyDiv w:val="1"/>
      <w:marLeft w:val="0"/>
      <w:marRight w:val="0"/>
      <w:marTop w:val="0"/>
      <w:marBottom w:val="0"/>
      <w:divBdr>
        <w:top w:val="none" w:sz="0" w:space="0" w:color="auto"/>
        <w:left w:val="none" w:sz="0" w:space="0" w:color="auto"/>
        <w:bottom w:val="none" w:sz="0" w:space="0" w:color="auto"/>
        <w:right w:val="none" w:sz="0" w:space="0" w:color="auto"/>
      </w:divBdr>
    </w:div>
    <w:div w:id="1458984539">
      <w:bodyDiv w:val="1"/>
      <w:marLeft w:val="0"/>
      <w:marRight w:val="0"/>
      <w:marTop w:val="0"/>
      <w:marBottom w:val="0"/>
      <w:divBdr>
        <w:top w:val="none" w:sz="0" w:space="0" w:color="auto"/>
        <w:left w:val="none" w:sz="0" w:space="0" w:color="auto"/>
        <w:bottom w:val="none" w:sz="0" w:space="0" w:color="auto"/>
        <w:right w:val="none" w:sz="0" w:space="0" w:color="auto"/>
      </w:divBdr>
    </w:div>
    <w:div w:id="1654527000">
      <w:bodyDiv w:val="1"/>
      <w:marLeft w:val="0"/>
      <w:marRight w:val="0"/>
      <w:marTop w:val="0"/>
      <w:marBottom w:val="0"/>
      <w:divBdr>
        <w:top w:val="none" w:sz="0" w:space="0" w:color="auto"/>
        <w:left w:val="none" w:sz="0" w:space="0" w:color="auto"/>
        <w:bottom w:val="none" w:sz="0" w:space="0" w:color="auto"/>
        <w:right w:val="none" w:sz="0" w:space="0" w:color="auto"/>
      </w:divBdr>
      <w:divsChild>
        <w:div w:id="885486002">
          <w:marLeft w:val="0"/>
          <w:marRight w:val="0"/>
          <w:marTop w:val="0"/>
          <w:marBottom w:val="0"/>
          <w:divBdr>
            <w:top w:val="none" w:sz="0" w:space="0" w:color="auto"/>
            <w:left w:val="none" w:sz="0" w:space="0" w:color="auto"/>
            <w:bottom w:val="none" w:sz="0" w:space="0" w:color="auto"/>
            <w:right w:val="none" w:sz="0" w:space="0" w:color="auto"/>
          </w:divBdr>
          <w:divsChild>
            <w:div w:id="1713773631">
              <w:marLeft w:val="0"/>
              <w:marRight w:val="0"/>
              <w:marTop w:val="0"/>
              <w:marBottom w:val="0"/>
              <w:divBdr>
                <w:top w:val="none" w:sz="0" w:space="0" w:color="auto"/>
                <w:left w:val="none" w:sz="0" w:space="0" w:color="auto"/>
                <w:bottom w:val="none" w:sz="0" w:space="0" w:color="auto"/>
                <w:right w:val="none" w:sz="0" w:space="0" w:color="auto"/>
              </w:divBdr>
              <w:divsChild>
                <w:div w:id="127093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7609952">
      <w:bodyDiv w:val="1"/>
      <w:marLeft w:val="0"/>
      <w:marRight w:val="0"/>
      <w:marTop w:val="0"/>
      <w:marBottom w:val="0"/>
      <w:divBdr>
        <w:top w:val="none" w:sz="0" w:space="0" w:color="auto"/>
        <w:left w:val="none" w:sz="0" w:space="0" w:color="auto"/>
        <w:bottom w:val="none" w:sz="0" w:space="0" w:color="auto"/>
        <w:right w:val="none" w:sz="0" w:space="0" w:color="auto"/>
      </w:divBdr>
      <w:divsChild>
        <w:div w:id="2042003047">
          <w:marLeft w:val="0"/>
          <w:marRight w:val="0"/>
          <w:marTop w:val="0"/>
          <w:marBottom w:val="0"/>
          <w:divBdr>
            <w:top w:val="none" w:sz="0" w:space="0" w:color="auto"/>
            <w:left w:val="none" w:sz="0" w:space="0" w:color="auto"/>
            <w:bottom w:val="none" w:sz="0" w:space="0" w:color="auto"/>
            <w:right w:val="none" w:sz="0" w:space="0" w:color="auto"/>
          </w:divBdr>
          <w:divsChild>
            <w:div w:id="1620063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908010">
      <w:bodyDiv w:val="1"/>
      <w:marLeft w:val="0"/>
      <w:marRight w:val="0"/>
      <w:marTop w:val="0"/>
      <w:marBottom w:val="0"/>
      <w:divBdr>
        <w:top w:val="none" w:sz="0" w:space="0" w:color="auto"/>
        <w:left w:val="none" w:sz="0" w:space="0" w:color="auto"/>
        <w:bottom w:val="none" w:sz="0" w:space="0" w:color="auto"/>
        <w:right w:val="none" w:sz="0" w:space="0" w:color="auto"/>
      </w:divBdr>
      <w:divsChild>
        <w:div w:id="1396508318">
          <w:marLeft w:val="0"/>
          <w:marRight w:val="0"/>
          <w:marTop w:val="0"/>
          <w:marBottom w:val="0"/>
          <w:divBdr>
            <w:top w:val="none" w:sz="0" w:space="0" w:color="auto"/>
            <w:left w:val="none" w:sz="0" w:space="0" w:color="auto"/>
            <w:bottom w:val="none" w:sz="0" w:space="0" w:color="auto"/>
            <w:right w:val="none" w:sz="0" w:space="0" w:color="auto"/>
          </w:divBdr>
          <w:divsChild>
            <w:div w:id="374937784">
              <w:marLeft w:val="0"/>
              <w:marRight w:val="0"/>
              <w:marTop w:val="0"/>
              <w:marBottom w:val="0"/>
              <w:divBdr>
                <w:top w:val="none" w:sz="0" w:space="0" w:color="auto"/>
                <w:left w:val="none" w:sz="0" w:space="0" w:color="auto"/>
                <w:bottom w:val="none" w:sz="0" w:space="0" w:color="auto"/>
                <w:right w:val="none" w:sz="0" w:space="0" w:color="auto"/>
              </w:divBdr>
              <w:divsChild>
                <w:div w:id="1216700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694141">
      <w:bodyDiv w:val="1"/>
      <w:marLeft w:val="0"/>
      <w:marRight w:val="0"/>
      <w:marTop w:val="0"/>
      <w:marBottom w:val="0"/>
      <w:divBdr>
        <w:top w:val="none" w:sz="0" w:space="0" w:color="auto"/>
        <w:left w:val="none" w:sz="0" w:space="0" w:color="auto"/>
        <w:bottom w:val="none" w:sz="0" w:space="0" w:color="auto"/>
        <w:right w:val="none" w:sz="0" w:space="0" w:color="auto"/>
      </w:divBdr>
      <w:divsChild>
        <w:div w:id="1930232461">
          <w:marLeft w:val="0"/>
          <w:marRight w:val="0"/>
          <w:marTop w:val="0"/>
          <w:marBottom w:val="0"/>
          <w:divBdr>
            <w:top w:val="none" w:sz="0" w:space="0" w:color="auto"/>
            <w:left w:val="none" w:sz="0" w:space="0" w:color="auto"/>
            <w:bottom w:val="none" w:sz="0" w:space="0" w:color="auto"/>
            <w:right w:val="none" w:sz="0" w:space="0" w:color="auto"/>
          </w:divBdr>
          <w:divsChild>
            <w:div w:id="794375008">
              <w:marLeft w:val="0"/>
              <w:marRight w:val="0"/>
              <w:marTop w:val="0"/>
              <w:marBottom w:val="0"/>
              <w:divBdr>
                <w:top w:val="none" w:sz="0" w:space="0" w:color="auto"/>
                <w:left w:val="none" w:sz="0" w:space="0" w:color="auto"/>
                <w:bottom w:val="none" w:sz="0" w:space="0" w:color="auto"/>
                <w:right w:val="none" w:sz="0" w:space="0" w:color="auto"/>
              </w:divBdr>
              <w:divsChild>
                <w:div w:id="2048945698">
                  <w:marLeft w:val="0"/>
                  <w:marRight w:val="0"/>
                  <w:marTop w:val="0"/>
                  <w:marBottom w:val="0"/>
                  <w:divBdr>
                    <w:top w:val="none" w:sz="0" w:space="0" w:color="auto"/>
                    <w:left w:val="none" w:sz="0" w:space="0" w:color="auto"/>
                    <w:bottom w:val="none" w:sz="0" w:space="0" w:color="auto"/>
                    <w:right w:val="none" w:sz="0" w:space="0" w:color="auto"/>
                  </w:divBdr>
                  <w:divsChild>
                    <w:div w:id="1537700041">
                      <w:marLeft w:val="0"/>
                      <w:marRight w:val="0"/>
                      <w:marTop w:val="0"/>
                      <w:marBottom w:val="0"/>
                      <w:divBdr>
                        <w:top w:val="none" w:sz="0" w:space="0" w:color="auto"/>
                        <w:left w:val="none" w:sz="0" w:space="0" w:color="auto"/>
                        <w:bottom w:val="none" w:sz="0" w:space="0" w:color="auto"/>
                        <w:right w:val="none" w:sz="0" w:space="0" w:color="auto"/>
                      </w:divBdr>
                    </w:div>
                    <w:div w:id="193023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85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legislation.gov.uk/uksi/2011/581/contents/made" TargetMode="External"/><Relationship Id="rId21" Type="http://schemas.openxmlformats.org/officeDocument/2006/relationships/diagramLayout" Target="diagrams/layout2.xml"/><Relationship Id="rId63" Type="http://schemas.openxmlformats.org/officeDocument/2006/relationships/hyperlink" Target="https://www.centreforsocialjustice.org.uk/library/finding-their-feet-equipping-care-leavers-to-reach-their-potential" TargetMode="External"/><Relationship Id="rId159" Type="http://schemas.openxmlformats.org/officeDocument/2006/relationships/hyperlink" Target="https://doi.org/10.1111/cfs.12792" TargetMode="External"/><Relationship Id="rId170" Type="http://schemas.openxmlformats.org/officeDocument/2006/relationships/hyperlink" Target="https://doi.org/10.1163/15718180020494640" TargetMode="External"/><Relationship Id="rId226" Type="http://schemas.openxmlformats.org/officeDocument/2006/relationships/hyperlink" Target="https://doi.org/10.1002/chi.817" TargetMode="External"/><Relationship Id="rId268" Type="http://schemas.openxmlformats.org/officeDocument/2006/relationships/fontTable" Target="fontTable.xml"/><Relationship Id="rId11" Type="http://schemas.openxmlformats.org/officeDocument/2006/relationships/image" Target="media/image2.jpg"/><Relationship Id="rId32" Type="http://schemas.openxmlformats.org/officeDocument/2006/relationships/image" Target="media/image8.png"/><Relationship Id="rId53" Type="http://schemas.openxmlformats.org/officeDocument/2006/relationships/hyperlink" Target="https://coramvoice.org.uk/wp-content/uploads/2020/11/1883-CV-What-Makes-Life-Good-Report-final.pdf" TargetMode="External"/><Relationship Id="rId74" Type="http://schemas.openxmlformats.org/officeDocument/2006/relationships/hyperlink" Target="https://www.legislation.gov.uk/ukpga/1969/54/contents/enacted" TargetMode="External"/><Relationship Id="rId128" Type="http://schemas.openxmlformats.org/officeDocument/2006/relationships/hyperlink" Target="https://doi.org/10.1046/j.1365-2206.2002.00251.x" TargetMode="External"/><Relationship Id="rId149" Type="http://schemas.openxmlformats.org/officeDocument/2006/relationships/hyperlink" Target="https://doi.org/10.1111/j.1365-2206.2006.00410.x" TargetMode="External"/><Relationship Id="rId5" Type="http://schemas.openxmlformats.org/officeDocument/2006/relationships/webSettings" Target="webSettings.xml"/><Relationship Id="rId95" Type="http://schemas.openxmlformats.org/officeDocument/2006/relationships/hyperlink" Target="https://assets.publishing.service.gov.uk/government/uploads/system/uploads/attachment_data/file/397649/CA1989_Transitions_guidance.pdf" TargetMode="External"/><Relationship Id="rId160" Type="http://schemas.openxmlformats.org/officeDocument/2006/relationships/hyperlink" Target="https://doi.org/10.1111/cfs.12685" TargetMode="External"/><Relationship Id="rId181" Type="http://schemas.openxmlformats.org/officeDocument/2006/relationships/hyperlink" Target="https://doi.org/10.1111/cfs.12648" TargetMode="External"/><Relationship Id="rId216" Type="http://schemas.openxmlformats.org/officeDocument/2006/relationships/hyperlink" Target="https://www.communitycare.co.uk/2021/03/12/regulator-probe-whether-profit-comes-expense-quality-childrens-social-care-market/" TargetMode="External"/><Relationship Id="rId237" Type="http://schemas.openxmlformats.org/officeDocument/2006/relationships/hyperlink" Target="https://www.thefosteringnetwork.org.uk/sites/www.fostering.net/files/content/stayingput-anunfulfilledpromise.pdf" TargetMode="External"/><Relationship Id="rId258" Type="http://schemas.openxmlformats.org/officeDocument/2006/relationships/image" Target="media/image17.emf"/><Relationship Id="rId22" Type="http://schemas.openxmlformats.org/officeDocument/2006/relationships/diagramQuickStyle" Target="diagrams/quickStyle2.xml"/><Relationship Id="rId43" Type="http://schemas.openxmlformats.org/officeDocument/2006/relationships/hyperlink" Target="https://doi.org/10.1016/j.childyouth.2017.06.055" TargetMode="External"/><Relationship Id="rId64" Type="http://schemas.openxmlformats.org/officeDocument/2006/relationships/hyperlink" Target="https://doi.org/10.1007/978-3-663-11215-0_11" TargetMode="External"/><Relationship Id="rId118" Type="http://schemas.openxmlformats.org/officeDocument/2006/relationships/hyperlink" Target="https://doi.org/10.1080/09649069108416148" TargetMode="External"/><Relationship Id="rId139" Type="http://schemas.openxmlformats.org/officeDocument/2006/relationships/hyperlink" Target="https://doi.org/10.1086/644463" TargetMode="External"/><Relationship Id="rId85" Type="http://schemas.openxmlformats.org/officeDocument/2006/relationships/hyperlink" Target="https://dx.doi.org/10.1002/car.1064" TargetMode="External"/><Relationship Id="rId150" Type="http://schemas.openxmlformats.org/officeDocument/2006/relationships/hyperlink" Target="https://doi.org/10.1111/j.1099-0860.1996.tb00462.x" TargetMode="External"/><Relationship Id="rId171" Type="http://schemas.openxmlformats.org/officeDocument/2006/relationships/hyperlink" Target="http://doi:10.1111/j.1365-2206.2009.00619" TargetMode="External"/><Relationship Id="rId192" Type="http://schemas.openxmlformats.org/officeDocument/2006/relationships/hyperlink" Target="https://oxfordre.com/internationalstudies/view/10.1093/acrefore/9780190846626.001.0001/acrefore-9780190846626-e-50" TargetMode="External"/><Relationship Id="rId206" Type="http://schemas.openxmlformats.org/officeDocument/2006/relationships/hyperlink" Target="https://doi.org/10.1111/cfs.12395" TargetMode="External"/><Relationship Id="rId227" Type="http://schemas.openxmlformats.org/officeDocument/2006/relationships/hyperlink" Target="https://doi.org/10.1111/j.1365-2206.2006.00439.x" TargetMode="External"/><Relationship Id="rId248" Type="http://schemas.openxmlformats.org/officeDocument/2006/relationships/hyperlink" Target="https://doi.org/10.1111/j.1365-2206.2009.00658.x" TargetMode="External"/><Relationship Id="rId269" Type="http://schemas.openxmlformats.org/officeDocument/2006/relationships/theme" Target="theme/theme1.xml"/><Relationship Id="rId12" Type="http://schemas.openxmlformats.org/officeDocument/2006/relationships/diagramData" Target="diagrams/data1.xml"/><Relationship Id="rId33" Type="http://schemas.openxmlformats.org/officeDocument/2006/relationships/image" Target="media/image9.jpeg"/><Relationship Id="rId108" Type="http://schemas.openxmlformats.org/officeDocument/2006/relationships/hyperlink" Target="https://www.york.ac.uk/inst/spru/research/pdf/leaving.pdf" TargetMode="External"/><Relationship Id="rId129" Type="http://schemas.openxmlformats.org/officeDocument/2006/relationships/hyperlink" Target="https://centrepoint.org.uk/media/2035/from-care-to-where-centrepoint-report.pdf" TargetMode="External"/><Relationship Id="rId54" Type="http://schemas.openxmlformats.org/officeDocument/2006/relationships/hyperlink" Target="https://www.basw.co.uk/system/files/resources/Code%20of%20Ethics%20Aug18.pdf" TargetMode="External"/><Relationship Id="rId75" Type="http://schemas.openxmlformats.org/officeDocument/2006/relationships/hyperlink" Target="http://www.legislation.gov.uk/ukpga/2008/23/contents" TargetMode="External"/><Relationship Id="rId96" Type="http://schemas.openxmlformats.org/officeDocument/2006/relationships/hyperlink" Target="https://assets.publishing.service.gov.uk/government/uploads/system/uploads/attachment_data/file/441643/Children_Act_Guidance_2015.pdf" TargetMode="External"/><Relationship Id="rId140" Type="http://schemas.openxmlformats.org/officeDocument/2006/relationships/hyperlink" Target="https://doi.org/10.1016/j.childyouth.2012.10.003" TargetMode="External"/><Relationship Id="rId161" Type="http://schemas.openxmlformats.org/officeDocument/2006/relationships/hyperlink" Target="https://doi.org/10.1111/cfs.12224" TargetMode="External"/><Relationship Id="rId182" Type="http://schemas.openxmlformats.org/officeDocument/2006/relationships/hyperlink" Target="https://www.gov.uk/government/uploads/system/uploads/attachment_data/file/577103/youth-justice-review-final-report.pdf" TargetMode="External"/><Relationship Id="rId217" Type="http://schemas.openxmlformats.org/officeDocument/2006/relationships/hyperlink" Target="https://doi.org/10.1007/s10826-014-0062-x" TargetMode="External"/><Relationship Id="rId6" Type="http://schemas.openxmlformats.org/officeDocument/2006/relationships/footnotes" Target="footnotes.xml"/><Relationship Id="rId238" Type="http://schemas.openxmlformats.org/officeDocument/2006/relationships/hyperlink" Target="https://doi.org/10.1177/0020872816655867" TargetMode="External"/><Relationship Id="rId259" Type="http://schemas.openxmlformats.org/officeDocument/2006/relationships/image" Target="media/image18.emf"/><Relationship Id="rId23" Type="http://schemas.openxmlformats.org/officeDocument/2006/relationships/diagramColors" Target="diagrams/colors2.xml"/><Relationship Id="rId119" Type="http://schemas.openxmlformats.org/officeDocument/2006/relationships/hyperlink" Target="https://doi.org/10.1108/JCS-05-2017-0019" TargetMode="External"/><Relationship Id="rId44" Type="http://schemas.openxmlformats.org/officeDocument/2006/relationships/hyperlink" Target="http://www.barnardos.org.uk/someone_to_care_final_feb2014.pdf" TargetMode="External"/><Relationship Id="rId65" Type="http://schemas.openxmlformats.org/officeDocument/2006/relationships/hyperlink" Target="https://doi.org/10.46743/2160-3715/2020.3928" TargetMode="External"/><Relationship Id="rId86" Type="http://schemas.openxmlformats.org/officeDocument/2006/relationships/hyperlink" Target="http://www.clinks.org/sites/default/files/Care%20Leavers%2C%20Looked%20After%20Children%20%26%20the%20Criminal%20Justice%20System%20-%20Seminar%20Report.pdf" TargetMode="External"/><Relationship Id="rId130" Type="http://schemas.openxmlformats.org/officeDocument/2006/relationships/hyperlink" Target="https://doi.org/10.1111/cfs.12297" TargetMode="External"/><Relationship Id="rId151" Type="http://schemas.openxmlformats.org/officeDocument/2006/relationships/hyperlink" Target="https://doi.org/10.1177/1473325015577408" TargetMode="External"/><Relationship Id="rId172" Type="http://schemas.openxmlformats.org/officeDocument/2006/relationships/hyperlink" Target="https://doi.org/10.1016/j.childyouth.2007.12.003" TargetMode="External"/><Relationship Id="rId193" Type="http://schemas.openxmlformats.org/officeDocument/2006/relationships/hyperlink" Target="http://10.1177/1473325014565149" TargetMode="External"/><Relationship Id="rId207" Type="http://schemas.openxmlformats.org/officeDocument/2006/relationships/hyperlink" Target="https://doi.org/10.1111/cfs.12194" TargetMode="External"/><Relationship Id="rId228" Type="http://schemas.openxmlformats.org/officeDocument/2006/relationships/hyperlink" Target="https://www.theguardian.com/society/2006/dec/06/childrensservices.guardiansocietysupplement" TargetMode="External"/><Relationship Id="rId249" Type="http://schemas.openxmlformats.org/officeDocument/2006/relationships/hyperlink" Target="http://www.york.ac.uk/inst/spru/pubs/pdf/fostering.pdf" TargetMode="External"/><Relationship Id="rId13" Type="http://schemas.openxmlformats.org/officeDocument/2006/relationships/diagramLayout" Target="diagrams/layout1.xml"/><Relationship Id="rId109" Type="http://schemas.openxmlformats.org/officeDocument/2006/relationships/hyperlink" Target="https://www.cypnow.co.uk/news/article/fall-in-number-of-young-people-staying-put-in-foster-care" TargetMode="External"/><Relationship Id="rId260" Type="http://schemas.openxmlformats.org/officeDocument/2006/relationships/image" Target="media/image19.emf"/><Relationship Id="rId34" Type="http://schemas.openxmlformats.org/officeDocument/2006/relationships/image" Target="media/image10.png"/><Relationship Id="rId55" Type="http://schemas.openxmlformats.org/officeDocument/2006/relationships/hyperlink" Target="https://doi.org/10.1002/chi.839" TargetMode="External"/><Relationship Id="rId76" Type="http://schemas.openxmlformats.org/officeDocument/2006/relationships/hyperlink" Target="https://doi.org/10.1177/0038038508094573" TargetMode="External"/><Relationship Id="rId97" Type="http://schemas.openxmlformats.org/officeDocument/2006/relationships/hyperlink" Target="https://www.gov.uk/government/publications/keep-on-caring-supporting-young-people-from-care-to-independence" TargetMode="External"/><Relationship Id="rId120" Type="http://schemas.openxmlformats.org/officeDocument/2006/relationships/hyperlink" Target="https://doi.org/10.1111/cfs.12822" TargetMode="External"/><Relationship Id="rId141" Type="http://schemas.openxmlformats.org/officeDocument/2006/relationships/hyperlink" Target="https://doi.org/10.1093/bjsw/bch295" TargetMode="External"/><Relationship Id="rId7" Type="http://schemas.openxmlformats.org/officeDocument/2006/relationships/endnotes" Target="endnotes.xml"/><Relationship Id="rId162" Type="http://schemas.openxmlformats.org/officeDocument/2006/relationships/hyperlink" Target="https://resourcecentre.savethechildren.net/library/framework-monitoring-and-evaluating-childrens-participation-preparatory-draft-piloting" TargetMode="External"/><Relationship Id="rId183" Type="http://schemas.openxmlformats.org/officeDocument/2006/relationships/hyperlink" Target="https://doi.org/10.1332/174426410X482971" TargetMode="External"/><Relationship Id="rId218" Type="http://schemas.openxmlformats.org/officeDocument/2006/relationships/hyperlink" Target="https://www.nuffieldfoundation.org/sites/default/files/files/Care%20Planning%20for%20Permanence%20in%20Foster%20Care%20Research%20Briefing.pdf" TargetMode="External"/><Relationship Id="rId239" Type="http://schemas.openxmlformats.org/officeDocument/2006/relationships/hyperlink" Target="https://doi.org/10.1111/chso.12418" TargetMode="External"/><Relationship Id="rId250" Type="http://schemas.openxmlformats.org/officeDocument/2006/relationships/hyperlink" Target="https://www.scie.org.uk/publications/guides/guide11/context.asp" TargetMode="External"/><Relationship Id="rId24" Type="http://schemas.microsoft.com/office/2007/relationships/diagramDrawing" Target="diagrams/drawing2.xml"/><Relationship Id="rId45" Type="http://schemas.openxmlformats.org/officeDocument/2006/relationships/hyperlink" Target="https://doi.org/10.1093/bjsw/bcr142" TargetMode="External"/><Relationship Id="rId66" Type="http://schemas.openxmlformats.org/officeDocument/2006/relationships/hyperlink" Target="https://doi.org/10.1093/bjsw/bcp103" TargetMode="External"/><Relationship Id="rId87" Type="http://schemas.openxmlformats.org/officeDocument/2006/relationships/hyperlink" Target="https://doi.org/10.1046/j.1365-2206.2002.00223.x" TargetMode="External"/><Relationship Id="rId110" Type="http://schemas.openxmlformats.org/officeDocument/2006/relationships/hyperlink" Target="http://doi:10.1111/j.1099-0860.2011.00388" TargetMode="External"/><Relationship Id="rId131" Type="http://schemas.openxmlformats.org/officeDocument/2006/relationships/hyperlink" Target="https://doi.org/10.1111/j.1365-2206.2012.00858.x" TargetMode="External"/><Relationship Id="rId152" Type="http://schemas.openxmlformats.org/officeDocument/2006/relationships/hyperlink" Target="https://www.ifsw.org/global-social-work-statement-of-ethical-principles/" TargetMode="External"/><Relationship Id="rId173" Type="http://schemas.openxmlformats.org/officeDocument/2006/relationships/hyperlink" Target="https://www.qub.ac.uk/sites/media/Media,514081,en.pdf" TargetMode="External"/><Relationship Id="rId194" Type="http://schemas.openxmlformats.org/officeDocument/2006/relationships/hyperlink" Target="http://dx.doi.org/10.1046/j.1365-2206.2001.00192.x" TargetMode="External"/><Relationship Id="rId208" Type="http://schemas.openxmlformats.org/officeDocument/2006/relationships/hyperlink" Target="http://researchbriefings.files.parliament.uk/doc" TargetMode="External"/><Relationship Id="rId229" Type="http://schemas.openxmlformats.org/officeDocument/2006/relationships/hyperlink" Target="https://doi.org/10.1016/j.childyouth.2011.08.029" TargetMode="External"/><Relationship Id="rId240" Type="http://schemas.openxmlformats.org/officeDocument/2006/relationships/hyperlink" Target="https://doi.org/10.1016/j.socscimed.2018.01.016" TargetMode="External"/><Relationship Id="rId261" Type="http://schemas.openxmlformats.org/officeDocument/2006/relationships/image" Target="media/image20.emf"/><Relationship Id="rId14" Type="http://schemas.openxmlformats.org/officeDocument/2006/relationships/diagramQuickStyle" Target="diagrams/quickStyle1.xml"/><Relationship Id="rId35" Type="http://schemas.openxmlformats.org/officeDocument/2006/relationships/image" Target="media/image11.png"/><Relationship Id="rId56" Type="http://schemas.openxmlformats.org/officeDocument/2006/relationships/hyperlink" Target="https://doi.org/10.1177/0308575918773598" TargetMode="External"/><Relationship Id="rId77" Type="http://schemas.openxmlformats.org/officeDocument/2006/relationships/hyperlink" Target="https://www.childrenscommissioner.gov.uk/wp-content/uploads/2020/11/cco-stability-index-2020.pdf" TargetMode="External"/><Relationship Id="rId100" Type="http://schemas.openxmlformats.org/officeDocument/2006/relationships/hyperlink" Target="https://doi.org/10.1093/bjsw/bcl061" TargetMode="External"/><Relationship Id="rId8" Type="http://schemas.openxmlformats.org/officeDocument/2006/relationships/footer" Target="footer1.xml"/><Relationship Id="rId98" Type="http://schemas.openxmlformats.org/officeDocument/2006/relationships/hyperlink" Target="https://assets.publishing.service.gov.uk/government/uploads/system/uploads/attachment_data/file/683698/Applying_corporate_parenting_principles_to_looked-after_children_and_care_leavers.pdf" TargetMode="External"/><Relationship Id="rId121" Type="http://schemas.openxmlformats.org/officeDocument/2006/relationships/hyperlink" Target="http://doi:10.1111/j.1099-0860.2011.00409" TargetMode="External"/><Relationship Id="rId142" Type="http://schemas.openxmlformats.org/officeDocument/2006/relationships/hyperlink" Target="https://doi.org/10.1093/oxfordjournals.bjsw.a011407" TargetMode="External"/><Relationship Id="rId163" Type="http://schemas.openxmlformats.org/officeDocument/2006/relationships/hyperlink" Target="https://doi.org/10.1016/S0190-7409(02)00175-5" TargetMode="External"/><Relationship Id="rId184" Type="http://schemas.openxmlformats.org/officeDocument/2006/relationships/hyperlink" Target="https://doi.org/10.1007/s10560-014-0364-2" TargetMode="External"/><Relationship Id="rId219" Type="http://schemas.openxmlformats.org/officeDocument/2006/relationships/hyperlink" Target="https://doi.org/10.1016/j.childyouth.2011.10.020" TargetMode="External"/><Relationship Id="rId230" Type="http://schemas.openxmlformats.org/officeDocument/2006/relationships/hyperlink" Target="https://doi.org/10.1016/j.childyouth.2012.10.019" TargetMode="External"/><Relationship Id="rId251" Type="http://schemas.openxmlformats.org/officeDocument/2006/relationships/hyperlink" Target="https://doi.org/10.1111/cfs.12437" TargetMode="External"/><Relationship Id="rId25" Type="http://schemas.openxmlformats.org/officeDocument/2006/relationships/diagramData" Target="diagrams/data3.xml"/><Relationship Id="rId46" Type="http://schemas.openxmlformats.org/officeDocument/2006/relationships/hyperlink" Target="https://learning.nspcc.org.uk/research-resources/2015/achieving-emotional-wellbeing-looked-after-children-whole-system-approach" TargetMode="External"/><Relationship Id="rId67" Type="http://schemas.openxmlformats.org/officeDocument/2006/relationships/hyperlink" Target="https://www.legislation.gov.uk/ukpga/1980/5/section/18/enacted" TargetMode="External"/><Relationship Id="rId88" Type="http://schemas.openxmlformats.org/officeDocument/2006/relationships/hyperlink" Target="https://doi.org/10.3390/genealogy3020016" TargetMode="External"/><Relationship Id="rId111" Type="http://schemas.openxmlformats.org/officeDocument/2006/relationships/hyperlink" Target="https://doi.org/10.1093/bjsw/bcw065" TargetMode="External"/><Relationship Id="rId132" Type="http://schemas.openxmlformats.org/officeDocument/2006/relationships/hyperlink" Target="https://doi.org/10.1093/bjsw/bcx151" TargetMode="External"/><Relationship Id="rId153" Type="http://schemas.openxmlformats.org/officeDocument/2006/relationships/hyperlink" Target="https://doi.org/10.1016/j.childyouth.2012.01.041" TargetMode="External"/><Relationship Id="rId174" Type="http://schemas.openxmlformats.org/officeDocument/2006/relationships/hyperlink" Target="https://www.celcis.org/files/4215/0641/7391/2017_Vol_16_2_McGhee_K_Staying_Put_and_Continuing_Care_The_Implementation_Challenge.pdf" TargetMode="External"/><Relationship Id="rId195" Type="http://schemas.openxmlformats.org/officeDocument/2006/relationships/hyperlink" Target="https://doi.org/10.1093/bjsw/bch220" TargetMode="External"/><Relationship Id="rId209" Type="http://schemas.openxmlformats.org/officeDocument/2006/relationships/hyperlink" Target="https://commonslibrary.parliament.uk/research-briefings/sn05871/" TargetMode="External"/><Relationship Id="rId220" Type="http://schemas.openxmlformats.org/officeDocument/2006/relationships/hyperlink" Target="https://doi.org/10.1093/bjsw/bcq113" TargetMode="External"/><Relationship Id="rId241" Type="http://schemas.openxmlformats.org/officeDocument/2006/relationships/hyperlink" Target="https://doi.org/10.1093/bjsw/bct205" TargetMode="External"/><Relationship Id="rId15" Type="http://schemas.openxmlformats.org/officeDocument/2006/relationships/diagramColors" Target="diagrams/colors1.xml"/><Relationship Id="rId36" Type="http://schemas.openxmlformats.org/officeDocument/2006/relationships/hyperlink" Target="https://doi.org/10.1186/1478-4505-8-10" TargetMode="External"/><Relationship Id="rId57" Type="http://schemas.openxmlformats.org/officeDocument/2006/relationships/hyperlink" Target="https://doi.org/10.1093/bjsw/bch302" TargetMode="External"/><Relationship Id="rId262" Type="http://schemas.openxmlformats.org/officeDocument/2006/relationships/image" Target="media/image21.emf"/><Relationship Id="rId78" Type="http://schemas.openxmlformats.org/officeDocument/2006/relationships/hyperlink" Target="https://doi.org/10.1093/bjsw/bcx158" TargetMode="External"/><Relationship Id="rId99" Type="http://schemas.openxmlformats.org/officeDocument/2006/relationships/hyperlink" Target="https://explore-education-statistics.service.gov.uk/find-statistics/children-s-social-work-workforce" TargetMode="External"/><Relationship Id="rId101" Type="http://schemas.openxmlformats.org/officeDocument/2006/relationships/hyperlink" Target="https://doi.org/10.1093/bjsw/bcy101" TargetMode="External"/><Relationship Id="rId122" Type="http://schemas.openxmlformats.org/officeDocument/2006/relationships/hyperlink" Target="https://doi.org/10.1177/1609406920958965" TargetMode="External"/><Relationship Id="rId143" Type="http://schemas.openxmlformats.org/officeDocument/2006/relationships/hyperlink" Target="https://doi.org/10.1111/j.1365-2206.2009.00613.x" TargetMode="External"/><Relationship Id="rId164" Type="http://schemas.openxmlformats.org/officeDocument/2006/relationships/hyperlink" Target="http://dx.doi.org/10.1111/cch.12426" TargetMode="External"/><Relationship Id="rId185" Type="http://schemas.openxmlformats.org/officeDocument/2006/relationships/hyperlink" Target="https://doi.org/10.1177/2043610619860995" TargetMode="External"/><Relationship Id="rId9" Type="http://schemas.openxmlformats.org/officeDocument/2006/relationships/footer" Target="footer2.xml"/><Relationship Id="rId210" Type="http://schemas.openxmlformats.org/officeDocument/2006/relationships/hyperlink" Target="https://doi.org/10.1111/cfs.12421" TargetMode="External"/><Relationship Id="rId26" Type="http://schemas.openxmlformats.org/officeDocument/2006/relationships/diagramLayout" Target="diagrams/layout3.xml"/><Relationship Id="rId231" Type="http://schemas.openxmlformats.org/officeDocument/2006/relationships/hyperlink" Target="https://www.jrf.org.uk/report/progress-safeguards-children-living-away-home" TargetMode="External"/><Relationship Id="rId252" Type="http://schemas.openxmlformats.org/officeDocument/2006/relationships/hyperlink" Target="https://doi.org/10.1002/car.2544" TargetMode="External"/><Relationship Id="rId47" Type="http://schemas.openxmlformats.org/officeDocument/2006/relationships/hyperlink" Target="https://doi.org/10.1016/j.childyouth.2012.01.032" TargetMode="External"/><Relationship Id="rId68" Type="http://schemas.openxmlformats.org/officeDocument/2006/relationships/hyperlink" Target="http://www.legislation.gov.uk/ukpga/2000/35/contents" TargetMode="External"/><Relationship Id="rId89" Type="http://schemas.openxmlformats.org/officeDocument/2006/relationships/hyperlink" Target="https://doi.org/10.1177/1077800410364608" TargetMode="External"/><Relationship Id="rId112" Type="http://schemas.openxmlformats.org/officeDocument/2006/relationships/hyperlink" Target="https://doi.org/10.1332/204986013X665992" TargetMode="External"/><Relationship Id="rId133" Type="http://schemas.openxmlformats.org/officeDocument/2006/relationships/hyperlink" Target="https://doi.org/10.1332/204986017X14835297465135" TargetMode="External"/><Relationship Id="rId154" Type="http://schemas.openxmlformats.org/officeDocument/2006/relationships/hyperlink" Target="https://doi.org/10.1525/aa.2007.109.2.261" TargetMode="External"/><Relationship Id="rId175" Type="http://schemas.openxmlformats.org/officeDocument/2006/relationships/hyperlink" Target="https://doi.org/10.1177/1468017320956750" TargetMode="External"/><Relationship Id="rId196" Type="http://schemas.openxmlformats.org/officeDocument/2006/relationships/hyperlink" Target="https://www.gov.uk/government/uploads/system/uploads/attachment_data/file/182483/DFE-RR106.pdf" TargetMode="External"/><Relationship Id="rId200" Type="http://schemas.openxmlformats.org/officeDocument/2006/relationships/hyperlink" Target="http://resources.leavingcare.org/uploads/cc7a6840ba99710b4f5c314e17129a3a.pdf" TargetMode="External"/><Relationship Id="rId16" Type="http://schemas.microsoft.com/office/2007/relationships/diagramDrawing" Target="diagrams/drawing1.xml"/><Relationship Id="rId221" Type="http://schemas.openxmlformats.org/officeDocument/2006/relationships/hyperlink" Target="https://doi.org/10.1093/bjsw/bct046" TargetMode="External"/><Relationship Id="rId242" Type="http://schemas.openxmlformats.org/officeDocument/2006/relationships/hyperlink" Target="https://doi.org/10.1093/bjsw/bcw048" TargetMode="External"/><Relationship Id="rId263" Type="http://schemas.openxmlformats.org/officeDocument/2006/relationships/image" Target="media/image22.emf"/><Relationship Id="rId37" Type="http://schemas.openxmlformats.org/officeDocument/2006/relationships/hyperlink" Target="https://doi.org/10.1111/cfs.12261" TargetMode="External"/><Relationship Id="rId58" Type="http://schemas.openxmlformats.org/officeDocument/2006/relationships/hyperlink" Target="https://dera.ioe.ac.uk/14891/7/Cafcass%20Care%20Application%20Study%202012%20FINAL_Redacted.pdf" TargetMode="External"/><Relationship Id="rId79" Type="http://schemas.openxmlformats.org/officeDocument/2006/relationships/hyperlink" Target="https://doi.org/10.1111/chso.12163" TargetMode="External"/><Relationship Id="rId102" Type="http://schemas.openxmlformats.org/officeDocument/2006/relationships/hyperlink" Target="https://doi.org/10.1177/0308575918801663" TargetMode="External"/><Relationship Id="rId123" Type="http://schemas.openxmlformats.org/officeDocument/2006/relationships/hyperlink" Target="https://doi.org/10.1111/chso.12428" TargetMode="External"/><Relationship Id="rId144" Type="http://schemas.openxmlformats.org/officeDocument/2006/relationships/hyperlink" Target="https://scholarworks.wmich.edu/jssw/vol25/iss3/2" TargetMode="External"/><Relationship Id="rId90" Type="http://schemas.openxmlformats.org/officeDocument/2006/relationships/hyperlink" Target="http://www.dcya.ie" TargetMode="External"/><Relationship Id="rId165" Type="http://schemas.openxmlformats.org/officeDocument/2006/relationships/hyperlink" Target="https://doi.org/10.1002/hsr2.19" TargetMode="External"/><Relationship Id="rId186" Type="http://schemas.openxmlformats.org/officeDocument/2006/relationships/hyperlink" Target="http://www.ofsted.gov.uk/sites/default/files/documents/surveys-and-good-practice/c/Children%27s%20care%20monitor%20201314.pdf" TargetMode="External"/><Relationship Id="rId211" Type="http://schemas.openxmlformats.org/officeDocument/2006/relationships/hyperlink" Target="https://doi.org/10.1111/chso.12383" TargetMode="External"/><Relationship Id="rId232" Type="http://schemas.openxmlformats.org/officeDocument/2006/relationships/hyperlink" Target="https://www.tactcare.org.uk/content/uploads/2019/03/TACT-Language-that-cares-2019_online.pdf" TargetMode="External"/><Relationship Id="rId253" Type="http://schemas.openxmlformats.org/officeDocument/2006/relationships/image" Target="media/image12.emf"/><Relationship Id="rId27" Type="http://schemas.openxmlformats.org/officeDocument/2006/relationships/diagramQuickStyle" Target="diagrams/quickStyle3.xml"/><Relationship Id="rId48" Type="http://schemas.openxmlformats.org/officeDocument/2006/relationships/hyperlink" Target="http://www.jstor.org/stable/192161" TargetMode="External"/><Relationship Id="rId69" Type="http://schemas.openxmlformats.org/officeDocument/2006/relationships/hyperlink" Target="https://www.legislation.gov.uk/ukpga/1963/37/schedule/3/crossheading/the-children-act-1948/enacted" TargetMode="External"/><Relationship Id="rId113" Type="http://schemas.openxmlformats.org/officeDocument/2006/relationships/hyperlink" Target="https://doi.org/10.1177/1049732305279065" TargetMode="External"/><Relationship Id="rId134" Type="http://schemas.openxmlformats.org/officeDocument/2006/relationships/hyperlink" Target="https://doi.org/10.1177/0907568217715347" TargetMode="External"/><Relationship Id="rId80" Type="http://schemas.openxmlformats.org/officeDocument/2006/relationships/hyperlink" Target="https://doi.org/10.1177/1609406918797475" TargetMode="External"/><Relationship Id="rId155" Type="http://schemas.openxmlformats.org/officeDocument/2006/relationships/hyperlink" Target="https://doi.org/10.1177/1044389419847326" TargetMode="External"/><Relationship Id="rId176" Type="http://schemas.openxmlformats.org/officeDocument/2006/relationships/hyperlink" Target="https://www.communitycare.co.uk/2013/12/02/social-workers-more-likely-to-turn-to-food-than-managers-to-cope-with-stress/" TargetMode="External"/><Relationship Id="rId197" Type="http://schemas.openxmlformats.org/officeDocument/2006/relationships/hyperlink" Target="http://www.lboro.ac.uk/research/ccfr/Publications/Staying%20Put%20final%20report.pdf" TargetMode="External"/><Relationship Id="rId201" Type="http://schemas.openxmlformats.org/officeDocument/2006/relationships/hyperlink" Target="https://doi.org/10.1177/030857591203600202" TargetMode="External"/><Relationship Id="rId222" Type="http://schemas.openxmlformats.org/officeDocument/2006/relationships/hyperlink" Target="http://www.bristol.ac.uk/media-library/sites/sps/documents/hadleydocs/our-lives-our-care-report-2017.pdf" TargetMode="External"/><Relationship Id="rId243" Type="http://schemas.openxmlformats.org/officeDocument/2006/relationships/hyperlink" Target="https://undocs.org/en/A/36/215" TargetMode="External"/><Relationship Id="rId264" Type="http://schemas.openxmlformats.org/officeDocument/2006/relationships/image" Target="media/image23.emf"/><Relationship Id="rId17" Type="http://schemas.openxmlformats.org/officeDocument/2006/relationships/image" Target="media/image3.jpg"/><Relationship Id="rId38" Type="http://schemas.openxmlformats.org/officeDocument/2006/relationships/hyperlink" Target="https://doi.org/10.1080/14780887.2015.1133746" TargetMode="External"/><Relationship Id="rId59" Type="http://schemas.openxmlformats.org/officeDocument/2006/relationships/hyperlink" Target="https://www.cafcass.gov.uk/about-cafcass/research-and-data/public-law-data" TargetMode="External"/><Relationship Id="rId103" Type="http://schemas.openxmlformats.org/officeDocument/2006/relationships/hyperlink" Target="https://ueaeprints.uea.ac.uk/id/eprint/54814/1/Care_Planning_and_IROs_UEA_Oct_2015.pdf" TargetMode="External"/><Relationship Id="rId124" Type="http://schemas.openxmlformats.org/officeDocument/2006/relationships/hyperlink" Target="https://doi.org/10.1177/026101839901900301" TargetMode="External"/><Relationship Id="rId70" Type="http://schemas.openxmlformats.org/officeDocument/2006/relationships/hyperlink" Target="https://www.legislation.gov.uk/ukpga/1975/72/part/III/crossheading/children-in-care-of-local-authorities/enacted" TargetMode="External"/><Relationship Id="rId91" Type="http://schemas.openxmlformats.org/officeDocument/2006/relationships/hyperlink" Target="http://webarchive.nationalarchives.gov.uk/20130401151715/https://www.education.gov.uk/publications/eOrderingDownload/ITWMCSUM.pdf" TargetMode="External"/><Relationship Id="rId145" Type="http://schemas.openxmlformats.org/officeDocument/2006/relationships/hyperlink" Target="http://dx.doi.org/10.1016/j.childyouth.2016.09.029" TargetMode="External"/><Relationship Id="rId166" Type="http://schemas.openxmlformats.org/officeDocument/2006/relationships/hyperlink" Target="https://www.local.gov.uk/sites/default/files/documents/corporate-parenting-week--a4e.pdf" TargetMode="External"/><Relationship Id="rId187" Type="http://schemas.openxmlformats.org/officeDocument/2006/relationships/hyperlink" Target="https://www.professionalstandards.org.uk/docs/default-source/publications/research-paper/literature-review-roles-and-issues-within-the-social-work-profession-in-england-2015.pdf" TargetMode="External"/><Relationship Id="rId1" Type="http://schemas.openxmlformats.org/officeDocument/2006/relationships/customXml" Target="../customXml/item1.xml"/><Relationship Id="rId212" Type="http://schemas.openxmlformats.org/officeDocument/2006/relationships/hyperlink" Target="https://doi.org/10.1080/13575279.2018.1521382" TargetMode="External"/><Relationship Id="rId233" Type="http://schemas.openxmlformats.org/officeDocument/2006/relationships/hyperlink" Target="https://www.thefosteringnetwork.org.uk/advice-information/all-about-fostering/recruitment-targets" TargetMode="External"/><Relationship Id="rId254" Type="http://schemas.openxmlformats.org/officeDocument/2006/relationships/image" Target="media/image13.emf"/><Relationship Id="rId28" Type="http://schemas.openxmlformats.org/officeDocument/2006/relationships/diagramColors" Target="diagrams/colors3.xml"/><Relationship Id="rId49" Type="http://schemas.openxmlformats.org/officeDocument/2006/relationships/hyperlink" Target="http://dx.doi.org/10.1093/bjsw/bcs177" TargetMode="External"/><Relationship Id="rId114" Type="http://schemas.openxmlformats.org/officeDocument/2006/relationships/hyperlink" Target="http://www.acas.org.uk/media/pdf/s/b/1214-Young-peoples-experiences-in-the-workplace.pdf" TargetMode="External"/><Relationship Id="rId60" Type="http://schemas.openxmlformats.org/officeDocument/2006/relationships/hyperlink" Target="https://doi.org/10.2304/ciec.2000.1.1.6" TargetMode="External"/><Relationship Id="rId81" Type="http://schemas.openxmlformats.org/officeDocument/2006/relationships/hyperlink" Target="https://doi.org/10.1111/1467-9558.00158" TargetMode="External"/><Relationship Id="rId135" Type="http://schemas.openxmlformats.org/officeDocument/2006/relationships/hyperlink" Target="https://doi.org/10.1177/0261018318780094" TargetMode="External"/><Relationship Id="rId156" Type="http://schemas.openxmlformats.org/officeDocument/2006/relationships/hyperlink" Target="https://doi.org/10.1177/0261018315599333" TargetMode="External"/><Relationship Id="rId177" Type="http://schemas.openxmlformats.org/officeDocument/2006/relationships/hyperlink" Target="https://doi.org/10.1093/bjsw/bcn143" TargetMode="External"/><Relationship Id="rId198" Type="http://schemas.openxmlformats.org/officeDocument/2006/relationships/hyperlink" Target="https://www.chapinhall.org/wp-content/uploads/CY_EF_IB1015.pdf" TargetMode="External"/><Relationship Id="rId202" Type="http://schemas.openxmlformats.org/officeDocument/2006/relationships/hyperlink" Target="http://10.1016/j.childyouth.2013.04.009" TargetMode="External"/><Relationship Id="rId223" Type="http://schemas.openxmlformats.org/officeDocument/2006/relationships/hyperlink" Target="https://doi.org/10.1046/j.1365-2206.2000.00160.x" TargetMode="External"/><Relationship Id="rId244" Type="http://schemas.openxmlformats.org/officeDocument/2006/relationships/hyperlink" Target="https://doi.org/10.1080/13691450802567465" TargetMode="External"/><Relationship Id="rId18" Type="http://schemas.openxmlformats.org/officeDocument/2006/relationships/image" Target="media/image4.jpeg"/><Relationship Id="rId39" Type="http://schemas.openxmlformats.org/officeDocument/2006/relationships/hyperlink" Target="https://doi.org/10.1093/bjsw/bcv025" TargetMode="External"/><Relationship Id="rId265" Type="http://schemas.openxmlformats.org/officeDocument/2006/relationships/image" Target="media/image24.emf"/><Relationship Id="rId50" Type="http://schemas.openxmlformats.org/officeDocument/2006/relationships/hyperlink" Target="http://dx.doi.org/10.1111/cfs.12167" TargetMode="External"/><Relationship Id="rId104" Type="http://schemas.openxmlformats.org/officeDocument/2006/relationships/hyperlink" Target="https://doi.org/10.1177/1473325015578946" TargetMode="External"/><Relationship Id="rId125" Type="http://schemas.openxmlformats.org/officeDocument/2006/relationships/hyperlink" Target="https://doi.org/10.1111/j.1099-0860.2009.00214.x" TargetMode="External"/><Relationship Id="rId146" Type="http://schemas.openxmlformats.org/officeDocument/2006/relationships/hyperlink" Target="https://doi.org/10.1093/bjsw/30.6.867" TargetMode="External"/><Relationship Id="rId167" Type="http://schemas.openxmlformats.org/officeDocument/2006/relationships/hyperlink" Target="https://journals.sagepub.com/doi/10.1177/1473325014559282" TargetMode="External"/><Relationship Id="rId188" Type="http://schemas.openxmlformats.org/officeDocument/2006/relationships/hyperlink" Target="https://doi.org/10.1111/cfs.12423" TargetMode="External"/><Relationship Id="rId71" Type="http://schemas.openxmlformats.org/officeDocument/2006/relationships/hyperlink" Target="http://www.legislation.gov.uk/ukpga/1989/41/contents" TargetMode="External"/><Relationship Id="rId92" Type="http://schemas.openxmlformats.org/officeDocument/2006/relationships/hyperlink" Target="http://www.official-documents.gov.uk/document/cm71/7137/7137.pdf" TargetMode="External"/><Relationship Id="rId213" Type="http://schemas.openxmlformats.org/officeDocument/2006/relationships/hyperlink" Target="https://www.revolution-consulting.org/wp-content/uploads/2021/05/Profit-Making-and-Risk-in-Independent-Childrens-Social-Care-Placement-Providers-FINAL-update-2-Spring-2021.pdf" TargetMode="External"/><Relationship Id="rId234" Type="http://schemas.openxmlformats.org/officeDocument/2006/relationships/hyperlink" Target="https://www.thefosteringnetwork.org.uk/sites/default/files/content/why-foster-carers-care-report-v5.pdf" TargetMode="External"/><Relationship Id="rId2" Type="http://schemas.openxmlformats.org/officeDocument/2006/relationships/numbering" Target="numbering.xml"/><Relationship Id="rId29" Type="http://schemas.microsoft.com/office/2007/relationships/diagramDrawing" Target="diagrams/drawing3.xml"/><Relationship Id="rId255" Type="http://schemas.openxmlformats.org/officeDocument/2006/relationships/image" Target="media/image14.emf"/><Relationship Id="rId40" Type="http://schemas.openxmlformats.org/officeDocument/2006/relationships/hyperlink" Target="https://doi.org/10.1177/1473325019869810" TargetMode="External"/><Relationship Id="rId115" Type="http://schemas.openxmlformats.org/officeDocument/2006/relationships/hyperlink" Target="https://commonslibrary.parliament.uk/research-briefings/cbp-8543/" TargetMode="External"/><Relationship Id="rId136" Type="http://schemas.openxmlformats.org/officeDocument/2006/relationships/hyperlink" Target="https://doi.org/10.1111/cfs.12781" TargetMode="External"/><Relationship Id="rId157" Type="http://schemas.openxmlformats.org/officeDocument/2006/relationships/hyperlink" Target="https://doi.org/10.1016/j.childyouth.2014.03.011" TargetMode="External"/><Relationship Id="rId178" Type="http://schemas.openxmlformats.org/officeDocument/2006/relationships/hyperlink" Target="https://doi.org/10.1016/j.childyouth.2017.07.01" TargetMode="External"/><Relationship Id="rId61" Type="http://schemas.openxmlformats.org/officeDocument/2006/relationships/hyperlink" Target="https://doi.org/10.1016/S0145-2134(02)00353-8" TargetMode="External"/><Relationship Id="rId82" Type="http://schemas.openxmlformats.org/officeDocument/2006/relationships/hyperlink" Target="http://dx.doi.org/10.1111/cfs.12115" TargetMode="External"/><Relationship Id="rId199" Type="http://schemas.openxmlformats.org/officeDocument/2006/relationships/hyperlink" Target="https://www.gov.uk/government/uploads/system/uploads/attachment_data/file/287756/Making_the_education_of_social_workers_consistently_effective.pdf" TargetMode="External"/><Relationship Id="rId203" Type="http://schemas.openxmlformats.org/officeDocument/2006/relationships/hyperlink" Target="https://www.ons.gov.uk/peoplepopulationandcommunity/populationandmigration/populationestimates/articles/milestonesjourneyingintoadulthood/2019-02-18" TargetMode="External"/><Relationship Id="rId19" Type="http://schemas.openxmlformats.org/officeDocument/2006/relationships/image" Target="media/image5.png"/><Relationship Id="rId224" Type="http://schemas.openxmlformats.org/officeDocument/2006/relationships/hyperlink" Target="https://doi.org/10.1002/chi.617" TargetMode="External"/><Relationship Id="rId245" Type="http://schemas.openxmlformats.org/officeDocument/2006/relationships/hyperlink" Target="http://dx.doi.org/10.1111/j.1365-2206.2006.00428" TargetMode="External"/><Relationship Id="rId266" Type="http://schemas.openxmlformats.org/officeDocument/2006/relationships/footer" Target="footer3.xml"/><Relationship Id="rId30" Type="http://schemas.openxmlformats.org/officeDocument/2006/relationships/image" Target="media/image6.png"/><Relationship Id="rId105" Type="http://schemas.openxmlformats.org/officeDocument/2006/relationships/hyperlink" Target="https://doi.org/10.1093/bjsw/bcr034" TargetMode="External"/><Relationship Id="rId126" Type="http://schemas.openxmlformats.org/officeDocument/2006/relationships/hyperlink" Target="https://www.powercube.net/wp-content/uploads/2009/11/power_after_lukes.pdf" TargetMode="External"/><Relationship Id="rId147" Type="http://schemas.openxmlformats.org/officeDocument/2006/relationships/hyperlink" Target="https://doi.org/10.1016/j.childyouth.2014.03.007" TargetMode="External"/><Relationship Id="rId168" Type="http://schemas.openxmlformats.org/officeDocument/2006/relationships/hyperlink" Target="https://doi.org/10.1177/1468017314549537" TargetMode="External"/><Relationship Id="rId51" Type="http://schemas.openxmlformats.org/officeDocument/2006/relationships/hyperlink" Target="https://doi.org/10.1111/cfs.12677" TargetMode="External"/><Relationship Id="rId72" Type="http://schemas.openxmlformats.org/officeDocument/2006/relationships/hyperlink" Target="https://www.legislation.gov.uk/ukpga/2017/16/contents/enacted" TargetMode="External"/><Relationship Id="rId93" Type="http://schemas.openxmlformats.org/officeDocument/2006/relationships/hyperlink" Target="https://www.gov.uk/government/publications/fostering-services-national-minimum-standards" TargetMode="External"/><Relationship Id="rId189" Type="http://schemas.openxmlformats.org/officeDocument/2006/relationships/hyperlink" Target="https://doi.org/10.1177/0907568218810101" TargetMode="External"/><Relationship Id="rId3" Type="http://schemas.openxmlformats.org/officeDocument/2006/relationships/styles" Target="styles.xml"/><Relationship Id="rId214" Type="http://schemas.openxmlformats.org/officeDocument/2006/relationships/hyperlink" Target="https://doi.org/10.1016/j.chiabu.2019.104245" TargetMode="External"/><Relationship Id="rId235" Type="http://schemas.openxmlformats.org/officeDocument/2006/relationships/hyperlink" Target="https://www.thefosteringnetwork.org.uk/policy-practice/policy-positions/post-18-care" TargetMode="External"/><Relationship Id="rId256" Type="http://schemas.openxmlformats.org/officeDocument/2006/relationships/image" Target="media/image15.emf"/><Relationship Id="rId116" Type="http://schemas.openxmlformats.org/officeDocument/2006/relationships/hyperlink" Target="http://www.jstor.org/stable/1343197" TargetMode="External"/><Relationship Id="rId137" Type="http://schemas.openxmlformats.org/officeDocument/2006/relationships/hyperlink" Target="http://dx.doi.org/10.1177/1350508412448222" TargetMode="External"/><Relationship Id="rId158" Type="http://schemas.openxmlformats.org/officeDocument/2006/relationships/hyperlink" Target="https://doi.org/10.1016/j.childyouth.2013.11.007" TargetMode="External"/><Relationship Id="rId20" Type="http://schemas.openxmlformats.org/officeDocument/2006/relationships/diagramData" Target="diagrams/data2.xml"/><Relationship Id="rId41" Type="http://schemas.openxmlformats.org/officeDocument/2006/relationships/hyperlink" Target="https://doi.org/10.1093/bjsw/bch249" TargetMode="External"/><Relationship Id="rId62" Type="http://schemas.openxmlformats.org/officeDocument/2006/relationships/hyperlink" Target="https://doi.org/10.1016/j.childyouth.2010.05.008" TargetMode="External"/><Relationship Id="rId83" Type="http://schemas.openxmlformats.org/officeDocument/2006/relationships/hyperlink" Target="http://dx.doi.org/10.5456/wpll.16.3.5" TargetMode="External"/><Relationship Id="rId179" Type="http://schemas.openxmlformats.org/officeDocument/2006/relationships/hyperlink" Target="https://doi.org/10.1093/bjsw/bcaa028" TargetMode="External"/><Relationship Id="rId190" Type="http://schemas.openxmlformats.org/officeDocument/2006/relationships/hyperlink" Target="https://doi.org/10.1163/15718189920494318" TargetMode="External"/><Relationship Id="rId204" Type="http://schemas.openxmlformats.org/officeDocument/2006/relationships/hyperlink" Target="https://www.gov.uk/government/statistics/fostering-in-england-1-april-2019-to-31-march-2020/fostering-in-england-2019-to-2020-main-findings" TargetMode="External"/><Relationship Id="rId225" Type="http://schemas.openxmlformats.org/officeDocument/2006/relationships/hyperlink" Target="https://doi.org/10.1177/0907568211401434" TargetMode="External"/><Relationship Id="rId246" Type="http://schemas.openxmlformats.org/officeDocument/2006/relationships/hyperlink" Target="https://doi.org/10.1093/bjsw/bct039" TargetMode="External"/><Relationship Id="rId267" Type="http://schemas.openxmlformats.org/officeDocument/2006/relationships/footer" Target="footer4.xml"/><Relationship Id="rId106" Type="http://schemas.openxmlformats.org/officeDocument/2006/relationships/hyperlink" Target="https://www.york.ac.uk/media/spru/projectfiles/Staying_Close_Break.pdf" TargetMode="External"/><Relationship Id="rId127" Type="http://schemas.openxmlformats.org/officeDocument/2006/relationships/hyperlink" Target="https://doi.org/10.1016/j.childyouth.2007.04.008" TargetMode="External"/><Relationship Id="rId10" Type="http://schemas.openxmlformats.org/officeDocument/2006/relationships/image" Target="media/image1.jpeg"/><Relationship Id="rId31" Type="http://schemas.openxmlformats.org/officeDocument/2006/relationships/image" Target="media/image7.png"/><Relationship Id="rId52" Type="http://schemas.openxmlformats.org/officeDocument/2006/relationships/hyperlink" Target="https://assets.publishing.service.gov.uk/government/uploads/system/uploads/attachment_data/file/184053/DFE-RR226_Report.pdf" TargetMode="External"/><Relationship Id="rId73" Type="http://schemas.openxmlformats.org/officeDocument/2006/relationships/hyperlink" Target="https://www.legislation.gov.uk/ukpga/1963/37/enacted" TargetMode="External"/><Relationship Id="rId94" Type="http://schemas.openxmlformats.org/officeDocument/2006/relationships/hyperlink" Target="https://assets.publishing.service.gov.uk/government/uploads/system/uploads/attachment_data/file/201015/Staying_Put_Guidance.pdf" TargetMode="External"/><Relationship Id="rId148" Type="http://schemas.openxmlformats.org/officeDocument/2006/relationships/hyperlink" Target="https://doi.org/10.1016/j.adolescence.2016.08.004" TargetMode="External"/><Relationship Id="rId169" Type="http://schemas.openxmlformats.org/officeDocument/2006/relationships/hyperlink" Target="https://doi.org/10.1111/cfs.12307" TargetMode="External"/><Relationship Id="rId4" Type="http://schemas.openxmlformats.org/officeDocument/2006/relationships/settings" Target="settings.xml"/><Relationship Id="rId180" Type="http://schemas.openxmlformats.org/officeDocument/2006/relationships/hyperlink" Target="http://libweb.aru.ac.uk" TargetMode="External"/><Relationship Id="rId215" Type="http://schemas.openxmlformats.org/officeDocument/2006/relationships/hyperlink" Target="https://pdf4pro.com/view/empowerment-and-community-planning-313485.html" TargetMode="External"/><Relationship Id="rId236" Type="http://schemas.openxmlformats.org/officeDocument/2006/relationships/hyperlink" Target="https://www.thefosteringnetwork.org.uk/sites/default/files/content/stayingputguidanceseptember2017.pdf" TargetMode="External"/><Relationship Id="rId257" Type="http://schemas.openxmlformats.org/officeDocument/2006/relationships/image" Target="media/image16.emf"/><Relationship Id="rId42" Type="http://schemas.openxmlformats.org/officeDocument/2006/relationships/hyperlink" Target="https://doi.org/10.1016/j.childyouth.2019.06.004" TargetMode="External"/><Relationship Id="rId84" Type="http://schemas.openxmlformats.org/officeDocument/2006/relationships/hyperlink" Target="https://doi.org/10.1093/bjsw/bcz110" TargetMode="External"/><Relationship Id="rId138" Type="http://schemas.openxmlformats.org/officeDocument/2006/relationships/hyperlink" Target="https://dera.ioe.ac.uk//2794/" TargetMode="External"/><Relationship Id="rId191" Type="http://schemas.openxmlformats.org/officeDocument/2006/relationships/hyperlink" Target="https://doi.org/10.1111/j.1099-0860.1996.tb00461.x" TargetMode="External"/><Relationship Id="rId205" Type="http://schemas.openxmlformats.org/officeDocument/2006/relationships/hyperlink" Target="https://doi.org/10.1093/bjsw/bcu091" TargetMode="External"/><Relationship Id="rId247" Type="http://schemas.openxmlformats.org/officeDocument/2006/relationships/hyperlink" Target="https://doi.org/10.1177/1350507618799867" TargetMode="External"/><Relationship Id="rId107" Type="http://schemas.openxmlformats.org/officeDocument/2006/relationships/hyperlink" Target="https://archive.learningandwork.org.uk/wp-content/uploads/2017/01/Giving-care-leavers-more-control-over-their-futures.pdf" TargetMode="External"/></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749B73D-13E9-2C4D-9FCD-A6D4EDD08168}" type="doc">
      <dgm:prSet loTypeId="urn:microsoft.com/office/officeart/2005/8/layout/radial1" loCatId="" qsTypeId="urn:microsoft.com/office/officeart/2005/8/quickstyle/simple1" qsCatId="simple" csTypeId="urn:microsoft.com/office/officeart/2005/8/colors/accent0_1" csCatId="mainScheme" phldr="1"/>
      <dgm:spPr/>
      <dgm:t>
        <a:bodyPr/>
        <a:lstStyle/>
        <a:p>
          <a:endParaRPr lang="en-GB"/>
        </a:p>
      </dgm:t>
    </dgm:pt>
    <dgm:pt modelId="{E51408F2-3B2E-6444-99CF-8A9C9B87A53D}">
      <dgm:prSet phldrT="[Text]"/>
      <dgm:spPr/>
      <dgm:t>
        <a:bodyPr/>
        <a:lstStyle/>
        <a:p>
          <a:r>
            <a:rPr lang="en-GB">
              <a:latin typeface="Arial" panose="020B0604020202020204" pitchFamily="34" charset="0"/>
              <a:cs typeface="Arial" panose="020B0604020202020204" pitchFamily="34" charset="0"/>
            </a:rPr>
            <a:t>Options for young people post care placement</a:t>
          </a:r>
        </a:p>
      </dgm:t>
    </dgm:pt>
    <dgm:pt modelId="{F31A18A0-18EA-CB4B-A359-3C4123603949}" type="parTrans" cxnId="{9968D0E3-38A0-844E-808D-0410AE16F490}">
      <dgm:prSet/>
      <dgm:spPr/>
      <dgm:t>
        <a:bodyPr/>
        <a:lstStyle/>
        <a:p>
          <a:endParaRPr lang="en-GB"/>
        </a:p>
      </dgm:t>
    </dgm:pt>
    <dgm:pt modelId="{B7B51930-80B1-0242-8FD7-F3BF5F191C36}" type="sibTrans" cxnId="{9968D0E3-38A0-844E-808D-0410AE16F490}">
      <dgm:prSet/>
      <dgm:spPr/>
      <dgm:t>
        <a:bodyPr/>
        <a:lstStyle/>
        <a:p>
          <a:endParaRPr lang="en-GB"/>
        </a:p>
      </dgm:t>
    </dgm:pt>
    <dgm:pt modelId="{F0064A54-2F49-9F45-A12A-37F6618A68A4}">
      <dgm:prSet phldrT="[Text]" custT="1"/>
      <dgm:spPr/>
      <dgm:t>
        <a:bodyPr/>
        <a:lstStyle/>
        <a:p>
          <a:r>
            <a:rPr lang="en-GB" sz="900">
              <a:latin typeface="Arial" panose="020B0604020202020204" pitchFamily="34" charset="0"/>
              <a:cs typeface="Arial" panose="020B0604020202020204" pitchFamily="34" charset="0"/>
            </a:rPr>
            <a:t>Living independently in supported housing or rented accommodation</a:t>
          </a:r>
        </a:p>
      </dgm:t>
    </dgm:pt>
    <dgm:pt modelId="{78F563D3-FDD4-1E4D-995C-F47425DEBE1E}" type="parTrans" cxnId="{BAED3C6C-DBAC-3F4B-A97B-EBB7FAC62AB1}">
      <dgm:prSet/>
      <dgm:spPr/>
      <dgm:t>
        <a:bodyPr/>
        <a:lstStyle/>
        <a:p>
          <a:endParaRPr lang="en-GB"/>
        </a:p>
      </dgm:t>
    </dgm:pt>
    <dgm:pt modelId="{D931E428-5C93-D54B-AD5E-B6453EFBF0C7}" type="sibTrans" cxnId="{BAED3C6C-DBAC-3F4B-A97B-EBB7FAC62AB1}">
      <dgm:prSet/>
      <dgm:spPr/>
      <dgm:t>
        <a:bodyPr/>
        <a:lstStyle/>
        <a:p>
          <a:endParaRPr lang="en-GB"/>
        </a:p>
      </dgm:t>
    </dgm:pt>
    <dgm:pt modelId="{E9145FC8-D63E-AE40-BEFF-27312FBC4A26}">
      <dgm:prSet phldrT="[Text]" custT="1"/>
      <dgm:spPr/>
      <dgm:t>
        <a:bodyPr/>
        <a:lstStyle/>
        <a:p>
          <a:r>
            <a:rPr lang="en-GB" sz="900">
              <a:latin typeface="Arial" panose="020B0604020202020204" pitchFamily="34" charset="0"/>
              <a:cs typeface="Arial" panose="020B0604020202020204" pitchFamily="34" charset="0"/>
            </a:rPr>
            <a:t>Living independently in supported housing – housing provider with low level of support staff</a:t>
          </a:r>
        </a:p>
      </dgm:t>
    </dgm:pt>
    <dgm:pt modelId="{05E2608B-EEA2-3B48-84ED-1C7B02586004}" type="parTrans" cxnId="{CCA3C9CD-C57E-6C46-85EA-149C399A90C4}">
      <dgm:prSet/>
      <dgm:spPr/>
      <dgm:t>
        <a:bodyPr/>
        <a:lstStyle/>
        <a:p>
          <a:endParaRPr lang="en-GB"/>
        </a:p>
      </dgm:t>
    </dgm:pt>
    <dgm:pt modelId="{DE5158BF-97B2-9E4F-B176-4128BB1DC6EF}" type="sibTrans" cxnId="{CCA3C9CD-C57E-6C46-85EA-149C399A90C4}">
      <dgm:prSet/>
      <dgm:spPr/>
      <dgm:t>
        <a:bodyPr/>
        <a:lstStyle/>
        <a:p>
          <a:endParaRPr lang="en-GB"/>
        </a:p>
      </dgm:t>
    </dgm:pt>
    <dgm:pt modelId="{41836C7B-52E4-7A4C-84A6-C25EF689D701}">
      <dgm:prSet phldrT="[Text]" custT="1"/>
      <dgm:spPr/>
      <dgm:t>
        <a:bodyPr/>
        <a:lstStyle/>
        <a:p>
          <a:r>
            <a:rPr lang="en-GB" sz="900">
              <a:latin typeface="Arial" panose="020B0604020202020204" pitchFamily="34" charset="0"/>
              <a:cs typeface="Arial" panose="020B0604020202020204" pitchFamily="34" charset="0"/>
            </a:rPr>
            <a:t>Living independently in rented accommodation</a:t>
          </a:r>
        </a:p>
      </dgm:t>
    </dgm:pt>
    <dgm:pt modelId="{83CD8F8B-96A9-D04B-B3C0-5B7F2E6AD0BF}" type="parTrans" cxnId="{AAAD41A0-1D5E-D549-B663-203329E6E637}">
      <dgm:prSet/>
      <dgm:spPr/>
      <dgm:t>
        <a:bodyPr/>
        <a:lstStyle/>
        <a:p>
          <a:endParaRPr lang="en-GB"/>
        </a:p>
      </dgm:t>
    </dgm:pt>
    <dgm:pt modelId="{3EC9E28D-64AF-AA42-A357-F79BBBEDB76F}" type="sibTrans" cxnId="{AAAD41A0-1D5E-D549-B663-203329E6E637}">
      <dgm:prSet/>
      <dgm:spPr/>
      <dgm:t>
        <a:bodyPr/>
        <a:lstStyle/>
        <a:p>
          <a:endParaRPr lang="en-GB"/>
        </a:p>
      </dgm:t>
    </dgm:pt>
    <dgm:pt modelId="{1B77F991-CCB8-6E4D-BF1E-55703C93862C}">
      <dgm:prSet custT="1"/>
      <dgm:spPr/>
      <dgm:t>
        <a:bodyPr/>
        <a:lstStyle/>
        <a:p>
          <a:r>
            <a:rPr lang="en-GB" sz="900">
              <a:latin typeface="Arial" panose="020B0604020202020204" pitchFamily="34" charset="0"/>
              <a:cs typeface="Arial" panose="020B0604020202020204" pitchFamily="34" charset="0"/>
            </a:rPr>
            <a:t>Return to their birth family</a:t>
          </a:r>
        </a:p>
      </dgm:t>
    </dgm:pt>
    <dgm:pt modelId="{A3BF6CE4-EFAB-B542-9AF1-3E85F5065F39}" type="parTrans" cxnId="{FF810AAB-B1E4-844D-8446-36173D68982A}">
      <dgm:prSet/>
      <dgm:spPr/>
      <dgm:t>
        <a:bodyPr/>
        <a:lstStyle/>
        <a:p>
          <a:endParaRPr lang="en-GB"/>
        </a:p>
      </dgm:t>
    </dgm:pt>
    <dgm:pt modelId="{3BFFD11E-A3BE-8D44-AFED-980492848E73}" type="sibTrans" cxnId="{FF810AAB-B1E4-844D-8446-36173D68982A}">
      <dgm:prSet/>
      <dgm:spPr/>
      <dgm:t>
        <a:bodyPr/>
        <a:lstStyle/>
        <a:p>
          <a:endParaRPr lang="en-GB"/>
        </a:p>
      </dgm:t>
    </dgm:pt>
    <dgm:pt modelId="{C1610FAB-1A59-4D46-A91E-55B8E2AEDB0D}">
      <dgm:prSet custT="1"/>
      <dgm:spPr/>
      <dgm:t>
        <a:bodyPr/>
        <a:lstStyle/>
        <a:p>
          <a:r>
            <a:rPr lang="en-GB" sz="900">
              <a:latin typeface="Arial" panose="020B0604020202020204" pitchFamily="34" charset="0"/>
              <a:cs typeface="Arial" panose="020B0604020202020204" pitchFamily="34" charset="0"/>
            </a:rPr>
            <a:t>Supported lodgings – formal scheme providing spare room in supportive familial household</a:t>
          </a:r>
        </a:p>
      </dgm:t>
    </dgm:pt>
    <dgm:pt modelId="{4186C1C8-09FD-3D4A-9AF3-AF0CF822D97C}" type="parTrans" cxnId="{968E8D32-BADF-C04B-98C4-6782A4BD0D77}">
      <dgm:prSet/>
      <dgm:spPr/>
      <dgm:t>
        <a:bodyPr/>
        <a:lstStyle/>
        <a:p>
          <a:endParaRPr lang="en-GB"/>
        </a:p>
      </dgm:t>
    </dgm:pt>
    <dgm:pt modelId="{66A66F4E-B507-5948-B86E-835D7DAA8F9B}" type="sibTrans" cxnId="{968E8D32-BADF-C04B-98C4-6782A4BD0D77}">
      <dgm:prSet/>
      <dgm:spPr/>
      <dgm:t>
        <a:bodyPr/>
        <a:lstStyle/>
        <a:p>
          <a:endParaRPr lang="en-GB"/>
        </a:p>
      </dgm:t>
    </dgm:pt>
    <dgm:pt modelId="{736569EB-4017-3C4F-A342-7D65EA966C75}" type="pres">
      <dgm:prSet presAssocID="{6749B73D-13E9-2C4D-9FCD-A6D4EDD08168}" presName="cycle" presStyleCnt="0">
        <dgm:presLayoutVars>
          <dgm:chMax val="1"/>
          <dgm:dir/>
          <dgm:animLvl val="ctr"/>
          <dgm:resizeHandles val="exact"/>
        </dgm:presLayoutVars>
      </dgm:prSet>
      <dgm:spPr/>
    </dgm:pt>
    <dgm:pt modelId="{2D349864-23E3-1449-B224-D38BB178CA17}" type="pres">
      <dgm:prSet presAssocID="{E51408F2-3B2E-6444-99CF-8A9C9B87A53D}" presName="centerShape" presStyleLbl="node0" presStyleIdx="0" presStyleCnt="1" custScaleX="137738" custLinFactNeighborX="302" custLinFactNeighborY="0"/>
      <dgm:spPr/>
    </dgm:pt>
    <dgm:pt modelId="{68B9BB9E-04BC-1D46-A277-4E1372B49856}" type="pres">
      <dgm:prSet presAssocID="{78F563D3-FDD4-1E4D-995C-F47425DEBE1E}" presName="Name9" presStyleLbl="parChTrans1D2" presStyleIdx="0" presStyleCnt="5"/>
      <dgm:spPr/>
    </dgm:pt>
    <dgm:pt modelId="{D19EDC69-08A4-3A43-B6BE-8B81756D7320}" type="pres">
      <dgm:prSet presAssocID="{78F563D3-FDD4-1E4D-995C-F47425DEBE1E}" presName="connTx" presStyleLbl="parChTrans1D2" presStyleIdx="0" presStyleCnt="5"/>
      <dgm:spPr/>
    </dgm:pt>
    <dgm:pt modelId="{43BFA0DB-1152-0541-91EB-0711977E7275}" type="pres">
      <dgm:prSet presAssocID="{F0064A54-2F49-9F45-A12A-37F6618A68A4}" presName="node" presStyleLbl="node1" presStyleIdx="0" presStyleCnt="5" custScaleX="149656" custRadScaleRad="100157" custRadScaleInc="3842">
        <dgm:presLayoutVars>
          <dgm:bulletEnabled val="1"/>
        </dgm:presLayoutVars>
      </dgm:prSet>
      <dgm:spPr/>
    </dgm:pt>
    <dgm:pt modelId="{36055E8C-7E78-5C4F-940B-D7D97C6A0F93}" type="pres">
      <dgm:prSet presAssocID="{A3BF6CE4-EFAB-B542-9AF1-3E85F5065F39}" presName="Name9" presStyleLbl="parChTrans1D2" presStyleIdx="1" presStyleCnt="5"/>
      <dgm:spPr/>
    </dgm:pt>
    <dgm:pt modelId="{CC206C4C-0540-924B-8A51-4E1C50698BC2}" type="pres">
      <dgm:prSet presAssocID="{A3BF6CE4-EFAB-B542-9AF1-3E85F5065F39}" presName="connTx" presStyleLbl="parChTrans1D2" presStyleIdx="1" presStyleCnt="5"/>
      <dgm:spPr/>
    </dgm:pt>
    <dgm:pt modelId="{9BB47255-1402-6547-B2D8-8B626688D6FB}" type="pres">
      <dgm:prSet presAssocID="{1B77F991-CCB8-6E4D-BF1E-55703C93862C}" presName="node" presStyleLbl="node1" presStyleIdx="1" presStyleCnt="5" custScaleX="137738" custRadScaleRad="142279" custRadScaleInc="-5277">
        <dgm:presLayoutVars>
          <dgm:bulletEnabled val="1"/>
        </dgm:presLayoutVars>
      </dgm:prSet>
      <dgm:spPr/>
    </dgm:pt>
    <dgm:pt modelId="{0A651E22-13CE-AA42-95B6-AACA8590DD78}" type="pres">
      <dgm:prSet presAssocID="{05E2608B-EEA2-3B48-84ED-1C7B02586004}" presName="Name9" presStyleLbl="parChTrans1D2" presStyleIdx="2" presStyleCnt="5"/>
      <dgm:spPr/>
    </dgm:pt>
    <dgm:pt modelId="{1CAE71D8-8537-7545-940D-22D947186D04}" type="pres">
      <dgm:prSet presAssocID="{05E2608B-EEA2-3B48-84ED-1C7B02586004}" presName="connTx" presStyleLbl="parChTrans1D2" presStyleIdx="2" presStyleCnt="5"/>
      <dgm:spPr/>
    </dgm:pt>
    <dgm:pt modelId="{EE08869C-CA28-A943-9851-F77A48DA8E0B}" type="pres">
      <dgm:prSet presAssocID="{E9145FC8-D63E-AE40-BEFF-27312FBC4A26}" presName="node" presStyleLbl="node1" presStyleIdx="2" presStyleCnt="5" custScaleX="180848" custRadScaleRad="149688" custRadScaleInc="-58962">
        <dgm:presLayoutVars>
          <dgm:bulletEnabled val="1"/>
        </dgm:presLayoutVars>
      </dgm:prSet>
      <dgm:spPr/>
    </dgm:pt>
    <dgm:pt modelId="{F9306A64-9FB2-A944-A614-35C984D6469F}" type="pres">
      <dgm:prSet presAssocID="{83CD8F8B-96A9-D04B-B3C0-5B7F2E6AD0BF}" presName="Name9" presStyleLbl="parChTrans1D2" presStyleIdx="3" presStyleCnt="5"/>
      <dgm:spPr/>
    </dgm:pt>
    <dgm:pt modelId="{7BA43762-42E9-FA48-9CC2-19923E6BD010}" type="pres">
      <dgm:prSet presAssocID="{83CD8F8B-96A9-D04B-B3C0-5B7F2E6AD0BF}" presName="connTx" presStyleLbl="parChTrans1D2" presStyleIdx="3" presStyleCnt="5"/>
      <dgm:spPr/>
    </dgm:pt>
    <dgm:pt modelId="{B1C61F92-8621-5642-B9CF-B27B392C05C6}" type="pres">
      <dgm:prSet presAssocID="{41836C7B-52E4-7A4C-84A6-C25EF689D701}" presName="node" presStyleLbl="node1" presStyleIdx="3" presStyleCnt="5" custScaleX="137738" custRadScaleRad="139843" custRadScaleInc="6023">
        <dgm:presLayoutVars>
          <dgm:bulletEnabled val="1"/>
        </dgm:presLayoutVars>
      </dgm:prSet>
      <dgm:spPr/>
    </dgm:pt>
    <dgm:pt modelId="{301C3C65-67A0-5142-B9EE-CECF2F81435C}" type="pres">
      <dgm:prSet presAssocID="{4186C1C8-09FD-3D4A-9AF3-AF0CF822D97C}" presName="Name9" presStyleLbl="parChTrans1D2" presStyleIdx="4" presStyleCnt="5"/>
      <dgm:spPr/>
    </dgm:pt>
    <dgm:pt modelId="{1C27073B-2E15-3C4B-A57E-4D56152066E2}" type="pres">
      <dgm:prSet presAssocID="{4186C1C8-09FD-3D4A-9AF3-AF0CF822D97C}" presName="connTx" presStyleLbl="parChTrans1D2" presStyleIdx="4" presStyleCnt="5"/>
      <dgm:spPr/>
    </dgm:pt>
    <dgm:pt modelId="{E132E770-336C-1E45-9FF1-963CFA336B47}" type="pres">
      <dgm:prSet presAssocID="{C1610FAB-1A59-4D46-A91E-55B8E2AEDB0D}" presName="node" presStyleLbl="node1" presStyleIdx="4" presStyleCnt="5" custScaleX="157983" custRadScaleRad="167373" custRadScaleInc="-35818">
        <dgm:presLayoutVars>
          <dgm:bulletEnabled val="1"/>
        </dgm:presLayoutVars>
      </dgm:prSet>
      <dgm:spPr/>
    </dgm:pt>
  </dgm:ptLst>
  <dgm:cxnLst>
    <dgm:cxn modelId="{DEE1552C-0433-1149-B22A-854B81663F3B}" type="presOf" srcId="{A3BF6CE4-EFAB-B542-9AF1-3E85F5065F39}" destId="{36055E8C-7E78-5C4F-940B-D7D97C6A0F93}" srcOrd="0" destOrd="0" presId="urn:microsoft.com/office/officeart/2005/8/layout/radial1"/>
    <dgm:cxn modelId="{968E8D32-BADF-C04B-98C4-6782A4BD0D77}" srcId="{E51408F2-3B2E-6444-99CF-8A9C9B87A53D}" destId="{C1610FAB-1A59-4D46-A91E-55B8E2AEDB0D}" srcOrd="4" destOrd="0" parTransId="{4186C1C8-09FD-3D4A-9AF3-AF0CF822D97C}" sibTransId="{66A66F4E-B507-5948-B86E-835D7DAA8F9B}"/>
    <dgm:cxn modelId="{C6B5D241-1C6A-DC4A-88D6-B246A604A123}" type="presOf" srcId="{05E2608B-EEA2-3B48-84ED-1C7B02586004}" destId="{1CAE71D8-8537-7545-940D-22D947186D04}" srcOrd="1" destOrd="0" presId="urn:microsoft.com/office/officeart/2005/8/layout/radial1"/>
    <dgm:cxn modelId="{DE74136A-61A7-7142-AB18-F4763EFF2855}" type="presOf" srcId="{41836C7B-52E4-7A4C-84A6-C25EF689D701}" destId="{B1C61F92-8621-5642-B9CF-B27B392C05C6}" srcOrd="0" destOrd="0" presId="urn:microsoft.com/office/officeart/2005/8/layout/radial1"/>
    <dgm:cxn modelId="{5A2A3C4C-8DAC-584B-B49F-95D412796733}" type="presOf" srcId="{4186C1C8-09FD-3D4A-9AF3-AF0CF822D97C}" destId="{301C3C65-67A0-5142-B9EE-CECF2F81435C}" srcOrd="0" destOrd="0" presId="urn:microsoft.com/office/officeart/2005/8/layout/radial1"/>
    <dgm:cxn modelId="{BAED3C6C-DBAC-3F4B-A97B-EBB7FAC62AB1}" srcId="{E51408F2-3B2E-6444-99CF-8A9C9B87A53D}" destId="{F0064A54-2F49-9F45-A12A-37F6618A68A4}" srcOrd="0" destOrd="0" parTransId="{78F563D3-FDD4-1E4D-995C-F47425DEBE1E}" sibTransId="{D931E428-5C93-D54B-AD5E-B6453EFBF0C7}"/>
    <dgm:cxn modelId="{53E82A72-444F-7147-A43C-610066A16BAB}" type="presOf" srcId="{F0064A54-2F49-9F45-A12A-37F6618A68A4}" destId="{43BFA0DB-1152-0541-91EB-0711977E7275}" srcOrd="0" destOrd="0" presId="urn:microsoft.com/office/officeart/2005/8/layout/radial1"/>
    <dgm:cxn modelId="{68F34076-4B02-5A43-8FC9-D2A020B30862}" type="presOf" srcId="{05E2608B-EEA2-3B48-84ED-1C7B02586004}" destId="{0A651E22-13CE-AA42-95B6-AACA8590DD78}" srcOrd="0" destOrd="0" presId="urn:microsoft.com/office/officeart/2005/8/layout/radial1"/>
    <dgm:cxn modelId="{B0BC3077-F8A3-DE4E-BD92-E84BAD0939F9}" type="presOf" srcId="{83CD8F8B-96A9-D04B-B3C0-5B7F2E6AD0BF}" destId="{F9306A64-9FB2-A944-A614-35C984D6469F}" srcOrd="0" destOrd="0" presId="urn:microsoft.com/office/officeart/2005/8/layout/radial1"/>
    <dgm:cxn modelId="{4501CB8F-2F5A-6E45-BD78-3A0456B4707E}" type="presOf" srcId="{A3BF6CE4-EFAB-B542-9AF1-3E85F5065F39}" destId="{CC206C4C-0540-924B-8A51-4E1C50698BC2}" srcOrd="1" destOrd="0" presId="urn:microsoft.com/office/officeart/2005/8/layout/radial1"/>
    <dgm:cxn modelId="{9D115697-1293-314A-9CE5-F20E3ED4E0EB}" type="presOf" srcId="{78F563D3-FDD4-1E4D-995C-F47425DEBE1E}" destId="{68B9BB9E-04BC-1D46-A277-4E1372B49856}" srcOrd="0" destOrd="0" presId="urn:microsoft.com/office/officeart/2005/8/layout/radial1"/>
    <dgm:cxn modelId="{D8228E98-447B-1444-8DE3-5122A4586D02}" type="presOf" srcId="{E51408F2-3B2E-6444-99CF-8A9C9B87A53D}" destId="{2D349864-23E3-1449-B224-D38BB178CA17}" srcOrd="0" destOrd="0" presId="urn:microsoft.com/office/officeart/2005/8/layout/radial1"/>
    <dgm:cxn modelId="{65FD4B9E-0D7A-CA46-9B55-AC5AD0EE6AE1}" type="presOf" srcId="{4186C1C8-09FD-3D4A-9AF3-AF0CF822D97C}" destId="{1C27073B-2E15-3C4B-A57E-4D56152066E2}" srcOrd="1" destOrd="0" presId="urn:microsoft.com/office/officeart/2005/8/layout/radial1"/>
    <dgm:cxn modelId="{AAAD41A0-1D5E-D549-B663-203329E6E637}" srcId="{E51408F2-3B2E-6444-99CF-8A9C9B87A53D}" destId="{41836C7B-52E4-7A4C-84A6-C25EF689D701}" srcOrd="3" destOrd="0" parTransId="{83CD8F8B-96A9-D04B-B3C0-5B7F2E6AD0BF}" sibTransId="{3EC9E28D-64AF-AA42-A357-F79BBBEDB76F}"/>
    <dgm:cxn modelId="{FF810AAB-B1E4-844D-8446-36173D68982A}" srcId="{E51408F2-3B2E-6444-99CF-8A9C9B87A53D}" destId="{1B77F991-CCB8-6E4D-BF1E-55703C93862C}" srcOrd="1" destOrd="0" parTransId="{A3BF6CE4-EFAB-B542-9AF1-3E85F5065F39}" sibTransId="{3BFFD11E-A3BE-8D44-AFED-980492848E73}"/>
    <dgm:cxn modelId="{DDDA86C7-6133-6D42-BB48-1BA324ECF54E}" type="presOf" srcId="{C1610FAB-1A59-4D46-A91E-55B8E2AEDB0D}" destId="{E132E770-336C-1E45-9FF1-963CFA336B47}" srcOrd="0" destOrd="0" presId="urn:microsoft.com/office/officeart/2005/8/layout/radial1"/>
    <dgm:cxn modelId="{7DFC7DC9-A8C2-8043-B791-107392EE4FD9}" type="presOf" srcId="{E9145FC8-D63E-AE40-BEFF-27312FBC4A26}" destId="{EE08869C-CA28-A943-9851-F77A48DA8E0B}" srcOrd="0" destOrd="0" presId="urn:microsoft.com/office/officeart/2005/8/layout/radial1"/>
    <dgm:cxn modelId="{CCA3C9CD-C57E-6C46-85EA-149C399A90C4}" srcId="{E51408F2-3B2E-6444-99CF-8A9C9B87A53D}" destId="{E9145FC8-D63E-AE40-BEFF-27312FBC4A26}" srcOrd="2" destOrd="0" parTransId="{05E2608B-EEA2-3B48-84ED-1C7B02586004}" sibTransId="{DE5158BF-97B2-9E4F-B176-4128BB1DC6EF}"/>
    <dgm:cxn modelId="{A74E9BCF-6D78-9B45-AE97-8C82398F77CB}" type="presOf" srcId="{6749B73D-13E9-2C4D-9FCD-A6D4EDD08168}" destId="{736569EB-4017-3C4F-A342-7D65EA966C75}" srcOrd="0" destOrd="0" presId="urn:microsoft.com/office/officeart/2005/8/layout/radial1"/>
    <dgm:cxn modelId="{9968D0E3-38A0-844E-808D-0410AE16F490}" srcId="{6749B73D-13E9-2C4D-9FCD-A6D4EDD08168}" destId="{E51408F2-3B2E-6444-99CF-8A9C9B87A53D}" srcOrd="0" destOrd="0" parTransId="{F31A18A0-18EA-CB4B-A359-3C4123603949}" sibTransId="{B7B51930-80B1-0242-8FD7-F3BF5F191C36}"/>
    <dgm:cxn modelId="{A518CFEC-A08D-604D-ABA9-C4D917223D35}" type="presOf" srcId="{83CD8F8B-96A9-D04B-B3C0-5B7F2E6AD0BF}" destId="{7BA43762-42E9-FA48-9CC2-19923E6BD010}" srcOrd="1" destOrd="0" presId="urn:microsoft.com/office/officeart/2005/8/layout/radial1"/>
    <dgm:cxn modelId="{7A4D18F0-4768-0B41-B52F-963A5C4A5F84}" type="presOf" srcId="{1B77F991-CCB8-6E4D-BF1E-55703C93862C}" destId="{9BB47255-1402-6547-B2D8-8B626688D6FB}" srcOrd="0" destOrd="0" presId="urn:microsoft.com/office/officeart/2005/8/layout/radial1"/>
    <dgm:cxn modelId="{7E3C5DFD-0E71-3D41-B00D-B6078C55F881}" type="presOf" srcId="{78F563D3-FDD4-1E4D-995C-F47425DEBE1E}" destId="{D19EDC69-08A4-3A43-B6BE-8B81756D7320}" srcOrd="1" destOrd="0" presId="urn:microsoft.com/office/officeart/2005/8/layout/radial1"/>
    <dgm:cxn modelId="{F49B7E7F-407C-C046-BB6C-19F991F53A95}" type="presParOf" srcId="{736569EB-4017-3C4F-A342-7D65EA966C75}" destId="{2D349864-23E3-1449-B224-D38BB178CA17}" srcOrd="0" destOrd="0" presId="urn:microsoft.com/office/officeart/2005/8/layout/radial1"/>
    <dgm:cxn modelId="{2DA23E8B-A3F5-D246-A63A-9DDD3E152032}" type="presParOf" srcId="{736569EB-4017-3C4F-A342-7D65EA966C75}" destId="{68B9BB9E-04BC-1D46-A277-4E1372B49856}" srcOrd="1" destOrd="0" presId="urn:microsoft.com/office/officeart/2005/8/layout/radial1"/>
    <dgm:cxn modelId="{DC24D80E-0387-B748-BC9C-7EFC015E581D}" type="presParOf" srcId="{68B9BB9E-04BC-1D46-A277-4E1372B49856}" destId="{D19EDC69-08A4-3A43-B6BE-8B81756D7320}" srcOrd="0" destOrd="0" presId="urn:microsoft.com/office/officeart/2005/8/layout/radial1"/>
    <dgm:cxn modelId="{4DE2C4EF-7F0A-4E47-8092-AC5D541F4D66}" type="presParOf" srcId="{736569EB-4017-3C4F-A342-7D65EA966C75}" destId="{43BFA0DB-1152-0541-91EB-0711977E7275}" srcOrd="2" destOrd="0" presId="urn:microsoft.com/office/officeart/2005/8/layout/radial1"/>
    <dgm:cxn modelId="{92671AD5-2348-C74E-8F0F-0FDCED6C426F}" type="presParOf" srcId="{736569EB-4017-3C4F-A342-7D65EA966C75}" destId="{36055E8C-7E78-5C4F-940B-D7D97C6A0F93}" srcOrd="3" destOrd="0" presId="urn:microsoft.com/office/officeart/2005/8/layout/radial1"/>
    <dgm:cxn modelId="{C29F4C95-457D-614E-9B99-3CBFD02D662B}" type="presParOf" srcId="{36055E8C-7E78-5C4F-940B-D7D97C6A0F93}" destId="{CC206C4C-0540-924B-8A51-4E1C50698BC2}" srcOrd="0" destOrd="0" presId="urn:microsoft.com/office/officeart/2005/8/layout/radial1"/>
    <dgm:cxn modelId="{59BFC3B4-826D-DE44-A120-F47C4B928F6D}" type="presParOf" srcId="{736569EB-4017-3C4F-A342-7D65EA966C75}" destId="{9BB47255-1402-6547-B2D8-8B626688D6FB}" srcOrd="4" destOrd="0" presId="urn:microsoft.com/office/officeart/2005/8/layout/radial1"/>
    <dgm:cxn modelId="{02E26461-456A-AD42-B7A7-BCDFD1FB181B}" type="presParOf" srcId="{736569EB-4017-3C4F-A342-7D65EA966C75}" destId="{0A651E22-13CE-AA42-95B6-AACA8590DD78}" srcOrd="5" destOrd="0" presId="urn:microsoft.com/office/officeart/2005/8/layout/radial1"/>
    <dgm:cxn modelId="{86A55FA0-91A1-A243-9261-B6DBB81EEF0B}" type="presParOf" srcId="{0A651E22-13CE-AA42-95B6-AACA8590DD78}" destId="{1CAE71D8-8537-7545-940D-22D947186D04}" srcOrd="0" destOrd="0" presId="urn:microsoft.com/office/officeart/2005/8/layout/radial1"/>
    <dgm:cxn modelId="{1E6DBA94-9437-A74E-B77A-2AD419C0A978}" type="presParOf" srcId="{736569EB-4017-3C4F-A342-7D65EA966C75}" destId="{EE08869C-CA28-A943-9851-F77A48DA8E0B}" srcOrd="6" destOrd="0" presId="urn:microsoft.com/office/officeart/2005/8/layout/radial1"/>
    <dgm:cxn modelId="{603E6E48-6FB0-294D-9272-01B067000BCC}" type="presParOf" srcId="{736569EB-4017-3C4F-A342-7D65EA966C75}" destId="{F9306A64-9FB2-A944-A614-35C984D6469F}" srcOrd="7" destOrd="0" presId="urn:microsoft.com/office/officeart/2005/8/layout/radial1"/>
    <dgm:cxn modelId="{73AF4AD7-281F-9B46-B2B9-2F7CF1890766}" type="presParOf" srcId="{F9306A64-9FB2-A944-A614-35C984D6469F}" destId="{7BA43762-42E9-FA48-9CC2-19923E6BD010}" srcOrd="0" destOrd="0" presId="urn:microsoft.com/office/officeart/2005/8/layout/radial1"/>
    <dgm:cxn modelId="{E8F5E5F9-C9FB-A540-8821-D7E4C4388463}" type="presParOf" srcId="{736569EB-4017-3C4F-A342-7D65EA966C75}" destId="{B1C61F92-8621-5642-B9CF-B27B392C05C6}" srcOrd="8" destOrd="0" presId="urn:microsoft.com/office/officeart/2005/8/layout/radial1"/>
    <dgm:cxn modelId="{2310C969-E276-8546-83B2-A9DC7EC4C605}" type="presParOf" srcId="{736569EB-4017-3C4F-A342-7D65EA966C75}" destId="{301C3C65-67A0-5142-B9EE-CECF2F81435C}" srcOrd="9" destOrd="0" presId="urn:microsoft.com/office/officeart/2005/8/layout/radial1"/>
    <dgm:cxn modelId="{DB4349FB-4CED-0F4D-8693-2C72BE6E81A6}" type="presParOf" srcId="{301C3C65-67A0-5142-B9EE-CECF2F81435C}" destId="{1C27073B-2E15-3C4B-A57E-4D56152066E2}" srcOrd="0" destOrd="0" presId="urn:microsoft.com/office/officeart/2005/8/layout/radial1"/>
    <dgm:cxn modelId="{DA283BF2-73CE-4841-BCC8-706B9557342E}" type="presParOf" srcId="{736569EB-4017-3C4F-A342-7D65EA966C75}" destId="{E132E770-336C-1E45-9FF1-963CFA336B47}" srcOrd="10" destOrd="0" presId="urn:microsoft.com/office/officeart/2005/8/layout/radial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8E18E98-65A6-FA43-966A-8406A0F2B1CF}" type="doc">
      <dgm:prSet loTypeId="urn:microsoft.com/office/officeart/2005/8/layout/process2" loCatId="" qsTypeId="urn:microsoft.com/office/officeart/2005/8/quickstyle/simple1" qsCatId="simple" csTypeId="urn:microsoft.com/office/officeart/2005/8/colors/accent0_1" csCatId="mainScheme" phldr="1"/>
      <dgm:spPr/>
    </dgm:pt>
    <dgm:pt modelId="{09E0FEBA-1514-D647-BCF6-715AFC094996}">
      <dgm:prSet phldrT="[Text]" custT="1"/>
      <dgm:spPr>
        <a:solidFill>
          <a:schemeClr val="bg1">
            <a:lumMod val="95000"/>
          </a:schemeClr>
        </a:solidFill>
      </dgm:spPr>
      <dgm:t>
        <a:bodyPr/>
        <a:lstStyle/>
        <a:p>
          <a:r>
            <a:rPr lang="en-US" sz="1200">
              <a:latin typeface="Arial" panose="020B0604020202020204" pitchFamily="34" charset="0"/>
              <a:cs typeface="Arial" panose="020B0604020202020204" pitchFamily="34" charset="0"/>
            </a:rPr>
            <a:t>Director of Children's Services</a:t>
          </a:r>
        </a:p>
        <a:p>
          <a:r>
            <a:rPr lang="en-US" sz="1200">
              <a:latin typeface="Arial" panose="020B0604020202020204" pitchFamily="34" charset="0"/>
              <a:cs typeface="Arial" panose="020B0604020202020204" pitchFamily="34" charset="0"/>
            </a:rPr>
            <a:t>Ethics Comittee / Nominated Responsible Manager </a:t>
          </a:r>
        </a:p>
        <a:p>
          <a:r>
            <a:rPr lang="en-US" sz="1200">
              <a:latin typeface="Arial" panose="020B0604020202020204" pitchFamily="34" charset="0"/>
              <a:cs typeface="Arial" panose="020B0604020202020204" pitchFamily="34" charset="0"/>
            </a:rPr>
            <a:t>Principal Social Worker</a:t>
          </a:r>
          <a:endParaRPr lang="en-US" sz="800">
            <a:latin typeface="Arial" panose="020B0604020202020204" pitchFamily="34" charset="0"/>
            <a:cs typeface="Arial" panose="020B0604020202020204" pitchFamily="34" charset="0"/>
          </a:endParaRPr>
        </a:p>
      </dgm:t>
    </dgm:pt>
    <dgm:pt modelId="{BB2DC5C1-4EA8-DD47-8953-B369F690A53B}" type="parTrans" cxnId="{2E901117-CB50-0246-AA8F-FBCC8136312C}">
      <dgm:prSet/>
      <dgm:spPr/>
      <dgm:t>
        <a:bodyPr/>
        <a:lstStyle/>
        <a:p>
          <a:endParaRPr lang="en-US">
            <a:latin typeface="Arial" panose="020B0604020202020204" pitchFamily="34" charset="0"/>
            <a:cs typeface="Arial" panose="020B0604020202020204" pitchFamily="34" charset="0"/>
          </a:endParaRPr>
        </a:p>
      </dgm:t>
    </dgm:pt>
    <dgm:pt modelId="{D0785FF4-DAE4-234E-82FA-AA3A01D563EB}" type="sibTrans" cxnId="{2E901117-CB50-0246-AA8F-FBCC8136312C}">
      <dgm:prSet/>
      <dgm:spPr/>
      <dgm:t>
        <a:bodyPr/>
        <a:lstStyle/>
        <a:p>
          <a:endParaRPr lang="en-US">
            <a:latin typeface="Arial" panose="020B0604020202020204" pitchFamily="34" charset="0"/>
            <a:cs typeface="Arial" panose="020B0604020202020204" pitchFamily="34" charset="0"/>
          </a:endParaRPr>
        </a:p>
      </dgm:t>
    </dgm:pt>
    <dgm:pt modelId="{573989E4-FFB3-BB46-99C3-7F4FBFD75373}">
      <dgm:prSet phldrT="[Text]" custT="1"/>
      <dgm:spPr>
        <a:solidFill>
          <a:schemeClr val="bg1">
            <a:lumMod val="85000"/>
          </a:schemeClr>
        </a:solidFill>
      </dgm:spPr>
      <dgm:t>
        <a:bodyPr/>
        <a:lstStyle/>
        <a:p>
          <a:r>
            <a:rPr lang="en-US" sz="1200">
              <a:latin typeface="Arial" panose="020B0604020202020204" pitchFamily="34" charset="0"/>
              <a:cs typeface="Arial" panose="020B0604020202020204" pitchFamily="34" charset="0"/>
            </a:rPr>
            <a:t>Head of Service</a:t>
          </a:r>
        </a:p>
        <a:p>
          <a:r>
            <a:rPr lang="en-US" sz="1200">
              <a:latin typeface="Arial" panose="020B0604020202020204" pitchFamily="34" charset="0"/>
              <a:cs typeface="Arial" panose="020B0604020202020204" pitchFamily="34" charset="0"/>
            </a:rPr>
            <a:t>Practice Lead / Area Manager</a:t>
          </a:r>
        </a:p>
        <a:p>
          <a:r>
            <a:rPr lang="en-US" sz="1200">
              <a:latin typeface="Arial" panose="020B0604020202020204" pitchFamily="34" charset="0"/>
              <a:cs typeface="Arial" panose="020B0604020202020204" pitchFamily="34" charset="0"/>
            </a:rPr>
            <a:t>Team Manager</a:t>
          </a:r>
        </a:p>
      </dgm:t>
    </dgm:pt>
    <dgm:pt modelId="{73F6658E-460B-D649-BD1A-34F7BAEFF52E}" type="parTrans" cxnId="{BDDBF798-9C37-5040-A900-D79159C4A2AD}">
      <dgm:prSet/>
      <dgm:spPr/>
      <dgm:t>
        <a:bodyPr/>
        <a:lstStyle/>
        <a:p>
          <a:endParaRPr lang="en-US">
            <a:latin typeface="Arial" panose="020B0604020202020204" pitchFamily="34" charset="0"/>
            <a:cs typeface="Arial" panose="020B0604020202020204" pitchFamily="34" charset="0"/>
          </a:endParaRPr>
        </a:p>
      </dgm:t>
    </dgm:pt>
    <dgm:pt modelId="{5FFA08E1-6C4E-1840-A247-1182EF3FE2E8}" type="sibTrans" cxnId="{BDDBF798-9C37-5040-A900-D79159C4A2AD}">
      <dgm:prSet/>
      <dgm:spPr/>
      <dgm:t>
        <a:bodyPr/>
        <a:lstStyle/>
        <a:p>
          <a:endParaRPr lang="en-US">
            <a:latin typeface="Arial" panose="020B0604020202020204" pitchFamily="34" charset="0"/>
            <a:cs typeface="Arial" panose="020B0604020202020204" pitchFamily="34" charset="0"/>
          </a:endParaRPr>
        </a:p>
      </dgm:t>
    </dgm:pt>
    <dgm:pt modelId="{FF92A9C1-7864-6A48-9F51-FD14D8D29F98}">
      <dgm:prSet phldrT="[Text]" custT="1"/>
      <dgm:spPr>
        <a:solidFill>
          <a:schemeClr val="bg1">
            <a:lumMod val="75000"/>
          </a:schemeClr>
        </a:solidFill>
      </dgm:spPr>
      <dgm:t>
        <a:bodyPr/>
        <a:lstStyle/>
        <a:p>
          <a:r>
            <a:rPr lang="en-US" sz="1400">
              <a:latin typeface="Arial" panose="020B0604020202020204" pitchFamily="34" charset="0"/>
              <a:cs typeface="Arial" panose="020B0604020202020204" pitchFamily="34" charset="0"/>
            </a:rPr>
            <a:t>Social Worker / Personal Advisor / Foster Carer</a:t>
          </a:r>
        </a:p>
      </dgm:t>
    </dgm:pt>
    <dgm:pt modelId="{B6AEF514-9A40-9846-8722-A00B48BAD61F}" type="sibTrans" cxnId="{996E176F-130C-284C-A8AA-D0716FA67EAA}">
      <dgm:prSet/>
      <dgm:spPr/>
      <dgm:t>
        <a:bodyPr/>
        <a:lstStyle/>
        <a:p>
          <a:endParaRPr lang="en-US">
            <a:latin typeface="Arial" panose="020B0604020202020204" pitchFamily="34" charset="0"/>
            <a:cs typeface="Arial" panose="020B0604020202020204" pitchFamily="34" charset="0"/>
          </a:endParaRPr>
        </a:p>
      </dgm:t>
    </dgm:pt>
    <dgm:pt modelId="{430D1954-A12A-C246-82D3-E52501B23845}" type="parTrans" cxnId="{996E176F-130C-284C-A8AA-D0716FA67EAA}">
      <dgm:prSet/>
      <dgm:spPr/>
      <dgm:t>
        <a:bodyPr/>
        <a:lstStyle/>
        <a:p>
          <a:endParaRPr lang="en-US">
            <a:latin typeface="Arial" panose="020B0604020202020204" pitchFamily="34" charset="0"/>
            <a:cs typeface="Arial" panose="020B0604020202020204" pitchFamily="34" charset="0"/>
          </a:endParaRPr>
        </a:p>
      </dgm:t>
    </dgm:pt>
    <dgm:pt modelId="{8C0F1992-FEA5-3746-8149-B92BB8F65F91}" type="pres">
      <dgm:prSet presAssocID="{78E18E98-65A6-FA43-966A-8406A0F2B1CF}" presName="linearFlow" presStyleCnt="0">
        <dgm:presLayoutVars>
          <dgm:resizeHandles val="exact"/>
        </dgm:presLayoutVars>
      </dgm:prSet>
      <dgm:spPr/>
    </dgm:pt>
    <dgm:pt modelId="{A2452FE0-2A5F-AB4D-976E-E74F3E44DCAF}" type="pres">
      <dgm:prSet presAssocID="{09E0FEBA-1514-D647-BCF6-715AFC094996}" presName="node" presStyleLbl="node1" presStyleIdx="0" presStyleCnt="3" custScaleX="171594">
        <dgm:presLayoutVars>
          <dgm:bulletEnabled val="1"/>
        </dgm:presLayoutVars>
      </dgm:prSet>
      <dgm:spPr/>
    </dgm:pt>
    <dgm:pt modelId="{E293593F-5E24-0941-9B4E-D657A7D1259D}" type="pres">
      <dgm:prSet presAssocID="{D0785FF4-DAE4-234E-82FA-AA3A01D563EB}" presName="sibTrans" presStyleLbl="sibTrans2D1" presStyleIdx="0" presStyleCnt="2"/>
      <dgm:spPr/>
    </dgm:pt>
    <dgm:pt modelId="{94DADFA6-EE5C-0641-A620-513832C306AF}" type="pres">
      <dgm:prSet presAssocID="{D0785FF4-DAE4-234E-82FA-AA3A01D563EB}" presName="connectorText" presStyleLbl="sibTrans2D1" presStyleIdx="0" presStyleCnt="2"/>
      <dgm:spPr/>
    </dgm:pt>
    <dgm:pt modelId="{1217D9EA-AD50-2F43-867D-FA7D22C1E932}" type="pres">
      <dgm:prSet presAssocID="{573989E4-FFB3-BB46-99C3-7F4FBFD75373}" presName="node" presStyleLbl="node1" presStyleIdx="1" presStyleCnt="3" custScaleX="171594">
        <dgm:presLayoutVars>
          <dgm:bulletEnabled val="1"/>
        </dgm:presLayoutVars>
      </dgm:prSet>
      <dgm:spPr/>
    </dgm:pt>
    <dgm:pt modelId="{A6DB2AF4-35C3-AC40-BA6F-324349FCA1B6}" type="pres">
      <dgm:prSet presAssocID="{5FFA08E1-6C4E-1840-A247-1182EF3FE2E8}" presName="sibTrans" presStyleLbl="sibTrans2D1" presStyleIdx="1" presStyleCnt="2"/>
      <dgm:spPr/>
    </dgm:pt>
    <dgm:pt modelId="{6EBF9DF9-663B-1240-A9DF-71FCE74FAEF8}" type="pres">
      <dgm:prSet presAssocID="{5FFA08E1-6C4E-1840-A247-1182EF3FE2E8}" presName="connectorText" presStyleLbl="sibTrans2D1" presStyleIdx="1" presStyleCnt="2"/>
      <dgm:spPr/>
    </dgm:pt>
    <dgm:pt modelId="{9D17F12D-A415-4D48-A2D6-4CA7473179B5}" type="pres">
      <dgm:prSet presAssocID="{FF92A9C1-7864-6A48-9F51-FD14D8D29F98}" presName="node" presStyleLbl="node1" presStyleIdx="2" presStyleCnt="3" custScaleX="171594">
        <dgm:presLayoutVars>
          <dgm:bulletEnabled val="1"/>
        </dgm:presLayoutVars>
      </dgm:prSet>
      <dgm:spPr/>
    </dgm:pt>
  </dgm:ptLst>
  <dgm:cxnLst>
    <dgm:cxn modelId="{6F7DF006-F516-5441-92F1-F2FC133AF9F7}" type="presOf" srcId="{D0785FF4-DAE4-234E-82FA-AA3A01D563EB}" destId="{94DADFA6-EE5C-0641-A620-513832C306AF}" srcOrd="1" destOrd="0" presId="urn:microsoft.com/office/officeart/2005/8/layout/process2"/>
    <dgm:cxn modelId="{F0B58310-19B3-2043-B666-B87DD22DCC92}" type="presOf" srcId="{78E18E98-65A6-FA43-966A-8406A0F2B1CF}" destId="{8C0F1992-FEA5-3746-8149-B92BB8F65F91}" srcOrd="0" destOrd="0" presId="urn:microsoft.com/office/officeart/2005/8/layout/process2"/>
    <dgm:cxn modelId="{2E901117-CB50-0246-AA8F-FBCC8136312C}" srcId="{78E18E98-65A6-FA43-966A-8406A0F2B1CF}" destId="{09E0FEBA-1514-D647-BCF6-715AFC094996}" srcOrd="0" destOrd="0" parTransId="{BB2DC5C1-4EA8-DD47-8953-B369F690A53B}" sibTransId="{D0785FF4-DAE4-234E-82FA-AA3A01D563EB}"/>
    <dgm:cxn modelId="{D96A4C6C-77E4-0248-B337-5180998875EA}" type="presOf" srcId="{09E0FEBA-1514-D647-BCF6-715AFC094996}" destId="{A2452FE0-2A5F-AB4D-976E-E74F3E44DCAF}" srcOrd="0" destOrd="0" presId="urn:microsoft.com/office/officeart/2005/8/layout/process2"/>
    <dgm:cxn modelId="{996E176F-130C-284C-A8AA-D0716FA67EAA}" srcId="{78E18E98-65A6-FA43-966A-8406A0F2B1CF}" destId="{FF92A9C1-7864-6A48-9F51-FD14D8D29F98}" srcOrd="2" destOrd="0" parTransId="{430D1954-A12A-C246-82D3-E52501B23845}" sibTransId="{B6AEF514-9A40-9846-8722-A00B48BAD61F}"/>
    <dgm:cxn modelId="{22C89880-A780-004D-A77B-D1C7961187C5}" type="presOf" srcId="{5FFA08E1-6C4E-1840-A247-1182EF3FE2E8}" destId="{6EBF9DF9-663B-1240-A9DF-71FCE74FAEF8}" srcOrd="1" destOrd="0" presId="urn:microsoft.com/office/officeart/2005/8/layout/process2"/>
    <dgm:cxn modelId="{BDDBF798-9C37-5040-A900-D79159C4A2AD}" srcId="{78E18E98-65A6-FA43-966A-8406A0F2B1CF}" destId="{573989E4-FFB3-BB46-99C3-7F4FBFD75373}" srcOrd="1" destOrd="0" parTransId="{73F6658E-460B-D649-BD1A-34F7BAEFF52E}" sibTransId="{5FFA08E1-6C4E-1840-A247-1182EF3FE2E8}"/>
    <dgm:cxn modelId="{1FBCD09C-E417-9B4F-9B11-2AA3093B5835}" type="presOf" srcId="{573989E4-FFB3-BB46-99C3-7F4FBFD75373}" destId="{1217D9EA-AD50-2F43-867D-FA7D22C1E932}" srcOrd="0" destOrd="0" presId="urn:microsoft.com/office/officeart/2005/8/layout/process2"/>
    <dgm:cxn modelId="{C1539FB5-045D-324A-8C78-33A35D2B71EE}" type="presOf" srcId="{D0785FF4-DAE4-234E-82FA-AA3A01D563EB}" destId="{E293593F-5E24-0941-9B4E-D657A7D1259D}" srcOrd="0" destOrd="0" presId="urn:microsoft.com/office/officeart/2005/8/layout/process2"/>
    <dgm:cxn modelId="{8170E9E6-3CAF-2E4C-AB90-27A2B4106EF7}" type="presOf" srcId="{5FFA08E1-6C4E-1840-A247-1182EF3FE2E8}" destId="{A6DB2AF4-35C3-AC40-BA6F-324349FCA1B6}" srcOrd="0" destOrd="0" presId="urn:microsoft.com/office/officeart/2005/8/layout/process2"/>
    <dgm:cxn modelId="{626977F8-3AA1-C542-982D-6743F7F09833}" type="presOf" srcId="{FF92A9C1-7864-6A48-9F51-FD14D8D29F98}" destId="{9D17F12D-A415-4D48-A2D6-4CA7473179B5}" srcOrd="0" destOrd="0" presId="urn:microsoft.com/office/officeart/2005/8/layout/process2"/>
    <dgm:cxn modelId="{35120360-68F2-9F4D-AB7B-F3A739DF1263}" type="presParOf" srcId="{8C0F1992-FEA5-3746-8149-B92BB8F65F91}" destId="{A2452FE0-2A5F-AB4D-976E-E74F3E44DCAF}" srcOrd="0" destOrd="0" presId="urn:microsoft.com/office/officeart/2005/8/layout/process2"/>
    <dgm:cxn modelId="{E0FD54B0-2EEA-7647-BD74-EDDC41833BB0}" type="presParOf" srcId="{8C0F1992-FEA5-3746-8149-B92BB8F65F91}" destId="{E293593F-5E24-0941-9B4E-D657A7D1259D}" srcOrd="1" destOrd="0" presId="urn:microsoft.com/office/officeart/2005/8/layout/process2"/>
    <dgm:cxn modelId="{0AD7CACD-6222-2A43-8ED0-89E3CD7A5411}" type="presParOf" srcId="{E293593F-5E24-0941-9B4E-D657A7D1259D}" destId="{94DADFA6-EE5C-0641-A620-513832C306AF}" srcOrd="0" destOrd="0" presId="urn:microsoft.com/office/officeart/2005/8/layout/process2"/>
    <dgm:cxn modelId="{5662AE45-0716-1F4C-ABBF-876A98A0344D}" type="presParOf" srcId="{8C0F1992-FEA5-3746-8149-B92BB8F65F91}" destId="{1217D9EA-AD50-2F43-867D-FA7D22C1E932}" srcOrd="2" destOrd="0" presId="urn:microsoft.com/office/officeart/2005/8/layout/process2"/>
    <dgm:cxn modelId="{E9F54186-8CCB-1349-B1C2-7C1E8501FA0D}" type="presParOf" srcId="{8C0F1992-FEA5-3746-8149-B92BB8F65F91}" destId="{A6DB2AF4-35C3-AC40-BA6F-324349FCA1B6}" srcOrd="3" destOrd="0" presId="urn:microsoft.com/office/officeart/2005/8/layout/process2"/>
    <dgm:cxn modelId="{F3485B94-C5EB-F74D-9175-D562BDE789B7}" type="presParOf" srcId="{A6DB2AF4-35C3-AC40-BA6F-324349FCA1B6}" destId="{6EBF9DF9-663B-1240-A9DF-71FCE74FAEF8}" srcOrd="0" destOrd="0" presId="urn:microsoft.com/office/officeart/2005/8/layout/process2"/>
    <dgm:cxn modelId="{3FADF747-6B88-324D-9BEB-BFDB2CF42BCE}" type="presParOf" srcId="{8C0F1992-FEA5-3746-8149-B92BB8F65F91}" destId="{9D17F12D-A415-4D48-A2D6-4CA7473179B5}" srcOrd="4" destOrd="0" presId="urn:microsoft.com/office/officeart/2005/8/layout/process2"/>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CC25788C-C400-4C45-80F1-FDA289FDB926}" type="doc">
      <dgm:prSet loTypeId="urn:microsoft.com/office/officeart/2005/8/layout/bProcess2" loCatId="" qsTypeId="urn:microsoft.com/office/officeart/2005/8/quickstyle/simple1" qsCatId="simple" csTypeId="urn:microsoft.com/office/officeart/2005/8/colors/accent0_1" csCatId="mainScheme" phldr="1"/>
      <dgm:spPr/>
      <dgm:t>
        <a:bodyPr/>
        <a:lstStyle/>
        <a:p>
          <a:endParaRPr lang="en-GB"/>
        </a:p>
      </dgm:t>
    </dgm:pt>
    <dgm:pt modelId="{F42F6E99-4783-2D4E-B8A1-72FB92B5B730}">
      <dgm:prSet phldrT="[Text]"/>
      <dgm:spPr>
        <a:solidFill>
          <a:srgbClr val="FFC5FF"/>
        </a:solidFill>
        <a:ln w="19050"/>
      </dgm:spPr>
      <dgm:t>
        <a:bodyPr/>
        <a:lstStyle/>
        <a:p>
          <a:r>
            <a:rPr lang="en-GB">
              <a:latin typeface="Arial" panose="020B0604020202020204" pitchFamily="34" charset="0"/>
              <a:cs typeface="Arial" panose="020B0604020202020204" pitchFamily="34" charset="0"/>
            </a:rPr>
            <a:t>University Ethics</a:t>
          </a:r>
        </a:p>
      </dgm:t>
    </dgm:pt>
    <dgm:pt modelId="{4FD5A022-E659-EC4B-B5CB-0652828D3CBB}" type="parTrans" cxnId="{D115EBD8-06CF-B844-AE32-88D75051A342}">
      <dgm:prSet/>
      <dgm:spPr/>
      <dgm:t>
        <a:bodyPr/>
        <a:lstStyle/>
        <a:p>
          <a:endParaRPr lang="en-GB">
            <a:latin typeface="Arial" panose="020B0604020202020204" pitchFamily="34" charset="0"/>
            <a:cs typeface="Arial" panose="020B0604020202020204" pitchFamily="34" charset="0"/>
          </a:endParaRPr>
        </a:p>
      </dgm:t>
    </dgm:pt>
    <dgm:pt modelId="{A35A92D6-B757-9A42-8979-135715E14A31}" type="sibTrans" cxnId="{D115EBD8-06CF-B844-AE32-88D75051A342}">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D1C35746-F728-5846-AD6B-F7545DC28B60}">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Director of Children's Services email and phone conversation</a:t>
          </a:r>
        </a:p>
      </dgm:t>
    </dgm:pt>
    <dgm:pt modelId="{C0549FD1-A1C4-E94F-B858-AA3B96823358}" type="parTrans" cxnId="{A6CAD70F-D07E-A24F-8FD6-179AF3DC0541}">
      <dgm:prSet/>
      <dgm:spPr/>
      <dgm:t>
        <a:bodyPr/>
        <a:lstStyle/>
        <a:p>
          <a:endParaRPr lang="en-GB">
            <a:latin typeface="Arial" panose="020B0604020202020204" pitchFamily="34" charset="0"/>
            <a:cs typeface="Arial" panose="020B0604020202020204" pitchFamily="34" charset="0"/>
          </a:endParaRPr>
        </a:p>
      </dgm:t>
    </dgm:pt>
    <dgm:pt modelId="{6D2872B1-0FBB-364F-A311-3F203101F594}" type="sibTrans" cxnId="{A6CAD70F-D07E-A24F-8FD6-179AF3DC0541}">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B02E72C2-43C8-D644-AED5-C669E9A2358E}">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Principal Social Worker</a:t>
          </a:r>
        </a:p>
        <a:p>
          <a:r>
            <a:rPr lang="en-GB" sz="600">
              <a:latin typeface="Arial" panose="020B0604020202020204" pitchFamily="34" charset="0"/>
              <a:cs typeface="Arial" panose="020B0604020202020204" pitchFamily="34" charset="0"/>
            </a:rPr>
            <a:t>emails</a:t>
          </a:r>
        </a:p>
        <a:p>
          <a:endParaRPr lang="en-GB" sz="600">
            <a:latin typeface="Arial" panose="020B0604020202020204" pitchFamily="34" charset="0"/>
            <a:cs typeface="Arial" panose="020B0604020202020204" pitchFamily="34" charset="0"/>
          </a:endParaRPr>
        </a:p>
      </dgm:t>
    </dgm:pt>
    <dgm:pt modelId="{33B41CD8-FED0-EB4A-815C-78C9FA22C8A2}" type="parTrans" cxnId="{1AD9AF3C-B130-A646-A4C4-8E2F71FBA004}">
      <dgm:prSet/>
      <dgm:spPr/>
      <dgm:t>
        <a:bodyPr/>
        <a:lstStyle/>
        <a:p>
          <a:endParaRPr lang="en-GB">
            <a:latin typeface="Arial" panose="020B0604020202020204" pitchFamily="34" charset="0"/>
            <a:cs typeface="Arial" panose="020B0604020202020204" pitchFamily="34" charset="0"/>
          </a:endParaRPr>
        </a:p>
      </dgm:t>
    </dgm:pt>
    <dgm:pt modelId="{0A5A957B-4AF7-0543-BB1B-11F9F7BAD216}" type="sibTrans" cxnId="{1AD9AF3C-B130-A646-A4C4-8E2F71FBA004}">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49B4A91D-BA0C-F743-9C7D-38DB4E8EF1EA}">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Principal Social Worker emails</a:t>
          </a:r>
        </a:p>
      </dgm:t>
    </dgm:pt>
    <dgm:pt modelId="{2D4057F4-14B1-ED41-84C9-497513A1DA98}" type="parTrans" cxnId="{C7823E27-AB74-9A48-A6C0-536690100E9B}">
      <dgm:prSet/>
      <dgm:spPr/>
      <dgm:t>
        <a:bodyPr/>
        <a:lstStyle/>
        <a:p>
          <a:endParaRPr lang="en-GB">
            <a:latin typeface="Arial" panose="020B0604020202020204" pitchFamily="34" charset="0"/>
            <a:cs typeface="Arial" panose="020B0604020202020204" pitchFamily="34" charset="0"/>
          </a:endParaRPr>
        </a:p>
      </dgm:t>
    </dgm:pt>
    <dgm:pt modelId="{2FB08DCB-D42B-D542-83F5-AF24F071EB0C}" type="sibTrans" cxnId="{C7823E27-AB74-9A48-A6C0-536690100E9B}">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A8A5F137-2C85-5D43-931E-2ABC366FB872}">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Area Lead Manager</a:t>
          </a:r>
        </a:p>
        <a:p>
          <a:r>
            <a:rPr lang="en-GB" sz="600">
              <a:latin typeface="Arial" panose="020B0604020202020204" pitchFamily="34" charset="0"/>
              <a:cs typeface="Arial" panose="020B0604020202020204" pitchFamily="34" charset="0"/>
            </a:rPr>
            <a:t>meetings and emails</a:t>
          </a:r>
        </a:p>
      </dgm:t>
    </dgm:pt>
    <dgm:pt modelId="{15009E0F-1D0F-D64E-8D0C-11053EE5F9A6}" type="parTrans" cxnId="{5FC7881C-BA39-B648-ADDF-C3FC949B0125}">
      <dgm:prSet/>
      <dgm:spPr/>
      <dgm:t>
        <a:bodyPr/>
        <a:lstStyle/>
        <a:p>
          <a:endParaRPr lang="en-GB">
            <a:latin typeface="Arial" panose="020B0604020202020204" pitchFamily="34" charset="0"/>
            <a:cs typeface="Arial" panose="020B0604020202020204" pitchFamily="34" charset="0"/>
          </a:endParaRPr>
        </a:p>
      </dgm:t>
    </dgm:pt>
    <dgm:pt modelId="{6F94A3BC-A822-7A4C-9FDF-F8110EB87384}" type="sibTrans" cxnId="{5FC7881C-BA39-B648-ADDF-C3FC949B0125}">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CA639BBC-7C24-324B-B9F8-1863AF07B7FD}">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Team Manager</a:t>
          </a:r>
        </a:p>
        <a:p>
          <a:r>
            <a:rPr lang="en-GB" sz="600">
              <a:latin typeface="Arial" panose="020B0604020202020204" pitchFamily="34" charset="0"/>
              <a:cs typeface="Arial" panose="020B0604020202020204" pitchFamily="34" charset="0"/>
            </a:rPr>
            <a:t>emails and phone conversation</a:t>
          </a:r>
        </a:p>
      </dgm:t>
    </dgm:pt>
    <dgm:pt modelId="{8B739826-D23B-F242-86A0-8B8012A16B5A}" type="parTrans" cxnId="{53A8E3D6-E92D-B44C-BF93-91B5D5CC7CC7}">
      <dgm:prSet/>
      <dgm:spPr/>
      <dgm:t>
        <a:bodyPr/>
        <a:lstStyle/>
        <a:p>
          <a:endParaRPr lang="en-GB">
            <a:latin typeface="Arial" panose="020B0604020202020204" pitchFamily="34" charset="0"/>
            <a:cs typeface="Arial" panose="020B0604020202020204" pitchFamily="34" charset="0"/>
          </a:endParaRPr>
        </a:p>
      </dgm:t>
    </dgm:pt>
    <dgm:pt modelId="{F27D322C-052C-544C-A5CB-0EDFC90AA5D8}" type="sibTrans" cxnId="{53A8E3D6-E92D-B44C-BF93-91B5D5CC7CC7}">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B9DC03FB-13C5-E148-8944-A6AC333C0C25}">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Head of Service</a:t>
          </a:r>
        </a:p>
        <a:p>
          <a:r>
            <a:rPr lang="en-GB" sz="600">
              <a:latin typeface="Arial" panose="020B0604020202020204" pitchFamily="34" charset="0"/>
              <a:cs typeface="Arial" panose="020B0604020202020204" pitchFamily="34" charset="0"/>
            </a:rPr>
            <a:t>Meetings and emails</a:t>
          </a:r>
        </a:p>
      </dgm:t>
    </dgm:pt>
    <dgm:pt modelId="{1E03B47C-B907-264F-B3AC-9FD4287A7A22}" type="parTrans" cxnId="{905583D2-8D71-AA4E-A8A5-32CA494CFBFA}">
      <dgm:prSet/>
      <dgm:spPr/>
      <dgm:t>
        <a:bodyPr/>
        <a:lstStyle/>
        <a:p>
          <a:endParaRPr lang="en-GB">
            <a:latin typeface="Arial" panose="020B0604020202020204" pitchFamily="34" charset="0"/>
            <a:cs typeface="Arial" panose="020B0604020202020204" pitchFamily="34" charset="0"/>
          </a:endParaRPr>
        </a:p>
      </dgm:t>
    </dgm:pt>
    <dgm:pt modelId="{A8D886BC-4CA4-FC42-80AB-8A5FF1170B7F}" type="sibTrans" cxnId="{905583D2-8D71-AA4E-A8A5-32CA494CFBFA}">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3A2C374E-EF8B-0649-8346-F2DC9D96AEFE}">
      <dgm:prSet phldrT="[Tex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Team Meeting</a:t>
          </a:r>
        </a:p>
        <a:p>
          <a:r>
            <a:rPr lang="en-GB" sz="600">
              <a:latin typeface="Arial" panose="020B0604020202020204" pitchFamily="34" charset="0"/>
              <a:cs typeface="Arial" panose="020B0604020202020204" pitchFamily="34" charset="0"/>
            </a:rPr>
            <a:t>meeting</a:t>
          </a:r>
        </a:p>
      </dgm:t>
    </dgm:pt>
    <dgm:pt modelId="{A26B984C-32D2-1E43-879A-1F2F6A375C84}" type="parTrans" cxnId="{9F0F7C0C-58A8-AB4D-B691-80087551F4BF}">
      <dgm:prSet/>
      <dgm:spPr/>
      <dgm:t>
        <a:bodyPr/>
        <a:lstStyle/>
        <a:p>
          <a:endParaRPr lang="en-GB">
            <a:latin typeface="Arial" panose="020B0604020202020204" pitchFamily="34" charset="0"/>
            <a:cs typeface="Arial" panose="020B0604020202020204" pitchFamily="34" charset="0"/>
          </a:endParaRPr>
        </a:p>
      </dgm:t>
    </dgm:pt>
    <dgm:pt modelId="{4B714211-B580-CD44-8FCA-DA4C4A60A9FC}" type="sibTrans" cxnId="{9F0F7C0C-58A8-AB4D-B691-80087551F4BF}">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D672AED2-2D65-D148-AF18-E9173BB301E7}">
      <dgm:prSet phldrT="[Text]"/>
      <dgm:spPr>
        <a:solidFill>
          <a:srgbClr val="D5FFFF"/>
        </a:solidFill>
        <a:ln w="19050"/>
      </dgm:spPr>
      <dgm:t>
        <a:bodyPr/>
        <a:lstStyle/>
        <a:p>
          <a:r>
            <a:rPr lang="en-GB">
              <a:latin typeface="Arial" panose="020B0604020202020204" pitchFamily="34" charset="0"/>
              <a:cs typeface="Arial" panose="020B0604020202020204" pitchFamily="34" charset="0"/>
            </a:rPr>
            <a:t>Young Person</a:t>
          </a:r>
        </a:p>
        <a:p>
          <a:r>
            <a:rPr lang="en-GB">
              <a:latin typeface="Arial" panose="020B0604020202020204" pitchFamily="34" charset="0"/>
              <a:cs typeface="Arial" panose="020B0604020202020204" pitchFamily="34" charset="0"/>
            </a:rPr>
            <a:t>email, phone conversation and meeting</a:t>
          </a:r>
        </a:p>
      </dgm:t>
    </dgm:pt>
    <dgm:pt modelId="{D86C7153-E17E-5349-ADF7-B7737B190F9B}" type="parTrans" cxnId="{A4AFCC61-1C68-D743-A895-E0028695A795}">
      <dgm:prSet/>
      <dgm:spPr/>
      <dgm:t>
        <a:bodyPr/>
        <a:lstStyle/>
        <a:p>
          <a:endParaRPr lang="en-GB">
            <a:latin typeface="Arial" panose="020B0604020202020204" pitchFamily="34" charset="0"/>
            <a:cs typeface="Arial" panose="020B0604020202020204" pitchFamily="34" charset="0"/>
          </a:endParaRPr>
        </a:p>
      </dgm:t>
    </dgm:pt>
    <dgm:pt modelId="{5AA45A05-4249-4F40-9BB3-C3F57CA5FE68}" type="sibTrans" cxnId="{A4AFCC61-1C68-D743-A895-E0028695A795}">
      <dgm:prSet/>
      <dgm:spPr/>
      <dgm:t>
        <a:bodyPr/>
        <a:lstStyle/>
        <a:p>
          <a:endParaRPr lang="en-GB">
            <a:latin typeface="Arial" panose="020B0604020202020204" pitchFamily="34" charset="0"/>
            <a:cs typeface="Arial" panose="020B0604020202020204" pitchFamily="34" charset="0"/>
          </a:endParaRPr>
        </a:p>
      </dgm:t>
    </dgm:pt>
    <dgm:pt modelId="{AD0D97B3-0E67-0143-93B9-4F1A888E4607}">
      <dgm:prSet custT="1"/>
      <dgm:spPr>
        <a:solidFill>
          <a:schemeClr val="accent6">
            <a:lumMod val="20000"/>
            <a:lumOff val="80000"/>
          </a:schemeClr>
        </a:solidFill>
        <a:ln w="19050">
          <a:solidFill>
            <a:srgbClr val="FFC5FF"/>
          </a:solidFill>
        </a:ln>
      </dgm:spPr>
      <dgm:t>
        <a:bodyPr/>
        <a:lstStyle/>
        <a:p>
          <a:r>
            <a:rPr lang="en-GB" sz="600">
              <a:latin typeface="Arial" panose="020B0604020202020204" pitchFamily="34" charset="0"/>
              <a:cs typeface="Arial" panose="020B0604020202020204" pitchFamily="34" charset="0"/>
            </a:rPr>
            <a:t>Local Authority Ethics Process</a:t>
          </a:r>
        </a:p>
        <a:p>
          <a:r>
            <a:rPr lang="en-GB" sz="600">
              <a:latin typeface="Arial" panose="020B0604020202020204" pitchFamily="34" charset="0"/>
              <a:cs typeface="Arial" panose="020B0604020202020204" pitchFamily="34" charset="0"/>
            </a:rPr>
            <a:t>emails and paperwork</a:t>
          </a:r>
        </a:p>
      </dgm:t>
    </dgm:pt>
    <dgm:pt modelId="{7378D7AB-D387-6F49-B5A9-3F476910A5C4}" type="parTrans" cxnId="{DD680AC6-BF28-414F-9D13-ECC511E827FF}">
      <dgm:prSet/>
      <dgm:spPr/>
      <dgm:t>
        <a:bodyPr/>
        <a:lstStyle/>
        <a:p>
          <a:endParaRPr lang="en-GB">
            <a:latin typeface="Arial" panose="020B0604020202020204" pitchFamily="34" charset="0"/>
            <a:cs typeface="Arial" panose="020B0604020202020204" pitchFamily="34" charset="0"/>
          </a:endParaRPr>
        </a:p>
      </dgm:t>
    </dgm:pt>
    <dgm:pt modelId="{5D72EEA1-4A65-FF46-B6DD-291E4AA88A4B}" type="sibTrans" cxnId="{DD680AC6-BF28-414F-9D13-ECC511E827FF}">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6F1445A4-37CA-704F-AD4A-6CE905364AE1}">
      <dgm:prSe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Head of Service</a:t>
          </a:r>
        </a:p>
        <a:p>
          <a:r>
            <a:rPr lang="en-GB" sz="600">
              <a:latin typeface="Arial" panose="020B0604020202020204" pitchFamily="34" charset="0"/>
              <a:cs typeface="Arial" panose="020B0604020202020204" pitchFamily="34" charset="0"/>
            </a:rPr>
            <a:t>meetings and emails</a:t>
          </a:r>
        </a:p>
      </dgm:t>
    </dgm:pt>
    <dgm:pt modelId="{2B23ABF8-FB34-4C43-B01F-F73AA6C5DA98}" type="parTrans" cxnId="{81744BB3-637C-5444-8448-675DB34DC4D4}">
      <dgm:prSet/>
      <dgm:spPr/>
      <dgm:t>
        <a:bodyPr/>
        <a:lstStyle/>
        <a:p>
          <a:endParaRPr lang="en-GB">
            <a:latin typeface="Arial" panose="020B0604020202020204" pitchFamily="34" charset="0"/>
            <a:cs typeface="Arial" panose="020B0604020202020204" pitchFamily="34" charset="0"/>
          </a:endParaRPr>
        </a:p>
      </dgm:t>
    </dgm:pt>
    <dgm:pt modelId="{8694CFA9-382F-8E45-B46A-58FB964D4B6D}" type="sibTrans" cxnId="{81744BB3-637C-5444-8448-675DB34DC4D4}">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896F6322-2C84-1740-A758-3571F10000FF}">
      <dgm:prSe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Team Manager</a:t>
          </a:r>
        </a:p>
        <a:p>
          <a:r>
            <a:rPr lang="en-GB" sz="600">
              <a:latin typeface="Arial" panose="020B0604020202020204" pitchFamily="34" charset="0"/>
              <a:cs typeface="Arial" panose="020B0604020202020204" pitchFamily="34" charset="0"/>
            </a:rPr>
            <a:t>emails</a:t>
          </a:r>
        </a:p>
      </dgm:t>
    </dgm:pt>
    <dgm:pt modelId="{14FA61FB-526B-804A-8EF6-EF465A1EEA1B}" type="parTrans" cxnId="{7396464F-B5DC-D243-B5A3-DF077833101E}">
      <dgm:prSet/>
      <dgm:spPr/>
      <dgm:t>
        <a:bodyPr/>
        <a:lstStyle/>
        <a:p>
          <a:endParaRPr lang="en-GB">
            <a:latin typeface="Arial" panose="020B0604020202020204" pitchFamily="34" charset="0"/>
            <a:cs typeface="Arial" panose="020B0604020202020204" pitchFamily="34" charset="0"/>
          </a:endParaRPr>
        </a:p>
      </dgm:t>
    </dgm:pt>
    <dgm:pt modelId="{AC6C7F07-CE38-1B4A-9F73-C587714A12E7}" type="sibTrans" cxnId="{7396464F-B5DC-D243-B5A3-DF077833101E}">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3CF3E43A-2B55-1E4C-B22D-52C064032C43}">
      <dgm:prSet custT="1"/>
      <dgm:spPr>
        <a:solidFill>
          <a:schemeClr val="accent6">
            <a:lumMod val="20000"/>
            <a:lumOff val="80000"/>
          </a:schemeClr>
        </a:solidFill>
        <a:ln w="19050"/>
      </dgm:spPr>
      <dgm:t>
        <a:bodyPr/>
        <a:lstStyle/>
        <a:p>
          <a:r>
            <a:rPr lang="en-GB" sz="600">
              <a:latin typeface="Arial" panose="020B0604020202020204" pitchFamily="34" charset="0"/>
              <a:cs typeface="Arial" panose="020B0604020202020204" pitchFamily="34" charset="0"/>
            </a:rPr>
            <a:t>Social Worker</a:t>
          </a:r>
        </a:p>
        <a:p>
          <a:r>
            <a:rPr lang="en-GB" sz="600">
              <a:latin typeface="Arial" panose="020B0604020202020204" pitchFamily="34" charset="0"/>
              <a:cs typeface="Arial" panose="020B0604020202020204" pitchFamily="34" charset="0"/>
            </a:rPr>
            <a:t>phone conversation and emails</a:t>
          </a:r>
        </a:p>
      </dgm:t>
    </dgm:pt>
    <dgm:pt modelId="{3DCCA30E-F039-0846-93B3-76F2BC7BBA94}" type="parTrans" cxnId="{03B69D8A-1A7B-5D4E-A69E-D2B21FF7DE57}">
      <dgm:prSet/>
      <dgm:spPr/>
      <dgm:t>
        <a:bodyPr/>
        <a:lstStyle/>
        <a:p>
          <a:endParaRPr lang="en-GB">
            <a:latin typeface="Arial" panose="020B0604020202020204" pitchFamily="34" charset="0"/>
            <a:cs typeface="Arial" panose="020B0604020202020204" pitchFamily="34" charset="0"/>
          </a:endParaRPr>
        </a:p>
      </dgm:t>
    </dgm:pt>
    <dgm:pt modelId="{5BFA60B1-B4D1-CC48-93CB-DAE55E420255}" type="sibTrans" cxnId="{03B69D8A-1A7B-5D4E-A69E-D2B21FF7DE57}">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7DAA593C-0EED-3445-857B-D6E52A0DD3AC}">
      <dgm:prSet custT="1"/>
      <dgm:spPr>
        <a:solidFill>
          <a:srgbClr val="FFFF00"/>
        </a:solidFill>
        <a:ln w="19050"/>
      </dgm:spPr>
      <dgm:t>
        <a:bodyPr/>
        <a:lstStyle/>
        <a:p>
          <a:r>
            <a:rPr lang="en-GB" sz="600">
              <a:latin typeface="Arial" panose="020B0604020202020204" pitchFamily="34" charset="0"/>
              <a:cs typeface="Arial" panose="020B0604020202020204" pitchFamily="34" charset="0"/>
            </a:rPr>
            <a:t>Foster Carers</a:t>
          </a:r>
        </a:p>
        <a:p>
          <a:r>
            <a:rPr lang="en-GB" sz="600">
              <a:latin typeface="Arial" panose="020B0604020202020204" pitchFamily="34" charset="0"/>
              <a:cs typeface="Arial" panose="020B0604020202020204" pitchFamily="34" charset="0"/>
            </a:rPr>
            <a:t>phone conversation and emails</a:t>
          </a:r>
        </a:p>
      </dgm:t>
    </dgm:pt>
    <dgm:pt modelId="{F3ADED0B-D95D-B044-B1B7-BC65C616D517}" type="parTrans" cxnId="{47210A10-50C9-F346-83EE-E9A4BFB0FBB8}">
      <dgm:prSet/>
      <dgm:spPr/>
      <dgm:t>
        <a:bodyPr/>
        <a:lstStyle/>
        <a:p>
          <a:endParaRPr lang="en-GB">
            <a:latin typeface="Arial" panose="020B0604020202020204" pitchFamily="34" charset="0"/>
            <a:cs typeface="Arial" panose="020B0604020202020204" pitchFamily="34" charset="0"/>
          </a:endParaRPr>
        </a:p>
      </dgm:t>
    </dgm:pt>
    <dgm:pt modelId="{53037A49-33C6-C144-92B1-AEE7548ACE27}" type="sibTrans" cxnId="{47210A10-50C9-F346-83EE-E9A4BFB0FBB8}">
      <dgm:prSet/>
      <dgm:spPr>
        <a:solidFill>
          <a:schemeClr val="tx1">
            <a:lumMod val="50000"/>
            <a:lumOff val="50000"/>
          </a:schemeClr>
        </a:solidFill>
      </dgm:spPr>
      <dgm:t>
        <a:bodyPr/>
        <a:lstStyle/>
        <a:p>
          <a:endParaRPr lang="en-GB">
            <a:latin typeface="Arial" panose="020B0604020202020204" pitchFamily="34" charset="0"/>
            <a:cs typeface="Arial" panose="020B0604020202020204" pitchFamily="34" charset="0"/>
          </a:endParaRPr>
        </a:p>
      </dgm:t>
    </dgm:pt>
    <dgm:pt modelId="{514D0A8B-D1AE-4941-95EA-7A725A89B3CE}">
      <dgm:prSet/>
      <dgm:spPr>
        <a:solidFill>
          <a:schemeClr val="accent6">
            <a:lumMod val="20000"/>
            <a:lumOff val="80000"/>
          </a:schemeClr>
        </a:solidFill>
        <a:ln w="19050"/>
      </dgm:spPr>
      <dgm:t>
        <a:bodyPr/>
        <a:lstStyle/>
        <a:p>
          <a:r>
            <a:rPr lang="en-GB">
              <a:latin typeface="Arial" panose="020B0604020202020204" pitchFamily="34" charset="0"/>
              <a:cs typeface="Arial" panose="020B0604020202020204" pitchFamily="34" charset="0"/>
            </a:rPr>
            <a:t>Head of Service</a:t>
          </a:r>
        </a:p>
        <a:p>
          <a:r>
            <a:rPr lang="en-GB">
              <a:latin typeface="Arial" panose="020B0604020202020204" pitchFamily="34" charset="0"/>
              <a:cs typeface="Arial" panose="020B0604020202020204" pitchFamily="34" charset="0"/>
            </a:rPr>
            <a:t>meetings and emails</a:t>
          </a:r>
        </a:p>
      </dgm:t>
    </dgm:pt>
    <dgm:pt modelId="{62F89D6A-2DFB-804B-BC65-E26AC5877756}" type="parTrans" cxnId="{69590786-0F95-654E-AF64-583135EFB55A}">
      <dgm:prSet/>
      <dgm:spPr/>
      <dgm:t>
        <a:bodyPr/>
        <a:lstStyle/>
        <a:p>
          <a:endParaRPr lang="en-GB"/>
        </a:p>
      </dgm:t>
    </dgm:pt>
    <dgm:pt modelId="{1A028F0C-C620-7D4E-9847-54F20CE7058F}" type="sibTrans" cxnId="{69590786-0F95-654E-AF64-583135EFB55A}">
      <dgm:prSet/>
      <dgm:spPr/>
      <dgm:t>
        <a:bodyPr/>
        <a:lstStyle/>
        <a:p>
          <a:endParaRPr lang="en-GB"/>
        </a:p>
      </dgm:t>
    </dgm:pt>
    <dgm:pt modelId="{53C2C485-78E9-4A4A-B4A8-AEE78B6AB7E2}" type="pres">
      <dgm:prSet presAssocID="{CC25788C-C400-4C45-80F1-FDA289FDB926}" presName="diagram" presStyleCnt="0">
        <dgm:presLayoutVars>
          <dgm:dir/>
          <dgm:resizeHandles/>
        </dgm:presLayoutVars>
      </dgm:prSet>
      <dgm:spPr/>
    </dgm:pt>
    <dgm:pt modelId="{CFD6D6BB-D973-EB4A-91E6-056950C58535}" type="pres">
      <dgm:prSet presAssocID="{F42F6E99-4783-2D4E-B8A1-72FB92B5B730}" presName="firstNode" presStyleLbl="node1" presStyleIdx="0" presStyleCnt="15" custLinFactNeighborY="4924">
        <dgm:presLayoutVars>
          <dgm:bulletEnabled val="1"/>
        </dgm:presLayoutVars>
      </dgm:prSet>
      <dgm:spPr/>
    </dgm:pt>
    <dgm:pt modelId="{E4FF11BC-E140-1448-91D0-FABD8BD9A6C2}" type="pres">
      <dgm:prSet presAssocID="{A35A92D6-B757-9A42-8979-135715E14A31}" presName="sibTrans" presStyleLbl="sibTrans2D1" presStyleIdx="0" presStyleCnt="14"/>
      <dgm:spPr/>
    </dgm:pt>
    <dgm:pt modelId="{22E99B19-A376-8548-95A1-351A5EE64A97}" type="pres">
      <dgm:prSet presAssocID="{D1C35746-F728-5846-AD6B-F7545DC28B60}" presName="middleNode" presStyleCnt="0"/>
      <dgm:spPr/>
    </dgm:pt>
    <dgm:pt modelId="{72D9390A-FD43-E149-B499-9665A7A5F53F}" type="pres">
      <dgm:prSet presAssocID="{D1C35746-F728-5846-AD6B-F7545DC28B60}" presName="padding" presStyleLbl="node1" presStyleIdx="0" presStyleCnt="15"/>
      <dgm:spPr/>
    </dgm:pt>
    <dgm:pt modelId="{B7EE34CF-1EFC-7541-B93E-9DDB09D38111}" type="pres">
      <dgm:prSet presAssocID="{D1C35746-F728-5846-AD6B-F7545DC28B60}" presName="shape" presStyleLbl="node1" presStyleIdx="1" presStyleCnt="15" custScaleX="127385">
        <dgm:presLayoutVars>
          <dgm:bulletEnabled val="1"/>
        </dgm:presLayoutVars>
      </dgm:prSet>
      <dgm:spPr/>
    </dgm:pt>
    <dgm:pt modelId="{DD11C642-3438-ED4E-AC0C-1D1AA1BD6617}" type="pres">
      <dgm:prSet presAssocID="{6D2872B1-0FBB-364F-A311-3F203101F594}" presName="sibTrans" presStyleLbl="sibTrans2D1" presStyleIdx="1" presStyleCnt="14"/>
      <dgm:spPr/>
    </dgm:pt>
    <dgm:pt modelId="{B81336F6-6F09-D944-8446-7DE6E380C292}" type="pres">
      <dgm:prSet presAssocID="{B02E72C2-43C8-D644-AED5-C669E9A2358E}" presName="middleNode" presStyleCnt="0"/>
      <dgm:spPr/>
    </dgm:pt>
    <dgm:pt modelId="{B12C08FC-4EAB-0F43-9945-E49757F75F87}" type="pres">
      <dgm:prSet presAssocID="{B02E72C2-43C8-D644-AED5-C669E9A2358E}" presName="padding" presStyleLbl="node1" presStyleIdx="1" presStyleCnt="15"/>
      <dgm:spPr/>
    </dgm:pt>
    <dgm:pt modelId="{9397F0C8-A4D2-CC41-BD1E-293F668B9BF1}" type="pres">
      <dgm:prSet presAssocID="{B02E72C2-43C8-D644-AED5-C669E9A2358E}" presName="shape" presStyleLbl="node1" presStyleIdx="2" presStyleCnt="15" custScaleX="127385">
        <dgm:presLayoutVars>
          <dgm:bulletEnabled val="1"/>
        </dgm:presLayoutVars>
      </dgm:prSet>
      <dgm:spPr/>
    </dgm:pt>
    <dgm:pt modelId="{BAF0F45F-253B-3844-97C9-F76C3B8954C8}" type="pres">
      <dgm:prSet presAssocID="{0A5A957B-4AF7-0543-BB1B-11F9F7BAD216}" presName="sibTrans" presStyleLbl="sibTrans2D1" presStyleIdx="2" presStyleCnt="14"/>
      <dgm:spPr/>
    </dgm:pt>
    <dgm:pt modelId="{4F195961-2859-5740-8B14-D2AF0BBCB821}" type="pres">
      <dgm:prSet presAssocID="{514D0A8B-D1AE-4941-95EA-7A725A89B3CE}" presName="middleNode" presStyleCnt="0"/>
      <dgm:spPr/>
    </dgm:pt>
    <dgm:pt modelId="{E6DBFB44-C156-4D46-82BD-E49481F219EE}" type="pres">
      <dgm:prSet presAssocID="{514D0A8B-D1AE-4941-95EA-7A725A89B3CE}" presName="padding" presStyleLbl="node1" presStyleIdx="2" presStyleCnt="15"/>
      <dgm:spPr/>
    </dgm:pt>
    <dgm:pt modelId="{A46508DF-0BE6-7F42-9AE9-61E06B2E1D50}" type="pres">
      <dgm:prSet presAssocID="{514D0A8B-D1AE-4941-95EA-7A725A89B3CE}" presName="shape" presStyleLbl="node1" presStyleIdx="3" presStyleCnt="15" custLinFactNeighborY="7382">
        <dgm:presLayoutVars>
          <dgm:bulletEnabled val="1"/>
        </dgm:presLayoutVars>
      </dgm:prSet>
      <dgm:spPr/>
    </dgm:pt>
    <dgm:pt modelId="{074BE202-BB2F-F048-9236-06F9FC488D63}" type="pres">
      <dgm:prSet presAssocID="{1A028F0C-C620-7D4E-9847-54F20CE7058F}" presName="sibTrans" presStyleLbl="sibTrans2D1" presStyleIdx="3" presStyleCnt="14"/>
      <dgm:spPr/>
    </dgm:pt>
    <dgm:pt modelId="{F790D89A-27E8-5342-8E78-08EC82CC5421}" type="pres">
      <dgm:prSet presAssocID="{AD0D97B3-0E67-0143-93B9-4F1A888E4607}" presName="middleNode" presStyleCnt="0"/>
      <dgm:spPr/>
    </dgm:pt>
    <dgm:pt modelId="{BD0BFAC0-550D-C248-8A6E-CA78D9BD70D4}" type="pres">
      <dgm:prSet presAssocID="{AD0D97B3-0E67-0143-93B9-4F1A888E4607}" presName="padding" presStyleLbl="node1" presStyleIdx="3" presStyleCnt="15"/>
      <dgm:spPr/>
    </dgm:pt>
    <dgm:pt modelId="{586CF167-16F6-2A46-A532-66502A96C0F6}" type="pres">
      <dgm:prSet presAssocID="{AD0D97B3-0E67-0143-93B9-4F1A888E4607}" presName="shape" presStyleLbl="node1" presStyleIdx="4" presStyleCnt="15" custScaleX="142681" custScaleY="121066">
        <dgm:presLayoutVars>
          <dgm:bulletEnabled val="1"/>
        </dgm:presLayoutVars>
      </dgm:prSet>
      <dgm:spPr/>
    </dgm:pt>
    <dgm:pt modelId="{92475D47-87AF-AE45-B79C-DF6389B667AE}" type="pres">
      <dgm:prSet presAssocID="{5D72EEA1-4A65-FF46-B6DD-291E4AA88A4B}" presName="sibTrans" presStyleLbl="sibTrans2D1" presStyleIdx="4" presStyleCnt="14"/>
      <dgm:spPr/>
    </dgm:pt>
    <dgm:pt modelId="{6739ABFA-0A44-6D4E-B5FE-2FBF3EBA791E}" type="pres">
      <dgm:prSet presAssocID="{49B4A91D-BA0C-F743-9C7D-38DB4E8EF1EA}" presName="middleNode" presStyleCnt="0"/>
      <dgm:spPr/>
    </dgm:pt>
    <dgm:pt modelId="{BCC9ABEA-E36A-0F44-95AB-9B1600757533}" type="pres">
      <dgm:prSet presAssocID="{49B4A91D-BA0C-F743-9C7D-38DB4E8EF1EA}" presName="padding" presStyleLbl="node1" presStyleIdx="4" presStyleCnt="15"/>
      <dgm:spPr/>
    </dgm:pt>
    <dgm:pt modelId="{AE7A90E5-EA19-B74B-84B8-DD457FFD029A}" type="pres">
      <dgm:prSet presAssocID="{49B4A91D-BA0C-F743-9C7D-38DB4E8EF1EA}" presName="shape" presStyleLbl="node1" presStyleIdx="5" presStyleCnt="15" custScaleX="127385" custLinFactNeighborY="2953">
        <dgm:presLayoutVars>
          <dgm:bulletEnabled val="1"/>
        </dgm:presLayoutVars>
      </dgm:prSet>
      <dgm:spPr/>
    </dgm:pt>
    <dgm:pt modelId="{1A02E553-F12F-2341-840F-1A35B7043324}" type="pres">
      <dgm:prSet presAssocID="{2FB08DCB-D42B-D542-83F5-AF24F071EB0C}" presName="sibTrans" presStyleLbl="sibTrans2D1" presStyleIdx="5" presStyleCnt="14"/>
      <dgm:spPr/>
    </dgm:pt>
    <dgm:pt modelId="{B9CA8672-8925-B845-BF91-544DA8CB5AE2}" type="pres">
      <dgm:prSet presAssocID="{6F1445A4-37CA-704F-AD4A-6CE905364AE1}" presName="middleNode" presStyleCnt="0"/>
      <dgm:spPr/>
    </dgm:pt>
    <dgm:pt modelId="{D414B3E3-13AD-EE4C-8E9E-452CBC502A43}" type="pres">
      <dgm:prSet presAssocID="{6F1445A4-37CA-704F-AD4A-6CE905364AE1}" presName="padding" presStyleLbl="node1" presStyleIdx="5" presStyleCnt="15"/>
      <dgm:spPr/>
    </dgm:pt>
    <dgm:pt modelId="{376CA162-881A-CE49-A0A6-E63EFFC01416}" type="pres">
      <dgm:prSet presAssocID="{6F1445A4-37CA-704F-AD4A-6CE905364AE1}" presName="shape" presStyleLbl="node1" presStyleIdx="6" presStyleCnt="15" custLinFactNeighborY="7382">
        <dgm:presLayoutVars>
          <dgm:bulletEnabled val="1"/>
        </dgm:presLayoutVars>
      </dgm:prSet>
      <dgm:spPr/>
    </dgm:pt>
    <dgm:pt modelId="{E2E58B8D-E2DD-4045-8165-F662520BA534}" type="pres">
      <dgm:prSet presAssocID="{8694CFA9-382F-8E45-B46A-58FB964D4B6D}" presName="sibTrans" presStyleLbl="sibTrans2D1" presStyleIdx="6" presStyleCnt="14"/>
      <dgm:spPr/>
    </dgm:pt>
    <dgm:pt modelId="{120BCC4B-6AF6-2B4B-B712-CD9777C0147A}" type="pres">
      <dgm:prSet presAssocID="{A8A5F137-2C85-5D43-931E-2ABC366FB872}" presName="middleNode" presStyleCnt="0"/>
      <dgm:spPr/>
    </dgm:pt>
    <dgm:pt modelId="{EAA97C3D-0576-624A-BAEA-F49BDE746D36}" type="pres">
      <dgm:prSet presAssocID="{A8A5F137-2C85-5D43-931E-2ABC366FB872}" presName="padding" presStyleLbl="node1" presStyleIdx="6" presStyleCnt="15"/>
      <dgm:spPr/>
    </dgm:pt>
    <dgm:pt modelId="{BFCC4464-7B79-2648-9F7E-CF52CF2E5448}" type="pres">
      <dgm:prSet presAssocID="{A8A5F137-2C85-5D43-931E-2ABC366FB872}" presName="shape" presStyleLbl="node1" presStyleIdx="7" presStyleCnt="15" custScaleX="133290" custLinFactNeighborY="7382">
        <dgm:presLayoutVars>
          <dgm:bulletEnabled val="1"/>
        </dgm:presLayoutVars>
      </dgm:prSet>
      <dgm:spPr/>
    </dgm:pt>
    <dgm:pt modelId="{C96E4422-ADCD-5A42-AD91-EA67ADB95B20}" type="pres">
      <dgm:prSet presAssocID="{6F94A3BC-A822-7A4C-9FDF-F8110EB87384}" presName="sibTrans" presStyleLbl="sibTrans2D1" presStyleIdx="7" presStyleCnt="14"/>
      <dgm:spPr/>
    </dgm:pt>
    <dgm:pt modelId="{999CF5C1-B38F-2941-B0C1-3F9354B15A34}" type="pres">
      <dgm:prSet presAssocID="{CA639BBC-7C24-324B-B9F8-1863AF07B7FD}" presName="middleNode" presStyleCnt="0"/>
      <dgm:spPr/>
    </dgm:pt>
    <dgm:pt modelId="{D22013BC-0FB2-474B-AADC-BE00D4B2C6D4}" type="pres">
      <dgm:prSet presAssocID="{CA639BBC-7C24-324B-B9F8-1863AF07B7FD}" presName="padding" presStyleLbl="node1" presStyleIdx="7" presStyleCnt="15"/>
      <dgm:spPr/>
    </dgm:pt>
    <dgm:pt modelId="{2866826D-E1DC-AF40-89A2-B6804308523B}" type="pres">
      <dgm:prSet presAssocID="{CA639BBC-7C24-324B-B9F8-1863AF07B7FD}" presName="shape" presStyleLbl="node1" presStyleIdx="8" presStyleCnt="15" custScaleX="127385" custLinFactNeighborY="2953">
        <dgm:presLayoutVars>
          <dgm:bulletEnabled val="1"/>
        </dgm:presLayoutVars>
      </dgm:prSet>
      <dgm:spPr/>
    </dgm:pt>
    <dgm:pt modelId="{55CDBE2A-6D22-6047-B6CA-56553EDCC7A1}" type="pres">
      <dgm:prSet presAssocID="{F27D322C-052C-544C-A5CB-0EDFC90AA5D8}" presName="sibTrans" presStyleLbl="sibTrans2D1" presStyleIdx="8" presStyleCnt="14"/>
      <dgm:spPr/>
    </dgm:pt>
    <dgm:pt modelId="{D04C81DE-FF76-7441-B430-0390EAC62BD3}" type="pres">
      <dgm:prSet presAssocID="{B9DC03FB-13C5-E148-8944-A6AC333C0C25}" presName="middleNode" presStyleCnt="0"/>
      <dgm:spPr/>
    </dgm:pt>
    <dgm:pt modelId="{FB1AD326-0D36-7349-A30F-67929230004D}" type="pres">
      <dgm:prSet presAssocID="{B9DC03FB-13C5-E148-8944-A6AC333C0C25}" presName="padding" presStyleLbl="node1" presStyleIdx="8" presStyleCnt="15"/>
      <dgm:spPr/>
    </dgm:pt>
    <dgm:pt modelId="{375BC7D4-4949-0947-AE83-620567C20826}" type="pres">
      <dgm:prSet presAssocID="{B9DC03FB-13C5-E148-8944-A6AC333C0C25}" presName="shape" presStyleLbl="node1" presStyleIdx="9" presStyleCnt="15" custScaleX="127385">
        <dgm:presLayoutVars>
          <dgm:bulletEnabled val="1"/>
        </dgm:presLayoutVars>
      </dgm:prSet>
      <dgm:spPr/>
    </dgm:pt>
    <dgm:pt modelId="{FB41FBBA-AAD2-9C45-B3AB-41465BBE564D}" type="pres">
      <dgm:prSet presAssocID="{A8D886BC-4CA4-FC42-80AB-8A5FF1170B7F}" presName="sibTrans" presStyleLbl="sibTrans2D1" presStyleIdx="9" presStyleCnt="14"/>
      <dgm:spPr/>
    </dgm:pt>
    <dgm:pt modelId="{83A67F6E-81DE-EE4D-80F1-B27CB19469A8}" type="pres">
      <dgm:prSet presAssocID="{896F6322-2C84-1740-A758-3571F10000FF}" presName="middleNode" presStyleCnt="0"/>
      <dgm:spPr/>
    </dgm:pt>
    <dgm:pt modelId="{482A5DFD-D8BB-DC49-BBDE-56D613066046}" type="pres">
      <dgm:prSet presAssocID="{896F6322-2C84-1740-A758-3571F10000FF}" presName="padding" presStyleLbl="node1" presStyleIdx="9" presStyleCnt="15"/>
      <dgm:spPr/>
    </dgm:pt>
    <dgm:pt modelId="{9331A131-862E-414C-82D6-7BEEF01CDBDB}" type="pres">
      <dgm:prSet presAssocID="{896F6322-2C84-1740-A758-3571F10000FF}" presName="shape" presStyleLbl="node1" presStyleIdx="10" presStyleCnt="15" custScaleX="127385">
        <dgm:presLayoutVars>
          <dgm:bulletEnabled val="1"/>
        </dgm:presLayoutVars>
      </dgm:prSet>
      <dgm:spPr/>
    </dgm:pt>
    <dgm:pt modelId="{D9FC765C-50E7-3B48-80FD-376E7EE698F2}" type="pres">
      <dgm:prSet presAssocID="{AC6C7F07-CE38-1B4A-9F73-C587714A12E7}" presName="sibTrans" presStyleLbl="sibTrans2D1" presStyleIdx="10" presStyleCnt="14"/>
      <dgm:spPr/>
    </dgm:pt>
    <dgm:pt modelId="{0EAEA0EF-D767-1C4F-90F8-E5495CABC87D}" type="pres">
      <dgm:prSet presAssocID="{3A2C374E-EF8B-0649-8346-F2DC9D96AEFE}" presName="middleNode" presStyleCnt="0"/>
      <dgm:spPr/>
    </dgm:pt>
    <dgm:pt modelId="{17767CF7-933D-124F-8926-560DE5C6CBE3}" type="pres">
      <dgm:prSet presAssocID="{3A2C374E-EF8B-0649-8346-F2DC9D96AEFE}" presName="padding" presStyleLbl="node1" presStyleIdx="10" presStyleCnt="15"/>
      <dgm:spPr/>
    </dgm:pt>
    <dgm:pt modelId="{7FB6788F-FDC1-EA42-A4AB-F795ABE55434}" type="pres">
      <dgm:prSet presAssocID="{3A2C374E-EF8B-0649-8346-F2DC9D96AEFE}" presName="shape" presStyleLbl="node1" presStyleIdx="11" presStyleCnt="15" custScaleX="127385" custLinFactNeighborY="2953">
        <dgm:presLayoutVars>
          <dgm:bulletEnabled val="1"/>
        </dgm:presLayoutVars>
      </dgm:prSet>
      <dgm:spPr/>
    </dgm:pt>
    <dgm:pt modelId="{C915BA6E-236A-2048-8236-3417F835AAFD}" type="pres">
      <dgm:prSet presAssocID="{4B714211-B580-CD44-8FCA-DA4C4A60A9FC}" presName="sibTrans" presStyleLbl="sibTrans2D1" presStyleIdx="11" presStyleCnt="14"/>
      <dgm:spPr/>
    </dgm:pt>
    <dgm:pt modelId="{7A5AB43B-9AC5-C64A-A414-A253B8C0697C}" type="pres">
      <dgm:prSet presAssocID="{3CF3E43A-2B55-1E4C-B22D-52C064032C43}" presName="middleNode" presStyleCnt="0"/>
      <dgm:spPr/>
    </dgm:pt>
    <dgm:pt modelId="{B318374B-6367-9D42-87CF-E340D65E8DCF}" type="pres">
      <dgm:prSet presAssocID="{3CF3E43A-2B55-1E4C-B22D-52C064032C43}" presName="padding" presStyleLbl="node1" presStyleIdx="11" presStyleCnt="15"/>
      <dgm:spPr/>
    </dgm:pt>
    <dgm:pt modelId="{FDD5CCCD-6A79-1040-A963-1EE489E500F6}" type="pres">
      <dgm:prSet presAssocID="{3CF3E43A-2B55-1E4C-B22D-52C064032C43}" presName="shape" presStyleLbl="node1" presStyleIdx="12" presStyleCnt="15" custScaleX="133290" custLinFactNeighborY="7382">
        <dgm:presLayoutVars>
          <dgm:bulletEnabled val="1"/>
        </dgm:presLayoutVars>
      </dgm:prSet>
      <dgm:spPr/>
    </dgm:pt>
    <dgm:pt modelId="{1AA6B8DD-C57F-E24F-B59E-6F3DC4F5FDDB}" type="pres">
      <dgm:prSet presAssocID="{5BFA60B1-B4D1-CC48-93CB-DAE55E420255}" presName="sibTrans" presStyleLbl="sibTrans2D1" presStyleIdx="12" presStyleCnt="14"/>
      <dgm:spPr/>
    </dgm:pt>
    <dgm:pt modelId="{4DCF822B-A780-C743-A927-6CA80C9C1C94}" type="pres">
      <dgm:prSet presAssocID="{7DAA593C-0EED-3445-857B-D6E52A0DD3AC}" presName="middleNode" presStyleCnt="0"/>
      <dgm:spPr/>
    </dgm:pt>
    <dgm:pt modelId="{8EA46D4F-D7FC-7A44-8BF8-BAB9A5777173}" type="pres">
      <dgm:prSet presAssocID="{7DAA593C-0EED-3445-857B-D6E52A0DD3AC}" presName="padding" presStyleLbl="node1" presStyleIdx="12" presStyleCnt="15"/>
      <dgm:spPr/>
    </dgm:pt>
    <dgm:pt modelId="{5DE7EEFF-A1D4-5743-BD9E-F18D4F213C48}" type="pres">
      <dgm:prSet presAssocID="{7DAA593C-0EED-3445-857B-D6E52A0DD3AC}" presName="shape" presStyleLbl="node1" presStyleIdx="13" presStyleCnt="15" custScaleX="133290" custLinFactNeighborY="7382">
        <dgm:presLayoutVars>
          <dgm:bulletEnabled val="1"/>
        </dgm:presLayoutVars>
      </dgm:prSet>
      <dgm:spPr/>
    </dgm:pt>
    <dgm:pt modelId="{DF028DC6-FF11-4A40-9308-962D6897DD2C}" type="pres">
      <dgm:prSet presAssocID="{53037A49-33C6-C144-92B1-AEE7548ACE27}" presName="sibTrans" presStyleLbl="sibTrans2D1" presStyleIdx="13" presStyleCnt="14"/>
      <dgm:spPr/>
    </dgm:pt>
    <dgm:pt modelId="{E5A1EDBB-22A0-204A-BA76-69DC74B674A0}" type="pres">
      <dgm:prSet presAssocID="{D672AED2-2D65-D148-AF18-E9173BB301E7}" presName="lastNode" presStyleLbl="node1" presStyleIdx="14" presStyleCnt="15" custLinFactNeighborY="1970">
        <dgm:presLayoutVars>
          <dgm:bulletEnabled val="1"/>
        </dgm:presLayoutVars>
      </dgm:prSet>
      <dgm:spPr/>
    </dgm:pt>
  </dgm:ptLst>
  <dgm:cxnLst>
    <dgm:cxn modelId="{003B3E0C-0D23-7644-99E7-E9ACDBDD3F1D}" type="presOf" srcId="{6D2872B1-0FBB-364F-A311-3F203101F594}" destId="{DD11C642-3438-ED4E-AC0C-1D1AA1BD6617}" srcOrd="0" destOrd="0" presId="urn:microsoft.com/office/officeart/2005/8/layout/bProcess2"/>
    <dgm:cxn modelId="{06B8540C-B72A-9A4F-ADE2-32903C5DC517}" type="presOf" srcId="{CA639BBC-7C24-324B-B9F8-1863AF07B7FD}" destId="{2866826D-E1DC-AF40-89A2-B6804308523B}" srcOrd="0" destOrd="0" presId="urn:microsoft.com/office/officeart/2005/8/layout/bProcess2"/>
    <dgm:cxn modelId="{9F0F7C0C-58A8-AB4D-B691-80087551F4BF}" srcId="{CC25788C-C400-4C45-80F1-FDA289FDB926}" destId="{3A2C374E-EF8B-0649-8346-F2DC9D96AEFE}" srcOrd="11" destOrd="0" parTransId="{A26B984C-32D2-1E43-879A-1F2F6A375C84}" sibTransId="{4B714211-B580-CD44-8FCA-DA4C4A60A9FC}"/>
    <dgm:cxn modelId="{A6CAD70F-D07E-A24F-8FD6-179AF3DC0541}" srcId="{CC25788C-C400-4C45-80F1-FDA289FDB926}" destId="{D1C35746-F728-5846-AD6B-F7545DC28B60}" srcOrd="1" destOrd="0" parTransId="{C0549FD1-A1C4-E94F-B858-AA3B96823358}" sibTransId="{6D2872B1-0FBB-364F-A311-3F203101F594}"/>
    <dgm:cxn modelId="{47210A10-50C9-F346-83EE-E9A4BFB0FBB8}" srcId="{CC25788C-C400-4C45-80F1-FDA289FDB926}" destId="{7DAA593C-0EED-3445-857B-D6E52A0DD3AC}" srcOrd="13" destOrd="0" parTransId="{F3ADED0B-D95D-B044-B1B7-BC65C616D517}" sibTransId="{53037A49-33C6-C144-92B1-AEE7548ACE27}"/>
    <dgm:cxn modelId="{5FC7881C-BA39-B648-ADDF-C3FC949B0125}" srcId="{CC25788C-C400-4C45-80F1-FDA289FDB926}" destId="{A8A5F137-2C85-5D43-931E-2ABC366FB872}" srcOrd="7" destOrd="0" parTransId="{15009E0F-1D0F-D64E-8D0C-11053EE5F9A6}" sibTransId="{6F94A3BC-A822-7A4C-9FDF-F8110EB87384}"/>
    <dgm:cxn modelId="{1704CA20-B96E-5A45-9277-D99A2C672DB9}" type="presOf" srcId="{49B4A91D-BA0C-F743-9C7D-38DB4E8EF1EA}" destId="{AE7A90E5-EA19-B74B-84B8-DD457FFD029A}" srcOrd="0" destOrd="0" presId="urn:microsoft.com/office/officeart/2005/8/layout/bProcess2"/>
    <dgm:cxn modelId="{E44EA422-7ACE-6540-BD79-2A0510164004}" type="presOf" srcId="{7DAA593C-0EED-3445-857B-D6E52A0DD3AC}" destId="{5DE7EEFF-A1D4-5743-BD9E-F18D4F213C48}" srcOrd="0" destOrd="0" presId="urn:microsoft.com/office/officeart/2005/8/layout/bProcess2"/>
    <dgm:cxn modelId="{C7823E27-AB74-9A48-A6C0-536690100E9B}" srcId="{CC25788C-C400-4C45-80F1-FDA289FDB926}" destId="{49B4A91D-BA0C-F743-9C7D-38DB4E8EF1EA}" srcOrd="5" destOrd="0" parTransId="{2D4057F4-14B1-ED41-84C9-497513A1DA98}" sibTransId="{2FB08DCB-D42B-D542-83F5-AF24F071EB0C}"/>
    <dgm:cxn modelId="{1631FC2E-98A9-5442-8B68-ED69B3ECAE92}" type="presOf" srcId="{F27D322C-052C-544C-A5CB-0EDFC90AA5D8}" destId="{55CDBE2A-6D22-6047-B6CA-56553EDCC7A1}" srcOrd="0" destOrd="0" presId="urn:microsoft.com/office/officeart/2005/8/layout/bProcess2"/>
    <dgm:cxn modelId="{1AD9AF3C-B130-A646-A4C4-8E2F71FBA004}" srcId="{CC25788C-C400-4C45-80F1-FDA289FDB926}" destId="{B02E72C2-43C8-D644-AED5-C669E9A2358E}" srcOrd="2" destOrd="0" parTransId="{33B41CD8-FED0-EB4A-815C-78C9FA22C8A2}" sibTransId="{0A5A957B-4AF7-0543-BB1B-11F9F7BAD216}"/>
    <dgm:cxn modelId="{69A6C03F-58B2-AD4A-889F-62317F35B21B}" type="presOf" srcId="{3CF3E43A-2B55-1E4C-B22D-52C064032C43}" destId="{FDD5CCCD-6A79-1040-A963-1EE489E500F6}" srcOrd="0" destOrd="0" presId="urn:microsoft.com/office/officeart/2005/8/layout/bProcess2"/>
    <dgm:cxn modelId="{6283F05B-CEA4-A543-8B68-5C368F7854C7}" type="presOf" srcId="{8694CFA9-382F-8E45-B46A-58FB964D4B6D}" destId="{E2E58B8D-E2DD-4045-8165-F662520BA534}" srcOrd="0" destOrd="0" presId="urn:microsoft.com/office/officeart/2005/8/layout/bProcess2"/>
    <dgm:cxn modelId="{A4AFCC61-1C68-D743-A895-E0028695A795}" srcId="{CC25788C-C400-4C45-80F1-FDA289FDB926}" destId="{D672AED2-2D65-D148-AF18-E9173BB301E7}" srcOrd="14" destOrd="0" parTransId="{D86C7153-E17E-5349-ADF7-B7737B190F9B}" sibTransId="{5AA45A05-4249-4F40-9BB3-C3F57CA5FE68}"/>
    <dgm:cxn modelId="{9DE95E46-C7F9-8946-9EB7-07CDA793BB8D}" type="presOf" srcId="{AD0D97B3-0E67-0143-93B9-4F1A888E4607}" destId="{586CF167-16F6-2A46-A532-66502A96C0F6}" srcOrd="0" destOrd="0" presId="urn:microsoft.com/office/officeart/2005/8/layout/bProcess2"/>
    <dgm:cxn modelId="{5C2B4666-CAB3-3C45-B9F6-2F76022BF83E}" type="presOf" srcId="{896F6322-2C84-1740-A758-3571F10000FF}" destId="{9331A131-862E-414C-82D6-7BEEF01CDBDB}" srcOrd="0" destOrd="0" presId="urn:microsoft.com/office/officeart/2005/8/layout/bProcess2"/>
    <dgm:cxn modelId="{04205946-4B09-5441-A420-C98D9FB3939F}" type="presOf" srcId="{1A028F0C-C620-7D4E-9847-54F20CE7058F}" destId="{074BE202-BB2F-F048-9236-06F9FC488D63}" srcOrd="0" destOrd="0" presId="urn:microsoft.com/office/officeart/2005/8/layout/bProcess2"/>
    <dgm:cxn modelId="{2904186F-10CD-7E4D-8B27-5A4F04BCAAC3}" type="presOf" srcId="{A35A92D6-B757-9A42-8979-135715E14A31}" destId="{E4FF11BC-E140-1448-91D0-FABD8BD9A6C2}" srcOrd="0" destOrd="0" presId="urn:microsoft.com/office/officeart/2005/8/layout/bProcess2"/>
    <dgm:cxn modelId="{7396464F-B5DC-D243-B5A3-DF077833101E}" srcId="{CC25788C-C400-4C45-80F1-FDA289FDB926}" destId="{896F6322-2C84-1740-A758-3571F10000FF}" srcOrd="10" destOrd="0" parTransId="{14FA61FB-526B-804A-8EF6-EF465A1EEA1B}" sibTransId="{AC6C7F07-CE38-1B4A-9F73-C587714A12E7}"/>
    <dgm:cxn modelId="{F2192252-8253-DD41-8546-DD37C33DB8FF}" type="presOf" srcId="{D1C35746-F728-5846-AD6B-F7545DC28B60}" destId="{B7EE34CF-1EFC-7541-B93E-9DDB09D38111}" srcOrd="0" destOrd="0" presId="urn:microsoft.com/office/officeart/2005/8/layout/bProcess2"/>
    <dgm:cxn modelId="{112FFC72-0C8A-4747-8F19-8725B3146685}" type="presOf" srcId="{B9DC03FB-13C5-E148-8944-A6AC333C0C25}" destId="{375BC7D4-4949-0947-AE83-620567C20826}" srcOrd="0" destOrd="0" presId="urn:microsoft.com/office/officeart/2005/8/layout/bProcess2"/>
    <dgm:cxn modelId="{8E37D457-5007-0943-B34A-ED784216B3B2}" type="presOf" srcId="{5D72EEA1-4A65-FF46-B6DD-291E4AA88A4B}" destId="{92475D47-87AF-AE45-B79C-DF6389B667AE}" srcOrd="0" destOrd="0" presId="urn:microsoft.com/office/officeart/2005/8/layout/bProcess2"/>
    <dgm:cxn modelId="{0FDBB27B-472F-FF47-842D-C261E2AEC926}" type="presOf" srcId="{F42F6E99-4783-2D4E-B8A1-72FB92B5B730}" destId="{CFD6D6BB-D973-EB4A-91E6-056950C58535}" srcOrd="0" destOrd="0" presId="urn:microsoft.com/office/officeart/2005/8/layout/bProcess2"/>
    <dgm:cxn modelId="{649A067D-F66C-0C44-A896-216F4BF3A328}" type="presOf" srcId="{514D0A8B-D1AE-4941-95EA-7A725A89B3CE}" destId="{A46508DF-0BE6-7F42-9AE9-61E06B2E1D50}" srcOrd="0" destOrd="0" presId="urn:microsoft.com/office/officeart/2005/8/layout/bProcess2"/>
    <dgm:cxn modelId="{69590786-0F95-654E-AF64-583135EFB55A}" srcId="{CC25788C-C400-4C45-80F1-FDA289FDB926}" destId="{514D0A8B-D1AE-4941-95EA-7A725A89B3CE}" srcOrd="3" destOrd="0" parTransId="{62F89D6A-2DFB-804B-BC65-E26AC5877756}" sibTransId="{1A028F0C-C620-7D4E-9847-54F20CE7058F}"/>
    <dgm:cxn modelId="{03B69D8A-1A7B-5D4E-A69E-D2B21FF7DE57}" srcId="{CC25788C-C400-4C45-80F1-FDA289FDB926}" destId="{3CF3E43A-2B55-1E4C-B22D-52C064032C43}" srcOrd="12" destOrd="0" parTransId="{3DCCA30E-F039-0846-93B3-76F2BC7BBA94}" sibTransId="{5BFA60B1-B4D1-CC48-93CB-DAE55E420255}"/>
    <dgm:cxn modelId="{6EB06791-EB07-4849-A4BA-EB81E807F701}" type="presOf" srcId="{AC6C7F07-CE38-1B4A-9F73-C587714A12E7}" destId="{D9FC765C-50E7-3B48-80FD-376E7EE698F2}" srcOrd="0" destOrd="0" presId="urn:microsoft.com/office/officeart/2005/8/layout/bProcess2"/>
    <dgm:cxn modelId="{9A2B4A95-060A-314E-B5CA-18842D0CAD42}" type="presOf" srcId="{0A5A957B-4AF7-0543-BB1B-11F9F7BAD216}" destId="{BAF0F45F-253B-3844-97C9-F76C3B8954C8}" srcOrd="0" destOrd="0" presId="urn:microsoft.com/office/officeart/2005/8/layout/bProcess2"/>
    <dgm:cxn modelId="{555C15AC-4FD2-A24D-A772-E81BC2D299DE}" type="presOf" srcId="{A8D886BC-4CA4-FC42-80AB-8A5FF1170B7F}" destId="{FB41FBBA-AAD2-9C45-B3AB-41465BBE564D}" srcOrd="0" destOrd="0" presId="urn:microsoft.com/office/officeart/2005/8/layout/bProcess2"/>
    <dgm:cxn modelId="{41EAD9AE-C44B-F24B-A53F-E08EE40CE690}" type="presOf" srcId="{B02E72C2-43C8-D644-AED5-C669E9A2358E}" destId="{9397F0C8-A4D2-CC41-BD1E-293F668B9BF1}" srcOrd="0" destOrd="0" presId="urn:microsoft.com/office/officeart/2005/8/layout/bProcess2"/>
    <dgm:cxn modelId="{81744BB3-637C-5444-8448-675DB34DC4D4}" srcId="{CC25788C-C400-4C45-80F1-FDA289FDB926}" destId="{6F1445A4-37CA-704F-AD4A-6CE905364AE1}" srcOrd="6" destOrd="0" parTransId="{2B23ABF8-FB34-4C43-B01F-F73AA6C5DA98}" sibTransId="{8694CFA9-382F-8E45-B46A-58FB964D4B6D}"/>
    <dgm:cxn modelId="{DD680AC6-BF28-414F-9D13-ECC511E827FF}" srcId="{CC25788C-C400-4C45-80F1-FDA289FDB926}" destId="{AD0D97B3-0E67-0143-93B9-4F1A888E4607}" srcOrd="4" destOrd="0" parTransId="{7378D7AB-D387-6F49-B5A9-3F476910A5C4}" sibTransId="{5D72EEA1-4A65-FF46-B6DD-291E4AA88A4B}"/>
    <dgm:cxn modelId="{92BF73CB-69DC-6947-B740-9B5CCF7A2D58}" type="presOf" srcId="{6F1445A4-37CA-704F-AD4A-6CE905364AE1}" destId="{376CA162-881A-CE49-A0A6-E63EFFC01416}" srcOrd="0" destOrd="0" presId="urn:microsoft.com/office/officeart/2005/8/layout/bProcess2"/>
    <dgm:cxn modelId="{AD0A11CF-3210-0E4A-B9A2-506A6A52B35C}" type="presOf" srcId="{53037A49-33C6-C144-92B1-AEE7548ACE27}" destId="{DF028DC6-FF11-4A40-9308-962D6897DD2C}" srcOrd="0" destOrd="0" presId="urn:microsoft.com/office/officeart/2005/8/layout/bProcess2"/>
    <dgm:cxn modelId="{905583D2-8D71-AA4E-A8A5-32CA494CFBFA}" srcId="{CC25788C-C400-4C45-80F1-FDA289FDB926}" destId="{B9DC03FB-13C5-E148-8944-A6AC333C0C25}" srcOrd="9" destOrd="0" parTransId="{1E03B47C-B907-264F-B3AC-9FD4287A7A22}" sibTransId="{A8D886BC-4CA4-FC42-80AB-8A5FF1170B7F}"/>
    <dgm:cxn modelId="{E6BB9DD3-AFEC-8D45-B6F5-70DD1C8ABF6D}" type="presOf" srcId="{3A2C374E-EF8B-0649-8346-F2DC9D96AEFE}" destId="{7FB6788F-FDC1-EA42-A4AB-F795ABE55434}" srcOrd="0" destOrd="0" presId="urn:microsoft.com/office/officeart/2005/8/layout/bProcess2"/>
    <dgm:cxn modelId="{53A8E3D6-E92D-B44C-BF93-91B5D5CC7CC7}" srcId="{CC25788C-C400-4C45-80F1-FDA289FDB926}" destId="{CA639BBC-7C24-324B-B9F8-1863AF07B7FD}" srcOrd="8" destOrd="0" parTransId="{8B739826-D23B-F242-86A0-8B8012A16B5A}" sibTransId="{F27D322C-052C-544C-A5CB-0EDFC90AA5D8}"/>
    <dgm:cxn modelId="{D115EBD8-06CF-B844-AE32-88D75051A342}" srcId="{CC25788C-C400-4C45-80F1-FDA289FDB926}" destId="{F42F6E99-4783-2D4E-B8A1-72FB92B5B730}" srcOrd="0" destOrd="0" parTransId="{4FD5A022-E659-EC4B-B5CB-0652828D3CBB}" sibTransId="{A35A92D6-B757-9A42-8979-135715E14A31}"/>
    <dgm:cxn modelId="{FD4DD4DB-7325-6B40-A7A9-410CDB1AD49F}" type="presOf" srcId="{2FB08DCB-D42B-D542-83F5-AF24F071EB0C}" destId="{1A02E553-F12F-2341-840F-1A35B7043324}" srcOrd="0" destOrd="0" presId="urn:microsoft.com/office/officeart/2005/8/layout/bProcess2"/>
    <dgm:cxn modelId="{DCAE7EE0-9926-C749-A351-90BD78AA5597}" type="presOf" srcId="{A8A5F137-2C85-5D43-931E-2ABC366FB872}" destId="{BFCC4464-7B79-2648-9F7E-CF52CF2E5448}" srcOrd="0" destOrd="0" presId="urn:microsoft.com/office/officeart/2005/8/layout/bProcess2"/>
    <dgm:cxn modelId="{8E058AE0-CBBB-AC46-831B-A0A5BD82AF27}" type="presOf" srcId="{6F94A3BC-A822-7A4C-9FDF-F8110EB87384}" destId="{C96E4422-ADCD-5A42-AD91-EA67ADB95B20}" srcOrd="0" destOrd="0" presId="urn:microsoft.com/office/officeart/2005/8/layout/bProcess2"/>
    <dgm:cxn modelId="{6994A5EE-3808-614D-AB0B-BC55E1762CE1}" type="presOf" srcId="{D672AED2-2D65-D148-AF18-E9173BB301E7}" destId="{E5A1EDBB-22A0-204A-BA76-69DC74B674A0}" srcOrd="0" destOrd="0" presId="urn:microsoft.com/office/officeart/2005/8/layout/bProcess2"/>
    <dgm:cxn modelId="{0E5823F9-1E92-9649-9320-1FFB8B14ECF2}" type="presOf" srcId="{4B714211-B580-CD44-8FCA-DA4C4A60A9FC}" destId="{C915BA6E-236A-2048-8236-3417F835AAFD}" srcOrd="0" destOrd="0" presId="urn:microsoft.com/office/officeart/2005/8/layout/bProcess2"/>
    <dgm:cxn modelId="{41C2FAF9-8B61-F14B-8D21-D44D22CFCD2B}" type="presOf" srcId="{CC25788C-C400-4C45-80F1-FDA289FDB926}" destId="{53C2C485-78E9-4A4A-B4A8-AEE78B6AB7E2}" srcOrd="0" destOrd="0" presId="urn:microsoft.com/office/officeart/2005/8/layout/bProcess2"/>
    <dgm:cxn modelId="{1E410EFD-F08C-1248-BCF4-57D8DC239908}" type="presOf" srcId="{5BFA60B1-B4D1-CC48-93CB-DAE55E420255}" destId="{1AA6B8DD-C57F-E24F-B59E-6F3DC4F5FDDB}" srcOrd="0" destOrd="0" presId="urn:microsoft.com/office/officeart/2005/8/layout/bProcess2"/>
    <dgm:cxn modelId="{63739A00-907B-4448-8FBA-392CE743400D}" type="presParOf" srcId="{53C2C485-78E9-4A4A-B4A8-AEE78B6AB7E2}" destId="{CFD6D6BB-D973-EB4A-91E6-056950C58535}" srcOrd="0" destOrd="0" presId="urn:microsoft.com/office/officeart/2005/8/layout/bProcess2"/>
    <dgm:cxn modelId="{331FB840-AD65-9440-8FA8-249512CE619D}" type="presParOf" srcId="{53C2C485-78E9-4A4A-B4A8-AEE78B6AB7E2}" destId="{E4FF11BC-E140-1448-91D0-FABD8BD9A6C2}" srcOrd="1" destOrd="0" presId="urn:microsoft.com/office/officeart/2005/8/layout/bProcess2"/>
    <dgm:cxn modelId="{164670D3-F338-534D-9862-653FA07AB568}" type="presParOf" srcId="{53C2C485-78E9-4A4A-B4A8-AEE78B6AB7E2}" destId="{22E99B19-A376-8548-95A1-351A5EE64A97}" srcOrd="2" destOrd="0" presId="urn:microsoft.com/office/officeart/2005/8/layout/bProcess2"/>
    <dgm:cxn modelId="{0E19A6D8-CCF8-3F4E-8A0C-6DB12EBBFB24}" type="presParOf" srcId="{22E99B19-A376-8548-95A1-351A5EE64A97}" destId="{72D9390A-FD43-E149-B499-9665A7A5F53F}" srcOrd="0" destOrd="0" presId="urn:microsoft.com/office/officeart/2005/8/layout/bProcess2"/>
    <dgm:cxn modelId="{7DB26DC9-8EBA-244B-B4E8-D128520373D5}" type="presParOf" srcId="{22E99B19-A376-8548-95A1-351A5EE64A97}" destId="{B7EE34CF-1EFC-7541-B93E-9DDB09D38111}" srcOrd="1" destOrd="0" presId="urn:microsoft.com/office/officeart/2005/8/layout/bProcess2"/>
    <dgm:cxn modelId="{1F24E8A0-6013-1641-B828-B4A27C6EEF52}" type="presParOf" srcId="{53C2C485-78E9-4A4A-B4A8-AEE78B6AB7E2}" destId="{DD11C642-3438-ED4E-AC0C-1D1AA1BD6617}" srcOrd="3" destOrd="0" presId="urn:microsoft.com/office/officeart/2005/8/layout/bProcess2"/>
    <dgm:cxn modelId="{169BEE1A-1DD8-A84E-A087-5168D91953AB}" type="presParOf" srcId="{53C2C485-78E9-4A4A-B4A8-AEE78B6AB7E2}" destId="{B81336F6-6F09-D944-8446-7DE6E380C292}" srcOrd="4" destOrd="0" presId="urn:microsoft.com/office/officeart/2005/8/layout/bProcess2"/>
    <dgm:cxn modelId="{49C9AB18-2AAD-9644-8D36-3403B3569CE8}" type="presParOf" srcId="{B81336F6-6F09-D944-8446-7DE6E380C292}" destId="{B12C08FC-4EAB-0F43-9945-E49757F75F87}" srcOrd="0" destOrd="0" presId="urn:microsoft.com/office/officeart/2005/8/layout/bProcess2"/>
    <dgm:cxn modelId="{673AABAF-F7B9-5948-AC58-016EBD6D43C9}" type="presParOf" srcId="{B81336F6-6F09-D944-8446-7DE6E380C292}" destId="{9397F0C8-A4D2-CC41-BD1E-293F668B9BF1}" srcOrd="1" destOrd="0" presId="urn:microsoft.com/office/officeart/2005/8/layout/bProcess2"/>
    <dgm:cxn modelId="{98E3EE53-9BAE-7642-8385-C920EA10AA8F}" type="presParOf" srcId="{53C2C485-78E9-4A4A-B4A8-AEE78B6AB7E2}" destId="{BAF0F45F-253B-3844-97C9-F76C3B8954C8}" srcOrd="5" destOrd="0" presId="urn:microsoft.com/office/officeart/2005/8/layout/bProcess2"/>
    <dgm:cxn modelId="{9C32A23A-9FD7-2D4C-88CD-447FE9BF260A}" type="presParOf" srcId="{53C2C485-78E9-4A4A-B4A8-AEE78B6AB7E2}" destId="{4F195961-2859-5740-8B14-D2AF0BBCB821}" srcOrd="6" destOrd="0" presId="urn:microsoft.com/office/officeart/2005/8/layout/bProcess2"/>
    <dgm:cxn modelId="{80EF9094-6607-2C44-9513-3E4FE3F09AB3}" type="presParOf" srcId="{4F195961-2859-5740-8B14-D2AF0BBCB821}" destId="{E6DBFB44-C156-4D46-82BD-E49481F219EE}" srcOrd="0" destOrd="0" presId="urn:microsoft.com/office/officeart/2005/8/layout/bProcess2"/>
    <dgm:cxn modelId="{3BD8E12F-6B06-9249-B22C-212A8756AC43}" type="presParOf" srcId="{4F195961-2859-5740-8B14-D2AF0BBCB821}" destId="{A46508DF-0BE6-7F42-9AE9-61E06B2E1D50}" srcOrd="1" destOrd="0" presId="urn:microsoft.com/office/officeart/2005/8/layout/bProcess2"/>
    <dgm:cxn modelId="{30050D08-372D-CC4A-94FD-AC161F74A023}" type="presParOf" srcId="{53C2C485-78E9-4A4A-B4A8-AEE78B6AB7E2}" destId="{074BE202-BB2F-F048-9236-06F9FC488D63}" srcOrd="7" destOrd="0" presId="urn:microsoft.com/office/officeart/2005/8/layout/bProcess2"/>
    <dgm:cxn modelId="{372F73DC-84AE-AF46-8E81-D0B3F0CF032D}" type="presParOf" srcId="{53C2C485-78E9-4A4A-B4A8-AEE78B6AB7E2}" destId="{F790D89A-27E8-5342-8E78-08EC82CC5421}" srcOrd="8" destOrd="0" presId="urn:microsoft.com/office/officeart/2005/8/layout/bProcess2"/>
    <dgm:cxn modelId="{9AA58358-4DE4-324E-BE98-687A3B44CC43}" type="presParOf" srcId="{F790D89A-27E8-5342-8E78-08EC82CC5421}" destId="{BD0BFAC0-550D-C248-8A6E-CA78D9BD70D4}" srcOrd="0" destOrd="0" presId="urn:microsoft.com/office/officeart/2005/8/layout/bProcess2"/>
    <dgm:cxn modelId="{626124C7-DCE5-CC44-8BEB-877EB4FABF3B}" type="presParOf" srcId="{F790D89A-27E8-5342-8E78-08EC82CC5421}" destId="{586CF167-16F6-2A46-A532-66502A96C0F6}" srcOrd="1" destOrd="0" presId="urn:microsoft.com/office/officeart/2005/8/layout/bProcess2"/>
    <dgm:cxn modelId="{73D7AD59-1A9B-7A4B-896D-E3AD05FB98FA}" type="presParOf" srcId="{53C2C485-78E9-4A4A-B4A8-AEE78B6AB7E2}" destId="{92475D47-87AF-AE45-B79C-DF6389B667AE}" srcOrd="9" destOrd="0" presId="urn:microsoft.com/office/officeart/2005/8/layout/bProcess2"/>
    <dgm:cxn modelId="{F0750BCB-B5A7-2F47-B292-DE09ACE9F37B}" type="presParOf" srcId="{53C2C485-78E9-4A4A-B4A8-AEE78B6AB7E2}" destId="{6739ABFA-0A44-6D4E-B5FE-2FBF3EBA791E}" srcOrd="10" destOrd="0" presId="urn:microsoft.com/office/officeart/2005/8/layout/bProcess2"/>
    <dgm:cxn modelId="{8A066935-DCED-DB42-9167-3911D91A1789}" type="presParOf" srcId="{6739ABFA-0A44-6D4E-B5FE-2FBF3EBA791E}" destId="{BCC9ABEA-E36A-0F44-95AB-9B1600757533}" srcOrd="0" destOrd="0" presId="urn:microsoft.com/office/officeart/2005/8/layout/bProcess2"/>
    <dgm:cxn modelId="{4C572F15-C442-3C4B-8E48-3E27907D0A0F}" type="presParOf" srcId="{6739ABFA-0A44-6D4E-B5FE-2FBF3EBA791E}" destId="{AE7A90E5-EA19-B74B-84B8-DD457FFD029A}" srcOrd="1" destOrd="0" presId="urn:microsoft.com/office/officeart/2005/8/layout/bProcess2"/>
    <dgm:cxn modelId="{003336DA-AAC1-CB4B-9FBB-7EAB9507E744}" type="presParOf" srcId="{53C2C485-78E9-4A4A-B4A8-AEE78B6AB7E2}" destId="{1A02E553-F12F-2341-840F-1A35B7043324}" srcOrd="11" destOrd="0" presId="urn:microsoft.com/office/officeart/2005/8/layout/bProcess2"/>
    <dgm:cxn modelId="{37A4420F-558E-DC47-ACAE-715C33F6FB1F}" type="presParOf" srcId="{53C2C485-78E9-4A4A-B4A8-AEE78B6AB7E2}" destId="{B9CA8672-8925-B845-BF91-544DA8CB5AE2}" srcOrd="12" destOrd="0" presId="urn:microsoft.com/office/officeart/2005/8/layout/bProcess2"/>
    <dgm:cxn modelId="{A489F579-1B18-7149-86CF-3F2641F8C997}" type="presParOf" srcId="{B9CA8672-8925-B845-BF91-544DA8CB5AE2}" destId="{D414B3E3-13AD-EE4C-8E9E-452CBC502A43}" srcOrd="0" destOrd="0" presId="urn:microsoft.com/office/officeart/2005/8/layout/bProcess2"/>
    <dgm:cxn modelId="{0093B957-50B6-7C47-ADBC-4ADF6A279C33}" type="presParOf" srcId="{B9CA8672-8925-B845-BF91-544DA8CB5AE2}" destId="{376CA162-881A-CE49-A0A6-E63EFFC01416}" srcOrd="1" destOrd="0" presId="urn:microsoft.com/office/officeart/2005/8/layout/bProcess2"/>
    <dgm:cxn modelId="{819A26CB-3532-5E44-B6AD-E298C30DC037}" type="presParOf" srcId="{53C2C485-78E9-4A4A-B4A8-AEE78B6AB7E2}" destId="{E2E58B8D-E2DD-4045-8165-F662520BA534}" srcOrd="13" destOrd="0" presId="urn:microsoft.com/office/officeart/2005/8/layout/bProcess2"/>
    <dgm:cxn modelId="{8C3CA88C-FC44-DE4E-A751-23B976837861}" type="presParOf" srcId="{53C2C485-78E9-4A4A-B4A8-AEE78B6AB7E2}" destId="{120BCC4B-6AF6-2B4B-B712-CD9777C0147A}" srcOrd="14" destOrd="0" presId="urn:microsoft.com/office/officeart/2005/8/layout/bProcess2"/>
    <dgm:cxn modelId="{CE8E1479-D6A2-4746-82E7-BE346EB6FA6F}" type="presParOf" srcId="{120BCC4B-6AF6-2B4B-B712-CD9777C0147A}" destId="{EAA97C3D-0576-624A-BAEA-F49BDE746D36}" srcOrd="0" destOrd="0" presId="urn:microsoft.com/office/officeart/2005/8/layout/bProcess2"/>
    <dgm:cxn modelId="{B9922289-5D6F-A248-BF9D-E42FB18EE09C}" type="presParOf" srcId="{120BCC4B-6AF6-2B4B-B712-CD9777C0147A}" destId="{BFCC4464-7B79-2648-9F7E-CF52CF2E5448}" srcOrd="1" destOrd="0" presId="urn:microsoft.com/office/officeart/2005/8/layout/bProcess2"/>
    <dgm:cxn modelId="{279B75F4-BC28-E647-A727-A1CE9A1232D7}" type="presParOf" srcId="{53C2C485-78E9-4A4A-B4A8-AEE78B6AB7E2}" destId="{C96E4422-ADCD-5A42-AD91-EA67ADB95B20}" srcOrd="15" destOrd="0" presId="urn:microsoft.com/office/officeart/2005/8/layout/bProcess2"/>
    <dgm:cxn modelId="{AB75381F-1D7B-E947-9781-6C6187B28EC2}" type="presParOf" srcId="{53C2C485-78E9-4A4A-B4A8-AEE78B6AB7E2}" destId="{999CF5C1-B38F-2941-B0C1-3F9354B15A34}" srcOrd="16" destOrd="0" presId="urn:microsoft.com/office/officeart/2005/8/layout/bProcess2"/>
    <dgm:cxn modelId="{2A8054C2-4373-6E4D-A592-B50271836F35}" type="presParOf" srcId="{999CF5C1-B38F-2941-B0C1-3F9354B15A34}" destId="{D22013BC-0FB2-474B-AADC-BE00D4B2C6D4}" srcOrd="0" destOrd="0" presId="urn:microsoft.com/office/officeart/2005/8/layout/bProcess2"/>
    <dgm:cxn modelId="{35ED76AD-6975-FD46-8E90-A31C7BD74789}" type="presParOf" srcId="{999CF5C1-B38F-2941-B0C1-3F9354B15A34}" destId="{2866826D-E1DC-AF40-89A2-B6804308523B}" srcOrd="1" destOrd="0" presId="urn:microsoft.com/office/officeart/2005/8/layout/bProcess2"/>
    <dgm:cxn modelId="{831972A5-263D-6C4D-97CC-6B6017FE5E87}" type="presParOf" srcId="{53C2C485-78E9-4A4A-B4A8-AEE78B6AB7E2}" destId="{55CDBE2A-6D22-6047-B6CA-56553EDCC7A1}" srcOrd="17" destOrd="0" presId="urn:microsoft.com/office/officeart/2005/8/layout/bProcess2"/>
    <dgm:cxn modelId="{928649A6-7126-6544-9E32-693397C8657D}" type="presParOf" srcId="{53C2C485-78E9-4A4A-B4A8-AEE78B6AB7E2}" destId="{D04C81DE-FF76-7441-B430-0390EAC62BD3}" srcOrd="18" destOrd="0" presId="urn:microsoft.com/office/officeart/2005/8/layout/bProcess2"/>
    <dgm:cxn modelId="{B5414CD3-1002-5A44-AB88-6AB222BE3DA0}" type="presParOf" srcId="{D04C81DE-FF76-7441-B430-0390EAC62BD3}" destId="{FB1AD326-0D36-7349-A30F-67929230004D}" srcOrd="0" destOrd="0" presId="urn:microsoft.com/office/officeart/2005/8/layout/bProcess2"/>
    <dgm:cxn modelId="{9F01C5FB-E787-2842-9F1E-D0B676C1E322}" type="presParOf" srcId="{D04C81DE-FF76-7441-B430-0390EAC62BD3}" destId="{375BC7D4-4949-0947-AE83-620567C20826}" srcOrd="1" destOrd="0" presId="urn:microsoft.com/office/officeart/2005/8/layout/bProcess2"/>
    <dgm:cxn modelId="{F51775F9-998D-354B-B40C-79F11DD3C260}" type="presParOf" srcId="{53C2C485-78E9-4A4A-B4A8-AEE78B6AB7E2}" destId="{FB41FBBA-AAD2-9C45-B3AB-41465BBE564D}" srcOrd="19" destOrd="0" presId="urn:microsoft.com/office/officeart/2005/8/layout/bProcess2"/>
    <dgm:cxn modelId="{5646BB45-9011-4F47-97E9-5C93FC70AA07}" type="presParOf" srcId="{53C2C485-78E9-4A4A-B4A8-AEE78B6AB7E2}" destId="{83A67F6E-81DE-EE4D-80F1-B27CB19469A8}" srcOrd="20" destOrd="0" presId="urn:microsoft.com/office/officeart/2005/8/layout/bProcess2"/>
    <dgm:cxn modelId="{96B5D7DF-9517-BA48-B305-606E66E22757}" type="presParOf" srcId="{83A67F6E-81DE-EE4D-80F1-B27CB19469A8}" destId="{482A5DFD-D8BB-DC49-BBDE-56D613066046}" srcOrd="0" destOrd="0" presId="urn:microsoft.com/office/officeart/2005/8/layout/bProcess2"/>
    <dgm:cxn modelId="{B80E7234-C957-904A-AE3F-BF6C9757DC27}" type="presParOf" srcId="{83A67F6E-81DE-EE4D-80F1-B27CB19469A8}" destId="{9331A131-862E-414C-82D6-7BEEF01CDBDB}" srcOrd="1" destOrd="0" presId="urn:microsoft.com/office/officeart/2005/8/layout/bProcess2"/>
    <dgm:cxn modelId="{68A2C7AB-BA49-9E4C-8E30-1089A5E31B4A}" type="presParOf" srcId="{53C2C485-78E9-4A4A-B4A8-AEE78B6AB7E2}" destId="{D9FC765C-50E7-3B48-80FD-376E7EE698F2}" srcOrd="21" destOrd="0" presId="urn:microsoft.com/office/officeart/2005/8/layout/bProcess2"/>
    <dgm:cxn modelId="{D29671A3-9C90-A745-AB10-15249E19910B}" type="presParOf" srcId="{53C2C485-78E9-4A4A-B4A8-AEE78B6AB7E2}" destId="{0EAEA0EF-D767-1C4F-90F8-E5495CABC87D}" srcOrd="22" destOrd="0" presId="urn:microsoft.com/office/officeart/2005/8/layout/bProcess2"/>
    <dgm:cxn modelId="{796279B9-9511-414C-A79A-DAC4928ECC9B}" type="presParOf" srcId="{0EAEA0EF-D767-1C4F-90F8-E5495CABC87D}" destId="{17767CF7-933D-124F-8926-560DE5C6CBE3}" srcOrd="0" destOrd="0" presId="urn:microsoft.com/office/officeart/2005/8/layout/bProcess2"/>
    <dgm:cxn modelId="{12A2DBF5-EFA4-5A4E-AEB3-EEC0F1E360F6}" type="presParOf" srcId="{0EAEA0EF-D767-1C4F-90F8-E5495CABC87D}" destId="{7FB6788F-FDC1-EA42-A4AB-F795ABE55434}" srcOrd="1" destOrd="0" presId="urn:microsoft.com/office/officeart/2005/8/layout/bProcess2"/>
    <dgm:cxn modelId="{C8301FE5-D71B-0145-8448-781926302FA3}" type="presParOf" srcId="{53C2C485-78E9-4A4A-B4A8-AEE78B6AB7E2}" destId="{C915BA6E-236A-2048-8236-3417F835AAFD}" srcOrd="23" destOrd="0" presId="urn:microsoft.com/office/officeart/2005/8/layout/bProcess2"/>
    <dgm:cxn modelId="{3259D871-6D76-FF49-A25A-C509C41AD2EB}" type="presParOf" srcId="{53C2C485-78E9-4A4A-B4A8-AEE78B6AB7E2}" destId="{7A5AB43B-9AC5-C64A-A414-A253B8C0697C}" srcOrd="24" destOrd="0" presId="urn:microsoft.com/office/officeart/2005/8/layout/bProcess2"/>
    <dgm:cxn modelId="{C576E689-CF1B-4E42-B194-70D383B92F1D}" type="presParOf" srcId="{7A5AB43B-9AC5-C64A-A414-A253B8C0697C}" destId="{B318374B-6367-9D42-87CF-E340D65E8DCF}" srcOrd="0" destOrd="0" presId="urn:microsoft.com/office/officeart/2005/8/layout/bProcess2"/>
    <dgm:cxn modelId="{0954A77D-8F60-AD4B-9611-2AF7446C9CC6}" type="presParOf" srcId="{7A5AB43B-9AC5-C64A-A414-A253B8C0697C}" destId="{FDD5CCCD-6A79-1040-A963-1EE489E500F6}" srcOrd="1" destOrd="0" presId="urn:microsoft.com/office/officeart/2005/8/layout/bProcess2"/>
    <dgm:cxn modelId="{2269C808-766D-D84D-8E86-06CB17212FA7}" type="presParOf" srcId="{53C2C485-78E9-4A4A-B4A8-AEE78B6AB7E2}" destId="{1AA6B8DD-C57F-E24F-B59E-6F3DC4F5FDDB}" srcOrd="25" destOrd="0" presId="urn:microsoft.com/office/officeart/2005/8/layout/bProcess2"/>
    <dgm:cxn modelId="{F585811B-07FC-F048-8DDE-EE98BA00B7F4}" type="presParOf" srcId="{53C2C485-78E9-4A4A-B4A8-AEE78B6AB7E2}" destId="{4DCF822B-A780-C743-A927-6CA80C9C1C94}" srcOrd="26" destOrd="0" presId="urn:microsoft.com/office/officeart/2005/8/layout/bProcess2"/>
    <dgm:cxn modelId="{95EE13A3-CF11-0E43-B6AC-AFFF5F55DE2F}" type="presParOf" srcId="{4DCF822B-A780-C743-A927-6CA80C9C1C94}" destId="{8EA46D4F-D7FC-7A44-8BF8-BAB9A5777173}" srcOrd="0" destOrd="0" presId="urn:microsoft.com/office/officeart/2005/8/layout/bProcess2"/>
    <dgm:cxn modelId="{5B4BF6F7-DE9C-C44A-BD94-3826773F303A}" type="presParOf" srcId="{4DCF822B-A780-C743-A927-6CA80C9C1C94}" destId="{5DE7EEFF-A1D4-5743-BD9E-F18D4F213C48}" srcOrd="1" destOrd="0" presId="urn:microsoft.com/office/officeart/2005/8/layout/bProcess2"/>
    <dgm:cxn modelId="{DD0342F7-3C93-194D-A55C-03E8E6C05692}" type="presParOf" srcId="{53C2C485-78E9-4A4A-B4A8-AEE78B6AB7E2}" destId="{DF028DC6-FF11-4A40-9308-962D6897DD2C}" srcOrd="27" destOrd="0" presId="urn:microsoft.com/office/officeart/2005/8/layout/bProcess2"/>
    <dgm:cxn modelId="{2E79555C-8DE9-B740-A584-1FFDCCC27447}" type="presParOf" srcId="{53C2C485-78E9-4A4A-B4A8-AEE78B6AB7E2}" destId="{E5A1EDBB-22A0-204A-BA76-69DC74B674A0}" srcOrd="28" destOrd="0" presId="urn:microsoft.com/office/officeart/2005/8/layout/bProcess2"/>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D349864-23E3-1449-B224-D38BB178CA17}">
      <dsp:nvSpPr>
        <dsp:cNvPr id="0" name=""/>
        <dsp:cNvSpPr/>
      </dsp:nvSpPr>
      <dsp:spPr>
        <a:xfrm>
          <a:off x="2146865" y="1244701"/>
          <a:ext cx="1303331" cy="946239"/>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kern="1200">
              <a:latin typeface="Arial" panose="020B0604020202020204" pitchFamily="34" charset="0"/>
              <a:cs typeface="Arial" panose="020B0604020202020204" pitchFamily="34" charset="0"/>
            </a:rPr>
            <a:t>Options for young people post care placement</a:t>
          </a:r>
        </a:p>
      </dsp:txBody>
      <dsp:txXfrm>
        <a:off x="2337733" y="1383274"/>
        <a:ext cx="921595" cy="669093"/>
      </dsp:txXfrm>
    </dsp:sp>
    <dsp:sp modelId="{68B9BB9E-04BC-1D46-A277-4E1372B49856}">
      <dsp:nvSpPr>
        <dsp:cNvPr id="0" name=""/>
        <dsp:cNvSpPr/>
      </dsp:nvSpPr>
      <dsp:spPr>
        <a:xfrm rot="16262259">
          <a:off x="2666098" y="1085641"/>
          <a:ext cx="287203" cy="31044"/>
        </a:xfrm>
        <a:custGeom>
          <a:avLst/>
          <a:gdLst/>
          <a:ahLst/>
          <a:cxnLst/>
          <a:rect l="0" t="0" r="0" b="0"/>
          <a:pathLst>
            <a:path>
              <a:moveTo>
                <a:pt x="0" y="15522"/>
              </a:moveTo>
              <a:lnTo>
                <a:pt x="287203" y="1552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2802520" y="1093983"/>
        <a:ext cx="14360" cy="14360"/>
      </dsp:txXfrm>
    </dsp:sp>
    <dsp:sp modelId="{43BFA0DB-1152-0541-91EB-0711977E7275}">
      <dsp:nvSpPr>
        <dsp:cNvPr id="0" name=""/>
        <dsp:cNvSpPr/>
      </dsp:nvSpPr>
      <dsp:spPr>
        <a:xfrm>
          <a:off x="2112817" y="11380"/>
          <a:ext cx="1416104" cy="946239"/>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anose="020B0604020202020204" pitchFamily="34" charset="0"/>
              <a:cs typeface="Arial" panose="020B0604020202020204" pitchFamily="34" charset="0"/>
            </a:rPr>
            <a:t>Living independently in supported housing or rented accommodation</a:t>
          </a:r>
        </a:p>
      </dsp:txBody>
      <dsp:txXfrm>
        <a:off x="2320201" y="149953"/>
        <a:ext cx="1001336" cy="669093"/>
      </dsp:txXfrm>
    </dsp:sp>
    <dsp:sp modelId="{36055E8C-7E78-5C4F-940B-D7D97C6A0F93}">
      <dsp:nvSpPr>
        <dsp:cNvPr id="0" name=""/>
        <dsp:cNvSpPr/>
      </dsp:nvSpPr>
      <dsp:spPr>
        <a:xfrm rot="20401030">
          <a:off x="3365981" y="1404042"/>
          <a:ext cx="505534" cy="31044"/>
        </a:xfrm>
        <a:custGeom>
          <a:avLst/>
          <a:gdLst/>
          <a:ahLst/>
          <a:cxnLst/>
          <a:rect l="0" t="0" r="0" b="0"/>
          <a:pathLst>
            <a:path>
              <a:moveTo>
                <a:pt x="0" y="15522"/>
              </a:moveTo>
              <a:lnTo>
                <a:pt x="505534" y="1552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606109" y="1406926"/>
        <a:ext cx="25276" cy="25276"/>
      </dsp:txXfrm>
    </dsp:sp>
    <dsp:sp modelId="{9BB47255-1402-6547-B2D8-8B626688D6FB}">
      <dsp:nvSpPr>
        <dsp:cNvPr id="0" name=""/>
        <dsp:cNvSpPr/>
      </dsp:nvSpPr>
      <dsp:spPr>
        <a:xfrm>
          <a:off x="3787299" y="648188"/>
          <a:ext cx="1303331" cy="946239"/>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anose="020B0604020202020204" pitchFamily="34" charset="0"/>
              <a:cs typeface="Arial" panose="020B0604020202020204" pitchFamily="34" charset="0"/>
            </a:rPr>
            <a:t>Return to their birth family</a:t>
          </a:r>
        </a:p>
      </dsp:txBody>
      <dsp:txXfrm>
        <a:off x="3978167" y="786761"/>
        <a:ext cx="921595" cy="669093"/>
      </dsp:txXfrm>
    </dsp:sp>
    <dsp:sp modelId="{0A651E22-13CE-AA42-95B6-AACA8590DD78}">
      <dsp:nvSpPr>
        <dsp:cNvPr id="0" name=""/>
        <dsp:cNvSpPr/>
      </dsp:nvSpPr>
      <dsp:spPr>
        <a:xfrm rot="1973955">
          <a:off x="3237286" y="2178889"/>
          <a:ext cx="595925" cy="31044"/>
        </a:xfrm>
        <a:custGeom>
          <a:avLst/>
          <a:gdLst/>
          <a:ahLst/>
          <a:cxnLst/>
          <a:rect l="0" t="0" r="0" b="0"/>
          <a:pathLst>
            <a:path>
              <a:moveTo>
                <a:pt x="0" y="15522"/>
              </a:moveTo>
              <a:lnTo>
                <a:pt x="595925" y="1552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a:off x="3520351" y="2179514"/>
        <a:ext cx="29796" cy="29796"/>
      </dsp:txXfrm>
    </dsp:sp>
    <dsp:sp modelId="{EE08869C-CA28-A943-9851-F77A48DA8E0B}">
      <dsp:nvSpPr>
        <dsp:cNvPr id="0" name=""/>
        <dsp:cNvSpPr/>
      </dsp:nvSpPr>
      <dsp:spPr>
        <a:xfrm>
          <a:off x="3485739" y="2242778"/>
          <a:ext cx="1711255" cy="946239"/>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anose="020B0604020202020204" pitchFamily="34" charset="0"/>
              <a:cs typeface="Arial" panose="020B0604020202020204" pitchFamily="34" charset="0"/>
            </a:rPr>
            <a:t>Living independently in supported housing – housing provider with low level of support staff</a:t>
          </a:r>
        </a:p>
      </dsp:txBody>
      <dsp:txXfrm>
        <a:off x="3736346" y="2381351"/>
        <a:ext cx="1210041" cy="669093"/>
      </dsp:txXfrm>
    </dsp:sp>
    <dsp:sp modelId="{F9306A64-9FB2-A944-A614-35C984D6469F}">
      <dsp:nvSpPr>
        <dsp:cNvPr id="0" name=""/>
        <dsp:cNvSpPr/>
      </dsp:nvSpPr>
      <dsp:spPr>
        <a:xfrm rot="8203111">
          <a:off x="2072913" y="2207028"/>
          <a:ext cx="379329" cy="31044"/>
        </a:xfrm>
        <a:custGeom>
          <a:avLst/>
          <a:gdLst/>
          <a:ahLst/>
          <a:cxnLst/>
          <a:rect l="0" t="0" r="0" b="0"/>
          <a:pathLst>
            <a:path>
              <a:moveTo>
                <a:pt x="0" y="15522"/>
              </a:moveTo>
              <a:lnTo>
                <a:pt x="379329" y="1552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rot="10800000">
        <a:off x="2253095" y="2213067"/>
        <a:ext cx="18966" cy="18966"/>
      </dsp:txXfrm>
    </dsp:sp>
    <dsp:sp modelId="{B1C61F92-8621-5642-B9CF-B27B392C05C6}">
      <dsp:nvSpPr>
        <dsp:cNvPr id="0" name=""/>
        <dsp:cNvSpPr/>
      </dsp:nvSpPr>
      <dsp:spPr>
        <a:xfrm>
          <a:off x="1074959" y="2254160"/>
          <a:ext cx="1303331" cy="946239"/>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anose="020B0604020202020204" pitchFamily="34" charset="0"/>
              <a:cs typeface="Arial" panose="020B0604020202020204" pitchFamily="34" charset="0"/>
            </a:rPr>
            <a:t>Living independently in rented accommodation</a:t>
          </a:r>
        </a:p>
      </dsp:txBody>
      <dsp:txXfrm>
        <a:off x="1265827" y="2392733"/>
        <a:ext cx="921595" cy="669093"/>
      </dsp:txXfrm>
    </dsp:sp>
    <dsp:sp modelId="{301C3C65-67A0-5142-B9EE-CECF2F81435C}">
      <dsp:nvSpPr>
        <dsp:cNvPr id="0" name=""/>
        <dsp:cNvSpPr/>
      </dsp:nvSpPr>
      <dsp:spPr>
        <a:xfrm rot="11106680">
          <a:off x="1486219" y="1614740"/>
          <a:ext cx="666862" cy="31044"/>
        </a:xfrm>
        <a:custGeom>
          <a:avLst/>
          <a:gdLst/>
          <a:ahLst/>
          <a:cxnLst/>
          <a:rect l="0" t="0" r="0" b="0"/>
          <a:pathLst>
            <a:path>
              <a:moveTo>
                <a:pt x="0" y="15522"/>
              </a:moveTo>
              <a:lnTo>
                <a:pt x="666862" y="15522"/>
              </a:lnTo>
            </a:path>
          </a:pathLst>
        </a:custGeom>
        <a:noFill/>
        <a:ln w="12700" cap="flat" cmpd="sng" algn="ctr">
          <a:solidFill>
            <a:schemeClr val="dk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en-GB" sz="500" kern="1200"/>
        </a:p>
      </dsp:txBody>
      <dsp:txXfrm rot="10800000">
        <a:off x="1802978" y="1613591"/>
        <a:ext cx="33343" cy="33343"/>
      </dsp:txXfrm>
    </dsp:sp>
    <dsp:sp modelId="{E132E770-336C-1E45-9FF1-963CFA336B47}">
      <dsp:nvSpPr>
        <dsp:cNvPr id="0" name=""/>
        <dsp:cNvSpPr/>
      </dsp:nvSpPr>
      <dsp:spPr>
        <a:xfrm>
          <a:off x="0" y="1061238"/>
          <a:ext cx="1494898" cy="946239"/>
        </a:xfrm>
        <a:prstGeom prst="ellipse">
          <a:avLst/>
        </a:prstGeom>
        <a:solidFill>
          <a:schemeClr val="lt1">
            <a:hueOff val="0"/>
            <a:satOff val="0"/>
            <a:lumOff val="0"/>
            <a:alphaOff val="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marL="0" lvl="0" indent="0" algn="ctr" defTabSz="400050">
            <a:lnSpc>
              <a:spcPct val="90000"/>
            </a:lnSpc>
            <a:spcBef>
              <a:spcPct val="0"/>
            </a:spcBef>
            <a:spcAft>
              <a:spcPct val="35000"/>
            </a:spcAft>
            <a:buNone/>
          </a:pPr>
          <a:r>
            <a:rPr lang="en-GB" sz="900" kern="1200">
              <a:latin typeface="Arial" panose="020B0604020202020204" pitchFamily="34" charset="0"/>
              <a:cs typeface="Arial" panose="020B0604020202020204" pitchFamily="34" charset="0"/>
            </a:rPr>
            <a:t>Supported lodgings – formal scheme providing spare room in supportive familial household</a:t>
          </a:r>
        </a:p>
      </dsp:txBody>
      <dsp:txXfrm>
        <a:off x="218923" y="1199811"/>
        <a:ext cx="1057052" cy="66909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2452FE0-2A5F-AB4D-976E-E74F3E44DCAF}">
      <dsp:nvSpPr>
        <dsp:cNvPr id="0" name=""/>
        <dsp:cNvSpPr/>
      </dsp:nvSpPr>
      <dsp:spPr>
        <a:xfrm>
          <a:off x="311244" y="1307"/>
          <a:ext cx="4591536" cy="668953"/>
        </a:xfrm>
        <a:prstGeom prst="roundRect">
          <a:avLst>
            <a:gd name="adj" fmla="val 10000"/>
          </a:avLst>
        </a:prstGeom>
        <a:solidFill>
          <a:schemeClr val="bg1">
            <a:lumMod val="9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latin typeface="Arial" panose="020B0604020202020204" pitchFamily="34" charset="0"/>
              <a:cs typeface="Arial" panose="020B0604020202020204" pitchFamily="34" charset="0"/>
            </a:rPr>
            <a:t>Director of Children's Services</a:t>
          </a:r>
        </a:p>
        <a:p>
          <a:pPr marL="0" lvl="0" indent="0" algn="ctr" defTabSz="533400">
            <a:lnSpc>
              <a:spcPct val="90000"/>
            </a:lnSpc>
            <a:spcBef>
              <a:spcPct val="0"/>
            </a:spcBef>
            <a:spcAft>
              <a:spcPct val="35000"/>
            </a:spcAft>
            <a:buNone/>
          </a:pPr>
          <a:r>
            <a:rPr lang="en-US" sz="1200" kern="1200">
              <a:latin typeface="Arial" panose="020B0604020202020204" pitchFamily="34" charset="0"/>
              <a:cs typeface="Arial" panose="020B0604020202020204" pitchFamily="34" charset="0"/>
            </a:rPr>
            <a:t>Ethics Comittee / Nominated Responsible Manager </a:t>
          </a:r>
        </a:p>
        <a:p>
          <a:pPr marL="0" lvl="0" indent="0" algn="ctr" defTabSz="533400">
            <a:lnSpc>
              <a:spcPct val="90000"/>
            </a:lnSpc>
            <a:spcBef>
              <a:spcPct val="0"/>
            </a:spcBef>
            <a:spcAft>
              <a:spcPct val="35000"/>
            </a:spcAft>
            <a:buNone/>
          </a:pPr>
          <a:r>
            <a:rPr lang="en-US" sz="1200" kern="1200">
              <a:latin typeface="Arial" panose="020B0604020202020204" pitchFamily="34" charset="0"/>
              <a:cs typeface="Arial" panose="020B0604020202020204" pitchFamily="34" charset="0"/>
            </a:rPr>
            <a:t>Principal Social Worker</a:t>
          </a:r>
          <a:endParaRPr lang="en-US" sz="800" kern="1200">
            <a:latin typeface="Arial" panose="020B0604020202020204" pitchFamily="34" charset="0"/>
            <a:cs typeface="Arial" panose="020B0604020202020204" pitchFamily="34" charset="0"/>
          </a:endParaRPr>
        </a:p>
      </dsp:txBody>
      <dsp:txXfrm>
        <a:off x="330837" y="20900"/>
        <a:ext cx="4552350" cy="629767"/>
      </dsp:txXfrm>
    </dsp:sp>
    <dsp:sp modelId="{E293593F-5E24-0941-9B4E-D657A7D1259D}">
      <dsp:nvSpPr>
        <dsp:cNvPr id="0" name=""/>
        <dsp:cNvSpPr/>
      </dsp:nvSpPr>
      <dsp:spPr>
        <a:xfrm rot="5400000">
          <a:off x="2481583" y="686985"/>
          <a:ext cx="250857" cy="301029"/>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en-US" sz="1300" kern="1200">
            <a:latin typeface="Arial" panose="020B0604020202020204" pitchFamily="34" charset="0"/>
            <a:cs typeface="Arial" panose="020B0604020202020204" pitchFamily="34" charset="0"/>
          </a:endParaRPr>
        </a:p>
      </dsp:txBody>
      <dsp:txXfrm rot="-5400000">
        <a:off x="2516704" y="712071"/>
        <a:ext cx="180617" cy="175600"/>
      </dsp:txXfrm>
    </dsp:sp>
    <dsp:sp modelId="{1217D9EA-AD50-2F43-867D-FA7D22C1E932}">
      <dsp:nvSpPr>
        <dsp:cNvPr id="0" name=""/>
        <dsp:cNvSpPr/>
      </dsp:nvSpPr>
      <dsp:spPr>
        <a:xfrm>
          <a:off x="311244" y="1004738"/>
          <a:ext cx="4591536" cy="668953"/>
        </a:xfrm>
        <a:prstGeom prst="roundRect">
          <a:avLst>
            <a:gd name="adj" fmla="val 10000"/>
          </a:avLst>
        </a:prstGeom>
        <a:solidFill>
          <a:schemeClr val="bg1">
            <a:lumMod val="8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US" sz="1200" kern="1200">
              <a:latin typeface="Arial" panose="020B0604020202020204" pitchFamily="34" charset="0"/>
              <a:cs typeface="Arial" panose="020B0604020202020204" pitchFamily="34" charset="0"/>
            </a:rPr>
            <a:t>Head of Service</a:t>
          </a:r>
        </a:p>
        <a:p>
          <a:pPr marL="0" lvl="0" indent="0" algn="ctr" defTabSz="533400">
            <a:lnSpc>
              <a:spcPct val="90000"/>
            </a:lnSpc>
            <a:spcBef>
              <a:spcPct val="0"/>
            </a:spcBef>
            <a:spcAft>
              <a:spcPct val="35000"/>
            </a:spcAft>
            <a:buNone/>
          </a:pPr>
          <a:r>
            <a:rPr lang="en-US" sz="1200" kern="1200">
              <a:latin typeface="Arial" panose="020B0604020202020204" pitchFamily="34" charset="0"/>
              <a:cs typeface="Arial" panose="020B0604020202020204" pitchFamily="34" charset="0"/>
            </a:rPr>
            <a:t>Practice Lead / Area Manager</a:t>
          </a:r>
        </a:p>
        <a:p>
          <a:pPr marL="0" lvl="0" indent="0" algn="ctr" defTabSz="533400">
            <a:lnSpc>
              <a:spcPct val="90000"/>
            </a:lnSpc>
            <a:spcBef>
              <a:spcPct val="0"/>
            </a:spcBef>
            <a:spcAft>
              <a:spcPct val="35000"/>
            </a:spcAft>
            <a:buNone/>
          </a:pPr>
          <a:r>
            <a:rPr lang="en-US" sz="1200" kern="1200">
              <a:latin typeface="Arial" panose="020B0604020202020204" pitchFamily="34" charset="0"/>
              <a:cs typeface="Arial" panose="020B0604020202020204" pitchFamily="34" charset="0"/>
            </a:rPr>
            <a:t>Team Manager</a:t>
          </a:r>
        </a:p>
      </dsp:txBody>
      <dsp:txXfrm>
        <a:off x="330837" y="1024331"/>
        <a:ext cx="4552350" cy="629767"/>
      </dsp:txXfrm>
    </dsp:sp>
    <dsp:sp modelId="{A6DB2AF4-35C3-AC40-BA6F-324349FCA1B6}">
      <dsp:nvSpPr>
        <dsp:cNvPr id="0" name=""/>
        <dsp:cNvSpPr/>
      </dsp:nvSpPr>
      <dsp:spPr>
        <a:xfrm rot="5400000">
          <a:off x="2481583" y="1690415"/>
          <a:ext cx="250857" cy="301029"/>
        </a:xfrm>
        <a:prstGeom prst="rightArrow">
          <a:avLst>
            <a:gd name="adj1" fmla="val 60000"/>
            <a:gd name="adj2" fmla="val 50000"/>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endParaRPr lang="en-US" sz="1300" kern="1200">
            <a:latin typeface="Arial" panose="020B0604020202020204" pitchFamily="34" charset="0"/>
            <a:cs typeface="Arial" panose="020B0604020202020204" pitchFamily="34" charset="0"/>
          </a:endParaRPr>
        </a:p>
      </dsp:txBody>
      <dsp:txXfrm rot="-5400000">
        <a:off x="2516704" y="1715501"/>
        <a:ext cx="180617" cy="175600"/>
      </dsp:txXfrm>
    </dsp:sp>
    <dsp:sp modelId="{9D17F12D-A415-4D48-A2D6-4CA7473179B5}">
      <dsp:nvSpPr>
        <dsp:cNvPr id="0" name=""/>
        <dsp:cNvSpPr/>
      </dsp:nvSpPr>
      <dsp:spPr>
        <a:xfrm>
          <a:off x="311244" y="2008168"/>
          <a:ext cx="4591536" cy="668953"/>
        </a:xfrm>
        <a:prstGeom prst="roundRect">
          <a:avLst>
            <a:gd name="adj" fmla="val 10000"/>
          </a:avLst>
        </a:prstGeom>
        <a:solidFill>
          <a:schemeClr val="bg1">
            <a:lumMod val="75000"/>
          </a:schemeClr>
        </a:solidFill>
        <a:ln w="12700" cap="flat" cmpd="sng" algn="ctr">
          <a:solidFill>
            <a:schemeClr val="dk1">
              <a:shade val="8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53340" tIns="53340" rIns="53340" bIns="53340" numCol="1" spcCol="1270" anchor="ctr" anchorCtr="0">
          <a:noAutofit/>
        </a:bodyPr>
        <a:lstStyle/>
        <a:p>
          <a:pPr marL="0" lvl="0" indent="0" algn="ctr" defTabSz="622300">
            <a:lnSpc>
              <a:spcPct val="90000"/>
            </a:lnSpc>
            <a:spcBef>
              <a:spcPct val="0"/>
            </a:spcBef>
            <a:spcAft>
              <a:spcPct val="35000"/>
            </a:spcAft>
            <a:buNone/>
          </a:pPr>
          <a:r>
            <a:rPr lang="en-US" sz="1400" kern="1200">
              <a:latin typeface="Arial" panose="020B0604020202020204" pitchFamily="34" charset="0"/>
              <a:cs typeface="Arial" panose="020B0604020202020204" pitchFamily="34" charset="0"/>
            </a:rPr>
            <a:t>Social Worker / Personal Advisor / Foster Carer</a:t>
          </a:r>
        </a:p>
      </dsp:txBody>
      <dsp:txXfrm>
        <a:off x="330837" y="2027761"/>
        <a:ext cx="4552350" cy="629767"/>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FD6D6BB-D973-EB4A-91E6-056950C58535}">
      <dsp:nvSpPr>
        <dsp:cNvPr id="0" name=""/>
        <dsp:cNvSpPr/>
      </dsp:nvSpPr>
      <dsp:spPr>
        <a:xfrm>
          <a:off x="699" y="73621"/>
          <a:ext cx="818043" cy="818043"/>
        </a:xfrm>
        <a:prstGeom prst="ellipse">
          <a:avLst/>
        </a:prstGeom>
        <a:solidFill>
          <a:srgbClr val="FFC5FF"/>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GB" sz="700" kern="1200">
              <a:latin typeface="Arial" panose="020B0604020202020204" pitchFamily="34" charset="0"/>
              <a:cs typeface="Arial" panose="020B0604020202020204" pitchFamily="34" charset="0"/>
            </a:rPr>
            <a:t>University Ethics</a:t>
          </a:r>
        </a:p>
      </dsp:txBody>
      <dsp:txXfrm>
        <a:off x="120499" y="193421"/>
        <a:ext cx="578443" cy="578443"/>
      </dsp:txXfrm>
    </dsp:sp>
    <dsp:sp modelId="{E4FF11BC-E140-1448-91D0-FABD8BD9A6C2}">
      <dsp:nvSpPr>
        <dsp:cNvPr id="0" name=""/>
        <dsp:cNvSpPr/>
      </dsp:nvSpPr>
      <dsp:spPr>
        <a:xfrm rot="10800000">
          <a:off x="266563" y="987224"/>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B7EE34CF-1EFC-7541-B93E-9DDB09D38111}">
      <dsp:nvSpPr>
        <dsp:cNvPr id="0" name=""/>
        <dsp:cNvSpPr/>
      </dsp:nvSpPr>
      <dsp:spPr>
        <a:xfrm>
          <a:off x="62192" y="1273903"/>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Director of Children's Services email and phone conversation</a:t>
          </a:r>
        </a:p>
      </dsp:txBody>
      <dsp:txXfrm>
        <a:off x="163981" y="1353809"/>
        <a:ext cx="491478" cy="385822"/>
      </dsp:txXfrm>
    </dsp:sp>
    <dsp:sp modelId="{DD11C642-3438-ED4E-AC0C-1D1AA1BD6617}">
      <dsp:nvSpPr>
        <dsp:cNvPr id="0" name=""/>
        <dsp:cNvSpPr/>
      </dsp:nvSpPr>
      <dsp:spPr>
        <a:xfrm rot="10800000">
          <a:off x="266563" y="2003339"/>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9397F0C8-A4D2-CC41-BD1E-293F668B9BF1}">
      <dsp:nvSpPr>
        <dsp:cNvPr id="0" name=""/>
        <dsp:cNvSpPr/>
      </dsp:nvSpPr>
      <dsp:spPr>
        <a:xfrm>
          <a:off x="62192" y="2378261"/>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Principal Social Worker</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emails</a:t>
          </a:r>
        </a:p>
        <a:p>
          <a:pPr marL="0" lvl="0" indent="0" algn="ctr" defTabSz="266700">
            <a:lnSpc>
              <a:spcPct val="90000"/>
            </a:lnSpc>
            <a:spcBef>
              <a:spcPct val="0"/>
            </a:spcBef>
            <a:spcAft>
              <a:spcPct val="35000"/>
            </a:spcAft>
            <a:buNone/>
          </a:pPr>
          <a:endParaRPr lang="en-GB" sz="600" kern="1200">
            <a:latin typeface="Arial" panose="020B0604020202020204" pitchFamily="34" charset="0"/>
            <a:cs typeface="Arial" panose="020B0604020202020204" pitchFamily="34" charset="0"/>
          </a:endParaRPr>
        </a:p>
      </dsp:txBody>
      <dsp:txXfrm>
        <a:off x="163981" y="2458167"/>
        <a:ext cx="491478" cy="385822"/>
      </dsp:txXfrm>
    </dsp:sp>
    <dsp:sp modelId="{BAF0F45F-253B-3844-97C9-F76C3B8954C8}">
      <dsp:nvSpPr>
        <dsp:cNvPr id="0" name=""/>
        <dsp:cNvSpPr/>
      </dsp:nvSpPr>
      <dsp:spPr>
        <a:xfrm rot="5512805">
          <a:off x="923103" y="2571336"/>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A46508DF-0BE6-7F42-9AE9-61E06B2E1D50}">
      <dsp:nvSpPr>
        <dsp:cNvPr id="0" name=""/>
        <dsp:cNvSpPr/>
      </dsp:nvSpPr>
      <dsp:spPr>
        <a:xfrm>
          <a:off x="1363967" y="2418540"/>
          <a:ext cx="545634"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Head of Service</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meetings and emails</a:t>
          </a:r>
        </a:p>
      </dsp:txBody>
      <dsp:txXfrm>
        <a:off x="1443873" y="2498446"/>
        <a:ext cx="385822" cy="385822"/>
      </dsp:txXfrm>
    </dsp:sp>
    <dsp:sp modelId="{074BE202-BB2F-F048-9236-06F9FC488D63}">
      <dsp:nvSpPr>
        <dsp:cNvPr id="0" name=""/>
        <dsp:cNvSpPr/>
      </dsp:nvSpPr>
      <dsp:spPr>
        <a:xfrm>
          <a:off x="1493627" y="2040747"/>
          <a:ext cx="286315" cy="202586"/>
        </a:xfrm>
        <a:prstGeom prst="triangle">
          <a:avLst/>
        </a:prstGeom>
        <a:solidFill>
          <a:schemeClr val="dk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86CF167-16F6-2A46-A532-66502A96C0F6}">
      <dsp:nvSpPr>
        <dsp:cNvPr id="0" name=""/>
        <dsp:cNvSpPr/>
      </dsp:nvSpPr>
      <dsp:spPr>
        <a:xfrm>
          <a:off x="1247526" y="1216431"/>
          <a:ext cx="778517" cy="660578"/>
        </a:xfrm>
        <a:prstGeom prst="ellipse">
          <a:avLst/>
        </a:prstGeom>
        <a:solidFill>
          <a:schemeClr val="accent6">
            <a:lumMod val="20000"/>
            <a:lumOff val="80000"/>
          </a:schemeClr>
        </a:solidFill>
        <a:ln w="19050" cap="flat" cmpd="sng" algn="ctr">
          <a:solidFill>
            <a:srgbClr val="FFC5FF"/>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Local Authority Ethics Process</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emails and paperwork</a:t>
          </a:r>
        </a:p>
      </dsp:txBody>
      <dsp:txXfrm>
        <a:off x="1361537" y="1313170"/>
        <a:ext cx="550495" cy="467100"/>
      </dsp:txXfrm>
    </dsp:sp>
    <dsp:sp modelId="{92475D47-87AF-AE45-B79C-DF6389B667AE}">
      <dsp:nvSpPr>
        <dsp:cNvPr id="0" name=""/>
        <dsp:cNvSpPr/>
      </dsp:nvSpPr>
      <dsp:spPr>
        <a:xfrm>
          <a:off x="1493627" y="866834"/>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AE7A90E5-EA19-B74B-84B8-DD457FFD029A}">
      <dsp:nvSpPr>
        <dsp:cNvPr id="0" name=""/>
        <dsp:cNvSpPr/>
      </dsp:nvSpPr>
      <dsp:spPr>
        <a:xfrm>
          <a:off x="1289256" y="185657"/>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Principal Social Worker emails</a:t>
          </a:r>
        </a:p>
      </dsp:txBody>
      <dsp:txXfrm>
        <a:off x="1391045" y="265563"/>
        <a:ext cx="491478" cy="385822"/>
      </dsp:txXfrm>
    </dsp:sp>
    <dsp:sp modelId="{1A02E553-F12F-2341-840F-1A35B7043324}">
      <dsp:nvSpPr>
        <dsp:cNvPr id="0" name=""/>
        <dsp:cNvSpPr/>
      </dsp:nvSpPr>
      <dsp:spPr>
        <a:xfrm rot="5467695">
          <a:off x="2150219" y="370112"/>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376CA162-881A-CE49-A0A6-E63EFFC01416}">
      <dsp:nvSpPr>
        <dsp:cNvPr id="0" name=""/>
        <dsp:cNvSpPr/>
      </dsp:nvSpPr>
      <dsp:spPr>
        <a:xfrm>
          <a:off x="2591032" y="209823"/>
          <a:ext cx="545634"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Head of Service</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meetings and emails</a:t>
          </a:r>
        </a:p>
      </dsp:txBody>
      <dsp:txXfrm>
        <a:off x="2670938" y="289729"/>
        <a:ext cx="385822" cy="385822"/>
      </dsp:txXfrm>
    </dsp:sp>
    <dsp:sp modelId="{E2E58B8D-E2DD-4045-8165-F662520BA534}">
      <dsp:nvSpPr>
        <dsp:cNvPr id="0" name=""/>
        <dsp:cNvSpPr/>
      </dsp:nvSpPr>
      <dsp:spPr>
        <a:xfrm rot="10800000">
          <a:off x="2720692" y="939260"/>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BFCC4464-7B79-2648-9F7E-CF52CF2E5448}">
      <dsp:nvSpPr>
        <dsp:cNvPr id="0" name=""/>
        <dsp:cNvSpPr/>
      </dsp:nvSpPr>
      <dsp:spPr>
        <a:xfrm>
          <a:off x="2500211" y="1314181"/>
          <a:ext cx="72727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Area Lead Manager</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meetings and emails</a:t>
          </a:r>
        </a:p>
      </dsp:txBody>
      <dsp:txXfrm>
        <a:off x="2606718" y="1394087"/>
        <a:ext cx="514262" cy="385822"/>
      </dsp:txXfrm>
    </dsp:sp>
    <dsp:sp modelId="{C96E4422-ADCD-5A42-AD91-EA67ADB95B20}">
      <dsp:nvSpPr>
        <dsp:cNvPr id="0" name=""/>
        <dsp:cNvSpPr/>
      </dsp:nvSpPr>
      <dsp:spPr>
        <a:xfrm rot="10800000">
          <a:off x="2720692" y="2031535"/>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2866826D-E1DC-AF40-89A2-B6804308523B}">
      <dsp:nvSpPr>
        <dsp:cNvPr id="0" name=""/>
        <dsp:cNvSpPr/>
      </dsp:nvSpPr>
      <dsp:spPr>
        <a:xfrm>
          <a:off x="2516321" y="2394373"/>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Team Manager</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emails and phone conversation</a:t>
          </a:r>
        </a:p>
      </dsp:txBody>
      <dsp:txXfrm>
        <a:off x="2618110" y="2474279"/>
        <a:ext cx="491478" cy="385822"/>
      </dsp:txXfrm>
    </dsp:sp>
    <dsp:sp modelId="{55CDBE2A-6D22-6047-B6CA-56553EDCC7A1}">
      <dsp:nvSpPr>
        <dsp:cNvPr id="0" name=""/>
        <dsp:cNvSpPr/>
      </dsp:nvSpPr>
      <dsp:spPr>
        <a:xfrm rot="5354862">
          <a:off x="3339957" y="2557766"/>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375BC7D4-4949-0947-AE83-620567C20826}">
      <dsp:nvSpPr>
        <dsp:cNvPr id="0" name=""/>
        <dsp:cNvSpPr/>
      </dsp:nvSpPr>
      <dsp:spPr>
        <a:xfrm>
          <a:off x="3743386" y="2378261"/>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Head of Service</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Meetings and emails</a:t>
          </a:r>
        </a:p>
      </dsp:txBody>
      <dsp:txXfrm>
        <a:off x="3845175" y="2458167"/>
        <a:ext cx="491478" cy="385822"/>
      </dsp:txXfrm>
    </dsp:sp>
    <dsp:sp modelId="{FB41FBBA-AAD2-9C45-B3AB-41465BBE564D}">
      <dsp:nvSpPr>
        <dsp:cNvPr id="0" name=""/>
        <dsp:cNvSpPr/>
      </dsp:nvSpPr>
      <dsp:spPr>
        <a:xfrm>
          <a:off x="3947757" y="1991872"/>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9331A131-862E-414C-82D6-7BEEF01CDBDB}">
      <dsp:nvSpPr>
        <dsp:cNvPr id="0" name=""/>
        <dsp:cNvSpPr/>
      </dsp:nvSpPr>
      <dsp:spPr>
        <a:xfrm>
          <a:off x="3743386" y="1273903"/>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Team Manager</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emails</a:t>
          </a:r>
        </a:p>
      </dsp:txBody>
      <dsp:txXfrm>
        <a:off x="3845175" y="1353809"/>
        <a:ext cx="491478" cy="385822"/>
      </dsp:txXfrm>
    </dsp:sp>
    <dsp:sp modelId="{D9FC765C-50E7-3B48-80FD-376E7EE698F2}">
      <dsp:nvSpPr>
        <dsp:cNvPr id="0" name=""/>
        <dsp:cNvSpPr/>
      </dsp:nvSpPr>
      <dsp:spPr>
        <a:xfrm>
          <a:off x="3947757" y="895570"/>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7FB6788F-FDC1-EA42-A4AB-F795ABE55434}">
      <dsp:nvSpPr>
        <dsp:cNvPr id="0" name=""/>
        <dsp:cNvSpPr/>
      </dsp:nvSpPr>
      <dsp:spPr>
        <a:xfrm>
          <a:off x="3743386" y="185657"/>
          <a:ext cx="69505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Team Meeting</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meeting</a:t>
          </a:r>
        </a:p>
      </dsp:txBody>
      <dsp:txXfrm>
        <a:off x="3845175" y="265563"/>
        <a:ext cx="491478" cy="385822"/>
      </dsp:txXfrm>
    </dsp:sp>
    <dsp:sp modelId="{C915BA6E-236A-2048-8236-3417F835AAFD}">
      <dsp:nvSpPr>
        <dsp:cNvPr id="0" name=""/>
        <dsp:cNvSpPr/>
      </dsp:nvSpPr>
      <dsp:spPr>
        <a:xfrm rot="5467695">
          <a:off x="4558974" y="369219"/>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FDD5CCCD-6A79-1040-A963-1EE489E500F6}">
      <dsp:nvSpPr>
        <dsp:cNvPr id="0" name=""/>
        <dsp:cNvSpPr/>
      </dsp:nvSpPr>
      <dsp:spPr>
        <a:xfrm>
          <a:off x="4954340" y="209823"/>
          <a:ext cx="727276" cy="545634"/>
        </a:xfrm>
        <a:prstGeom prst="ellipse">
          <a:avLst/>
        </a:prstGeom>
        <a:solidFill>
          <a:schemeClr val="accent6">
            <a:lumMod val="20000"/>
            <a:lumOff val="80000"/>
          </a:schemeClr>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Social Worker</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phone conversation and emails</a:t>
          </a:r>
        </a:p>
      </dsp:txBody>
      <dsp:txXfrm>
        <a:off x="5060847" y="289729"/>
        <a:ext cx="514262" cy="385822"/>
      </dsp:txXfrm>
    </dsp:sp>
    <dsp:sp modelId="{1AA6B8DD-C57F-E24F-B59E-6F3DC4F5FDDB}">
      <dsp:nvSpPr>
        <dsp:cNvPr id="0" name=""/>
        <dsp:cNvSpPr/>
      </dsp:nvSpPr>
      <dsp:spPr>
        <a:xfrm rot="10800000">
          <a:off x="5174821" y="939260"/>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5DE7EEFF-A1D4-5743-BD9E-F18D4F213C48}">
      <dsp:nvSpPr>
        <dsp:cNvPr id="0" name=""/>
        <dsp:cNvSpPr/>
      </dsp:nvSpPr>
      <dsp:spPr>
        <a:xfrm>
          <a:off x="4954340" y="1314181"/>
          <a:ext cx="727276" cy="545634"/>
        </a:xfrm>
        <a:prstGeom prst="ellipse">
          <a:avLst/>
        </a:prstGeom>
        <a:solidFill>
          <a:srgbClr val="FFFF00"/>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Foster Carers</a:t>
          </a:r>
        </a:p>
        <a:p>
          <a:pPr marL="0" lvl="0" indent="0" algn="ctr" defTabSz="266700">
            <a:lnSpc>
              <a:spcPct val="90000"/>
            </a:lnSpc>
            <a:spcBef>
              <a:spcPct val="0"/>
            </a:spcBef>
            <a:spcAft>
              <a:spcPct val="35000"/>
            </a:spcAft>
            <a:buNone/>
          </a:pPr>
          <a:r>
            <a:rPr lang="en-GB" sz="600" kern="1200">
              <a:latin typeface="Arial" panose="020B0604020202020204" pitchFamily="34" charset="0"/>
              <a:cs typeface="Arial" panose="020B0604020202020204" pitchFamily="34" charset="0"/>
            </a:rPr>
            <a:t>phone conversation and emails</a:t>
          </a:r>
        </a:p>
      </dsp:txBody>
      <dsp:txXfrm>
        <a:off x="5060847" y="1394087"/>
        <a:ext cx="514262" cy="385822"/>
      </dsp:txXfrm>
    </dsp:sp>
    <dsp:sp modelId="{DF028DC6-FF11-4A40-9308-962D6897DD2C}">
      <dsp:nvSpPr>
        <dsp:cNvPr id="0" name=""/>
        <dsp:cNvSpPr/>
      </dsp:nvSpPr>
      <dsp:spPr>
        <a:xfrm rot="10800000">
          <a:off x="5174821" y="1963434"/>
          <a:ext cx="286315" cy="202586"/>
        </a:xfrm>
        <a:prstGeom prst="triangle">
          <a:avLst/>
        </a:prstGeom>
        <a:solidFill>
          <a:schemeClr val="tx1">
            <a:lumMod val="50000"/>
            <a:lumOff val="50000"/>
          </a:schemeClr>
        </a:solidFill>
        <a:ln>
          <a:noFill/>
        </a:ln>
        <a:effectLst/>
      </dsp:spPr>
      <dsp:style>
        <a:lnRef idx="0">
          <a:scrgbClr r="0" g="0" b="0"/>
        </a:lnRef>
        <a:fillRef idx="1">
          <a:scrgbClr r="0" g="0" b="0"/>
        </a:fillRef>
        <a:effectRef idx="0">
          <a:scrgbClr r="0" g="0" b="0"/>
        </a:effectRef>
        <a:fontRef idx="minor">
          <a:schemeClr val="lt1"/>
        </a:fontRef>
      </dsp:style>
    </dsp:sp>
    <dsp:sp modelId="{E5A1EDBB-22A0-204A-BA76-69DC74B674A0}">
      <dsp:nvSpPr>
        <dsp:cNvPr id="0" name=""/>
        <dsp:cNvSpPr/>
      </dsp:nvSpPr>
      <dsp:spPr>
        <a:xfrm>
          <a:off x="4908957" y="2258172"/>
          <a:ext cx="818043" cy="818043"/>
        </a:xfrm>
        <a:prstGeom prst="ellipse">
          <a:avLst/>
        </a:prstGeom>
        <a:solidFill>
          <a:srgbClr val="D5FFFF"/>
        </a:solidFill>
        <a:ln w="19050" cap="flat" cmpd="sng" algn="ctr">
          <a:solidFill>
            <a:scrgbClr r="0" g="0" b="0"/>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890" tIns="8890" rIns="8890" bIns="8890" numCol="1" spcCol="1270" anchor="ctr" anchorCtr="0">
          <a:noAutofit/>
        </a:bodyPr>
        <a:lstStyle/>
        <a:p>
          <a:pPr marL="0" lvl="0" indent="0" algn="ctr" defTabSz="311150">
            <a:lnSpc>
              <a:spcPct val="90000"/>
            </a:lnSpc>
            <a:spcBef>
              <a:spcPct val="0"/>
            </a:spcBef>
            <a:spcAft>
              <a:spcPct val="35000"/>
            </a:spcAft>
            <a:buNone/>
          </a:pPr>
          <a:r>
            <a:rPr lang="en-GB" sz="700" kern="1200">
              <a:latin typeface="Arial" panose="020B0604020202020204" pitchFamily="34" charset="0"/>
              <a:cs typeface="Arial" panose="020B0604020202020204" pitchFamily="34" charset="0"/>
            </a:rPr>
            <a:t>Young Person</a:t>
          </a:r>
        </a:p>
        <a:p>
          <a:pPr marL="0" lvl="0" indent="0" algn="ctr" defTabSz="311150">
            <a:lnSpc>
              <a:spcPct val="90000"/>
            </a:lnSpc>
            <a:spcBef>
              <a:spcPct val="0"/>
            </a:spcBef>
            <a:spcAft>
              <a:spcPct val="35000"/>
            </a:spcAft>
            <a:buNone/>
          </a:pPr>
          <a:r>
            <a:rPr lang="en-GB" sz="700" kern="1200">
              <a:latin typeface="Arial" panose="020B0604020202020204" pitchFamily="34" charset="0"/>
              <a:cs typeface="Arial" panose="020B0604020202020204" pitchFamily="34" charset="0"/>
            </a:rPr>
            <a:t>email, phone conversation and meeting</a:t>
          </a:r>
        </a:p>
      </dsp:txBody>
      <dsp:txXfrm>
        <a:off x="5028757" y="2377972"/>
        <a:ext cx="578443" cy="578443"/>
      </dsp:txXfrm>
    </dsp:sp>
  </dsp:spTree>
</dsp:drawing>
</file>

<file path=word/diagrams/layout1.xml><?xml version="1.0" encoding="utf-8"?>
<dgm:layoutDef xmlns:dgm="http://schemas.openxmlformats.org/drawingml/2006/diagram" xmlns:a="http://schemas.openxmlformats.org/drawingml/2006/main" uniqueId="urn:microsoft.com/office/officeart/2005/8/layout/radial1">
  <dgm:title val=""/>
  <dgm:desc val=""/>
  <dgm:catLst>
    <dgm:cat type="relationship" pri="22000"/>
    <dgm:cat type="cycle" pri="10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90"/>
              <dgm:param type="spanAng" val="360"/>
              <dgm:param type="ctrShpMap" val="fNode"/>
            </dgm:alg>
          </dgm:if>
          <dgm:else name="Name4">
            <dgm:alg type="cycle">
              <dgm:param type="stAng" val="0"/>
              <dgm:param type="spanAng" val="360"/>
              <dgm:param type="ctrShpMap" val="fNode"/>
            </dgm:alg>
          </dgm:else>
        </dgm:choose>
      </dgm:if>
      <dgm:else name="Name5">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node" refType="w" refFor="ch" refForName="centerShape" op="equ"/>
      <dgm:constr type="sp" refType="w" refFor="ch" refForName="node" fact="0.3"/>
      <dgm:constr type="sibSp" refType="w" refFor="ch" refForName="node" fact="0.3"/>
      <dgm:constr type="primFontSz" for="ch" forName="centerShape" val="65"/>
      <dgm:constr type="primFontSz" for="des" forName="node" op="equ" val="65"/>
      <dgm:constr type="primFontSz" for="des" forName="connTx" val="55"/>
      <dgm:constr type="primFontSz" for="des" forName="connTx" refType="primFontSz" refFor="ch" refForName="centerShape" op="lte" fact="0.8"/>
    </dgm:constrLst>
    <dgm:ruleLst/>
    <dgm:forEach name="Name6"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name="Name7" axis="ch">
        <dgm:forEach name="Name8" axis="self" ptType="parTrans">
          <dgm:layoutNode name="Name9">
            <dgm:alg type="conn">
              <dgm:param type="dim" val="1D"/>
              <dgm:param type="begPts" val="auto"/>
              <dgm:param type="endPts" val="auto"/>
              <dgm:param type="begSty" val="noArr"/>
              <dgm:param type="endSty" val="noArr"/>
            </dgm:alg>
            <dgm:shape xmlns:r="http://schemas.openxmlformats.org/officeDocument/2006/relationships" type="conn" r:blip="">
              <dgm:adjLst/>
            </dgm:shape>
            <dgm:presOf axis="self"/>
            <dgm:constrLst>
              <dgm:constr type="connDist"/>
              <dgm:constr type="userA" for="ch" refType="connDist"/>
              <dgm:constr type="w" val="1"/>
              <dgm:constr type="h" val="5"/>
              <dgm:constr type="begPad"/>
              <dgm:constr type="endPad"/>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w" val="NaN" fact="0.8" max="NaN"/>
                <dgm:rule type="h" val="NaN" fact="1" max="NaN"/>
                <dgm:rule type="primFontSz" val="5" fact="NaN" max="NaN"/>
              </dgm:ruleLst>
            </dgm:layoutNode>
          </dgm:layoutNode>
        </dgm:forEach>
        <dgm:forEach name="Name10"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process2">
  <dgm:title val=""/>
  <dgm:desc val=""/>
  <dgm:catLst>
    <dgm:cat type="process"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Flow">
    <dgm:varLst>
      <dgm:resizeHandles val="exact"/>
    </dgm:varLst>
    <dgm:alg type="lin">
      <dgm:param type="linDir" val="fromT"/>
    </dgm:alg>
    <dgm:shape xmlns:r="http://schemas.openxmlformats.org/officeDocument/2006/relationships" r:blip="">
      <dgm:adjLst/>
    </dgm:shape>
    <dgm:presOf/>
    <dgm:constrLst>
      <dgm:constr type="h" for="ch" ptType="node" refType="h"/>
      <dgm:constr type="h" for="ch" ptType="sibTrans" refType="h" refFor="ch" refPtType="node" fact="0.5"/>
      <dgm:constr type="w" for="ch" ptType="node" op="equ"/>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choose name="Name0">
          <dgm:if name="Name1" axis="root des" ptType="all node" func="maxDepth" op="gt" val="1">
            <dgm:alg type="tx">
              <dgm:param type="parTxLTRAlign" val="l"/>
              <dgm:param type="parTxRTLAlign" val="r"/>
              <dgm:param type="txAnchorVertCh" val="mid"/>
            </dgm:alg>
          </dgm:if>
          <dgm:else name="Name2">
            <dgm:alg type="tx"/>
          </dgm:else>
        </dgm:choose>
        <dgm:shape xmlns:r="http://schemas.openxmlformats.org/officeDocument/2006/relationships" type="roundRect" r:blip="">
          <dgm:adjLst>
            <dgm:adj idx="1" val="0.1"/>
          </dgm:adjLst>
        </dgm:shape>
        <dgm:presOf axis="desOrSelf" ptType="node"/>
        <dgm:constrLst>
          <dgm:constr type="w" refType="h" fact="1.8"/>
          <dgm:constr type="tMarg" refType="primFontSz" fact="0.3"/>
          <dgm:constr type="bMarg" refType="primFontSz" fact="0.3"/>
          <dgm:constr type="lMarg" refType="primFontSz" fact="0.3"/>
          <dgm:constr type="rMarg" refType="primFontSz" fact="0.3"/>
        </dgm:constrLst>
        <dgm:ruleLst>
          <dgm:rule type="primFontSz" val="18" fact="NaN" max="NaN"/>
          <dgm:rule type="w" val="NaN" fact="4" max="NaN"/>
          <dgm:rule type="primFontSz" val="5"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w" refType="h" fact="0.9"/>
            <dgm:constr type="connDist"/>
            <dgm:constr type="wArH" refType="w" fact="0.5"/>
            <dgm:constr type="hArH" refType="w"/>
            <dgm:constr type="stemThick" refType="w" fact="0.6"/>
            <dgm:constr type="begPad" refType="connDist" fact="0.125"/>
            <dgm:constr type="endPad" refType="connDist" fact="0.125"/>
          </dgm:constrLst>
          <dgm:ruleLst/>
          <dgm:layoutNode name="connectorText">
            <dgm:alg type="tx">
              <dgm:param type="autoTxRot" val="upr"/>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bProcess2">
  <dgm:title val=""/>
  <dgm:desc val=""/>
  <dgm:catLst>
    <dgm:cat type="process" pri="24000"/>
  </dgm:catLst>
  <dgm:sampData>
    <dgm:dataModel>
      <dgm:ptLst>
        <dgm:pt modelId="0" type="doc"/>
        <dgm:pt modelId="1">
          <dgm:prSet phldr="1"/>
        </dgm:pt>
        <dgm:pt modelId="2">
          <dgm:prSet phldr="1"/>
        </dgm:pt>
        <dgm:pt modelId="3">
          <dgm:prSet phldr="1"/>
        </dgm:pt>
        <dgm:pt modelId="4">
          <dgm:prSet phldr="1"/>
        </dgm:pt>
        <dgm:pt modelId="5">
          <dgm:prSet phldr="1"/>
        </dgm:pt>
        <dgm:pt modelId="6">
          <dgm:prSet phldr="1"/>
        </dgm:pt>
        <dgm:pt modelId="7">
          <dgm:prSet phldr="1"/>
        </dgm:pt>
        <dgm:pt modelId="8">
          <dgm:prSet phldr="1"/>
        </dgm:pt>
        <dgm:pt modelId="9">
          <dgm:prSet phldr="1"/>
        </dgm:pt>
      </dgm:ptLst>
      <dgm:cxnLst>
        <dgm:cxn modelId="10" srcId="0" destId="1" srcOrd="0" destOrd="0"/>
        <dgm:cxn modelId="11" srcId="0" destId="2" srcOrd="1" destOrd="0"/>
        <dgm:cxn modelId="12" srcId="0" destId="3" srcOrd="2" destOrd="0"/>
        <dgm:cxn modelId="13" srcId="0" destId="4" srcOrd="3" destOrd="0"/>
        <dgm:cxn modelId="14" srcId="0" destId="5" srcOrd="4" destOrd="0"/>
        <dgm:cxn modelId="15" srcId="0" destId="6" srcOrd="5" destOrd="0"/>
        <dgm:cxn modelId="16" srcId="0" destId="7" srcOrd="6" destOrd="0"/>
        <dgm:cxn modelId="17" srcId="0" destId="8" srcOrd="7" destOrd="0"/>
        <dgm:cxn modelId="18" srcId="0" destId="9" srcOrd="8"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dgm:varLst>
    <dgm:choose name="Name0">
      <dgm:if name="Name1" func="var" arg="dir" op="equ" val="norm">
        <dgm:alg type="snake">
          <dgm:param type="grDir" val="tL"/>
          <dgm:param type="flowDir" val="col"/>
          <dgm:param type="contDir" val="revDir"/>
        </dgm:alg>
      </dgm:if>
      <dgm:else name="Name2">
        <dgm:alg type="snake">
          <dgm:param type="grDir" val="tR"/>
          <dgm:param type="flowDir" val="col"/>
          <dgm:param type="contDir" val="revDir"/>
        </dgm:alg>
      </dgm:else>
    </dgm:choose>
    <dgm:shape xmlns:r="http://schemas.openxmlformats.org/officeDocument/2006/relationships" r:blip="">
      <dgm:adjLst/>
    </dgm:shape>
    <dgm:presOf/>
    <dgm:constrLst>
      <dgm:constr type="w" for="ch" forName="firstNode" refType="w"/>
      <dgm:constr type="w" for="ch" forName="lastNode" refType="w" refFor="ch" refForName="firstNode" op="equ"/>
      <dgm:constr type="w" for="ch" forName="middleNode" refType="w" refFor="ch" refForName="firstNode" op="equ"/>
      <dgm:constr type="h" for="ch" ptType="sibTrans" refType="w" refFor="ch" refForName="middleNode" op="equ" fact="0.35"/>
      <dgm:constr type="sp" refType="w" refFor="ch" refForName="middleNode" fact="0.5"/>
      <dgm:constr type="connDist" for="des" ptType="sibTrans" op="equ"/>
      <dgm:constr type="primFontSz" for="ch" forName="firstNode" val="65"/>
      <dgm:constr type="primFontSz" for="ch" forName="lastNode" refType="primFontSz" refFor="ch" refForName="firstNode" op="equ"/>
      <dgm:constr type="primFontSz" for="des" forName="shape" val="65"/>
      <dgm:constr type="primFontSz" for="des" forName="shape" refType="primFontSz" refFor="ch" refForName="firstNode" op="lte"/>
      <dgm:constr type="primFontSz" for="des" forName="shape" refType="primFontSz" refFor="ch" refForName="lastNode" op="lte"/>
    </dgm:constrLst>
    <dgm:ruleLst/>
    <dgm:forEach name="Name3" axis="ch" ptType="node">
      <dgm:choose name="Name4">
        <dgm:if name="Name5" axis="self" ptType="node" func="pos" op="equ" val="1">
          <dgm:layoutNode name="first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if>
        <dgm:if name="Name6" axis="self" ptType="node" func="revPos" op="equ" val="1">
          <dgm:layoutNode name="last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if>
        <dgm:else name="Name7">
          <dgm:layoutNode name="middleNode">
            <dgm:alg type="composite"/>
            <dgm:shape xmlns:r="http://schemas.openxmlformats.org/officeDocument/2006/relationships" r:blip="">
              <dgm:adjLst/>
            </dgm:shape>
            <dgm:presOf/>
            <dgm:constrLst>
              <dgm:constr type="h" refType="w"/>
              <dgm:constr type="w" for="ch" forName="padding" refType="w"/>
              <dgm:constr type="h" for="ch" forName="padding" refType="h"/>
              <dgm:constr type="w" for="ch" forName="shape" refType="w" fact="0.667"/>
              <dgm:constr type="h" for="ch" forName="shape" refType="h" fact="0.667"/>
              <dgm:constr type="ctrX" for="ch" forName="shape" refType="w" fact="0.5"/>
              <dgm:constr type="ctrY" for="ch" forName="shape" refType="h" fact="0.5"/>
            </dgm:constrLst>
            <dgm:ruleLst/>
            <dgm:layoutNode name="padding">
              <dgm:alg type="sp"/>
              <dgm:shape xmlns:r="http://schemas.openxmlformats.org/officeDocument/2006/relationships" type="ellipse" r:blip="" hideGeom="1">
                <dgm:adjLst/>
              </dgm:shape>
              <dgm:presOf/>
              <dgm:constrLst/>
              <dgm:ruleLst/>
            </dgm:layoutNode>
            <dgm:layoutNode name="shap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else>
      </dgm:choose>
      <dgm:forEach name="Name8" axis="followSib" ptType="sibTrans" cnt="1">
        <dgm:layoutNode name="sibTrans">
          <dgm:choose name="Name9">
            <dgm:if name="Name10" func="var" arg="dir" op="equ" val="norm">
              <dgm:choose name="Name11">
                <dgm:if name="Name12" axis="self" ptType="sibTrans" func="pos" op="equ" val="1">
                  <dgm:alg type="conn">
                    <dgm:param type="begPts" val="auto"/>
                    <dgm:param type="endPts" val="auto"/>
                    <dgm:param type="srcNode" val="firstNode"/>
                    <dgm:param type="dstNode" val="shape"/>
                  </dgm:alg>
                </dgm:if>
                <dgm:if name="Name13" axis="self" ptType="sibTrans" func="revPos" op="equ" val="1">
                  <dgm:alg type="conn">
                    <dgm:param type="begPts" val="auto"/>
                    <dgm:param type="endPts" val="auto"/>
                    <dgm:param type="srcNode" val="shape"/>
                    <dgm:param type="dstNode" val="lastNode"/>
                  </dgm:alg>
                </dgm:if>
                <dgm:else name="Name14">
                  <dgm:alg type="conn">
                    <dgm:param type="begPts" val="auto"/>
                    <dgm:param type="endPts" val="auto"/>
                    <dgm:param type="srcNode" val="shape"/>
                    <dgm:param type="dstNode" val="shape"/>
                  </dgm:alg>
                </dgm:else>
              </dgm:choose>
            </dgm:if>
            <dgm:else name="Name15">
              <dgm:choose name="Name16">
                <dgm:if name="Name17" axis="self" ptType="sibTrans" func="pos" op="equ" val="1">
                  <dgm:alg type="conn">
                    <dgm:param type="begPts" val="auto"/>
                    <dgm:param type="endPts" val="auto"/>
                    <dgm:param type="srcNode" val="firstNode"/>
                    <dgm:param type="dstNode" val="shape"/>
                  </dgm:alg>
                </dgm:if>
                <dgm:if name="Name18" axis="self" ptType="sibTrans" func="revPos" op="equ" val="1">
                  <dgm:alg type="conn">
                    <dgm:param type="begPts" val="auto"/>
                    <dgm:param type="endPts" val="auto"/>
                    <dgm:param type="srcNode" val="shape"/>
                    <dgm:param type="dstNode" val="lastNode"/>
                  </dgm:alg>
                </dgm:if>
                <dgm:else name="Name19">
                  <dgm:alg type="conn">
                    <dgm:param type="begPts" val="auto"/>
                    <dgm:param type="endPts" val="auto"/>
                    <dgm:param type="srcNode" val="shape"/>
                    <dgm:param type="dstNode" val="shape"/>
                  </dgm:alg>
                </dgm:else>
              </dgm:choose>
            </dgm:else>
          </dgm:choose>
          <dgm:shape xmlns:r="http://schemas.openxmlformats.org/officeDocument/2006/relationships" rot="90" type="triangle" r:blip="">
            <dgm:adjLst/>
          </dgm:shape>
          <dgm:presOf axis="self"/>
          <dgm:constrLst>
            <dgm:constr type="w" refType="h"/>
            <dgm:constr type="connDist"/>
            <dgm:constr type="begPad" refType="connDist" fact="0.25"/>
            <dgm:constr type="endPad" refType="connDist" fact="0.22"/>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file>

<file path=customXml/itemProps1.xml><?xml version="1.0" encoding="utf-8"?>
<ds:datastoreItem xmlns:ds="http://schemas.openxmlformats.org/officeDocument/2006/customXml" ds:itemID="{25CCAF45-1D83-EC4C-B133-3430D9250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295</Pages>
  <Words>99707</Words>
  <Characters>568331</Characters>
  <Application>Microsoft Office Word</Application>
  <DocSecurity>0</DocSecurity>
  <Lines>4736</Lines>
  <Paragraphs>1333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666705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Stubbings, Sally</dc:creator>
  <cp:keywords/>
  <dc:description/>
  <cp:lastModifiedBy>Pritchard, Sally</cp:lastModifiedBy>
  <cp:revision>12</cp:revision>
  <cp:lastPrinted>2022-05-26T23:11:00Z</cp:lastPrinted>
  <dcterms:created xsi:type="dcterms:W3CDTF">2022-05-26T22:56:00Z</dcterms:created>
  <dcterms:modified xsi:type="dcterms:W3CDTF">2022-05-26T23:20:00Z</dcterms:modified>
</cp:coreProperties>
</file>