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82A45" w14:textId="26B6A392" w:rsidR="00C36CAD" w:rsidRPr="00851DF4" w:rsidRDefault="00C36CAD" w:rsidP="00851DF4">
      <w:pPr>
        <w:pStyle w:val="Title"/>
      </w:pPr>
      <w:r w:rsidRPr="00851DF4">
        <w:t xml:space="preserve">Exploring the low </w:t>
      </w:r>
      <w:r w:rsidR="000C39F5" w:rsidRPr="00851DF4">
        <w:t>enrolment</w:t>
      </w:r>
      <w:r w:rsidRPr="00851DF4">
        <w:t xml:space="preserve"> of music </w:t>
      </w:r>
      <w:r w:rsidR="003C393B" w:rsidRPr="00851DF4">
        <w:t xml:space="preserve">as a </w:t>
      </w:r>
      <w:r w:rsidRPr="00851DF4">
        <w:t xml:space="preserve">subject </w:t>
      </w:r>
      <w:r w:rsidR="00AB6E7A" w:rsidRPr="00851DF4">
        <w:t>with</w:t>
      </w:r>
      <w:r w:rsidRPr="00851DF4">
        <w:t xml:space="preserve">in </w:t>
      </w:r>
      <w:r w:rsidRPr="00851DF4">
        <w:br/>
      </w:r>
      <w:bookmarkStart w:id="0" w:name="_Hlk105499949"/>
      <w:r w:rsidRPr="00851DF4">
        <w:t>Hong Kong senior secondary school education</w:t>
      </w:r>
      <w:bookmarkEnd w:id="0"/>
    </w:p>
    <w:p w14:paraId="4036DBCD" w14:textId="2D4E1F49" w:rsidR="0024103D" w:rsidRPr="00851DF4" w:rsidRDefault="0024103D" w:rsidP="00851DF4">
      <w:pPr>
        <w:pStyle w:val="Heading1"/>
      </w:pPr>
      <w:r w:rsidRPr="00851DF4">
        <w:t>Abstract</w:t>
      </w:r>
    </w:p>
    <w:p w14:paraId="7612A92C" w14:textId="2F442337" w:rsidR="000F6D3A" w:rsidRPr="00100776" w:rsidRDefault="001734A6" w:rsidP="008228B7">
      <w:pPr>
        <w:rPr>
          <w:bCs/>
          <w:lang w:val="en-GB"/>
        </w:rPr>
      </w:pPr>
      <w:r w:rsidRPr="00100776">
        <w:rPr>
          <w:bCs/>
          <w:lang w:val="en-GB"/>
        </w:rPr>
        <w:t>Although s</w:t>
      </w:r>
      <w:r w:rsidR="005F65F2" w:rsidRPr="00100776">
        <w:rPr>
          <w:bCs/>
          <w:lang w:val="en-GB"/>
        </w:rPr>
        <w:t xml:space="preserve">tudying music </w:t>
      </w:r>
      <w:r w:rsidRPr="00100776">
        <w:rPr>
          <w:bCs/>
          <w:lang w:val="en-GB"/>
        </w:rPr>
        <w:t xml:space="preserve">at school </w:t>
      </w:r>
      <w:r w:rsidR="003C393B" w:rsidRPr="00100776">
        <w:rPr>
          <w:bCs/>
          <w:lang w:val="en-GB"/>
        </w:rPr>
        <w:t xml:space="preserve">can be </w:t>
      </w:r>
      <w:r w:rsidR="005F65F2" w:rsidRPr="00100776">
        <w:rPr>
          <w:bCs/>
          <w:lang w:val="en-GB"/>
        </w:rPr>
        <w:t>an</w:t>
      </w:r>
      <w:r w:rsidR="005F65F2" w:rsidRPr="00100776">
        <w:t xml:space="preserve"> </w:t>
      </w:r>
      <w:r w:rsidR="005F65F2" w:rsidRPr="00100776">
        <w:rPr>
          <w:bCs/>
          <w:lang w:val="en-GB"/>
        </w:rPr>
        <w:t xml:space="preserve">enriching and </w:t>
      </w:r>
      <w:r w:rsidR="00C31DAE" w:rsidRPr="00100776">
        <w:rPr>
          <w:bCs/>
          <w:lang w:val="en-GB"/>
        </w:rPr>
        <w:t>enjoyable</w:t>
      </w:r>
      <w:r w:rsidR="005F65F2" w:rsidRPr="00100776">
        <w:rPr>
          <w:bCs/>
          <w:lang w:val="en-GB"/>
        </w:rPr>
        <w:t xml:space="preserve"> experience</w:t>
      </w:r>
      <w:r w:rsidR="00F274ED" w:rsidRPr="00100776">
        <w:rPr>
          <w:bCs/>
          <w:lang w:val="en-GB"/>
        </w:rPr>
        <w:t xml:space="preserve">, </w:t>
      </w:r>
      <w:r w:rsidR="003C393B" w:rsidRPr="00100776">
        <w:rPr>
          <w:bCs/>
          <w:lang w:val="en-GB"/>
        </w:rPr>
        <w:t xml:space="preserve">it </w:t>
      </w:r>
      <w:r w:rsidR="00F274ED" w:rsidRPr="00100776">
        <w:rPr>
          <w:bCs/>
          <w:lang w:val="en-GB"/>
        </w:rPr>
        <w:t xml:space="preserve">is an unpopular choice for </w:t>
      </w:r>
      <w:r w:rsidR="001A6882" w:rsidRPr="00100776">
        <w:rPr>
          <w:bCs/>
          <w:lang w:val="en-GB"/>
        </w:rPr>
        <w:t xml:space="preserve">many </w:t>
      </w:r>
      <w:proofErr w:type="gramStart"/>
      <w:r w:rsidR="003C393B" w:rsidRPr="00100776">
        <w:rPr>
          <w:bCs/>
          <w:lang w:val="en-GB"/>
        </w:rPr>
        <w:t>Hong</w:t>
      </w:r>
      <w:proofErr w:type="gramEnd"/>
      <w:r w:rsidR="003C393B" w:rsidRPr="00100776">
        <w:rPr>
          <w:bCs/>
          <w:lang w:val="en-GB"/>
        </w:rPr>
        <w:t xml:space="preserve"> Kong </w:t>
      </w:r>
      <w:r w:rsidRPr="00100776">
        <w:rPr>
          <w:bCs/>
          <w:lang w:val="en-GB"/>
        </w:rPr>
        <w:t xml:space="preserve">senior secondary </w:t>
      </w:r>
      <w:r w:rsidR="00F274ED" w:rsidRPr="00100776">
        <w:rPr>
          <w:bCs/>
          <w:lang w:val="en-GB"/>
        </w:rPr>
        <w:t>students</w:t>
      </w:r>
      <w:r w:rsidR="00FF3AB8" w:rsidRPr="00100776">
        <w:rPr>
          <w:bCs/>
          <w:lang w:val="en-GB"/>
        </w:rPr>
        <w:t xml:space="preserve">. </w:t>
      </w:r>
      <w:r w:rsidR="008228B7" w:rsidRPr="00100776">
        <w:rPr>
          <w:bCs/>
          <w:lang w:val="en-GB"/>
        </w:rPr>
        <w:t xml:space="preserve">The purpose of this study was to examine </w:t>
      </w:r>
      <w:r w:rsidR="008228B7" w:rsidRPr="00100776">
        <w:rPr>
          <w:lang w:val="en-GB"/>
        </w:rPr>
        <w:t xml:space="preserve">the rationale behind the </w:t>
      </w:r>
      <w:r w:rsidR="00FF3AB8" w:rsidRPr="00100776">
        <w:rPr>
          <w:lang w:val="en-GB"/>
        </w:rPr>
        <w:t xml:space="preserve">low </w:t>
      </w:r>
      <w:r w:rsidR="000C39F5" w:rsidRPr="00100776">
        <w:rPr>
          <w:lang w:val="en-GB"/>
        </w:rPr>
        <w:t xml:space="preserve">enrolment </w:t>
      </w:r>
      <w:r w:rsidR="008228B7" w:rsidRPr="00100776">
        <w:rPr>
          <w:lang w:val="en-GB"/>
        </w:rPr>
        <w:t xml:space="preserve">of </w:t>
      </w:r>
      <w:r w:rsidR="00FF3AB8" w:rsidRPr="00100776">
        <w:rPr>
          <w:lang w:val="en-GB"/>
        </w:rPr>
        <w:t xml:space="preserve">music </w:t>
      </w:r>
      <w:r w:rsidR="00161659" w:rsidRPr="00100776">
        <w:rPr>
          <w:lang w:val="en-GB"/>
        </w:rPr>
        <w:t xml:space="preserve">as a </w:t>
      </w:r>
      <w:r w:rsidR="00FF3AB8" w:rsidRPr="00100776">
        <w:rPr>
          <w:lang w:val="en-GB"/>
        </w:rPr>
        <w:t>Hong Kong Diploma of Secondary Education (HKDSE)</w:t>
      </w:r>
      <w:r w:rsidRPr="00100776">
        <w:rPr>
          <w:lang w:val="en-GB"/>
        </w:rPr>
        <w:t xml:space="preserve"> subject</w:t>
      </w:r>
      <w:r w:rsidR="008228B7" w:rsidRPr="00100776">
        <w:rPr>
          <w:lang w:val="en-GB"/>
        </w:rPr>
        <w:t xml:space="preserve">. </w:t>
      </w:r>
      <w:r w:rsidR="00377CED" w:rsidRPr="00100776">
        <w:rPr>
          <w:lang w:val="en-GB"/>
        </w:rPr>
        <w:t xml:space="preserve">A questionnaire was conducted </w:t>
      </w:r>
      <w:r w:rsidR="00161659" w:rsidRPr="00100776">
        <w:rPr>
          <w:lang w:val="en-GB"/>
        </w:rPr>
        <w:t xml:space="preserve">among </w:t>
      </w:r>
      <w:r w:rsidR="00490E66" w:rsidRPr="00100776">
        <w:rPr>
          <w:lang w:val="en-GB"/>
        </w:rPr>
        <w:t>senior secondary school</w:t>
      </w:r>
      <w:r w:rsidR="00377CED" w:rsidRPr="00100776">
        <w:rPr>
          <w:lang w:val="en-GB"/>
        </w:rPr>
        <w:t xml:space="preserve"> students (N = 121) </w:t>
      </w:r>
      <w:r w:rsidR="00161659" w:rsidRPr="00100776">
        <w:rPr>
          <w:lang w:val="en-GB"/>
        </w:rPr>
        <w:t>studying music at the</w:t>
      </w:r>
      <w:r w:rsidR="00490E66" w:rsidRPr="00100776">
        <w:rPr>
          <w:lang w:val="en-GB"/>
        </w:rPr>
        <w:t xml:space="preserve"> HKDSE</w:t>
      </w:r>
      <w:r w:rsidR="00161659" w:rsidRPr="00100776">
        <w:rPr>
          <w:lang w:val="en-GB"/>
        </w:rPr>
        <w:t xml:space="preserve"> level</w:t>
      </w:r>
      <w:r w:rsidR="00490E66" w:rsidRPr="00100776">
        <w:rPr>
          <w:lang w:val="en-GB"/>
        </w:rPr>
        <w:t xml:space="preserve">, </w:t>
      </w:r>
      <w:r w:rsidR="00B21293" w:rsidRPr="00100776">
        <w:rPr>
          <w:lang w:val="en-GB"/>
        </w:rPr>
        <w:t xml:space="preserve">collecting </w:t>
      </w:r>
      <w:r w:rsidR="00484BFC" w:rsidRPr="00100776">
        <w:rPr>
          <w:lang w:val="en-GB"/>
        </w:rPr>
        <w:t>information</w:t>
      </w:r>
      <w:r w:rsidR="00B21293" w:rsidRPr="00100776">
        <w:rPr>
          <w:lang w:val="en-GB"/>
        </w:rPr>
        <w:t xml:space="preserve"> about their </w:t>
      </w:r>
      <w:r w:rsidR="00F274ED" w:rsidRPr="00100776">
        <w:rPr>
          <w:lang w:val="en-GB"/>
        </w:rPr>
        <w:t xml:space="preserve">learning </w:t>
      </w:r>
      <w:r w:rsidR="00484BFC" w:rsidRPr="00100776">
        <w:rPr>
          <w:lang w:val="en-GB"/>
        </w:rPr>
        <w:t>experience</w:t>
      </w:r>
      <w:r w:rsidR="00161659" w:rsidRPr="00100776">
        <w:rPr>
          <w:lang w:val="en-GB"/>
        </w:rPr>
        <w:t>s</w:t>
      </w:r>
      <w:r w:rsidR="00484BFC" w:rsidRPr="00100776">
        <w:rPr>
          <w:lang w:val="en-GB"/>
        </w:rPr>
        <w:t xml:space="preserve"> and </w:t>
      </w:r>
      <w:r w:rsidR="00161659" w:rsidRPr="00100776">
        <w:rPr>
          <w:lang w:val="en-GB"/>
        </w:rPr>
        <w:t xml:space="preserve">their </w:t>
      </w:r>
      <w:r w:rsidR="00484BFC" w:rsidRPr="00100776">
        <w:rPr>
          <w:lang w:val="en-GB"/>
        </w:rPr>
        <w:t>perception</w:t>
      </w:r>
      <w:r w:rsidR="009B33D1" w:rsidRPr="00100776">
        <w:rPr>
          <w:lang w:val="en-GB"/>
        </w:rPr>
        <w:t>s</w:t>
      </w:r>
      <w:r w:rsidR="00484BFC" w:rsidRPr="00100776">
        <w:rPr>
          <w:lang w:val="en-GB"/>
        </w:rPr>
        <w:t xml:space="preserve"> o</w:t>
      </w:r>
      <w:r w:rsidR="00161659" w:rsidRPr="00100776">
        <w:rPr>
          <w:lang w:val="en-GB"/>
        </w:rPr>
        <w:t>f</w:t>
      </w:r>
      <w:r w:rsidR="00484BFC" w:rsidRPr="00100776">
        <w:rPr>
          <w:lang w:val="en-GB"/>
        </w:rPr>
        <w:t xml:space="preserve"> the </w:t>
      </w:r>
      <w:r w:rsidR="00E66A82" w:rsidRPr="00100776">
        <w:rPr>
          <w:lang w:val="en-GB"/>
        </w:rPr>
        <w:t>curriculum</w:t>
      </w:r>
      <w:r w:rsidR="00484BFC" w:rsidRPr="00100776">
        <w:rPr>
          <w:lang w:val="en-GB"/>
        </w:rPr>
        <w:t xml:space="preserve">. </w:t>
      </w:r>
      <w:r w:rsidR="00161659" w:rsidRPr="00100776">
        <w:rPr>
          <w:lang w:val="en-GB"/>
        </w:rPr>
        <w:t xml:space="preserve">The </w:t>
      </w:r>
      <w:r w:rsidR="0091195A" w:rsidRPr="00100776">
        <w:rPr>
          <w:lang w:val="en-GB"/>
        </w:rPr>
        <w:t>result</w:t>
      </w:r>
      <w:r w:rsidR="00161659" w:rsidRPr="00100776">
        <w:rPr>
          <w:lang w:val="en-GB"/>
        </w:rPr>
        <w:t>s</w:t>
      </w:r>
      <w:r w:rsidR="0091195A" w:rsidRPr="00100776">
        <w:rPr>
          <w:lang w:val="en-GB"/>
        </w:rPr>
        <w:t xml:space="preserve"> provided evidence </w:t>
      </w:r>
      <w:r w:rsidR="00F53E4F" w:rsidRPr="00100776">
        <w:rPr>
          <w:lang w:val="en-GB"/>
        </w:rPr>
        <w:t xml:space="preserve">supporting </w:t>
      </w:r>
      <w:r w:rsidR="0091195A" w:rsidRPr="00100776">
        <w:rPr>
          <w:lang w:val="en-GB"/>
        </w:rPr>
        <w:t xml:space="preserve">the difficulties and struggles faced by </w:t>
      </w:r>
      <w:r w:rsidR="00161659" w:rsidRPr="00100776">
        <w:rPr>
          <w:lang w:val="en-GB"/>
        </w:rPr>
        <w:t xml:space="preserve">the </w:t>
      </w:r>
      <w:r w:rsidR="0091195A" w:rsidRPr="00100776">
        <w:rPr>
          <w:lang w:val="en-GB"/>
        </w:rPr>
        <w:t xml:space="preserve">students, including </w:t>
      </w:r>
      <w:r w:rsidR="00161659" w:rsidRPr="00100776">
        <w:rPr>
          <w:lang w:val="en-GB"/>
        </w:rPr>
        <w:t xml:space="preserve">degrees of </w:t>
      </w:r>
      <w:r w:rsidR="00E66A82" w:rsidRPr="00100776">
        <w:rPr>
          <w:lang w:val="en-GB"/>
        </w:rPr>
        <w:t xml:space="preserve">familiarity </w:t>
      </w:r>
      <w:r w:rsidR="00161659" w:rsidRPr="00100776">
        <w:rPr>
          <w:lang w:val="en-GB"/>
        </w:rPr>
        <w:t xml:space="preserve">with, </w:t>
      </w:r>
      <w:r w:rsidR="00E66A82" w:rsidRPr="00100776">
        <w:rPr>
          <w:lang w:val="en-GB"/>
        </w:rPr>
        <w:t xml:space="preserve">and confidence </w:t>
      </w:r>
      <w:r w:rsidR="00161659" w:rsidRPr="00100776">
        <w:rPr>
          <w:lang w:val="en-GB"/>
        </w:rPr>
        <w:t xml:space="preserve">about, </w:t>
      </w:r>
      <w:r w:rsidR="00E66A82" w:rsidRPr="00100776">
        <w:rPr>
          <w:lang w:val="en-GB"/>
        </w:rPr>
        <w:t>subject matters</w:t>
      </w:r>
      <w:r w:rsidR="0062218A" w:rsidRPr="00100776">
        <w:rPr>
          <w:lang w:val="en-GB"/>
        </w:rPr>
        <w:t xml:space="preserve"> of different musical cultures</w:t>
      </w:r>
      <w:r w:rsidR="00E66A82" w:rsidRPr="00100776">
        <w:rPr>
          <w:lang w:val="en-GB"/>
        </w:rPr>
        <w:t xml:space="preserve">, </w:t>
      </w:r>
      <w:r w:rsidR="00161659" w:rsidRPr="00100776">
        <w:rPr>
          <w:lang w:val="en-GB"/>
        </w:rPr>
        <w:t xml:space="preserve">which </w:t>
      </w:r>
      <w:r w:rsidR="001417E2" w:rsidRPr="00100776">
        <w:rPr>
          <w:lang w:val="en-GB"/>
        </w:rPr>
        <w:t>subjects</w:t>
      </w:r>
      <w:r w:rsidR="00161659" w:rsidRPr="00100776">
        <w:rPr>
          <w:lang w:val="en-GB"/>
        </w:rPr>
        <w:t xml:space="preserve"> were prioritised when it came to studying</w:t>
      </w:r>
      <w:r w:rsidR="00E66A82" w:rsidRPr="00100776">
        <w:rPr>
          <w:lang w:val="en-GB"/>
        </w:rPr>
        <w:t xml:space="preserve">, and </w:t>
      </w:r>
      <w:r w:rsidR="00F53E4F" w:rsidRPr="00100776">
        <w:rPr>
          <w:lang w:val="en-GB"/>
        </w:rPr>
        <w:t xml:space="preserve">the amount of </w:t>
      </w:r>
      <w:r w:rsidR="00E66A82" w:rsidRPr="00100776">
        <w:rPr>
          <w:lang w:val="en-GB"/>
        </w:rPr>
        <w:t>prior specialist knowledge</w:t>
      </w:r>
      <w:r w:rsidR="001417E2" w:rsidRPr="00100776">
        <w:rPr>
          <w:lang w:val="en-GB"/>
        </w:rPr>
        <w:t xml:space="preserve"> needed</w:t>
      </w:r>
      <w:r w:rsidR="00F53E4F" w:rsidRPr="00100776">
        <w:rPr>
          <w:lang w:val="en-GB"/>
        </w:rPr>
        <w:t xml:space="preserve"> as part of the decision-making process</w:t>
      </w:r>
      <w:r w:rsidR="00E66A82" w:rsidRPr="00100776">
        <w:rPr>
          <w:lang w:val="en-GB"/>
        </w:rPr>
        <w:t xml:space="preserve">. </w:t>
      </w:r>
      <w:r w:rsidR="00F53E4F" w:rsidRPr="00100776">
        <w:rPr>
          <w:lang w:val="en-GB"/>
        </w:rPr>
        <w:t xml:space="preserve">Tensions were revealed </w:t>
      </w:r>
      <w:r w:rsidR="00E82976" w:rsidRPr="00100776">
        <w:rPr>
          <w:lang w:val="en-GB"/>
        </w:rPr>
        <w:t xml:space="preserve">between </w:t>
      </w:r>
      <w:r w:rsidR="00677ECD" w:rsidRPr="00100776">
        <w:rPr>
          <w:lang w:val="en-GB"/>
        </w:rPr>
        <w:t>the driving forces behind curriculum change</w:t>
      </w:r>
      <w:r w:rsidR="00E82976" w:rsidRPr="00100776">
        <w:rPr>
          <w:lang w:val="en-GB"/>
        </w:rPr>
        <w:t xml:space="preserve"> and the </w:t>
      </w:r>
      <w:r w:rsidR="008C10B6" w:rsidRPr="00100776">
        <w:rPr>
          <w:lang w:val="en-GB"/>
        </w:rPr>
        <w:t xml:space="preserve">readiness of students to </w:t>
      </w:r>
      <w:r w:rsidR="001952B4" w:rsidRPr="00100776">
        <w:rPr>
          <w:lang w:val="en-GB"/>
        </w:rPr>
        <w:t>cope with</w:t>
      </w:r>
      <w:r w:rsidR="00F53E4F" w:rsidRPr="00100776">
        <w:rPr>
          <w:lang w:val="en-GB"/>
        </w:rPr>
        <w:t xml:space="preserve"> these changes</w:t>
      </w:r>
      <w:r w:rsidR="001952B4" w:rsidRPr="00100776">
        <w:rPr>
          <w:lang w:val="en-GB"/>
        </w:rPr>
        <w:t>,</w:t>
      </w:r>
      <w:r w:rsidR="00F53E4F" w:rsidRPr="00100776">
        <w:rPr>
          <w:lang w:val="en-GB"/>
        </w:rPr>
        <w:t xml:space="preserve"> along with</w:t>
      </w:r>
      <w:r w:rsidR="00A72D1B" w:rsidRPr="00100776">
        <w:rPr>
          <w:lang w:val="en-GB"/>
        </w:rPr>
        <w:t xml:space="preserve"> </w:t>
      </w:r>
      <w:r w:rsidR="005050C5" w:rsidRPr="00100776">
        <w:rPr>
          <w:lang w:val="en-GB"/>
        </w:rPr>
        <w:t>perception</w:t>
      </w:r>
      <w:r w:rsidR="00F53E4F" w:rsidRPr="00100776">
        <w:rPr>
          <w:lang w:val="en-GB"/>
        </w:rPr>
        <w:t>s of music</w:t>
      </w:r>
      <w:r w:rsidR="005050C5" w:rsidRPr="00100776">
        <w:rPr>
          <w:lang w:val="en-GB"/>
        </w:rPr>
        <w:t xml:space="preserve"> </w:t>
      </w:r>
      <w:r w:rsidR="00F53E4F" w:rsidRPr="00100776">
        <w:rPr>
          <w:lang w:val="en-GB"/>
        </w:rPr>
        <w:t xml:space="preserve">as </w:t>
      </w:r>
      <w:r w:rsidR="005050C5" w:rsidRPr="00100776">
        <w:rPr>
          <w:lang w:val="en-GB"/>
        </w:rPr>
        <w:t>an</w:t>
      </w:r>
      <w:r w:rsidR="009F5271" w:rsidRPr="00100776">
        <w:rPr>
          <w:lang w:val="en-GB"/>
        </w:rPr>
        <w:t xml:space="preserve"> </w:t>
      </w:r>
      <w:r w:rsidR="005050C5" w:rsidRPr="00100776">
        <w:rPr>
          <w:lang w:val="en-GB" w:eastAsia="zh-TW"/>
        </w:rPr>
        <w:t>elitist subject</w:t>
      </w:r>
      <w:r w:rsidR="00AB79CE" w:rsidRPr="00100776">
        <w:rPr>
          <w:lang w:val="en-GB" w:eastAsia="zh-TW"/>
        </w:rPr>
        <w:t xml:space="preserve"> </w:t>
      </w:r>
      <w:r w:rsidR="00F53E4F" w:rsidRPr="00100776">
        <w:rPr>
          <w:lang w:val="en-GB" w:eastAsia="zh-TW"/>
        </w:rPr>
        <w:t>with</w:t>
      </w:r>
      <w:r w:rsidR="00AB79CE" w:rsidRPr="00100776">
        <w:rPr>
          <w:lang w:val="en-GB" w:eastAsia="zh-TW"/>
        </w:rPr>
        <w:t xml:space="preserve"> </w:t>
      </w:r>
      <w:r w:rsidR="000F6D3A" w:rsidRPr="00100776">
        <w:rPr>
          <w:lang w:val="en-GB" w:eastAsia="zh-TW"/>
        </w:rPr>
        <w:t xml:space="preserve">low </w:t>
      </w:r>
      <w:r w:rsidR="00AB79CE" w:rsidRPr="00100776">
        <w:rPr>
          <w:lang w:val="en-GB" w:eastAsia="zh-TW"/>
        </w:rPr>
        <w:t>utilitarian value</w:t>
      </w:r>
      <w:r w:rsidR="000F6D3A" w:rsidRPr="00100776">
        <w:rPr>
          <w:lang w:val="en-GB" w:eastAsia="zh-TW"/>
        </w:rPr>
        <w:t>.</w:t>
      </w:r>
      <w:r w:rsidR="00FA09E4" w:rsidRPr="00100776">
        <w:rPr>
          <w:lang w:val="en-GB" w:eastAsia="zh-TW"/>
        </w:rPr>
        <w:t xml:space="preserve"> </w:t>
      </w:r>
      <w:r w:rsidR="00F53E4F" w:rsidRPr="00100776">
        <w:rPr>
          <w:lang w:val="en-GB" w:eastAsia="zh-TW"/>
        </w:rPr>
        <w:t xml:space="preserve">Socio-cultural interventions, such as </w:t>
      </w:r>
      <w:r w:rsidR="004D7B3A" w:rsidRPr="00100776">
        <w:rPr>
          <w:lang w:val="en-GB" w:eastAsia="zh-TW"/>
        </w:rPr>
        <w:t>m</w:t>
      </w:r>
      <w:r w:rsidR="00F53E4F" w:rsidRPr="00100776">
        <w:rPr>
          <w:lang w:val="en-GB" w:eastAsia="zh-TW"/>
        </w:rPr>
        <w:t xml:space="preserve">aking </w:t>
      </w:r>
      <w:r w:rsidR="00FA09E4" w:rsidRPr="00100776">
        <w:rPr>
          <w:lang w:val="en-GB" w:eastAsia="zh-TW"/>
        </w:rPr>
        <w:t xml:space="preserve">music education </w:t>
      </w:r>
      <w:r w:rsidR="000F6D3A" w:rsidRPr="00100776">
        <w:t xml:space="preserve">more accessible </w:t>
      </w:r>
      <w:r w:rsidR="00216964" w:rsidRPr="00100776">
        <w:t>for</w:t>
      </w:r>
      <w:r w:rsidR="002F660A" w:rsidRPr="00100776">
        <w:t xml:space="preserve"> all</w:t>
      </w:r>
      <w:r w:rsidR="004D7B3A" w:rsidRPr="00100776">
        <w:t>,</w:t>
      </w:r>
      <w:r w:rsidR="00F53E4F" w:rsidRPr="00100776">
        <w:t xml:space="preserve"> while simultaneously</w:t>
      </w:r>
      <w:r w:rsidR="00216964" w:rsidRPr="00100776">
        <w:t xml:space="preserve"> </w:t>
      </w:r>
      <w:r w:rsidR="00F53E4F" w:rsidRPr="00100776">
        <w:t xml:space="preserve">ensuring that </w:t>
      </w:r>
      <w:r w:rsidR="00216964" w:rsidRPr="00100776">
        <w:t>stakeholders</w:t>
      </w:r>
      <w:r w:rsidR="00F53E4F" w:rsidRPr="00100776">
        <w:t>’ voices are heard as part of</w:t>
      </w:r>
      <w:r w:rsidR="002E52FF" w:rsidRPr="00100776">
        <w:t xml:space="preserve"> the </w:t>
      </w:r>
      <w:proofErr w:type="spellStart"/>
      <w:r w:rsidR="002E52FF" w:rsidRPr="00100776">
        <w:t>decoloni</w:t>
      </w:r>
      <w:r w:rsidR="009B33D1" w:rsidRPr="00100776">
        <w:t>s</w:t>
      </w:r>
      <w:r w:rsidR="002E52FF" w:rsidRPr="00100776">
        <w:t>ation</w:t>
      </w:r>
      <w:proofErr w:type="spellEnd"/>
      <w:r w:rsidR="002E52FF" w:rsidRPr="00100776">
        <w:t xml:space="preserve"> process</w:t>
      </w:r>
      <w:r w:rsidR="00F53E4F" w:rsidRPr="00100776">
        <w:t>,</w:t>
      </w:r>
      <w:r w:rsidR="002E52FF" w:rsidRPr="00100776">
        <w:t xml:space="preserve"> </w:t>
      </w:r>
      <w:r w:rsidR="00216964" w:rsidRPr="00100776">
        <w:t xml:space="preserve">remain </w:t>
      </w:r>
      <w:r w:rsidR="00F53E4F" w:rsidRPr="00100776">
        <w:t xml:space="preserve">fundamental </w:t>
      </w:r>
      <w:r w:rsidR="00216964" w:rsidRPr="00100776">
        <w:t>challenge</w:t>
      </w:r>
      <w:r w:rsidR="004D7B3A" w:rsidRPr="00100776">
        <w:t>s</w:t>
      </w:r>
      <w:r w:rsidR="00216964" w:rsidRPr="00100776">
        <w:t xml:space="preserve"> </w:t>
      </w:r>
      <w:r w:rsidR="00F53E4F" w:rsidRPr="00100776">
        <w:t xml:space="preserve">facing </w:t>
      </w:r>
      <w:r w:rsidR="00216964" w:rsidRPr="00100776">
        <w:t>the curriculum</w:t>
      </w:r>
      <w:r w:rsidR="00FA09E4" w:rsidRPr="00100776">
        <w:t>.</w:t>
      </w:r>
    </w:p>
    <w:p w14:paraId="0E424364" w14:textId="21DC57FF" w:rsidR="003B1FE8" w:rsidRPr="00100776" w:rsidRDefault="003B1FE8" w:rsidP="008228B7">
      <w:pPr>
        <w:rPr>
          <w:bCs/>
          <w:lang w:val="en-GB"/>
        </w:rPr>
      </w:pPr>
      <w:r w:rsidRPr="00100776">
        <w:rPr>
          <w:b/>
          <w:lang w:val="en-GB"/>
        </w:rPr>
        <w:t>Keywords:</w:t>
      </w:r>
      <w:r w:rsidR="00510D5A" w:rsidRPr="00100776">
        <w:rPr>
          <w:bCs/>
          <w:lang w:val="en-GB"/>
        </w:rPr>
        <w:t xml:space="preserve"> </w:t>
      </w:r>
      <w:r w:rsidR="00CA5D98" w:rsidRPr="00100776">
        <w:rPr>
          <w:bCs/>
          <w:lang w:val="en-GB"/>
        </w:rPr>
        <w:t>c</w:t>
      </w:r>
      <w:r w:rsidR="00F07497" w:rsidRPr="00100776">
        <w:rPr>
          <w:bCs/>
          <w:lang w:val="en-GB"/>
        </w:rPr>
        <w:t>urriculum development,</w:t>
      </w:r>
      <w:r w:rsidR="00F07497" w:rsidRPr="00100776">
        <w:t xml:space="preserve"> </w:t>
      </w:r>
      <w:r w:rsidR="00F07497" w:rsidRPr="00100776">
        <w:rPr>
          <w:bCs/>
          <w:lang w:val="en-GB"/>
        </w:rPr>
        <w:t>decolonisation,</w:t>
      </w:r>
      <w:r w:rsidR="00510D5A" w:rsidRPr="00100776">
        <w:rPr>
          <w:bCs/>
          <w:lang w:val="en-GB"/>
        </w:rPr>
        <w:t xml:space="preserve"> examination, </w:t>
      </w:r>
      <w:r w:rsidR="00F07497" w:rsidRPr="00100776">
        <w:rPr>
          <w:bCs/>
          <w:lang w:val="en-GB"/>
        </w:rPr>
        <w:t>Hong Kong, music education</w:t>
      </w:r>
    </w:p>
    <w:p w14:paraId="37D7A410" w14:textId="204989C4" w:rsidR="00AE5CAE" w:rsidRPr="00100776" w:rsidRDefault="00AE5CAE" w:rsidP="00851DF4">
      <w:pPr>
        <w:pStyle w:val="Heading1"/>
      </w:pPr>
      <w:r w:rsidRPr="00100776">
        <w:t>Introduction</w:t>
      </w:r>
    </w:p>
    <w:p w14:paraId="2C3ABBB2" w14:textId="248B775B" w:rsidR="00EB7298" w:rsidRPr="00100776" w:rsidRDefault="00FB3C5A" w:rsidP="00EB7298">
      <w:pPr>
        <w:rPr>
          <w:lang w:val="en-GB"/>
        </w:rPr>
      </w:pPr>
      <w:r w:rsidRPr="00100776">
        <w:rPr>
          <w:lang w:val="en-GB"/>
        </w:rPr>
        <w:t>Amid</w:t>
      </w:r>
      <w:r w:rsidR="0024746C" w:rsidRPr="00100776">
        <w:rPr>
          <w:lang w:val="en-GB"/>
        </w:rPr>
        <w:t xml:space="preserve"> growing interest and evidence that learning music </w:t>
      </w:r>
      <w:r w:rsidR="003303AA" w:rsidRPr="00100776">
        <w:rPr>
          <w:lang w:val="en-GB"/>
        </w:rPr>
        <w:t xml:space="preserve">can </w:t>
      </w:r>
      <w:r w:rsidR="007F6A1A" w:rsidRPr="00100776">
        <w:rPr>
          <w:lang w:val="en-GB"/>
        </w:rPr>
        <w:t xml:space="preserve">benefit the intellectual, social </w:t>
      </w:r>
      <w:r w:rsidR="006F34AF" w:rsidRPr="00100776">
        <w:rPr>
          <w:lang w:val="en-GB"/>
        </w:rPr>
        <w:t>and</w:t>
      </w:r>
      <w:r w:rsidR="007F6A1A" w:rsidRPr="00100776">
        <w:rPr>
          <w:lang w:val="en-GB"/>
        </w:rPr>
        <w:t xml:space="preserve"> personal development of young people</w:t>
      </w:r>
      <w:r w:rsidR="0024746C" w:rsidRPr="00100776">
        <w:rPr>
          <w:lang w:val="en-GB"/>
        </w:rPr>
        <w:t xml:space="preserve"> (Hallam, 2010)</w:t>
      </w:r>
      <w:r w:rsidR="007F6A1A" w:rsidRPr="00100776">
        <w:rPr>
          <w:lang w:val="en-GB"/>
        </w:rPr>
        <w:t>,</w:t>
      </w:r>
      <w:r w:rsidR="00706F41" w:rsidRPr="00100776">
        <w:rPr>
          <w:lang w:val="en-GB"/>
        </w:rPr>
        <w:t xml:space="preserve"> </w:t>
      </w:r>
      <w:r w:rsidR="007F6A1A" w:rsidRPr="00100776">
        <w:rPr>
          <w:lang w:val="en-GB"/>
        </w:rPr>
        <w:t xml:space="preserve">efforts have been </w:t>
      </w:r>
      <w:r w:rsidR="006204F2" w:rsidRPr="00100776">
        <w:rPr>
          <w:lang w:val="en-GB"/>
        </w:rPr>
        <w:t>made</w:t>
      </w:r>
      <w:r w:rsidR="00BB483D" w:rsidRPr="00100776">
        <w:rPr>
          <w:lang w:val="en-GB"/>
        </w:rPr>
        <w:t xml:space="preserve"> over the </w:t>
      </w:r>
      <w:r w:rsidR="00A01C29" w:rsidRPr="00100776">
        <w:rPr>
          <w:lang w:val="en-GB"/>
        </w:rPr>
        <w:t xml:space="preserve">past </w:t>
      </w:r>
      <w:r w:rsidR="00BB483D" w:rsidRPr="00100776">
        <w:rPr>
          <w:lang w:val="en-GB"/>
        </w:rPr>
        <w:t>few decades</w:t>
      </w:r>
      <w:r w:rsidR="007F6A1A" w:rsidRPr="00100776">
        <w:rPr>
          <w:lang w:val="en-GB"/>
        </w:rPr>
        <w:t xml:space="preserve"> to</w:t>
      </w:r>
      <w:r w:rsidR="00BB483D" w:rsidRPr="00100776">
        <w:rPr>
          <w:lang w:val="en-GB"/>
        </w:rPr>
        <w:t xml:space="preserve"> </w:t>
      </w:r>
      <w:r w:rsidR="00A01C29" w:rsidRPr="00100776">
        <w:rPr>
          <w:lang w:val="en-GB"/>
        </w:rPr>
        <w:t>remove</w:t>
      </w:r>
      <w:r w:rsidR="00BB483D" w:rsidRPr="00100776">
        <w:rPr>
          <w:lang w:val="en-GB"/>
        </w:rPr>
        <w:t xml:space="preserve"> barriers and make music education</w:t>
      </w:r>
      <w:r w:rsidR="00A01C29" w:rsidRPr="00100776">
        <w:rPr>
          <w:lang w:val="en-GB"/>
        </w:rPr>
        <w:t xml:space="preserve"> available</w:t>
      </w:r>
      <w:r w:rsidR="00BB483D" w:rsidRPr="00100776">
        <w:rPr>
          <w:lang w:val="en-GB"/>
        </w:rPr>
        <w:t xml:space="preserve"> to everyone (</w:t>
      </w:r>
      <w:r w:rsidR="008B7A37" w:rsidRPr="00100776">
        <w:rPr>
          <w:lang w:val="en-GB"/>
        </w:rPr>
        <w:t>e.g.,</w:t>
      </w:r>
      <w:r w:rsidR="00BB483D" w:rsidRPr="00100776">
        <w:rPr>
          <w:lang w:val="en-GB"/>
        </w:rPr>
        <w:t xml:space="preserve"> Baker, 2014; Krupp-</w:t>
      </w:r>
      <w:proofErr w:type="spellStart"/>
      <w:r w:rsidR="00BB483D" w:rsidRPr="00100776">
        <w:rPr>
          <w:lang w:val="en-GB"/>
        </w:rPr>
        <w:t>Schleußner</w:t>
      </w:r>
      <w:proofErr w:type="spellEnd"/>
      <w:r w:rsidR="00BB483D" w:rsidRPr="00100776">
        <w:rPr>
          <w:lang w:val="en-GB"/>
        </w:rPr>
        <w:t xml:space="preserve"> &amp; Lehmann-</w:t>
      </w:r>
      <w:proofErr w:type="spellStart"/>
      <w:r w:rsidR="00BB483D" w:rsidRPr="00100776">
        <w:rPr>
          <w:lang w:val="en-GB"/>
        </w:rPr>
        <w:t>Wermser</w:t>
      </w:r>
      <w:proofErr w:type="spellEnd"/>
      <w:r w:rsidR="00BB483D" w:rsidRPr="00100776">
        <w:rPr>
          <w:lang w:val="en-GB"/>
        </w:rPr>
        <w:t xml:space="preserve">, 2018). </w:t>
      </w:r>
      <w:r w:rsidR="0031531B" w:rsidRPr="00100776">
        <w:rPr>
          <w:lang w:val="en-GB"/>
        </w:rPr>
        <w:t xml:space="preserve">However, despite the perception that </w:t>
      </w:r>
      <w:r w:rsidR="00787C0A" w:rsidRPr="00100776">
        <w:rPr>
          <w:lang w:val="en-GB"/>
        </w:rPr>
        <w:t>m</w:t>
      </w:r>
      <w:r w:rsidR="0010177A" w:rsidRPr="00100776">
        <w:rPr>
          <w:lang w:val="en-GB"/>
        </w:rPr>
        <w:t>usic</w:t>
      </w:r>
      <w:r w:rsidR="003755D9" w:rsidRPr="00100776">
        <w:rPr>
          <w:lang w:val="en-GB"/>
        </w:rPr>
        <w:t xml:space="preserve"> </w:t>
      </w:r>
      <w:r w:rsidR="0031531B" w:rsidRPr="00100776">
        <w:rPr>
          <w:lang w:val="en-GB"/>
        </w:rPr>
        <w:t>is</w:t>
      </w:r>
      <w:r w:rsidR="0010177A" w:rsidRPr="00100776">
        <w:rPr>
          <w:lang w:val="en-GB"/>
        </w:rPr>
        <w:t xml:space="preserve"> relatively easy </w:t>
      </w:r>
      <w:r w:rsidR="00BB483D" w:rsidRPr="00100776">
        <w:rPr>
          <w:lang w:val="en-GB"/>
        </w:rPr>
        <w:t xml:space="preserve">when compared with </w:t>
      </w:r>
      <w:r w:rsidR="00512F4D" w:rsidRPr="00100776">
        <w:rPr>
          <w:lang w:val="en-GB"/>
        </w:rPr>
        <w:t>core</w:t>
      </w:r>
      <w:r w:rsidR="00BB483D" w:rsidRPr="00100776">
        <w:rPr>
          <w:lang w:val="en-GB"/>
        </w:rPr>
        <w:t xml:space="preserve"> </w:t>
      </w:r>
      <w:r w:rsidR="00512F4D" w:rsidRPr="00100776">
        <w:rPr>
          <w:lang w:val="en-GB"/>
        </w:rPr>
        <w:t xml:space="preserve">subjects </w:t>
      </w:r>
      <w:r w:rsidR="00BB483D" w:rsidRPr="00100776">
        <w:rPr>
          <w:lang w:val="en-GB"/>
        </w:rPr>
        <w:t>such as mathematics, science, and language</w:t>
      </w:r>
      <w:r w:rsidR="00512F4D" w:rsidRPr="00100776">
        <w:rPr>
          <w:lang w:val="en-GB"/>
        </w:rPr>
        <w:t xml:space="preserve"> </w:t>
      </w:r>
      <w:r w:rsidR="0010177A" w:rsidRPr="00100776">
        <w:rPr>
          <w:lang w:val="en-GB"/>
        </w:rPr>
        <w:t>(McPherson &amp; O’Neill, 2010)</w:t>
      </w:r>
      <w:r w:rsidR="0031531B" w:rsidRPr="00100776">
        <w:rPr>
          <w:lang w:val="en-GB"/>
        </w:rPr>
        <w:t xml:space="preserve">, interest in its study is </w:t>
      </w:r>
      <w:r w:rsidR="00D814CD" w:rsidRPr="00100776">
        <w:rPr>
          <w:lang w:val="en-GB"/>
        </w:rPr>
        <w:t xml:space="preserve">difficult to </w:t>
      </w:r>
      <w:r w:rsidR="00C06468" w:rsidRPr="00100776">
        <w:rPr>
          <w:lang w:val="en-GB"/>
        </w:rPr>
        <w:t xml:space="preserve">sustain </w:t>
      </w:r>
      <w:r w:rsidR="00E51AD9" w:rsidRPr="00100776">
        <w:rPr>
          <w:lang w:val="en-GB"/>
        </w:rPr>
        <w:t>beyond basic education</w:t>
      </w:r>
      <w:r w:rsidR="00107EBC" w:rsidRPr="00100776">
        <w:rPr>
          <w:lang w:val="en-GB"/>
        </w:rPr>
        <w:t xml:space="preserve">, </w:t>
      </w:r>
      <w:r w:rsidR="00B46479" w:rsidRPr="00100776">
        <w:rPr>
          <w:lang w:val="en-GB"/>
        </w:rPr>
        <w:t>as reflected by the</w:t>
      </w:r>
      <w:r w:rsidR="00107EBC" w:rsidRPr="00100776">
        <w:rPr>
          <w:lang w:val="en-GB"/>
        </w:rPr>
        <w:t xml:space="preserve"> </w:t>
      </w:r>
      <w:r w:rsidR="0010177A" w:rsidRPr="00100776">
        <w:rPr>
          <w:lang w:val="en-GB"/>
        </w:rPr>
        <w:t xml:space="preserve">low </w:t>
      </w:r>
      <w:r w:rsidR="00BE7572" w:rsidRPr="00100776">
        <w:rPr>
          <w:lang w:val="en-GB"/>
        </w:rPr>
        <w:t>enrolment</w:t>
      </w:r>
      <w:r w:rsidR="0010177A" w:rsidRPr="00100776">
        <w:rPr>
          <w:lang w:val="en-GB"/>
        </w:rPr>
        <w:t xml:space="preserve"> </w:t>
      </w:r>
      <w:r w:rsidR="00D814CD" w:rsidRPr="00100776">
        <w:rPr>
          <w:lang w:val="en-GB"/>
        </w:rPr>
        <w:t xml:space="preserve">figures among students taking </w:t>
      </w:r>
      <w:r w:rsidR="000500FC" w:rsidRPr="00100776">
        <w:rPr>
          <w:lang w:val="en-GB"/>
        </w:rPr>
        <w:t xml:space="preserve">music </w:t>
      </w:r>
      <w:r w:rsidR="00D814CD" w:rsidRPr="00100776">
        <w:rPr>
          <w:lang w:val="en-GB"/>
        </w:rPr>
        <w:t xml:space="preserve">as a </w:t>
      </w:r>
      <w:r w:rsidR="000500FC" w:rsidRPr="00100776">
        <w:rPr>
          <w:lang w:val="en-GB"/>
        </w:rPr>
        <w:t xml:space="preserve">subject </w:t>
      </w:r>
      <w:r w:rsidR="005050C5" w:rsidRPr="00100776">
        <w:rPr>
          <w:lang w:val="en-GB"/>
        </w:rPr>
        <w:t>in the public examinations for</w:t>
      </w:r>
      <w:r w:rsidR="000500FC" w:rsidRPr="00100776">
        <w:rPr>
          <w:lang w:val="en-GB"/>
        </w:rPr>
        <w:t xml:space="preserve"> </w:t>
      </w:r>
      <w:r w:rsidR="00107EBC" w:rsidRPr="00100776">
        <w:rPr>
          <w:lang w:val="en-GB"/>
        </w:rPr>
        <w:t xml:space="preserve">university entrance </w:t>
      </w:r>
      <w:r w:rsidR="001417E2" w:rsidRPr="00100776">
        <w:rPr>
          <w:lang w:val="en-GB"/>
        </w:rPr>
        <w:t xml:space="preserve">(Lamont &amp; </w:t>
      </w:r>
      <w:proofErr w:type="spellStart"/>
      <w:r w:rsidR="001417E2" w:rsidRPr="00100776">
        <w:rPr>
          <w:lang w:val="en-GB"/>
        </w:rPr>
        <w:t>Maton</w:t>
      </w:r>
      <w:proofErr w:type="spellEnd"/>
      <w:r w:rsidR="001417E2" w:rsidRPr="00100776">
        <w:rPr>
          <w:lang w:val="en-GB"/>
        </w:rPr>
        <w:t>, 2008</w:t>
      </w:r>
      <w:r w:rsidR="009E2895" w:rsidRPr="00100776">
        <w:rPr>
          <w:lang w:val="en-GB"/>
        </w:rPr>
        <w:t>; Leung, So &amp; Lee, 2008</w:t>
      </w:r>
      <w:r w:rsidR="005050C5" w:rsidRPr="00100776">
        <w:rPr>
          <w:lang w:val="en-GB"/>
        </w:rPr>
        <w:t>; Wright, 2002</w:t>
      </w:r>
      <w:r w:rsidR="001417E2" w:rsidRPr="00100776">
        <w:rPr>
          <w:lang w:val="en-GB"/>
        </w:rPr>
        <w:t>)</w:t>
      </w:r>
      <w:r w:rsidR="00471235" w:rsidRPr="00100776">
        <w:rPr>
          <w:lang w:val="en-GB"/>
        </w:rPr>
        <w:t xml:space="preserve">. </w:t>
      </w:r>
      <w:r w:rsidR="007E7D37" w:rsidRPr="00100776">
        <w:rPr>
          <w:lang w:val="en-GB"/>
        </w:rPr>
        <w:t xml:space="preserve">Previous literature has suggested </w:t>
      </w:r>
      <w:proofErr w:type="gramStart"/>
      <w:r w:rsidR="00D814CD" w:rsidRPr="00100776">
        <w:rPr>
          <w:lang w:val="en-GB"/>
        </w:rPr>
        <w:t>a number of</w:t>
      </w:r>
      <w:proofErr w:type="gramEnd"/>
      <w:r w:rsidR="00D814CD" w:rsidRPr="00100776">
        <w:rPr>
          <w:lang w:val="en-GB"/>
        </w:rPr>
        <w:t xml:space="preserve"> </w:t>
      </w:r>
      <w:r w:rsidR="00DA536D" w:rsidRPr="00100776">
        <w:rPr>
          <w:lang w:val="en-GB"/>
        </w:rPr>
        <w:t>rationale</w:t>
      </w:r>
      <w:r w:rsidR="00D814CD" w:rsidRPr="00100776">
        <w:rPr>
          <w:lang w:val="en-GB"/>
        </w:rPr>
        <w:t>s</w:t>
      </w:r>
      <w:r w:rsidR="00DA536D" w:rsidRPr="00100776">
        <w:rPr>
          <w:lang w:val="en-GB"/>
        </w:rPr>
        <w:t xml:space="preserve"> behind the </w:t>
      </w:r>
      <w:r w:rsidR="009E0218" w:rsidRPr="00100776">
        <w:rPr>
          <w:lang w:val="en-GB"/>
        </w:rPr>
        <w:t>low enrolment</w:t>
      </w:r>
      <w:r w:rsidR="00DA536D" w:rsidRPr="00100776">
        <w:rPr>
          <w:lang w:val="en-GB"/>
        </w:rPr>
        <w:t xml:space="preserve">, </w:t>
      </w:r>
      <w:r w:rsidR="00D814CD" w:rsidRPr="00100776">
        <w:rPr>
          <w:lang w:val="en-GB"/>
        </w:rPr>
        <w:t>including</w:t>
      </w:r>
      <w:r w:rsidR="00DA536D" w:rsidRPr="00100776">
        <w:rPr>
          <w:lang w:val="en-GB"/>
        </w:rPr>
        <w:t xml:space="preserve"> </w:t>
      </w:r>
      <w:r w:rsidR="002D4502" w:rsidRPr="00100776">
        <w:rPr>
          <w:lang w:val="en-GB"/>
        </w:rPr>
        <w:t xml:space="preserve">influences from peers and parents, </w:t>
      </w:r>
      <w:r w:rsidR="00D814CD" w:rsidRPr="00100776">
        <w:rPr>
          <w:lang w:val="en-GB"/>
        </w:rPr>
        <w:t>an ‘</w:t>
      </w:r>
      <w:r w:rsidR="002D4502" w:rsidRPr="00100776">
        <w:rPr>
          <w:lang w:val="en-GB"/>
        </w:rPr>
        <w:t>irrelevance</w:t>
      </w:r>
      <w:r w:rsidR="00D814CD" w:rsidRPr="00100776">
        <w:rPr>
          <w:lang w:val="en-GB"/>
        </w:rPr>
        <w:t>’</w:t>
      </w:r>
      <w:r w:rsidR="002D4502" w:rsidRPr="00100776">
        <w:rPr>
          <w:lang w:val="en-GB"/>
        </w:rPr>
        <w:t xml:space="preserve"> between music within and beyond </w:t>
      </w:r>
      <w:r w:rsidR="00D814CD" w:rsidRPr="00100776">
        <w:rPr>
          <w:lang w:val="en-GB"/>
        </w:rPr>
        <w:t xml:space="preserve">the </w:t>
      </w:r>
      <w:r w:rsidR="002D4502" w:rsidRPr="00100776">
        <w:rPr>
          <w:lang w:val="en-GB"/>
        </w:rPr>
        <w:t xml:space="preserve">school curriculum, and </w:t>
      </w:r>
      <w:r w:rsidR="00932C45" w:rsidRPr="00100776">
        <w:rPr>
          <w:lang w:val="en-GB"/>
        </w:rPr>
        <w:t>the</w:t>
      </w:r>
      <w:r w:rsidR="00D814CD" w:rsidRPr="00100776">
        <w:rPr>
          <w:lang w:val="en-GB"/>
        </w:rPr>
        <w:t xml:space="preserve"> </w:t>
      </w:r>
      <w:r w:rsidR="00DA536D" w:rsidRPr="00100776">
        <w:rPr>
          <w:lang w:val="en-GB"/>
        </w:rPr>
        <w:t>‘elite code’ perceived by students</w:t>
      </w:r>
      <w:r w:rsidR="00107EBC" w:rsidRPr="00100776">
        <w:rPr>
          <w:lang w:val="en-GB"/>
        </w:rPr>
        <w:t xml:space="preserve"> </w:t>
      </w:r>
      <w:r w:rsidR="003D63B0" w:rsidRPr="00100776">
        <w:rPr>
          <w:lang w:val="en-GB"/>
        </w:rPr>
        <w:t>(</w:t>
      </w:r>
      <w:r w:rsidR="00C921EB" w:rsidRPr="00100776">
        <w:rPr>
          <w:lang w:val="en-GB"/>
        </w:rPr>
        <w:t xml:space="preserve">Bray, 2000; </w:t>
      </w:r>
      <w:r w:rsidR="003D63B0" w:rsidRPr="00100776">
        <w:rPr>
          <w:lang w:val="en-GB"/>
        </w:rPr>
        <w:t>Lamo</w:t>
      </w:r>
      <w:r w:rsidR="00D814CD" w:rsidRPr="00100776">
        <w:rPr>
          <w:lang w:val="en-GB"/>
        </w:rPr>
        <w:t>n</w:t>
      </w:r>
      <w:r w:rsidR="003D63B0" w:rsidRPr="00100776">
        <w:rPr>
          <w:lang w:val="en-GB"/>
        </w:rPr>
        <w:t xml:space="preserve">t &amp; </w:t>
      </w:r>
      <w:proofErr w:type="spellStart"/>
      <w:r w:rsidR="003D63B0" w:rsidRPr="00100776">
        <w:rPr>
          <w:lang w:val="en-GB"/>
        </w:rPr>
        <w:t>Maton</w:t>
      </w:r>
      <w:proofErr w:type="spellEnd"/>
      <w:r w:rsidR="003D63B0" w:rsidRPr="00100776">
        <w:rPr>
          <w:lang w:val="en-GB"/>
        </w:rPr>
        <w:t>, 2008</w:t>
      </w:r>
      <w:r w:rsidR="005A6B56" w:rsidRPr="00100776">
        <w:rPr>
          <w:lang w:val="en-GB"/>
        </w:rPr>
        <w:t>; Leung, So &amp; Lee, 2008</w:t>
      </w:r>
      <w:r w:rsidR="003D63B0" w:rsidRPr="00100776">
        <w:rPr>
          <w:lang w:val="en-GB"/>
        </w:rPr>
        <w:t>)</w:t>
      </w:r>
      <w:r w:rsidR="000500FC" w:rsidRPr="00100776">
        <w:rPr>
          <w:lang w:val="en-GB"/>
        </w:rPr>
        <w:t>.</w:t>
      </w:r>
      <w:r w:rsidR="00DC305A" w:rsidRPr="00100776">
        <w:rPr>
          <w:lang w:val="en-GB"/>
        </w:rPr>
        <w:t xml:space="preserve"> </w:t>
      </w:r>
      <w:r w:rsidR="00802DB1" w:rsidRPr="00100776">
        <w:rPr>
          <w:lang w:val="en-GB"/>
        </w:rPr>
        <w:t>Contextualisation of the issue invite</w:t>
      </w:r>
      <w:r w:rsidR="00CD27A0" w:rsidRPr="00100776">
        <w:rPr>
          <w:lang w:val="en-GB"/>
        </w:rPr>
        <w:t>s</w:t>
      </w:r>
      <w:r w:rsidR="00802DB1" w:rsidRPr="00100776">
        <w:rPr>
          <w:lang w:val="en-GB"/>
        </w:rPr>
        <w:t xml:space="preserve"> discussion not only </w:t>
      </w:r>
      <w:r w:rsidR="00EB09E7" w:rsidRPr="00100776">
        <w:rPr>
          <w:lang w:val="en-GB"/>
        </w:rPr>
        <w:t xml:space="preserve">about </w:t>
      </w:r>
      <w:r w:rsidR="00802DB1" w:rsidRPr="00100776">
        <w:rPr>
          <w:lang w:val="en-GB"/>
        </w:rPr>
        <w:t xml:space="preserve">the subject matter, but also </w:t>
      </w:r>
      <w:r w:rsidR="006A2348" w:rsidRPr="00100776">
        <w:rPr>
          <w:lang w:val="en-GB"/>
        </w:rPr>
        <w:t xml:space="preserve">the </w:t>
      </w:r>
      <w:r w:rsidR="00802DB1" w:rsidRPr="00100776">
        <w:rPr>
          <w:lang w:val="en-GB"/>
        </w:rPr>
        <w:t>sociocultural factors</w:t>
      </w:r>
      <w:r w:rsidR="00695051" w:rsidRPr="00100776">
        <w:rPr>
          <w:lang w:val="en-GB"/>
        </w:rPr>
        <w:t>,</w:t>
      </w:r>
      <w:r w:rsidR="00802DB1" w:rsidRPr="00100776">
        <w:rPr>
          <w:lang w:val="en-GB"/>
        </w:rPr>
        <w:t xml:space="preserve"> </w:t>
      </w:r>
      <w:r w:rsidR="00EB09E7" w:rsidRPr="00100776">
        <w:rPr>
          <w:lang w:val="en-GB"/>
        </w:rPr>
        <w:t xml:space="preserve">which can </w:t>
      </w:r>
      <w:r w:rsidR="00802DB1" w:rsidRPr="00100776">
        <w:rPr>
          <w:lang w:val="en-GB"/>
        </w:rPr>
        <w:t xml:space="preserve">vary </w:t>
      </w:r>
      <w:r w:rsidR="006A2348" w:rsidRPr="00100776">
        <w:rPr>
          <w:lang w:val="en-GB"/>
        </w:rPr>
        <w:t xml:space="preserve">widely </w:t>
      </w:r>
      <w:r w:rsidR="00802DB1" w:rsidRPr="00100776">
        <w:rPr>
          <w:lang w:val="en-GB"/>
        </w:rPr>
        <w:t xml:space="preserve">from one country or </w:t>
      </w:r>
      <w:r w:rsidR="008E2AC6" w:rsidRPr="00100776">
        <w:rPr>
          <w:lang w:val="en-GB"/>
        </w:rPr>
        <w:t>culture</w:t>
      </w:r>
      <w:r w:rsidR="00802DB1" w:rsidRPr="00100776">
        <w:rPr>
          <w:lang w:val="en-GB"/>
        </w:rPr>
        <w:t xml:space="preserve"> to another.</w:t>
      </w:r>
      <w:r w:rsidR="00757D6E" w:rsidRPr="00100776">
        <w:rPr>
          <w:lang w:val="en-GB"/>
        </w:rPr>
        <w:t xml:space="preserve"> </w:t>
      </w:r>
      <w:r w:rsidR="008E2AC6" w:rsidRPr="00100776">
        <w:rPr>
          <w:lang w:val="en-GB"/>
        </w:rPr>
        <w:t xml:space="preserve">In Hong Kong, </w:t>
      </w:r>
      <w:r w:rsidR="00EB09E7" w:rsidRPr="00100776">
        <w:rPr>
          <w:lang w:val="en-GB"/>
        </w:rPr>
        <w:t xml:space="preserve">for example, </w:t>
      </w:r>
      <w:r w:rsidR="00695051" w:rsidRPr="00100776">
        <w:rPr>
          <w:lang w:val="en-GB"/>
        </w:rPr>
        <w:t xml:space="preserve">despite having an </w:t>
      </w:r>
      <w:r w:rsidR="008E2AC6" w:rsidRPr="00100776">
        <w:rPr>
          <w:lang w:val="en-GB"/>
        </w:rPr>
        <w:t xml:space="preserve">educational policy and school curriculum </w:t>
      </w:r>
      <w:r w:rsidR="00695051" w:rsidRPr="00100776">
        <w:rPr>
          <w:lang w:val="en-GB"/>
        </w:rPr>
        <w:t xml:space="preserve">that </w:t>
      </w:r>
      <w:r w:rsidR="00EB09E7" w:rsidRPr="00100776">
        <w:rPr>
          <w:lang w:val="en-GB"/>
        </w:rPr>
        <w:t xml:space="preserve">are </w:t>
      </w:r>
      <w:r w:rsidR="008E2AC6" w:rsidRPr="00100776">
        <w:rPr>
          <w:lang w:val="en-GB"/>
        </w:rPr>
        <w:t xml:space="preserve">largely modelled </w:t>
      </w:r>
      <w:r w:rsidR="00EB09E7" w:rsidRPr="00100776">
        <w:rPr>
          <w:lang w:val="en-GB"/>
        </w:rPr>
        <w:t xml:space="preserve">on those of </w:t>
      </w:r>
      <w:r w:rsidR="00C10F16" w:rsidRPr="00100776">
        <w:rPr>
          <w:lang w:val="en-GB"/>
        </w:rPr>
        <w:t xml:space="preserve">the UK, </w:t>
      </w:r>
      <w:r w:rsidR="008E2AC6" w:rsidRPr="00100776">
        <w:rPr>
          <w:lang w:val="en-GB"/>
        </w:rPr>
        <w:t xml:space="preserve">its </w:t>
      </w:r>
      <w:r w:rsidR="00E818C9" w:rsidRPr="00100776">
        <w:rPr>
          <w:lang w:val="en-GB"/>
        </w:rPr>
        <w:t xml:space="preserve">one-hundred-year-long </w:t>
      </w:r>
      <w:r w:rsidR="008E2AC6" w:rsidRPr="00100776">
        <w:rPr>
          <w:lang w:val="en-GB"/>
        </w:rPr>
        <w:t>coloni</w:t>
      </w:r>
      <w:r w:rsidR="00E818C9" w:rsidRPr="00100776">
        <w:rPr>
          <w:lang w:val="en-GB"/>
        </w:rPr>
        <w:t>s</w:t>
      </w:r>
      <w:r w:rsidR="008E2AC6" w:rsidRPr="00100776">
        <w:rPr>
          <w:lang w:val="en-GB"/>
        </w:rPr>
        <w:t>er</w:t>
      </w:r>
      <w:r w:rsidR="00E818C9" w:rsidRPr="00100776">
        <w:rPr>
          <w:lang w:val="en-GB"/>
        </w:rPr>
        <w:t xml:space="preserve">, </w:t>
      </w:r>
      <w:r w:rsidR="00695051" w:rsidRPr="00100776">
        <w:rPr>
          <w:lang w:val="en-GB"/>
        </w:rPr>
        <w:t xml:space="preserve">the apparent similarity </w:t>
      </w:r>
      <w:r w:rsidR="003530D9" w:rsidRPr="00100776">
        <w:rPr>
          <w:lang w:val="en-GB"/>
        </w:rPr>
        <w:t xml:space="preserve">between the two locations </w:t>
      </w:r>
      <w:r w:rsidR="00695051" w:rsidRPr="00100776">
        <w:rPr>
          <w:lang w:val="en-GB"/>
        </w:rPr>
        <w:t xml:space="preserve">in terms of the unpopularity of </w:t>
      </w:r>
      <w:r w:rsidR="00C02F68" w:rsidRPr="00100776">
        <w:rPr>
          <w:lang w:val="en-GB"/>
        </w:rPr>
        <w:t>music</w:t>
      </w:r>
      <w:r w:rsidR="00695051" w:rsidRPr="00100776">
        <w:rPr>
          <w:lang w:val="en-GB"/>
        </w:rPr>
        <w:t xml:space="preserve"> </w:t>
      </w:r>
      <w:r w:rsidR="00EB09E7" w:rsidRPr="00100776">
        <w:rPr>
          <w:lang w:val="en-GB"/>
        </w:rPr>
        <w:t>with</w:t>
      </w:r>
      <w:r w:rsidR="00C02F68" w:rsidRPr="00100776">
        <w:rPr>
          <w:lang w:val="en-GB"/>
        </w:rPr>
        <w:t xml:space="preserve">in </w:t>
      </w:r>
      <w:r w:rsidR="00EB09E7" w:rsidRPr="00100776">
        <w:rPr>
          <w:lang w:val="en-GB"/>
        </w:rPr>
        <w:t xml:space="preserve">the </w:t>
      </w:r>
      <w:r w:rsidR="00C02F68" w:rsidRPr="00100776">
        <w:rPr>
          <w:lang w:val="en-GB"/>
        </w:rPr>
        <w:t xml:space="preserve">senior secondary curriculum </w:t>
      </w:r>
      <w:r w:rsidR="00695051" w:rsidRPr="00100776">
        <w:rPr>
          <w:lang w:val="en-GB"/>
        </w:rPr>
        <w:t xml:space="preserve">is as much the result of the </w:t>
      </w:r>
      <w:r w:rsidR="00842CA0" w:rsidRPr="00100776">
        <w:rPr>
          <w:lang w:val="en-GB"/>
        </w:rPr>
        <w:t>hybrid identity of Hongkongers</w:t>
      </w:r>
      <w:r w:rsidR="00EB09E7" w:rsidRPr="00100776">
        <w:rPr>
          <w:lang w:val="en-GB"/>
        </w:rPr>
        <w:t xml:space="preserve"> </w:t>
      </w:r>
      <w:r w:rsidR="00695051" w:rsidRPr="00100776">
        <w:rPr>
          <w:lang w:val="en-GB"/>
        </w:rPr>
        <w:t xml:space="preserve">as it is the </w:t>
      </w:r>
      <w:r w:rsidR="003530D9" w:rsidRPr="00100776">
        <w:rPr>
          <w:lang w:val="en-GB"/>
        </w:rPr>
        <w:t>values</w:t>
      </w:r>
      <w:r w:rsidR="00695051" w:rsidRPr="00100776">
        <w:rPr>
          <w:lang w:val="en-GB"/>
        </w:rPr>
        <w:t xml:space="preserve"> </w:t>
      </w:r>
      <w:r w:rsidR="003530D9" w:rsidRPr="00100776">
        <w:rPr>
          <w:lang w:val="en-GB"/>
        </w:rPr>
        <w:t xml:space="preserve">informed by </w:t>
      </w:r>
      <w:r w:rsidR="00842CA0" w:rsidRPr="00100776">
        <w:rPr>
          <w:lang w:val="en-GB"/>
        </w:rPr>
        <w:t>the deeply rooted Chinese culture</w:t>
      </w:r>
      <w:r w:rsidR="00695051" w:rsidRPr="00100776">
        <w:rPr>
          <w:lang w:val="en-GB"/>
        </w:rPr>
        <w:t xml:space="preserve">. </w:t>
      </w:r>
    </w:p>
    <w:p w14:paraId="04400387" w14:textId="1525ACE0" w:rsidR="00AF4616" w:rsidRPr="00100776" w:rsidRDefault="006A2348" w:rsidP="00E37B46">
      <w:pPr>
        <w:rPr>
          <w:lang w:val="en-GB"/>
        </w:rPr>
      </w:pPr>
      <w:r w:rsidRPr="00100776">
        <w:rPr>
          <w:lang w:val="en-GB"/>
        </w:rPr>
        <w:t>The complexity is further compounded by the fact that m</w:t>
      </w:r>
      <w:r w:rsidR="00EB7298" w:rsidRPr="00100776">
        <w:rPr>
          <w:lang w:val="en-GB"/>
        </w:rPr>
        <w:t>usic encompasses a broad range of styles</w:t>
      </w:r>
      <w:r w:rsidR="00707666" w:rsidRPr="00100776">
        <w:rPr>
          <w:lang w:val="en-GB"/>
        </w:rPr>
        <w:t>, all</w:t>
      </w:r>
      <w:r w:rsidR="00EB7298" w:rsidRPr="00100776">
        <w:rPr>
          <w:lang w:val="en-GB"/>
        </w:rPr>
        <w:t xml:space="preserve"> with their </w:t>
      </w:r>
      <w:r w:rsidR="00707666" w:rsidRPr="00100776">
        <w:rPr>
          <w:lang w:val="en-GB"/>
        </w:rPr>
        <w:t xml:space="preserve">own </w:t>
      </w:r>
      <w:r w:rsidR="00EB7298" w:rsidRPr="00100776">
        <w:rPr>
          <w:lang w:val="en-GB"/>
        </w:rPr>
        <w:t xml:space="preserve">underlying cultural references and societal understandings. Learning music in school helps foster students’ creativity and ability to handle diversity in everyday life, </w:t>
      </w:r>
      <w:r w:rsidR="00EB7298" w:rsidRPr="00100776">
        <w:rPr>
          <w:lang w:val="en-GB"/>
        </w:rPr>
        <w:lastRenderedPageBreak/>
        <w:t xml:space="preserve">while </w:t>
      </w:r>
      <w:r w:rsidR="00DE09D1" w:rsidRPr="00100776">
        <w:rPr>
          <w:lang w:val="en-GB"/>
        </w:rPr>
        <w:t xml:space="preserve">also </w:t>
      </w:r>
      <w:r w:rsidR="00EB7298" w:rsidRPr="00100776">
        <w:rPr>
          <w:lang w:val="en-GB"/>
        </w:rPr>
        <w:t xml:space="preserve">developing different kinds of musicianship connected to their personal musical identities </w:t>
      </w:r>
      <w:r w:rsidR="00DE09D1" w:rsidRPr="00100776">
        <w:rPr>
          <w:lang w:val="en-GB"/>
        </w:rPr>
        <w:t>within a globalised world</w:t>
      </w:r>
      <w:r w:rsidR="00EB7298" w:rsidRPr="00100776">
        <w:rPr>
          <w:lang w:val="en-GB"/>
        </w:rPr>
        <w:t xml:space="preserve"> (</w:t>
      </w:r>
      <w:proofErr w:type="spellStart"/>
      <w:r w:rsidR="00EB7298" w:rsidRPr="00100776">
        <w:rPr>
          <w:lang w:val="en-GB"/>
        </w:rPr>
        <w:t>Kertz-Welzel</w:t>
      </w:r>
      <w:proofErr w:type="spellEnd"/>
      <w:r w:rsidR="00EB7298" w:rsidRPr="00100776">
        <w:rPr>
          <w:lang w:val="en-GB"/>
        </w:rPr>
        <w:t xml:space="preserve">, 2018). </w:t>
      </w:r>
      <w:r w:rsidR="00DE09D1" w:rsidRPr="00100776">
        <w:rPr>
          <w:lang w:val="en-GB"/>
        </w:rPr>
        <w:t>S</w:t>
      </w:r>
      <w:r w:rsidR="00EB7298" w:rsidRPr="00100776">
        <w:rPr>
          <w:lang w:val="en-GB"/>
        </w:rPr>
        <w:t>chool</w:t>
      </w:r>
      <w:r w:rsidR="00DE09D1" w:rsidRPr="00100776">
        <w:rPr>
          <w:lang w:val="en-GB"/>
        </w:rPr>
        <w:t>s</w:t>
      </w:r>
      <w:r w:rsidR="00EB7298" w:rsidRPr="00100776">
        <w:rPr>
          <w:lang w:val="en-GB"/>
        </w:rPr>
        <w:t xml:space="preserve"> around the </w:t>
      </w:r>
      <w:r w:rsidR="00297AF1" w:rsidRPr="00100776">
        <w:rPr>
          <w:lang w:val="en-GB"/>
        </w:rPr>
        <w:t>globe</w:t>
      </w:r>
      <w:r w:rsidR="00EB7298" w:rsidRPr="00100776">
        <w:rPr>
          <w:lang w:val="en-GB"/>
        </w:rPr>
        <w:t xml:space="preserve"> </w:t>
      </w:r>
      <w:r w:rsidR="00DE09D1" w:rsidRPr="00100776">
        <w:rPr>
          <w:lang w:val="en-GB"/>
        </w:rPr>
        <w:t xml:space="preserve">have increasingly sought </w:t>
      </w:r>
      <w:r w:rsidR="00EB7298" w:rsidRPr="00100776">
        <w:rPr>
          <w:lang w:val="en-GB"/>
        </w:rPr>
        <w:t>to integrate other cultures and styles in</w:t>
      </w:r>
      <w:r w:rsidR="00DE09D1" w:rsidRPr="00100776">
        <w:rPr>
          <w:lang w:val="en-GB"/>
        </w:rPr>
        <w:t xml:space="preserve">to their music curricula design </w:t>
      </w:r>
      <w:proofErr w:type="gramStart"/>
      <w:r w:rsidR="00DE09D1" w:rsidRPr="00100776">
        <w:rPr>
          <w:lang w:val="en-GB"/>
        </w:rPr>
        <w:t>in an effort</w:t>
      </w:r>
      <w:r w:rsidR="00EB7298" w:rsidRPr="00100776">
        <w:rPr>
          <w:lang w:val="en-GB"/>
        </w:rPr>
        <w:t xml:space="preserve"> to</w:t>
      </w:r>
      <w:proofErr w:type="gramEnd"/>
      <w:r w:rsidR="00DE09D1" w:rsidRPr="00100776">
        <w:rPr>
          <w:lang w:val="en-GB"/>
        </w:rPr>
        <w:t xml:space="preserve"> counteract the dominance of Western classical music and</w:t>
      </w:r>
      <w:r w:rsidR="00EB7298" w:rsidRPr="00100776">
        <w:rPr>
          <w:lang w:val="en-GB"/>
        </w:rPr>
        <w:t xml:space="preserve"> preserve and transmit </w:t>
      </w:r>
      <w:r w:rsidR="00DE09D1" w:rsidRPr="00100776">
        <w:rPr>
          <w:lang w:val="en-GB"/>
        </w:rPr>
        <w:t xml:space="preserve">their </w:t>
      </w:r>
      <w:r w:rsidR="00EB7298" w:rsidRPr="00100776">
        <w:rPr>
          <w:lang w:val="en-GB"/>
        </w:rPr>
        <w:t>local traditional culture</w:t>
      </w:r>
      <w:r w:rsidR="00DE09D1" w:rsidRPr="00100776">
        <w:rPr>
          <w:lang w:val="en-GB"/>
        </w:rPr>
        <w:t>s</w:t>
      </w:r>
      <w:r w:rsidR="00EB7298" w:rsidRPr="00100776">
        <w:rPr>
          <w:lang w:val="en-GB"/>
        </w:rPr>
        <w:t xml:space="preserve">. </w:t>
      </w:r>
      <w:r w:rsidR="00D426AD" w:rsidRPr="00100776">
        <w:rPr>
          <w:lang w:val="en-GB"/>
        </w:rPr>
        <w:t>Negotiating these</w:t>
      </w:r>
      <w:r w:rsidR="00EB7298" w:rsidRPr="00100776">
        <w:rPr>
          <w:lang w:val="en-GB"/>
        </w:rPr>
        <w:t xml:space="preserve"> proportion</w:t>
      </w:r>
      <w:r w:rsidR="00D426AD" w:rsidRPr="00100776">
        <w:rPr>
          <w:lang w:val="en-GB"/>
        </w:rPr>
        <w:t>s</w:t>
      </w:r>
      <w:r w:rsidR="00EB7298" w:rsidRPr="00100776">
        <w:rPr>
          <w:lang w:val="en-GB"/>
        </w:rPr>
        <w:t xml:space="preserve"> among various musical cultures </w:t>
      </w:r>
      <w:r w:rsidR="008C36F0" w:rsidRPr="00100776">
        <w:rPr>
          <w:lang w:val="en-GB"/>
        </w:rPr>
        <w:t xml:space="preserve">can </w:t>
      </w:r>
      <w:r w:rsidR="00297AF1" w:rsidRPr="00100776">
        <w:rPr>
          <w:lang w:val="en-GB"/>
        </w:rPr>
        <w:t>be</w:t>
      </w:r>
      <w:r w:rsidR="00EB7298" w:rsidRPr="00100776">
        <w:rPr>
          <w:lang w:val="en-GB"/>
        </w:rPr>
        <w:t xml:space="preserve"> </w:t>
      </w:r>
      <w:r w:rsidR="008C36F0" w:rsidRPr="00100776">
        <w:rPr>
          <w:lang w:val="en-GB"/>
        </w:rPr>
        <w:t xml:space="preserve">both </w:t>
      </w:r>
      <w:r w:rsidR="00EB7298" w:rsidRPr="00100776">
        <w:rPr>
          <w:lang w:val="en-GB"/>
        </w:rPr>
        <w:t xml:space="preserve">problematic and political, especially in regions </w:t>
      </w:r>
      <w:r w:rsidR="00A53029" w:rsidRPr="00100776">
        <w:rPr>
          <w:lang w:val="en-GB"/>
        </w:rPr>
        <w:t>where cultural conflict</w:t>
      </w:r>
      <w:r w:rsidR="008C36F0" w:rsidRPr="00100776">
        <w:rPr>
          <w:lang w:val="en-GB"/>
        </w:rPr>
        <w:t>s are</w:t>
      </w:r>
      <w:r w:rsidR="00A53029" w:rsidRPr="00100776">
        <w:rPr>
          <w:lang w:val="en-GB"/>
        </w:rPr>
        <w:t xml:space="preserve"> present</w:t>
      </w:r>
      <w:r w:rsidR="00EB7298" w:rsidRPr="00100776">
        <w:rPr>
          <w:lang w:val="en-GB"/>
        </w:rPr>
        <w:t>.</w:t>
      </w:r>
      <w:r w:rsidR="00A53029" w:rsidRPr="00100776">
        <w:rPr>
          <w:lang w:val="en-GB"/>
        </w:rPr>
        <w:t xml:space="preserve"> </w:t>
      </w:r>
      <w:r w:rsidR="00FF52E5" w:rsidRPr="00100776">
        <w:rPr>
          <w:lang w:val="en-GB"/>
        </w:rPr>
        <w:t>To better understand the</w:t>
      </w:r>
      <w:r w:rsidR="00A25B1F" w:rsidRPr="00100776">
        <w:rPr>
          <w:lang w:val="en-GB"/>
        </w:rPr>
        <w:t xml:space="preserve"> influence of</w:t>
      </w:r>
      <w:r w:rsidR="00FF52E5" w:rsidRPr="00100776">
        <w:rPr>
          <w:lang w:val="en-GB"/>
        </w:rPr>
        <w:t xml:space="preserve"> </w:t>
      </w:r>
      <w:r w:rsidR="005F505F" w:rsidRPr="00100776">
        <w:rPr>
          <w:lang w:val="en-GB"/>
        </w:rPr>
        <w:t xml:space="preserve">multicultural integration and other </w:t>
      </w:r>
      <w:r w:rsidR="00EC118D" w:rsidRPr="00100776">
        <w:rPr>
          <w:lang w:val="en-GB"/>
        </w:rPr>
        <w:t>dynamics</w:t>
      </w:r>
      <w:r w:rsidR="008C36F0" w:rsidRPr="00100776">
        <w:rPr>
          <w:lang w:val="en-GB"/>
        </w:rPr>
        <w:t>,</w:t>
      </w:r>
      <w:r w:rsidR="005F505F" w:rsidRPr="00100776">
        <w:rPr>
          <w:lang w:val="en-GB"/>
        </w:rPr>
        <w:t xml:space="preserve"> such as students’ prior musical experience</w:t>
      </w:r>
      <w:r w:rsidR="008C36F0" w:rsidRPr="00100776">
        <w:rPr>
          <w:lang w:val="en-GB"/>
        </w:rPr>
        <w:t>s</w:t>
      </w:r>
      <w:r w:rsidR="00E74068" w:rsidRPr="00100776">
        <w:rPr>
          <w:lang w:val="en-GB"/>
        </w:rPr>
        <w:t>,</w:t>
      </w:r>
      <w:r w:rsidR="005F505F" w:rsidRPr="00100776">
        <w:rPr>
          <w:lang w:val="en-GB"/>
        </w:rPr>
        <w:t xml:space="preserve"> on their </w:t>
      </w:r>
      <w:r w:rsidR="008C36F0" w:rsidRPr="00100776">
        <w:rPr>
          <w:lang w:val="en-GB"/>
        </w:rPr>
        <w:t xml:space="preserve">subsequent </w:t>
      </w:r>
      <w:r w:rsidR="005F505F" w:rsidRPr="00100776">
        <w:rPr>
          <w:lang w:val="en-GB"/>
        </w:rPr>
        <w:t xml:space="preserve">perception </w:t>
      </w:r>
      <w:r w:rsidR="008C36F0" w:rsidRPr="00100776">
        <w:rPr>
          <w:lang w:val="en-GB"/>
        </w:rPr>
        <w:t>of</w:t>
      </w:r>
      <w:r w:rsidR="00EC118D" w:rsidRPr="00100776">
        <w:rPr>
          <w:lang w:val="en-GB"/>
        </w:rPr>
        <w:t xml:space="preserve"> the curriculum,</w:t>
      </w:r>
      <w:r w:rsidR="0006729E" w:rsidRPr="00100776">
        <w:rPr>
          <w:lang w:val="en-GB"/>
        </w:rPr>
        <w:t xml:space="preserve"> t</w:t>
      </w:r>
      <w:r w:rsidR="00AF4616" w:rsidRPr="00100776">
        <w:rPr>
          <w:lang w:val="en-GB"/>
        </w:rPr>
        <w:t>he study presented in this paper aim</w:t>
      </w:r>
      <w:r w:rsidR="00B76991" w:rsidRPr="00100776">
        <w:rPr>
          <w:lang w:val="en-GB"/>
        </w:rPr>
        <w:t>ed</w:t>
      </w:r>
      <w:r w:rsidR="00E37B46" w:rsidRPr="00100776">
        <w:rPr>
          <w:lang w:val="en-GB"/>
        </w:rPr>
        <w:t xml:space="preserve"> to </w:t>
      </w:r>
      <w:r w:rsidR="00AF4616" w:rsidRPr="00100776">
        <w:rPr>
          <w:lang w:val="en-GB"/>
        </w:rPr>
        <w:t>examine the rationale behind the unpopularity of music as a</w:t>
      </w:r>
      <w:r w:rsidR="00377CED" w:rsidRPr="00100776">
        <w:rPr>
          <w:lang w:val="en-GB"/>
        </w:rPr>
        <w:t xml:space="preserve">n </w:t>
      </w:r>
      <w:r w:rsidR="003A0A97" w:rsidRPr="00100776">
        <w:rPr>
          <w:lang w:val="en-GB"/>
        </w:rPr>
        <w:t>examination subjec</w:t>
      </w:r>
      <w:r w:rsidR="00AF4616" w:rsidRPr="00100776">
        <w:rPr>
          <w:lang w:val="en-GB"/>
        </w:rPr>
        <w:t xml:space="preserve">t </w:t>
      </w:r>
      <w:r w:rsidR="008C36F0" w:rsidRPr="00100776">
        <w:rPr>
          <w:lang w:val="en-GB"/>
        </w:rPr>
        <w:t>at the</w:t>
      </w:r>
      <w:r w:rsidR="00AF4616" w:rsidRPr="00100776">
        <w:rPr>
          <w:lang w:val="en-GB"/>
        </w:rPr>
        <w:t xml:space="preserve"> Hong Kong senior secondary</w:t>
      </w:r>
      <w:r w:rsidR="003A0A97" w:rsidRPr="00100776">
        <w:rPr>
          <w:lang w:val="en-GB"/>
        </w:rPr>
        <w:t xml:space="preserve"> level</w:t>
      </w:r>
      <w:r w:rsidR="00AF4616" w:rsidRPr="00100776">
        <w:rPr>
          <w:lang w:val="en-GB"/>
        </w:rPr>
        <w:t>.</w:t>
      </w:r>
      <w:r w:rsidR="00FF52E5" w:rsidRPr="00100776">
        <w:rPr>
          <w:lang w:val="en-GB"/>
        </w:rPr>
        <w:t xml:space="preserve"> </w:t>
      </w:r>
      <w:r w:rsidR="00093F32" w:rsidRPr="00100776">
        <w:rPr>
          <w:lang w:val="en-GB"/>
        </w:rPr>
        <w:t>It is hoped that t</w:t>
      </w:r>
      <w:r w:rsidR="008C36F0" w:rsidRPr="00100776">
        <w:rPr>
          <w:lang w:val="en-GB"/>
        </w:rPr>
        <w:t>he r</w:t>
      </w:r>
      <w:r w:rsidR="00DC36B7" w:rsidRPr="00100776">
        <w:rPr>
          <w:lang w:val="en-GB"/>
        </w:rPr>
        <w:t xml:space="preserve">esearch findings </w:t>
      </w:r>
      <w:r w:rsidR="00093F32" w:rsidRPr="00100776">
        <w:rPr>
          <w:lang w:val="en-GB"/>
        </w:rPr>
        <w:t xml:space="preserve">can </w:t>
      </w:r>
      <w:r w:rsidR="00DC36B7" w:rsidRPr="00100776">
        <w:rPr>
          <w:lang w:val="en-GB"/>
        </w:rPr>
        <w:t xml:space="preserve">help </w:t>
      </w:r>
      <w:r w:rsidR="008C36F0" w:rsidRPr="00100776">
        <w:rPr>
          <w:lang w:val="en-GB"/>
        </w:rPr>
        <w:t xml:space="preserve">with the </w:t>
      </w:r>
      <w:r w:rsidR="00F73504" w:rsidRPr="00100776">
        <w:rPr>
          <w:lang w:val="en-GB"/>
        </w:rPr>
        <w:t>design</w:t>
      </w:r>
      <w:r w:rsidR="00AF4616" w:rsidRPr="00100776">
        <w:rPr>
          <w:lang w:val="en-GB"/>
        </w:rPr>
        <w:t xml:space="preserve"> </w:t>
      </w:r>
      <w:r w:rsidR="008C36F0" w:rsidRPr="00100776">
        <w:rPr>
          <w:lang w:val="en-GB"/>
        </w:rPr>
        <w:t xml:space="preserve">of </w:t>
      </w:r>
      <w:r w:rsidR="00AF4616" w:rsidRPr="00100776">
        <w:rPr>
          <w:lang w:val="en-GB"/>
        </w:rPr>
        <w:t xml:space="preserve">a music curriculum that </w:t>
      </w:r>
      <w:r w:rsidR="00586D33" w:rsidRPr="00100776">
        <w:rPr>
          <w:lang w:val="en-GB"/>
        </w:rPr>
        <w:t>responds</w:t>
      </w:r>
      <w:r w:rsidR="00AF4616" w:rsidRPr="00100776">
        <w:rPr>
          <w:lang w:val="en-GB"/>
        </w:rPr>
        <w:t xml:space="preserve"> </w:t>
      </w:r>
      <w:r w:rsidR="00586D33" w:rsidRPr="00100776">
        <w:rPr>
          <w:lang w:val="en-GB"/>
        </w:rPr>
        <w:t xml:space="preserve">to </w:t>
      </w:r>
      <w:proofErr w:type="spellStart"/>
      <w:r w:rsidR="00AF4616" w:rsidRPr="00100776">
        <w:rPr>
          <w:lang w:val="en-GB"/>
        </w:rPr>
        <w:t>students</w:t>
      </w:r>
      <w:proofErr w:type="spellEnd"/>
      <w:r w:rsidR="00AF4616" w:rsidRPr="00100776">
        <w:rPr>
          <w:lang w:val="en-GB"/>
        </w:rPr>
        <w:t xml:space="preserve"> </w:t>
      </w:r>
      <w:r w:rsidR="00F73504" w:rsidRPr="00100776">
        <w:rPr>
          <w:lang w:val="en-GB"/>
        </w:rPr>
        <w:t>needs</w:t>
      </w:r>
      <w:r w:rsidR="00586D33" w:rsidRPr="00100776">
        <w:rPr>
          <w:lang w:val="en-GB"/>
        </w:rPr>
        <w:t>, help</w:t>
      </w:r>
      <w:r w:rsidR="003F4E2B" w:rsidRPr="00100776">
        <w:rPr>
          <w:lang w:val="en-GB"/>
        </w:rPr>
        <w:t>s</w:t>
      </w:r>
      <w:r w:rsidR="00586D33" w:rsidRPr="00100776">
        <w:rPr>
          <w:lang w:val="en-GB"/>
        </w:rPr>
        <w:t xml:space="preserve"> them to better understand</w:t>
      </w:r>
      <w:r w:rsidR="0062218A" w:rsidRPr="00100776">
        <w:rPr>
          <w:lang w:val="en-GB"/>
        </w:rPr>
        <w:t xml:space="preserve"> non-Western and</w:t>
      </w:r>
      <w:r w:rsidR="00586D33" w:rsidRPr="00100776">
        <w:rPr>
          <w:lang w:val="en-GB"/>
        </w:rPr>
        <w:t xml:space="preserve"> </w:t>
      </w:r>
      <w:r w:rsidR="006C487C" w:rsidRPr="00100776">
        <w:rPr>
          <w:lang w:val="en-GB"/>
        </w:rPr>
        <w:t xml:space="preserve">local </w:t>
      </w:r>
      <w:r w:rsidR="0062218A" w:rsidRPr="00100776">
        <w:rPr>
          <w:lang w:val="en-GB"/>
        </w:rPr>
        <w:t xml:space="preserve">musical </w:t>
      </w:r>
      <w:r w:rsidR="00586D33" w:rsidRPr="00100776">
        <w:rPr>
          <w:lang w:val="en-GB"/>
        </w:rPr>
        <w:t>culture through the lens of music</w:t>
      </w:r>
      <w:r w:rsidR="003F4E2B" w:rsidRPr="00100776">
        <w:rPr>
          <w:lang w:val="en-GB"/>
        </w:rPr>
        <w:t>,</w:t>
      </w:r>
      <w:r w:rsidR="00586D33" w:rsidRPr="00100776">
        <w:rPr>
          <w:lang w:val="en-GB"/>
        </w:rPr>
        <w:t xml:space="preserve"> and develop</w:t>
      </w:r>
      <w:r w:rsidR="003F4E2B" w:rsidRPr="00100776">
        <w:rPr>
          <w:lang w:val="en-GB"/>
        </w:rPr>
        <w:t>s their</w:t>
      </w:r>
      <w:r w:rsidR="00586D33" w:rsidRPr="00100776">
        <w:rPr>
          <w:lang w:val="en-GB"/>
        </w:rPr>
        <w:t xml:space="preserve"> musicianship </w:t>
      </w:r>
      <w:r w:rsidR="003F4E2B" w:rsidRPr="00100776">
        <w:rPr>
          <w:lang w:val="en-GB"/>
        </w:rPr>
        <w:t xml:space="preserve">in ways that are </w:t>
      </w:r>
      <w:r w:rsidR="00586D33" w:rsidRPr="00100776">
        <w:rPr>
          <w:lang w:val="en-GB"/>
        </w:rPr>
        <w:t xml:space="preserve">relevant to </w:t>
      </w:r>
      <w:r w:rsidR="00093F32" w:rsidRPr="00100776">
        <w:rPr>
          <w:lang w:val="en-GB"/>
        </w:rPr>
        <w:t>21st</w:t>
      </w:r>
      <w:r w:rsidR="003F4E2B" w:rsidRPr="00100776">
        <w:rPr>
          <w:lang w:val="en-GB"/>
        </w:rPr>
        <w:t xml:space="preserve"> century </w:t>
      </w:r>
      <w:r w:rsidR="00586D33" w:rsidRPr="00100776">
        <w:rPr>
          <w:lang w:val="en-GB"/>
        </w:rPr>
        <w:t>musical practices</w:t>
      </w:r>
      <w:r w:rsidR="00F73504" w:rsidRPr="00100776">
        <w:rPr>
          <w:lang w:val="en-GB"/>
        </w:rPr>
        <w:t>.</w:t>
      </w:r>
    </w:p>
    <w:p w14:paraId="62FDFE9E" w14:textId="6C82A416" w:rsidR="008E2AC6" w:rsidRPr="00100776" w:rsidRDefault="00F03562" w:rsidP="00416582">
      <w:pPr>
        <w:rPr>
          <w:b/>
          <w:bCs/>
          <w:lang w:val="en-GB"/>
        </w:rPr>
      </w:pPr>
      <w:r w:rsidRPr="00100776">
        <w:rPr>
          <w:b/>
          <w:bCs/>
          <w:lang w:val="en-GB"/>
        </w:rPr>
        <w:t xml:space="preserve">School music </w:t>
      </w:r>
      <w:r w:rsidR="008928DF" w:rsidRPr="00100776">
        <w:rPr>
          <w:b/>
          <w:bCs/>
          <w:lang w:val="en-GB"/>
        </w:rPr>
        <w:t>curriculum</w:t>
      </w:r>
      <w:r w:rsidR="009D233C" w:rsidRPr="00100776">
        <w:rPr>
          <w:b/>
          <w:bCs/>
          <w:lang w:val="en-GB"/>
        </w:rPr>
        <w:t xml:space="preserve"> in</w:t>
      </w:r>
      <w:r w:rsidR="00C92EBF" w:rsidRPr="00100776">
        <w:rPr>
          <w:b/>
          <w:bCs/>
          <w:lang w:val="en-GB"/>
        </w:rPr>
        <w:t xml:space="preserve"> Hong Kon</w:t>
      </w:r>
      <w:r w:rsidRPr="00100776">
        <w:rPr>
          <w:b/>
          <w:bCs/>
          <w:lang w:val="en-GB"/>
        </w:rPr>
        <w:t>g</w:t>
      </w:r>
      <w:r w:rsidR="009D233C" w:rsidRPr="00100776">
        <w:rPr>
          <w:b/>
          <w:bCs/>
          <w:lang w:val="en-GB"/>
        </w:rPr>
        <w:t xml:space="preserve"> </w:t>
      </w:r>
    </w:p>
    <w:p w14:paraId="73A15980" w14:textId="0BA1B423" w:rsidR="00C92EBF" w:rsidRPr="00100776" w:rsidRDefault="00C92EBF" w:rsidP="00C92EBF">
      <w:pPr>
        <w:rPr>
          <w:lang w:val="en-GB"/>
        </w:rPr>
      </w:pPr>
      <w:r w:rsidRPr="00100776">
        <w:rPr>
          <w:lang w:val="en-GB"/>
        </w:rPr>
        <w:t xml:space="preserve">It has been a quarter </w:t>
      </w:r>
      <w:r w:rsidR="00F15433" w:rsidRPr="00100776">
        <w:rPr>
          <w:lang w:val="en-GB"/>
        </w:rPr>
        <w:t xml:space="preserve">of a </w:t>
      </w:r>
      <w:r w:rsidRPr="00100776">
        <w:rPr>
          <w:lang w:val="en-GB"/>
        </w:rPr>
        <w:t xml:space="preserve">century since Hong Kong’s handover from the United Kingdom </w:t>
      </w:r>
      <w:r w:rsidR="005F492E" w:rsidRPr="00100776">
        <w:rPr>
          <w:lang w:val="en-GB"/>
        </w:rPr>
        <w:t xml:space="preserve">back </w:t>
      </w:r>
      <w:r w:rsidRPr="00100776">
        <w:rPr>
          <w:lang w:val="en-GB"/>
        </w:rPr>
        <w:t>to China. This transfer of sovereignty not only established Beijing’s rule over Hong Kong</w:t>
      </w:r>
      <w:r w:rsidR="00B76991" w:rsidRPr="00100776">
        <w:rPr>
          <w:lang w:val="en-GB"/>
        </w:rPr>
        <w:t>,</w:t>
      </w:r>
      <w:r w:rsidRPr="00100776">
        <w:rPr>
          <w:lang w:val="en-GB"/>
        </w:rPr>
        <w:t xml:space="preserve"> but also created the unique identity of </w:t>
      </w:r>
      <w:r w:rsidR="009D233C" w:rsidRPr="00100776">
        <w:rPr>
          <w:lang w:val="en-GB"/>
        </w:rPr>
        <w:t>‘</w:t>
      </w:r>
      <w:r w:rsidRPr="00100776">
        <w:rPr>
          <w:lang w:val="en-GB"/>
        </w:rPr>
        <w:t>Hong Kong Chinese</w:t>
      </w:r>
      <w:r w:rsidR="009D233C" w:rsidRPr="00100776">
        <w:rPr>
          <w:lang w:val="en-GB"/>
        </w:rPr>
        <w:t>’</w:t>
      </w:r>
      <w:r w:rsidRPr="00100776">
        <w:rPr>
          <w:lang w:val="en-GB"/>
        </w:rPr>
        <w:t xml:space="preserve"> citizenship (</w:t>
      </w:r>
      <w:proofErr w:type="spellStart"/>
      <w:r w:rsidRPr="00100776">
        <w:rPr>
          <w:lang w:val="en-GB"/>
        </w:rPr>
        <w:t>Fok</w:t>
      </w:r>
      <w:proofErr w:type="spellEnd"/>
      <w:r w:rsidRPr="00100776">
        <w:rPr>
          <w:lang w:val="en-GB"/>
        </w:rPr>
        <w:t xml:space="preserve">, 1997). Since then, </w:t>
      </w:r>
      <w:r w:rsidR="00247443" w:rsidRPr="00100776">
        <w:rPr>
          <w:lang w:val="en-GB"/>
        </w:rPr>
        <w:t>initiatives</w:t>
      </w:r>
      <w:r w:rsidRPr="00100776">
        <w:rPr>
          <w:lang w:val="en-GB"/>
        </w:rPr>
        <w:t xml:space="preserve"> have been made to strengthen a sense of national identity </w:t>
      </w:r>
      <w:r w:rsidR="00C5712E" w:rsidRPr="00100776">
        <w:rPr>
          <w:lang w:val="en-GB"/>
        </w:rPr>
        <w:t xml:space="preserve">and decolonise the </w:t>
      </w:r>
      <w:r w:rsidR="00DA767E" w:rsidRPr="00100776">
        <w:rPr>
          <w:lang w:val="en-GB"/>
        </w:rPr>
        <w:t>curriculum</w:t>
      </w:r>
      <w:r w:rsidRPr="00100776">
        <w:rPr>
          <w:lang w:val="en-GB"/>
        </w:rPr>
        <w:t xml:space="preserve">, </w:t>
      </w:r>
      <w:r w:rsidR="00452C2D" w:rsidRPr="00100776">
        <w:rPr>
          <w:lang w:val="en-GB"/>
        </w:rPr>
        <w:t>including</w:t>
      </w:r>
      <w:r w:rsidR="00247443" w:rsidRPr="00100776">
        <w:rPr>
          <w:lang w:val="en-GB"/>
        </w:rPr>
        <w:t xml:space="preserve"> </w:t>
      </w:r>
      <w:r w:rsidR="00452C2D" w:rsidRPr="00100776">
        <w:rPr>
          <w:lang w:val="en-GB"/>
        </w:rPr>
        <w:t xml:space="preserve">an </w:t>
      </w:r>
      <w:r w:rsidR="00247443" w:rsidRPr="00100776">
        <w:rPr>
          <w:lang w:val="en-GB"/>
        </w:rPr>
        <w:t xml:space="preserve">attempt to introduce ‘Moral and National Education’ as a compulsory school subject, </w:t>
      </w:r>
      <w:r w:rsidR="00452C2D" w:rsidRPr="00100776">
        <w:rPr>
          <w:lang w:val="en-GB"/>
        </w:rPr>
        <w:t xml:space="preserve">a </w:t>
      </w:r>
      <w:r w:rsidR="00D779F8" w:rsidRPr="00100776">
        <w:rPr>
          <w:lang w:val="en-GB"/>
        </w:rPr>
        <w:t xml:space="preserve">stronger focus </w:t>
      </w:r>
      <w:r w:rsidR="00452C2D" w:rsidRPr="00100776">
        <w:rPr>
          <w:lang w:val="en-GB"/>
        </w:rPr>
        <w:t xml:space="preserve">on </w:t>
      </w:r>
      <w:r w:rsidR="00D779F8" w:rsidRPr="00100776">
        <w:rPr>
          <w:lang w:val="en-GB"/>
        </w:rPr>
        <w:t xml:space="preserve">Chinese history, </w:t>
      </w:r>
      <w:r w:rsidR="00247443" w:rsidRPr="00100776">
        <w:rPr>
          <w:lang w:val="en-GB"/>
        </w:rPr>
        <w:t xml:space="preserve">and the </w:t>
      </w:r>
      <w:r w:rsidR="00D779F8" w:rsidRPr="00100776">
        <w:rPr>
          <w:lang w:val="en-GB"/>
        </w:rPr>
        <w:t xml:space="preserve">inclusion of </w:t>
      </w:r>
      <w:r w:rsidR="00452C2D" w:rsidRPr="00100776">
        <w:rPr>
          <w:lang w:val="en-GB"/>
        </w:rPr>
        <w:t>the N</w:t>
      </w:r>
      <w:r w:rsidR="00D779F8" w:rsidRPr="00100776">
        <w:rPr>
          <w:lang w:val="en-GB"/>
        </w:rPr>
        <w:t xml:space="preserve">ational </w:t>
      </w:r>
      <w:r w:rsidR="00452C2D" w:rsidRPr="00100776">
        <w:rPr>
          <w:lang w:val="en-GB"/>
        </w:rPr>
        <w:t>A</w:t>
      </w:r>
      <w:r w:rsidR="00D779F8" w:rsidRPr="00100776">
        <w:rPr>
          <w:lang w:val="en-GB"/>
        </w:rPr>
        <w:t>nthem in school education as suggested in</w:t>
      </w:r>
      <w:r w:rsidR="00247443" w:rsidRPr="00100776">
        <w:rPr>
          <w:lang w:val="en-GB"/>
        </w:rPr>
        <w:t xml:space="preserve"> the</w:t>
      </w:r>
      <w:r w:rsidR="00D779F8" w:rsidRPr="00100776">
        <w:rPr>
          <w:lang w:val="en-GB"/>
        </w:rPr>
        <w:t xml:space="preserve"> </w:t>
      </w:r>
      <w:proofErr w:type="gramStart"/>
      <w:r w:rsidR="00D779F8" w:rsidRPr="00100776">
        <w:rPr>
          <w:lang w:val="en-GB"/>
        </w:rPr>
        <w:t>recently</w:t>
      </w:r>
      <w:r w:rsidR="00452C2D" w:rsidRPr="00100776">
        <w:rPr>
          <w:lang w:val="en-GB"/>
        </w:rPr>
        <w:t>-</w:t>
      </w:r>
      <w:r w:rsidR="00D779F8" w:rsidRPr="00100776">
        <w:rPr>
          <w:lang w:val="en-GB"/>
        </w:rPr>
        <w:t>enacted</w:t>
      </w:r>
      <w:proofErr w:type="gramEnd"/>
      <w:r w:rsidR="00247443" w:rsidRPr="00100776">
        <w:rPr>
          <w:lang w:val="en-GB"/>
        </w:rPr>
        <w:t xml:space="preserve"> National Anthem Law (</w:t>
      </w:r>
      <w:r w:rsidR="001D38D8" w:rsidRPr="00100776">
        <w:rPr>
          <w:lang w:val="en-GB"/>
        </w:rPr>
        <w:t>Cheng</w:t>
      </w:r>
      <w:r w:rsidR="00D779F8" w:rsidRPr="00100776">
        <w:rPr>
          <w:lang w:val="en-GB"/>
        </w:rPr>
        <w:t>, 2020; Morris &amp; Vickers, 2015</w:t>
      </w:r>
      <w:r w:rsidR="00247443" w:rsidRPr="00100776">
        <w:rPr>
          <w:lang w:val="en-GB"/>
        </w:rPr>
        <w:t>).</w:t>
      </w:r>
      <w:r w:rsidR="00D779F8" w:rsidRPr="00100776">
        <w:rPr>
          <w:lang w:val="en-GB"/>
        </w:rPr>
        <w:t xml:space="preserve"> </w:t>
      </w:r>
      <w:r w:rsidRPr="00100776">
        <w:rPr>
          <w:lang w:val="en-GB"/>
        </w:rPr>
        <w:t>The 3-3-4 education reform</w:t>
      </w:r>
      <w:r w:rsidR="005B3FDD" w:rsidRPr="00100776">
        <w:rPr>
          <w:lang w:val="en-GB"/>
        </w:rPr>
        <w:t>s</w:t>
      </w:r>
      <w:r w:rsidRPr="00100776">
        <w:rPr>
          <w:lang w:val="en-GB"/>
        </w:rPr>
        <w:t xml:space="preserve"> </w:t>
      </w:r>
      <w:r w:rsidR="00452C2D" w:rsidRPr="00100776">
        <w:rPr>
          <w:lang w:val="en-GB"/>
        </w:rPr>
        <w:t xml:space="preserve">of </w:t>
      </w:r>
      <w:r w:rsidRPr="00100776">
        <w:rPr>
          <w:lang w:val="en-GB"/>
        </w:rPr>
        <w:t xml:space="preserve">2009 </w:t>
      </w:r>
      <w:r w:rsidR="00452C2D" w:rsidRPr="00100776">
        <w:rPr>
          <w:lang w:val="en-GB"/>
        </w:rPr>
        <w:t xml:space="preserve">resulted in </w:t>
      </w:r>
      <w:r w:rsidRPr="00100776">
        <w:rPr>
          <w:lang w:val="en-GB"/>
        </w:rPr>
        <w:t xml:space="preserve">drastic changes </w:t>
      </w:r>
      <w:r w:rsidR="005B3FDD" w:rsidRPr="00100776">
        <w:rPr>
          <w:lang w:val="en-GB"/>
        </w:rPr>
        <w:t xml:space="preserve">being made </w:t>
      </w:r>
      <w:r w:rsidR="00452C2D" w:rsidRPr="00100776">
        <w:rPr>
          <w:lang w:val="en-GB"/>
        </w:rPr>
        <w:t xml:space="preserve">to the structure of </w:t>
      </w:r>
      <w:r w:rsidR="0002344B" w:rsidRPr="00100776">
        <w:rPr>
          <w:lang w:val="en-GB"/>
        </w:rPr>
        <w:t>secondary school education,</w:t>
      </w:r>
      <w:r w:rsidRPr="00100776">
        <w:rPr>
          <w:lang w:val="en-GB"/>
        </w:rPr>
        <w:t xml:space="preserve"> </w:t>
      </w:r>
      <w:r w:rsidR="00452C2D" w:rsidRPr="00100776">
        <w:rPr>
          <w:lang w:val="en-GB"/>
        </w:rPr>
        <w:t xml:space="preserve">the Hong Kong Diploma of Secondary Education (HKDSE) replacing </w:t>
      </w:r>
      <w:r w:rsidR="0002344B" w:rsidRPr="00100776">
        <w:rPr>
          <w:lang w:val="en-GB"/>
        </w:rPr>
        <w:t>the</w:t>
      </w:r>
      <w:r w:rsidRPr="00100776">
        <w:rPr>
          <w:lang w:val="en-GB"/>
        </w:rPr>
        <w:t xml:space="preserve"> Hong Kong Certificate of Education Examination (HKCEE) and the Hong Kong Advanced Level Examination (HKALE) as the major entrance examination </w:t>
      </w:r>
      <w:r w:rsidR="005B3FDD" w:rsidRPr="00100776">
        <w:rPr>
          <w:lang w:val="en-GB"/>
        </w:rPr>
        <w:t xml:space="preserve">for further education being undertaken by nearly all students, </w:t>
      </w:r>
      <w:r w:rsidR="00B76991" w:rsidRPr="00100776">
        <w:rPr>
          <w:lang w:val="en-GB"/>
        </w:rPr>
        <w:t xml:space="preserve">in </w:t>
      </w:r>
      <w:r w:rsidR="00793A00" w:rsidRPr="00100776">
        <w:rPr>
          <w:lang w:val="en-GB"/>
        </w:rPr>
        <w:t>so doing</w:t>
      </w:r>
      <w:r w:rsidR="00B76991" w:rsidRPr="00100776">
        <w:rPr>
          <w:lang w:val="en-GB"/>
        </w:rPr>
        <w:t xml:space="preserve"> </w:t>
      </w:r>
      <w:r w:rsidR="005B3FDD" w:rsidRPr="00100776">
        <w:rPr>
          <w:lang w:val="en-GB"/>
        </w:rPr>
        <w:t>shifting one year of study from the secondary to the tertiary level</w:t>
      </w:r>
      <w:r w:rsidR="00452C2D" w:rsidRPr="00100776">
        <w:rPr>
          <w:lang w:val="en-GB"/>
        </w:rPr>
        <w:t>.</w:t>
      </w:r>
      <w:r w:rsidRPr="00100776">
        <w:rPr>
          <w:lang w:val="en-GB"/>
        </w:rPr>
        <w:t xml:space="preserve"> </w:t>
      </w:r>
    </w:p>
    <w:p w14:paraId="575DD6C7" w14:textId="640103B6" w:rsidR="00952D71" w:rsidRPr="00100776" w:rsidRDefault="00165E83" w:rsidP="00D5670A">
      <w:pPr>
        <w:rPr>
          <w:lang w:val="en-GB"/>
        </w:rPr>
      </w:pPr>
      <w:r w:rsidRPr="00100776">
        <w:rPr>
          <w:lang w:val="en-GB"/>
        </w:rPr>
        <w:t>In response to globali</w:t>
      </w:r>
      <w:r w:rsidR="00793A00" w:rsidRPr="00100776">
        <w:rPr>
          <w:lang w:val="en-GB"/>
        </w:rPr>
        <w:t>s</w:t>
      </w:r>
      <w:r w:rsidRPr="00100776">
        <w:rPr>
          <w:lang w:val="en-GB"/>
        </w:rPr>
        <w:t>ation</w:t>
      </w:r>
      <w:r w:rsidR="00324904" w:rsidRPr="00100776">
        <w:rPr>
          <w:lang w:val="en-GB"/>
        </w:rPr>
        <w:t>,</w:t>
      </w:r>
      <w:r w:rsidRPr="00100776">
        <w:rPr>
          <w:lang w:val="en-GB"/>
        </w:rPr>
        <w:t xml:space="preserve"> </w:t>
      </w:r>
      <w:r w:rsidR="000E02F5" w:rsidRPr="00100776">
        <w:rPr>
          <w:lang w:val="en-GB"/>
        </w:rPr>
        <w:t xml:space="preserve">and </w:t>
      </w:r>
      <w:r w:rsidR="00BD4431" w:rsidRPr="00100776">
        <w:rPr>
          <w:lang w:val="en-GB"/>
        </w:rPr>
        <w:t>as part of the process of addressing</w:t>
      </w:r>
      <w:r w:rsidR="000E02F5" w:rsidRPr="00100776">
        <w:rPr>
          <w:lang w:val="en-GB"/>
        </w:rPr>
        <w:t xml:space="preserve"> </w:t>
      </w:r>
      <w:r w:rsidR="006C487C" w:rsidRPr="00100776">
        <w:rPr>
          <w:lang w:val="en-GB"/>
        </w:rPr>
        <w:t xml:space="preserve">local </w:t>
      </w:r>
      <w:r w:rsidR="000E02F5" w:rsidRPr="00100776">
        <w:rPr>
          <w:lang w:val="en-GB"/>
        </w:rPr>
        <w:t>culture</w:t>
      </w:r>
      <w:r w:rsidR="006C487C" w:rsidRPr="00100776">
        <w:rPr>
          <w:lang w:val="en-GB"/>
        </w:rPr>
        <w:t>s</w:t>
      </w:r>
      <w:r w:rsidRPr="00100776">
        <w:rPr>
          <w:lang w:val="en-GB"/>
        </w:rPr>
        <w:t xml:space="preserve">, </w:t>
      </w:r>
      <w:r w:rsidR="00BD4431" w:rsidRPr="00100776">
        <w:rPr>
          <w:lang w:val="en-GB"/>
        </w:rPr>
        <w:t xml:space="preserve">the </w:t>
      </w:r>
      <w:r w:rsidRPr="00100776">
        <w:rPr>
          <w:lang w:val="en-GB"/>
        </w:rPr>
        <w:t>c</w:t>
      </w:r>
      <w:r w:rsidR="00C92EBF" w:rsidRPr="00100776">
        <w:rPr>
          <w:lang w:val="en-GB"/>
        </w:rPr>
        <w:t xml:space="preserve">urriculum changes in </w:t>
      </w:r>
      <w:r w:rsidRPr="00100776">
        <w:rPr>
          <w:lang w:val="en-GB"/>
        </w:rPr>
        <w:t>music</w:t>
      </w:r>
      <w:r w:rsidR="00BD4431" w:rsidRPr="00100776">
        <w:rPr>
          <w:lang w:val="en-GB"/>
        </w:rPr>
        <w:t>, when considered</w:t>
      </w:r>
      <w:r w:rsidRPr="00100776">
        <w:rPr>
          <w:lang w:val="en-GB"/>
        </w:rPr>
        <w:t xml:space="preserve"> </w:t>
      </w:r>
      <w:r w:rsidR="000E02F5" w:rsidRPr="00100776">
        <w:rPr>
          <w:lang w:val="en-GB"/>
        </w:rPr>
        <w:t>alongside the education</w:t>
      </w:r>
      <w:r w:rsidR="001222D9" w:rsidRPr="00100776">
        <w:rPr>
          <w:lang w:val="en-GB"/>
        </w:rPr>
        <w:t>al</w:t>
      </w:r>
      <w:r w:rsidR="000E02F5" w:rsidRPr="00100776">
        <w:rPr>
          <w:lang w:val="en-GB"/>
        </w:rPr>
        <w:t xml:space="preserve"> reform</w:t>
      </w:r>
      <w:r w:rsidR="00BD4431" w:rsidRPr="00100776">
        <w:rPr>
          <w:lang w:val="en-GB"/>
        </w:rPr>
        <w:t>s,</w:t>
      </w:r>
      <w:r w:rsidRPr="00100776">
        <w:rPr>
          <w:lang w:val="en-GB"/>
        </w:rPr>
        <w:t xml:space="preserve"> reflect a </w:t>
      </w:r>
      <w:r w:rsidR="00C92EBF" w:rsidRPr="00100776">
        <w:rPr>
          <w:lang w:val="en-GB"/>
        </w:rPr>
        <w:t>shift</w:t>
      </w:r>
      <w:r w:rsidRPr="00100776">
        <w:rPr>
          <w:lang w:val="en-GB"/>
        </w:rPr>
        <w:t xml:space="preserve"> </w:t>
      </w:r>
      <w:r w:rsidR="00C92EBF" w:rsidRPr="00100776">
        <w:rPr>
          <w:lang w:val="en-GB"/>
        </w:rPr>
        <w:t xml:space="preserve">from the homogeneity of Western classical music </w:t>
      </w:r>
      <w:r w:rsidRPr="00100776">
        <w:rPr>
          <w:lang w:val="en-GB"/>
        </w:rPr>
        <w:t xml:space="preserve">to </w:t>
      </w:r>
      <w:r w:rsidR="00C92EBF" w:rsidRPr="00100776">
        <w:rPr>
          <w:lang w:val="en-GB"/>
        </w:rPr>
        <w:t xml:space="preserve">a more inclusive curriculum that </w:t>
      </w:r>
      <w:r w:rsidRPr="00100776">
        <w:rPr>
          <w:lang w:val="en-GB"/>
        </w:rPr>
        <w:t>also includes</w:t>
      </w:r>
      <w:r w:rsidR="000E02F5" w:rsidRPr="00100776">
        <w:rPr>
          <w:lang w:val="en-GB"/>
        </w:rPr>
        <w:t xml:space="preserve"> Cantonese, Chinese and popular</w:t>
      </w:r>
      <w:r w:rsidR="00C92EBF" w:rsidRPr="00100776">
        <w:rPr>
          <w:lang w:val="en-GB"/>
        </w:rPr>
        <w:t xml:space="preserve"> music (Curriculum Development Council,</w:t>
      </w:r>
      <w:r w:rsidR="00E97F4C" w:rsidRPr="00100776">
        <w:rPr>
          <w:lang w:val="en-GB"/>
        </w:rPr>
        <w:t xml:space="preserve"> 201</w:t>
      </w:r>
      <w:r w:rsidR="00F24099" w:rsidRPr="00100776">
        <w:rPr>
          <w:lang w:val="en-GB"/>
        </w:rPr>
        <w:t>5</w:t>
      </w:r>
      <w:r w:rsidR="00C92EBF" w:rsidRPr="00100776">
        <w:rPr>
          <w:lang w:val="en-GB"/>
        </w:rPr>
        <w:t>)</w:t>
      </w:r>
      <w:r w:rsidRPr="00100776">
        <w:rPr>
          <w:lang w:val="en-GB"/>
        </w:rPr>
        <w:t>.</w:t>
      </w:r>
      <w:r w:rsidR="00C92EBF" w:rsidRPr="00100776">
        <w:rPr>
          <w:lang w:val="en-GB"/>
        </w:rPr>
        <w:t xml:space="preserve"> </w:t>
      </w:r>
      <w:r w:rsidR="00A70C44" w:rsidRPr="00100776">
        <w:rPr>
          <w:lang w:val="en-GB"/>
        </w:rPr>
        <w:t>The holistic reform</w:t>
      </w:r>
      <w:r w:rsidR="00BD4431" w:rsidRPr="00100776">
        <w:rPr>
          <w:lang w:val="en-GB"/>
        </w:rPr>
        <w:t>s</w:t>
      </w:r>
      <w:r w:rsidR="00A70C44" w:rsidRPr="00100776">
        <w:rPr>
          <w:lang w:val="en-GB"/>
        </w:rPr>
        <w:t xml:space="preserve"> also advocate </w:t>
      </w:r>
      <w:r w:rsidR="00BD4431" w:rsidRPr="00100776">
        <w:rPr>
          <w:lang w:val="en-GB"/>
        </w:rPr>
        <w:t xml:space="preserve">for </w:t>
      </w:r>
      <w:r w:rsidR="00A70C44" w:rsidRPr="00100776">
        <w:rPr>
          <w:lang w:val="en-GB"/>
        </w:rPr>
        <w:t xml:space="preserve">the integration of listening, performing and creating </w:t>
      </w:r>
      <w:r w:rsidR="00BD4431" w:rsidRPr="00100776">
        <w:rPr>
          <w:lang w:val="en-GB"/>
        </w:rPr>
        <w:t xml:space="preserve">activities </w:t>
      </w:r>
      <w:r w:rsidR="00A70C44" w:rsidRPr="00100776">
        <w:rPr>
          <w:lang w:val="en-GB"/>
        </w:rPr>
        <w:t xml:space="preserve">in teaching units in order to achieve </w:t>
      </w:r>
      <w:r w:rsidR="00BD4431" w:rsidRPr="00100776">
        <w:rPr>
          <w:lang w:val="en-GB"/>
        </w:rPr>
        <w:t xml:space="preserve">the </w:t>
      </w:r>
      <w:r w:rsidR="00A70C44" w:rsidRPr="00100776">
        <w:rPr>
          <w:lang w:val="en-GB"/>
        </w:rPr>
        <w:t>learning targets</w:t>
      </w:r>
      <w:r w:rsidR="00952D71" w:rsidRPr="00100776">
        <w:rPr>
          <w:lang w:val="en-GB"/>
        </w:rPr>
        <w:t xml:space="preserve"> of the secondary music curriculum and the overall aims of the arts education key learning area set by the authority </w:t>
      </w:r>
      <w:r w:rsidR="008B6AEE" w:rsidRPr="00100776">
        <w:rPr>
          <w:lang w:val="en-GB"/>
        </w:rPr>
        <w:t xml:space="preserve">(see Table </w:t>
      </w:r>
      <w:r w:rsidR="00A730B8" w:rsidRPr="00100776">
        <w:rPr>
          <w:lang w:val="en-GB"/>
        </w:rPr>
        <w:t>6</w:t>
      </w:r>
      <w:r w:rsidR="008B6AEE" w:rsidRPr="00100776">
        <w:rPr>
          <w:lang w:val="en-GB"/>
        </w:rPr>
        <w:t xml:space="preserve">) </w:t>
      </w:r>
      <w:r w:rsidR="00952D71" w:rsidRPr="00100776">
        <w:rPr>
          <w:lang w:val="en-GB"/>
        </w:rPr>
        <w:t>(Curriculum Development Council, 2017).</w:t>
      </w:r>
    </w:p>
    <w:p w14:paraId="09D284E6" w14:textId="592AB8A7" w:rsidR="007804BC" w:rsidRPr="00100776" w:rsidRDefault="00EB2465" w:rsidP="006664D5">
      <w:pPr>
        <w:rPr>
          <w:lang w:val="en-GB"/>
        </w:rPr>
      </w:pPr>
      <w:r w:rsidRPr="00100776">
        <w:rPr>
          <w:lang w:val="en-GB"/>
        </w:rPr>
        <w:t>M</w:t>
      </w:r>
      <w:r w:rsidR="007804BC" w:rsidRPr="00100776">
        <w:rPr>
          <w:lang w:val="en-GB"/>
        </w:rPr>
        <w:t xml:space="preserve">usic </w:t>
      </w:r>
      <w:r w:rsidR="00F86957" w:rsidRPr="00100776">
        <w:rPr>
          <w:lang w:val="en-GB"/>
        </w:rPr>
        <w:t>has long been an</w:t>
      </w:r>
      <w:r w:rsidR="007804BC" w:rsidRPr="00100776">
        <w:rPr>
          <w:lang w:val="en-GB"/>
        </w:rPr>
        <w:t xml:space="preserve"> elective subject</w:t>
      </w:r>
      <w:r w:rsidR="00F86957" w:rsidRPr="00100776">
        <w:rPr>
          <w:lang w:val="en-GB"/>
        </w:rPr>
        <w:t xml:space="preserve"> as </w:t>
      </w:r>
      <w:r w:rsidR="007804BC" w:rsidRPr="00100776">
        <w:rPr>
          <w:lang w:val="en-GB" w:eastAsia="zh-TW"/>
        </w:rPr>
        <w:t xml:space="preserve">part of the HKCEE and HKALE examination systems, which were established during the colonial period for students to pursue continued education. </w:t>
      </w:r>
      <w:r w:rsidR="006B30D5" w:rsidRPr="00100776">
        <w:rPr>
          <w:lang w:val="en-GB" w:eastAsia="zh-TW"/>
        </w:rPr>
        <w:t>Although t</w:t>
      </w:r>
      <w:r w:rsidR="007804BC" w:rsidRPr="00100776">
        <w:rPr>
          <w:lang w:val="en-GB" w:eastAsia="zh-TW"/>
        </w:rPr>
        <w:t>hese e</w:t>
      </w:r>
      <w:r w:rsidR="007804BC" w:rsidRPr="00100776">
        <w:rPr>
          <w:lang w:val="en-GB"/>
        </w:rPr>
        <w:t>arly music examinations focused mostly on Western classical music</w:t>
      </w:r>
      <w:r w:rsidR="006B30D5" w:rsidRPr="00100776">
        <w:rPr>
          <w:lang w:val="en-GB"/>
        </w:rPr>
        <w:t>,</w:t>
      </w:r>
      <w:r w:rsidR="007804BC" w:rsidRPr="00100776">
        <w:rPr>
          <w:lang w:val="en-GB"/>
        </w:rPr>
        <w:t xml:space="preserve"> </w:t>
      </w:r>
      <w:r w:rsidR="006B30D5" w:rsidRPr="00100776">
        <w:rPr>
          <w:lang w:val="en-GB"/>
        </w:rPr>
        <w:t>e</w:t>
      </w:r>
      <w:r w:rsidR="007804BC" w:rsidRPr="00100776">
        <w:rPr>
          <w:lang w:val="en-GB"/>
        </w:rPr>
        <w:t xml:space="preserve">lements of Chinese music were increasingly included and in 1989 the term </w:t>
      </w:r>
      <w:r w:rsidR="00F86957" w:rsidRPr="00100776">
        <w:rPr>
          <w:lang w:val="en-GB"/>
        </w:rPr>
        <w:t>‘</w:t>
      </w:r>
      <w:r w:rsidR="007804BC" w:rsidRPr="00100776">
        <w:rPr>
          <w:lang w:val="en-GB"/>
        </w:rPr>
        <w:t>Chinese music</w:t>
      </w:r>
      <w:r w:rsidR="00F86957" w:rsidRPr="00100776">
        <w:rPr>
          <w:lang w:val="en-GB"/>
        </w:rPr>
        <w:t>’</w:t>
      </w:r>
      <w:r w:rsidR="007804BC" w:rsidRPr="00100776">
        <w:rPr>
          <w:lang w:val="en-GB"/>
        </w:rPr>
        <w:t xml:space="preserve"> was first mentioned in an official document by the </w:t>
      </w:r>
      <w:r w:rsidR="006B30D5" w:rsidRPr="00100776">
        <w:rPr>
          <w:lang w:val="en-GB"/>
        </w:rPr>
        <w:t>E</w:t>
      </w:r>
      <w:r w:rsidR="007804BC" w:rsidRPr="00100776">
        <w:rPr>
          <w:lang w:val="en-GB"/>
        </w:rPr>
        <w:t xml:space="preserve">xamination </w:t>
      </w:r>
      <w:r w:rsidR="006B30D5" w:rsidRPr="00100776">
        <w:rPr>
          <w:lang w:val="en-GB"/>
        </w:rPr>
        <w:t>A</w:t>
      </w:r>
      <w:r w:rsidR="007804BC" w:rsidRPr="00100776">
        <w:rPr>
          <w:lang w:val="en-GB"/>
        </w:rPr>
        <w:t xml:space="preserve">uthority (Fung, 1997). By 1995, candidates were allowed to choose between </w:t>
      </w:r>
      <w:r w:rsidR="006B30D5" w:rsidRPr="00100776">
        <w:rPr>
          <w:lang w:val="en-GB"/>
        </w:rPr>
        <w:t xml:space="preserve">being </w:t>
      </w:r>
      <w:r w:rsidR="007804BC" w:rsidRPr="00100776">
        <w:rPr>
          <w:lang w:val="en-GB"/>
        </w:rPr>
        <w:t>test</w:t>
      </w:r>
      <w:r w:rsidR="006B30D5" w:rsidRPr="00100776">
        <w:rPr>
          <w:lang w:val="en-GB"/>
        </w:rPr>
        <w:t>ed</w:t>
      </w:r>
      <w:r w:rsidR="007804BC" w:rsidRPr="00100776">
        <w:rPr>
          <w:lang w:val="en-GB"/>
        </w:rPr>
        <w:t xml:space="preserve"> on Chinese traditional music and contemporary music. </w:t>
      </w:r>
      <w:r w:rsidR="006664D5" w:rsidRPr="00100776">
        <w:rPr>
          <w:lang w:val="en-GB"/>
        </w:rPr>
        <w:t>Towards the end of the millennium</w:t>
      </w:r>
      <w:r w:rsidR="007804BC" w:rsidRPr="00100776">
        <w:rPr>
          <w:lang w:val="en-GB"/>
        </w:rPr>
        <w:t xml:space="preserve">, world music was also included </w:t>
      </w:r>
      <w:r w:rsidR="006B30D5" w:rsidRPr="00100776">
        <w:rPr>
          <w:lang w:val="en-GB"/>
        </w:rPr>
        <w:t>on the</w:t>
      </w:r>
      <w:r w:rsidR="007804BC" w:rsidRPr="00100776">
        <w:rPr>
          <w:lang w:val="en-GB"/>
        </w:rPr>
        <w:t xml:space="preserve"> </w:t>
      </w:r>
      <w:r w:rsidR="007804BC" w:rsidRPr="00100776">
        <w:rPr>
          <w:lang w:val="en-GB"/>
        </w:rPr>
        <w:lastRenderedPageBreak/>
        <w:t>HKALE examination syllabus</w:t>
      </w:r>
      <w:r w:rsidR="006B30D5" w:rsidRPr="00100776">
        <w:rPr>
          <w:lang w:val="en-GB"/>
        </w:rPr>
        <w:t>, although it was noticeably smaller</w:t>
      </w:r>
      <w:r w:rsidR="007804BC" w:rsidRPr="00100776">
        <w:rPr>
          <w:lang w:val="en-GB"/>
        </w:rPr>
        <w:t xml:space="preserve"> (0.5%-0.8%) </w:t>
      </w:r>
      <w:r w:rsidR="006B30D5" w:rsidRPr="00100776">
        <w:rPr>
          <w:lang w:val="en-GB"/>
        </w:rPr>
        <w:t>than either</w:t>
      </w:r>
      <w:r w:rsidR="007804BC" w:rsidRPr="00100776">
        <w:rPr>
          <w:lang w:val="en-GB"/>
        </w:rPr>
        <w:t xml:space="preserve"> Chinese (34-36%) </w:t>
      </w:r>
      <w:r w:rsidR="006B30D5" w:rsidRPr="00100776">
        <w:rPr>
          <w:lang w:val="en-GB"/>
        </w:rPr>
        <w:t xml:space="preserve">or </w:t>
      </w:r>
      <w:r w:rsidR="007804BC" w:rsidRPr="00100776">
        <w:rPr>
          <w:lang w:val="en-GB"/>
        </w:rPr>
        <w:t>Western classical (63-66%) music.</w:t>
      </w:r>
      <w:r w:rsidR="006664D5" w:rsidRPr="00100776">
        <w:rPr>
          <w:lang w:val="en-GB"/>
        </w:rPr>
        <w:t xml:space="preserve"> </w:t>
      </w:r>
      <w:r w:rsidR="006664D5" w:rsidRPr="00100776">
        <w:rPr>
          <w:lang w:val="en-GB" w:eastAsia="zh-TW"/>
        </w:rPr>
        <w:t xml:space="preserve">Music </w:t>
      </w:r>
      <w:r w:rsidR="006B30D5" w:rsidRPr="00100776">
        <w:rPr>
          <w:lang w:val="en-GB" w:eastAsia="zh-TW"/>
        </w:rPr>
        <w:t xml:space="preserve">as a </w:t>
      </w:r>
      <w:r w:rsidR="0077589C" w:rsidRPr="00100776">
        <w:rPr>
          <w:lang w:val="en-GB" w:eastAsia="zh-TW"/>
        </w:rPr>
        <w:t>subject</w:t>
      </w:r>
      <w:r w:rsidR="006664D5" w:rsidRPr="00100776">
        <w:rPr>
          <w:lang w:val="en-GB" w:eastAsia="zh-TW"/>
        </w:rPr>
        <w:t xml:space="preserve"> </w:t>
      </w:r>
      <w:r w:rsidR="006B30D5" w:rsidRPr="00100776">
        <w:rPr>
          <w:lang w:val="en-GB" w:eastAsia="zh-TW"/>
        </w:rPr>
        <w:t>with</w:t>
      </w:r>
      <w:r w:rsidR="006664D5" w:rsidRPr="00100776">
        <w:rPr>
          <w:lang w:val="en-GB" w:eastAsia="zh-TW"/>
        </w:rPr>
        <w:t xml:space="preserve">in the </w:t>
      </w:r>
      <w:r w:rsidR="007804BC" w:rsidRPr="00100776">
        <w:rPr>
          <w:lang w:val="en-GB"/>
        </w:rPr>
        <w:t>HKDSE</w:t>
      </w:r>
      <w:r w:rsidR="006B30D5" w:rsidRPr="00100776">
        <w:rPr>
          <w:lang w:val="en-GB"/>
        </w:rPr>
        <w:t xml:space="preserve"> </w:t>
      </w:r>
      <w:r w:rsidR="007804BC" w:rsidRPr="00100776">
        <w:rPr>
          <w:lang w:val="en-GB"/>
        </w:rPr>
        <w:t>consists of three compulsory components: Listening (40%), Performing I (20%), and Creating I (20%)</w:t>
      </w:r>
      <w:r w:rsidR="00C50BA1" w:rsidRPr="00100776">
        <w:rPr>
          <w:lang w:val="en-GB"/>
        </w:rPr>
        <w:t>, the second and third</w:t>
      </w:r>
      <w:r w:rsidR="007804BC" w:rsidRPr="00100776">
        <w:rPr>
          <w:lang w:val="en-GB"/>
        </w:rPr>
        <w:t xml:space="preserve"> </w:t>
      </w:r>
      <w:r w:rsidR="00425621" w:rsidRPr="00100776">
        <w:rPr>
          <w:lang w:val="en-GB"/>
        </w:rPr>
        <w:t>giving</w:t>
      </w:r>
      <w:r w:rsidR="007804BC" w:rsidRPr="00100776">
        <w:rPr>
          <w:lang w:val="en-GB"/>
        </w:rPr>
        <w:t xml:space="preserve"> candidates </w:t>
      </w:r>
      <w:r w:rsidR="00425621" w:rsidRPr="00100776">
        <w:rPr>
          <w:lang w:val="en-GB"/>
        </w:rPr>
        <w:t>the option of</w:t>
      </w:r>
      <w:r w:rsidR="007804BC" w:rsidRPr="00100776">
        <w:rPr>
          <w:lang w:val="en-GB"/>
        </w:rPr>
        <w:t xml:space="preserve"> perform</w:t>
      </w:r>
      <w:r w:rsidR="00425621" w:rsidRPr="00100776">
        <w:rPr>
          <w:lang w:val="en-GB"/>
        </w:rPr>
        <w:t>ing</w:t>
      </w:r>
      <w:r w:rsidR="007804BC" w:rsidRPr="00100776">
        <w:rPr>
          <w:lang w:val="en-GB"/>
        </w:rPr>
        <w:t xml:space="preserve"> and compos</w:t>
      </w:r>
      <w:r w:rsidR="00425621" w:rsidRPr="00100776">
        <w:rPr>
          <w:lang w:val="en-GB"/>
        </w:rPr>
        <w:t>ing</w:t>
      </w:r>
      <w:r w:rsidR="007804BC" w:rsidRPr="00100776">
        <w:rPr>
          <w:lang w:val="en-GB"/>
        </w:rPr>
        <w:t xml:space="preserve"> Western classical, Chinese, or even other genres such as popular, jazz, and electronic</w:t>
      </w:r>
      <w:r w:rsidR="00CD14AA" w:rsidRPr="00100776">
        <w:rPr>
          <w:lang w:val="en-GB"/>
        </w:rPr>
        <w:t>,</w:t>
      </w:r>
      <w:r w:rsidR="007804BC" w:rsidRPr="00100776">
        <w:rPr>
          <w:lang w:val="en-GB"/>
        </w:rPr>
        <w:t xml:space="preserve"> music. The listening component consists of two parts divided into four paper examinations, namely</w:t>
      </w:r>
      <w:r w:rsidR="00425621" w:rsidRPr="00100776">
        <w:rPr>
          <w:lang w:val="en-GB"/>
        </w:rPr>
        <w:t>:</w:t>
      </w:r>
      <w:r w:rsidR="007804BC" w:rsidRPr="00100776">
        <w:rPr>
          <w:lang w:val="en-GB"/>
        </w:rPr>
        <w:t xml:space="preserve"> (</w:t>
      </w:r>
      <w:r w:rsidR="00F66692" w:rsidRPr="00100776">
        <w:rPr>
          <w:lang w:val="en-GB"/>
        </w:rPr>
        <w:t>1</w:t>
      </w:r>
      <w:r w:rsidR="007804BC" w:rsidRPr="00100776">
        <w:rPr>
          <w:lang w:val="en-GB"/>
        </w:rPr>
        <w:t>) Music in the Western classical tradition (20%)</w:t>
      </w:r>
      <w:r w:rsidR="00425621" w:rsidRPr="00100776">
        <w:rPr>
          <w:lang w:val="en-GB"/>
        </w:rPr>
        <w:t>;</w:t>
      </w:r>
      <w:r w:rsidR="007804BC" w:rsidRPr="00100776">
        <w:rPr>
          <w:lang w:val="en-GB"/>
        </w:rPr>
        <w:t xml:space="preserve"> (</w:t>
      </w:r>
      <w:r w:rsidR="00F66692" w:rsidRPr="00100776">
        <w:rPr>
          <w:lang w:val="en-GB"/>
        </w:rPr>
        <w:t>2</w:t>
      </w:r>
      <w:r w:rsidR="007804BC" w:rsidRPr="00100776">
        <w:rPr>
          <w:lang w:val="en-GB"/>
        </w:rPr>
        <w:t>) Chinese instrumental music (8%)</w:t>
      </w:r>
      <w:r w:rsidR="00425621" w:rsidRPr="00100776">
        <w:rPr>
          <w:lang w:val="en-GB"/>
        </w:rPr>
        <w:t>;</w:t>
      </w:r>
      <w:r w:rsidR="007804BC" w:rsidRPr="00100776">
        <w:rPr>
          <w:lang w:val="en-GB"/>
        </w:rPr>
        <w:t xml:space="preserve"> (</w:t>
      </w:r>
      <w:r w:rsidR="00F66692" w:rsidRPr="00100776">
        <w:rPr>
          <w:lang w:val="en-GB"/>
        </w:rPr>
        <w:t>3)</w:t>
      </w:r>
      <w:r w:rsidR="007804BC" w:rsidRPr="00100776">
        <w:rPr>
          <w:lang w:val="en-GB"/>
        </w:rPr>
        <w:t xml:space="preserve"> Cantonese operatic music (6%)</w:t>
      </w:r>
      <w:r w:rsidR="00425621" w:rsidRPr="00100776">
        <w:rPr>
          <w:lang w:val="en-GB"/>
        </w:rPr>
        <w:t>;</w:t>
      </w:r>
      <w:r w:rsidR="007804BC" w:rsidRPr="00100776">
        <w:rPr>
          <w:lang w:val="en-GB"/>
        </w:rPr>
        <w:t xml:space="preserve"> and (</w:t>
      </w:r>
      <w:r w:rsidR="00F66692" w:rsidRPr="00100776">
        <w:rPr>
          <w:lang w:val="en-GB"/>
        </w:rPr>
        <w:t>4</w:t>
      </w:r>
      <w:r w:rsidR="007804BC" w:rsidRPr="00100776">
        <w:rPr>
          <w:lang w:val="en-GB"/>
        </w:rPr>
        <w:t xml:space="preserve">) Local and Western popular music (6%). </w:t>
      </w:r>
      <w:r w:rsidR="00425621" w:rsidRPr="00100776">
        <w:rPr>
          <w:lang w:val="en-GB"/>
        </w:rPr>
        <w:t xml:space="preserve">The percentage share of </w:t>
      </w:r>
      <w:r w:rsidR="007804BC" w:rsidRPr="00100776">
        <w:rPr>
          <w:lang w:val="en-GB"/>
        </w:rPr>
        <w:t xml:space="preserve">Western classical music, therefore, </w:t>
      </w:r>
      <w:r w:rsidR="00425621" w:rsidRPr="00100776">
        <w:rPr>
          <w:lang w:val="en-GB"/>
        </w:rPr>
        <w:t>is the same as the other three musical cultures combined</w:t>
      </w:r>
      <w:r w:rsidR="007804BC" w:rsidRPr="00100776">
        <w:rPr>
          <w:lang w:val="en-GB"/>
        </w:rPr>
        <w:t xml:space="preserve">. </w:t>
      </w:r>
      <w:r w:rsidR="002E7198" w:rsidRPr="00100776">
        <w:rPr>
          <w:iCs/>
          <w:lang w:val="en-GB"/>
        </w:rPr>
        <w:t xml:space="preserve">Long </w:t>
      </w:r>
      <w:r w:rsidR="00AA03E3" w:rsidRPr="00100776">
        <w:rPr>
          <w:lang w:val="en-GB"/>
        </w:rPr>
        <w:t>underemphasi</w:t>
      </w:r>
      <w:r w:rsidR="00CD14AA" w:rsidRPr="00100776">
        <w:rPr>
          <w:lang w:val="en-GB"/>
        </w:rPr>
        <w:t>s</w:t>
      </w:r>
      <w:r w:rsidR="00AA03E3" w:rsidRPr="00100776">
        <w:rPr>
          <w:lang w:val="en-GB"/>
        </w:rPr>
        <w:t>ed in the music curriculum when compared with Western classical music (Ho, 1997; Leung, 2021)</w:t>
      </w:r>
      <w:r w:rsidR="002E7198" w:rsidRPr="00100776">
        <w:rPr>
          <w:lang w:val="en-GB"/>
        </w:rPr>
        <w:t>, the</w:t>
      </w:r>
      <w:r w:rsidR="004C2464" w:rsidRPr="00100776">
        <w:rPr>
          <w:lang w:val="en-GB"/>
        </w:rPr>
        <w:t xml:space="preserve"> </w:t>
      </w:r>
      <w:r w:rsidR="00923937" w:rsidRPr="00100776">
        <w:rPr>
          <w:iCs/>
          <w:lang w:val="en-GB"/>
        </w:rPr>
        <w:t xml:space="preserve">recognition of the unique subject matters of Chinese instrumental music, Cantonese opera and local popular music </w:t>
      </w:r>
      <w:r w:rsidR="00A7181E" w:rsidRPr="00100776">
        <w:rPr>
          <w:iCs/>
          <w:lang w:val="en-GB"/>
        </w:rPr>
        <w:t>was an important catalyst in</w:t>
      </w:r>
      <w:r w:rsidR="00AA03E3" w:rsidRPr="00100776">
        <w:rPr>
          <w:iCs/>
          <w:lang w:val="en-GB"/>
        </w:rPr>
        <w:t xml:space="preserve"> strengthen</w:t>
      </w:r>
      <w:r w:rsidR="00A7181E" w:rsidRPr="00100776">
        <w:rPr>
          <w:iCs/>
          <w:lang w:val="en-GB"/>
        </w:rPr>
        <w:t>ing</w:t>
      </w:r>
      <w:r w:rsidR="00AA03E3" w:rsidRPr="00100776">
        <w:rPr>
          <w:iCs/>
          <w:lang w:val="en-GB"/>
        </w:rPr>
        <w:t xml:space="preserve"> </w:t>
      </w:r>
      <w:r w:rsidR="00CD14AA" w:rsidRPr="00100776">
        <w:rPr>
          <w:iCs/>
          <w:lang w:val="en-GB"/>
        </w:rPr>
        <w:t xml:space="preserve">an </w:t>
      </w:r>
      <w:r w:rsidR="00AA03E3" w:rsidRPr="00100776">
        <w:rPr>
          <w:iCs/>
          <w:lang w:val="en-GB"/>
        </w:rPr>
        <w:t>understanding of national identity and</w:t>
      </w:r>
      <w:r w:rsidR="00A7181E" w:rsidRPr="00100776">
        <w:rPr>
          <w:iCs/>
          <w:lang w:val="en-GB"/>
        </w:rPr>
        <w:t xml:space="preserve"> the promotion of</w:t>
      </w:r>
      <w:r w:rsidR="00AA03E3" w:rsidRPr="00100776">
        <w:rPr>
          <w:iCs/>
          <w:lang w:val="en-GB"/>
        </w:rPr>
        <w:t xml:space="preserve"> local culture</w:t>
      </w:r>
      <w:r w:rsidR="00255499" w:rsidRPr="00100776">
        <w:rPr>
          <w:iCs/>
          <w:lang w:val="en-GB"/>
        </w:rPr>
        <w:t>,</w:t>
      </w:r>
      <w:r w:rsidR="00AA03E3" w:rsidRPr="00100776">
        <w:rPr>
          <w:iCs/>
          <w:lang w:val="en-GB"/>
        </w:rPr>
        <w:t xml:space="preserve"> </w:t>
      </w:r>
      <w:r w:rsidR="00255499" w:rsidRPr="00100776">
        <w:rPr>
          <w:iCs/>
          <w:lang w:val="en-GB"/>
        </w:rPr>
        <w:t xml:space="preserve"> while simultaneously attempting to increase the relevance of music as a subject within students’ </w:t>
      </w:r>
      <w:r w:rsidR="00284EC4" w:rsidRPr="00100776">
        <w:rPr>
          <w:iCs/>
          <w:lang w:val="en-GB"/>
        </w:rPr>
        <w:t>daily</w:t>
      </w:r>
      <w:r w:rsidR="00255499" w:rsidRPr="00100776">
        <w:rPr>
          <w:iCs/>
          <w:lang w:val="en-GB"/>
        </w:rPr>
        <w:t xml:space="preserve"> lives, </w:t>
      </w:r>
      <w:r w:rsidR="00A7181E" w:rsidRPr="00100776">
        <w:rPr>
          <w:iCs/>
          <w:lang w:val="en-GB"/>
        </w:rPr>
        <w:t xml:space="preserve">as directed </w:t>
      </w:r>
      <w:r w:rsidR="00AA03E3" w:rsidRPr="00100776">
        <w:rPr>
          <w:iCs/>
          <w:lang w:val="en-GB"/>
        </w:rPr>
        <w:t>by the education policy (</w:t>
      </w:r>
      <w:r w:rsidR="00AA03E3" w:rsidRPr="00100776">
        <w:rPr>
          <w:lang w:val="en-GB"/>
        </w:rPr>
        <w:t>Curriculum Development Council,</w:t>
      </w:r>
      <w:r w:rsidR="00E97F4C" w:rsidRPr="00100776">
        <w:rPr>
          <w:lang w:val="en-GB"/>
        </w:rPr>
        <w:t xml:space="preserve"> </w:t>
      </w:r>
      <w:r w:rsidR="00AA03E3" w:rsidRPr="00100776">
        <w:rPr>
          <w:lang w:val="en-GB"/>
        </w:rPr>
        <w:t>2017</w:t>
      </w:r>
      <w:r w:rsidR="00AA03E3" w:rsidRPr="00100776">
        <w:rPr>
          <w:iCs/>
          <w:lang w:val="en-GB"/>
        </w:rPr>
        <w:t xml:space="preserve">). </w:t>
      </w:r>
      <w:r w:rsidR="00A7181E" w:rsidRPr="00100776">
        <w:rPr>
          <w:lang w:val="en-GB"/>
        </w:rPr>
        <w:t>In addition to the</w:t>
      </w:r>
      <w:r w:rsidR="007804BC" w:rsidRPr="00100776">
        <w:rPr>
          <w:lang w:val="en-GB"/>
        </w:rPr>
        <w:t xml:space="preserve"> three compulsory components, candidates </w:t>
      </w:r>
      <w:r w:rsidR="00A7181E" w:rsidRPr="00100776">
        <w:rPr>
          <w:lang w:val="en-GB"/>
        </w:rPr>
        <w:t xml:space="preserve">are required to </w:t>
      </w:r>
      <w:r w:rsidR="007804BC" w:rsidRPr="00100776">
        <w:rPr>
          <w:lang w:val="en-GB"/>
        </w:rPr>
        <w:t xml:space="preserve">select one elective component </w:t>
      </w:r>
      <w:r w:rsidR="00A7181E" w:rsidRPr="00100776">
        <w:rPr>
          <w:lang w:val="en-GB"/>
        </w:rPr>
        <w:t xml:space="preserve">from among </w:t>
      </w:r>
      <w:r w:rsidR="007804BC" w:rsidRPr="00100776">
        <w:rPr>
          <w:lang w:val="en-GB"/>
        </w:rPr>
        <w:t>three</w:t>
      </w:r>
      <w:r w:rsidR="00A7181E" w:rsidRPr="00100776">
        <w:rPr>
          <w:lang w:val="en-GB"/>
        </w:rPr>
        <w:t xml:space="preserve"> options</w:t>
      </w:r>
      <w:r w:rsidR="007804BC" w:rsidRPr="00100776">
        <w:rPr>
          <w:lang w:val="en-GB"/>
        </w:rPr>
        <w:t xml:space="preserve">: Special Projects, Performing II, </w:t>
      </w:r>
      <w:r w:rsidR="0009167F" w:rsidRPr="00100776">
        <w:rPr>
          <w:lang w:val="en-GB"/>
        </w:rPr>
        <w:t>and</w:t>
      </w:r>
      <w:r w:rsidR="007804BC" w:rsidRPr="00100776">
        <w:rPr>
          <w:lang w:val="en-GB"/>
        </w:rPr>
        <w:t xml:space="preserve"> Creating II. Over 90% of candidates choose Performing II because they can apply for an exemption and a grade conversion</w:t>
      </w:r>
      <w:r w:rsidR="00A7181E" w:rsidRPr="00100776">
        <w:rPr>
          <w:lang w:val="en-GB"/>
        </w:rPr>
        <w:t xml:space="preserve"> based on the recognition of </w:t>
      </w:r>
      <w:r w:rsidR="007804BC" w:rsidRPr="00100776">
        <w:rPr>
          <w:lang w:val="en-GB"/>
        </w:rPr>
        <w:t>instrumental examination</w:t>
      </w:r>
      <w:r w:rsidR="00A7181E" w:rsidRPr="00100776">
        <w:rPr>
          <w:lang w:val="en-GB"/>
        </w:rPr>
        <w:t xml:space="preserve"> qualification</w:t>
      </w:r>
      <w:r w:rsidR="007804BC" w:rsidRPr="00100776">
        <w:rPr>
          <w:lang w:val="en-GB"/>
        </w:rPr>
        <w:t xml:space="preserve">s </w:t>
      </w:r>
      <w:r w:rsidR="00A7181E" w:rsidRPr="00100776">
        <w:rPr>
          <w:lang w:val="en-GB"/>
        </w:rPr>
        <w:t xml:space="preserve">given </w:t>
      </w:r>
      <w:r w:rsidR="007804BC" w:rsidRPr="00100776">
        <w:rPr>
          <w:lang w:val="en-GB"/>
        </w:rPr>
        <w:t>by awarding bodies such as the Associated Board of the Royal Schools of Music (ABRSM), the Trinity Guildhall Music Examinations, and the Central Conservatory of Music, Beijing</w:t>
      </w:r>
      <w:r w:rsidR="00A7181E" w:rsidRPr="00100776">
        <w:rPr>
          <w:lang w:val="en-GB"/>
        </w:rPr>
        <w:t xml:space="preserve">. </w:t>
      </w:r>
      <w:r w:rsidR="000073EB" w:rsidRPr="00100776">
        <w:rPr>
          <w:lang w:val="en-GB"/>
        </w:rPr>
        <w:t>These</w:t>
      </w:r>
      <w:r w:rsidR="00A7181E" w:rsidRPr="00100776">
        <w:rPr>
          <w:lang w:val="en-GB"/>
        </w:rPr>
        <w:t xml:space="preserve"> </w:t>
      </w:r>
      <w:r w:rsidR="00CC18F7" w:rsidRPr="00100776">
        <w:rPr>
          <w:lang w:val="en-GB"/>
        </w:rPr>
        <w:t>instrumental examination</w:t>
      </w:r>
      <w:r w:rsidR="00A7181E" w:rsidRPr="00100776">
        <w:rPr>
          <w:lang w:val="en-GB"/>
        </w:rPr>
        <w:t>s</w:t>
      </w:r>
      <w:r w:rsidR="00CC18F7" w:rsidRPr="00100776">
        <w:rPr>
          <w:lang w:val="en-GB"/>
        </w:rPr>
        <w:t xml:space="preserve"> </w:t>
      </w:r>
      <w:r w:rsidR="000073EB" w:rsidRPr="00100776">
        <w:rPr>
          <w:lang w:val="en-GB"/>
        </w:rPr>
        <w:t>are</w:t>
      </w:r>
      <w:r w:rsidR="00CC18F7" w:rsidRPr="00100776">
        <w:rPr>
          <w:lang w:val="en-GB"/>
        </w:rPr>
        <w:t xml:space="preserve"> very popular </w:t>
      </w:r>
      <w:r w:rsidR="00A7181E" w:rsidRPr="00100776">
        <w:rPr>
          <w:lang w:val="en-GB"/>
        </w:rPr>
        <w:t xml:space="preserve">among </w:t>
      </w:r>
      <w:r w:rsidR="002C7D79" w:rsidRPr="00100776">
        <w:rPr>
          <w:lang w:val="en-GB"/>
        </w:rPr>
        <w:t xml:space="preserve">many </w:t>
      </w:r>
      <w:r w:rsidR="00A7181E" w:rsidRPr="00100776">
        <w:rPr>
          <w:lang w:val="en-GB"/>
        </w:rPr>
        <w:t xml:space="preserve">Hong Kong </w:t>
      </w:r>
      <w:r w:rsidR="00CC18F7" w:rsidRPr="00100776">
        <w:rPr>
          <w:lang w:val="en-GB"/>
        </w:rPr>
        <w:t xml:space="preserve">children </w:t>
      </w:r>
      <w:r w:rsidR="00A7181E" w:rsidRPr="00100776">
        <w:rPr>
          <w:lang w:val="en-GB"/>
        </w:rPr>
        <w:t>as a means of</w:t>
      </w:r>
      <w:r w:rsidR="000E67DF" w:rsidRPr="00100776">
        <w:rPr>
          <w:lang w:val="en-GB"/>
        </w:rPr>
        <w:t xml:space="preserve"> enrich</w:t>
      </w:r>
      <w:r w:rsidR="00A7181E" w:rsidRPr="00100776">
        <w:rPr>
          <w:lang w:val="en-GB"/>
        </w:rPr>
        <w:t>ing</w:t>
      </w:r>
      <w:r w:rsidR="000E67DF" w:rsidRPr="00100776">
        <w:rPr>
          <w:lang w:val="en-GB"/>
        </w:rPr>
        <w:t xml:space="preserve"> their profile</w:t>
      </w:r>
      <w:r w:rsidR="00CC18F7" w:rsidRPr="00100776">
        <w:rPr>
          <w:lang w:val="en-GB"/>
        </w:rPr>
        <w:t xml:space="preserve"> for entry into some elite schools (</w:t>
      </w:r>
      <w:r w:rsidR="00E121D5" w:rsidRPr="00100776">
        <w:rPr>
          <w:lang w:val="en-GB"/>
        </w:rPr>
        <w:t>Lee &amp; Leung, 2020</w:t>
      </w:r>
      <w:r w:rsidR="00CC18F7" w:rsidRPr="00100776">
        <w:rPr>
          <w:lang w:val="en-GB"/>
        </w:rPr>
        <w:t>)</w:t>
      </w:r>
      <w:r w:rsidR="00E121D5" w:rsidRPr="00100776">
        <w:rPr>
          <w:lang w:val="en-GB"/>
        </w:rPr>
        <w:t>.</w:t>
      </w:r>
    </w:p>
    <w:p w14:paraId="12D09A15" w14:textId="3E2E8034" w:rsidR="00C325E3" w:rsidRPr="00100776" w:rsidRDefault="00B3440D" w:rsidP="001F6CF3">
      <w:pPr>
        <w:rPr>
          <w:b/>
          <w:bCs/>
          <w:iCs/>
          <w:lang w:val="en-GB"/>
        </w:rPr>
      </w:pPr>
      <w:r w:rsidRPr="00100776">
        <w:rPr>
          <w:b/>
          <w:bCs/>
          <w:iCs/>
          <w:lang w:val="en-GB"/>
        </w:rPr>
        <w:t xml:space="preserve">Contextual issues in </w:t>
      </w:r>
      <w:r w:rsidR="000E67DF" w:rsidRPr="00100776">
        <w:rPr>
          <w:b/>
          <w:bCs/>
          <w:iCs/>
          <w:lang w:val="en-GB"/>
        </w:rPr>
        <w:t xml:space="preserve">Hong Kong </w:t>
      </w:r>
      <w:r w:rsidRPr="00100776">
        <w:rPr>
          <w:b/>
          <w:bCs/>
          <w:iCs/>
          <w:lang w:val="en-GB"/>
        </w:rPr>
        <w:t xml:space="preserve">senior secondary music </w:t>
      </w:r>
      <w:r w:rsidR="00C5712E" w:rsidRPr="00100776">
        <w:rPr>
          <w:b/>
          <w:bCs/>
          <w:iCs/>
          <w:lang w:val="en-GB"/>
        </w:rPr>
        <w:t>education</w:t>
      </w:r>
    </w:p>
    <w:p w14:paraId="7671E074" w14:textId="6DE07D7A" w:rsidR="00156F2B" w:rsidRPr="00100776" w:rsidRDefault="00C5712E" w:rsidP="00DA0B73">
      <w:pPr>
        <w:rPr>
          <w:iCs/>
          <w:lang w:val="en-GB"/>
        </w:rPr>
      </w:pPr>
      <w:r w:rsidRPr="00100776">
        <w:rPr>
          <w:iCs/>
          <w:lang w:val="en-GB"/>
        </w:rPr>
        <w:t xml:space="preserve">While the </w:t>
      </w:r>
      <w:r w:rsidR="00B27AE8" w:rsidRPr="00100776">
        <w:rPr>
          <w:iCs/>
          <w:lang w:val="en-GB"/>
        </w:rPr>
        <w:t>curriculum reform</w:t>
      </w:r>
      <w:r w:rsidRPr="00100776">
        <w:rPr>
          <w:iCs/>
          <w:lang w:val="en-GB"/>
        </w:rPr>
        <w:t xml:space="preserve"> </w:t>
      </w:r>
      <w:r w:rsidR="00914803" w:rsidRPr="00100776">
        <w:rPr>
          <w:iCs/>
          <w:lang w:val="en-GB"/>
        </w:rPr>
        <w:t>has endeavoured to strike a balance between the</w:t>
      </w:r>
      <w:r w:rsidR="008A7ED2" w:rsidRPr="00100776">
        <w:rPr>
          <w:iCs/>
          <w:lang w:val="en-GB"/>
        </w:rPr>
        <w:t xml:space="preserve"> </w:t>
      </w:r>
      <w:r w:rsidR="00930A2A" w:rsidRPr="00100776">
        <w:rPr>
          <w:iCs/>
          <w:lang w:val="en-GB"/>
        </w:rPr>
        <w:t xml:space="preserve">dominant, </w:t>
      </w:r>
      <w:r w:rsidR="00914803" w:rsidRPr="00100776">
        <w:rPr>
          <w:iCs/>
          <w:lang w:val="en-GB"/>
        </w:rPr>
        <w:t xml:space="preserve">Western </w:t>
      </w:r>
      <w:r w:rsidR="008A7ED2" w:rsidRPr="00100776">
        <w:rPr>
          <w:iCs/>
          <w:lang w:val="en-GB"/>
        </w:rPr>
        <w:t>classical tradition</w:t>
      </w:r>
      <w:r w:rsidR="00914803" w:rsidRPr="00100776">
        <w:rPr>
          <w:iCs/>
          <w:lang w:val="en-GB"/>
        </w:rPr>
        <w:t xml:space="preserve"> and </w:t>
      </w:r>
      <w:r w:rsidR="00825D75" w:rsidRPr="00100776">
        <w:rPr>
          <w:iCs/>
          <w:lang w:val="en-GB"/>
        </w:rPr>
        <w:t>local</w:t>
      </w:r>
      <w:r w:rsidR="00914803" w:rsidRPr="00100776">
        <w:rPr>
          <w:iCs/>
          <w:lang w:val="en-GB"/>
        </w:rPr>
        <w:t xml:space="preserve"> musical cultures with more opportunities to make music a part of their </w:t>
      </w:r>
      <w:r w:rsidR="00E10792" w:rsidRPr="00100776">
        <w:rPr>
          <w:iCs/>
          <w:lang w:val="en-GB"/>
        </w:rPr>
        <w:t xml:space="preserve">everyday </w:t>
      </w:r>
      <w:r w:rsidR="00914803" w:rsidRPr="00100776">
        <w:rPr>
          <w:iCs/>
          <w:lang w:val="en-GB"/>
        </w:rPr>
        <w:t xml:space="preserve">lives, </w:t>
      </w:r>
      <w:r w:rsidR="00880F4D" w:rsidRPr="00100776">
        <w:rPr>
          <w:iCs/>
          <w:lang w:val="en-GB"/>
        </w:rPr>
        <w:t>the</w:t>
      </w:r>
      <w:r w:rsidR="008A7ED2" w:rsidRPr="00100776">
        <w:rPr>
          <w:iCs/>
          <w:lang w:val="en-GB"/>
        </w:rPr>
        <w:t xml:space="preserve"> </w:t>
      </w:r>
      <w:r w:rsidR="000C39F5" w:rsidRPr="00100776">
        <w:rPr>
          <w:iCs/>
          <w:lang w:val="en-GB"/>
        </w:rPr>
        <w:t>enrolment</w:t>
      </w:r>
      <w:r w:rsidR="008A7ED2" w:rsidRPr="00100776">
        <w:rPr>
          <w:iCs/>
          <w:lang w:val="en-GB"/>
        </w:rPr>
        <w:t xml:space="preserve"> </w:t>
      </w:r>
      <w:r w:rsidR="00284EC4" w:rsidRPr="00100776">
        <w:rPr>
          <w:iCs/>
          <w:lang w:val="en-GB"/>
        </w:rPr>
        <w:t xml:space="preserve">among </w:t>
      </w:r>
      <w:r w:rsidR="00156F2B" w:rsidRPr="00100776">
        <w:rPr>
          <w:iCs/>
          <w:lang w:val="en-GB"/>
        </w:rPr>
        <w:t xml:space="preserve">students </w:t>
      </w:r>
      <w:r w:rsidR="008A7ED2" w:rsidRPr="00100776">
        <w:rPr>
          <w:iCs/>
          <w:lang w:val="en-GB"/>
        </w:rPr>
        <w:t>study</w:t>
      </w:r>
      <w:r w:rsidR="00284EC4" w:rsidRPr="00100776">
        <w:rPr>
          <w:iCs/>
          <w:lang w:val="en-GB"/>
        </w:rPr>
        <w:t>ing music</w:t>
      </w:r>
      <w:r w:rsidR="00880F4D" w:rsidRPr="00100776">
        <w:rPr>
          <w:iCs/>
          <w:lang w:val="en-GB"/>
        </w:rPr>
        <w:t xml:space="preserve"> </w:t>
      </w:r>
      <w:r w:rsidR="00284EC4" w:rsidRPr="00100776">
        <w:rPr>
          <w:iCs/>
          <w:lang w:val="en-GB"/>
        </w:rPr>
        <w:t>at</w:t>
      </w:r>
      <w:r w:rsidR="00880F4D" w:rsidRPr="00100776">
        <w:rPr>
          <w:iCs/>
          <w:lang w:val="en-GB"/>
        </w:rPr>
        <w:t xml:space="preserve"> </w:t>
      </w:r>
      <w:r w:rsidR="00827645" w:rsidRPr="00100776">
        <w:rPr>
          <w:iCs/>
          <w:lang w:val="en-GB"/>
        </w:rPr>
        <w:t xml:space="preserve">the </w:t>
      </w:r>
      <w:r w:rsidR="00880F4D" w:rsidRPr="00100776">
        <w:rPr>
          <w:iCs/>
          <w:lang w:val="en-GB"/>
        </w:rPr>
        <w:t xml:space="preserve">senior secondary </w:t>
      </w:r>
      <w:r w:rsidR="00156F2B" w:rsidRPr="00100776">
        <w:rPr>
          <w:iCs/>
          <w:lang w:val="en-GB"/>
        </w:rPr>
        <w:t>level</w:t>
      </w:r>
      <w:r w:rsidR="00880F4D" w:rsidRPr="00100776">
        <w:rPr>
          <w:iCs/>
          <w:lang w:val="en-GB"/>
        </w:rPr>
        <w:t xml:space="preserve"> </w:t>
      </w:r>
      <w:r w:rsidR="00284EC4" w:rsidRPr="00100776">
        <w:rPr>
          <w:iCs/>
          <w:lang w:val="en-GB"/>
        </w:rPr>
        <w:t>remains low</w:t>
      </w:r>
      <w:r w:rsidR="00156F2B" w:rsidRPr="00100776">
        <w:rPr>
          <w:iCs/>
          <w:lang w:val="en-GB"/>
        </w:rPr>
        <w:t xml:space="preserve">. Table 1 shows the number of enrolments in music </w:t>
      </w:r>
      <w:r w:rsidR="00C351FF" w:rsidRPr="00100776">
        <w:rPr>
          <w:iCs/>
          <w:lang w:val="en-GB"/>
        </w:rPr>
        <w:t xml:space="preserve">as a </w:t>
      </w:r>
      <w:r w:rsidR="00156F2B" w:rsidRPr="00100776">
        <w:rPr>
          <w:iCs/>
          <w:lang w:val="en-GB"/>
        </w:rPr>
        <w:t>subject compared to the overall number of HKDSE day school candidates</w:t>
      </w:r>
      <w:r w:rsidR="002C297D" w:rsidRPr="00100776">
        <w:rPr>
          <w:iCs/>
          <w:lang w:val="en-GB"/>
        </w:rPr>
        <w:t xml:space="preserve"> over the </w:t>
      </w:r>
      <w:r w:rsidR="00C351FF" w:rsidRPr="00100776">
        <w:rPr>
          <w:iCs/>
          <w:lang w:val="en-GB"/>
        </w:rPr>
        <w:t xml:space="preserve">past </w:t>
      </w:r>
      <w:r w:rsidR="002C297D" w:rsidRPr="00100776">
        <w:rPr>
          <w:iCs/>
          <w:lang w:val="en-GB"/>
        </w:rPr>
        <w:t>ten years</w:t>
      </w:r>
      <w:r w:rsidR="00156F2B" w:rsidRPr="00100776">
        <w:rPr>
          <w:iCs/>
          <w:lang w:val="en-GB"/>
        </w:rPr>
        <w:t xml:space="preserve">. </w:t>
      </w:r>
      <w:r w:rsidR="00C351FF" w:rsidRPr="00100776">
        <w:rPr>
          <w:iCs/>
          <w:lang w:val="en-GB"/>
        </w:rPr>
        <w:t>L</w:t>
      </w:r>
      <w:r w:rsidR="00D966DF" w:rsidRPr="00100776">
        <w:rPr>
          <w:iCs/>
          <w:lang w:val="en-GB"/>
        </w:rPr>
        <w:t>ess than 0.5% of the day school candidates</w:t>
      </w:r>
      <w:r w:rsidR="00D44247" w:rsidRPr="00100776">
        <w:rPr>
          <w:iCs/>
          <w:lang w:val="en-GB"/>
        </w:rPr>
        <w:t xml:space="preserve"> selected music as one of their elective </w:t>
      </w:r>
      <w:r w:rsidR="00571178" w:rsidRPr="00100776">
        <w:rPr>
          <w:iCs/>
          <w:lang w:val="en-GB"/>
        </w:rPr>
        <w:t>subjects</w:t>
      </w:r>
      <w:r w:rsidR="00C351FF" w:rsidRPr="00100776">
        <w:rPr>
          <w:iCs/>
          <w:lang w:val="en-GB"/>
        </w:rPr>
        <w:t>;</w:t>
      </w:r>
      <w:r w:rsidR="004835CD" w:rsidRPr="00100776">
        <w:rPr>
          <w:iCs/>
          <w:lang w:val="en-GB"/>
        </w:rPr>
        <w:t xml:space="preserve"> </w:t>
      </w:r>
      <w:r w:rsidR="00C351FF" w:rsidRPr="00100776">
        <w:rPr>
          <w:iCs/>
          <w:lang w:val="en-GB"/>
        </w:rPr>
        <w:t>the</w:t>
      </w:r>
      <w:r w:rsidR="004835CD" w:rsidRPr="00100776">
        <w:rPr>
          <w:iCs/>
          <w:lang w:val="en-GB"/>
        </w:rPr>
        <w:t xml:space="preserve"> visual arts, also considered a ‘cultural subject’, attract</w:t>
      </w:r>
      <w:r w:rsidR="00C351FF" w:rsidRPr="00100776">
        <w:rPr>
          <w:iCs/>
          <w:lang w:val="en-GB"/>
        </w:rPr>
        <w:t>ed</w:t>
      </w:r>
      <w:r w:rsidR="004835CD" w:rsidRPr="00100776">
        <w:rPr>
          <w:iCs/>
          <w:lang w:val="en-GB"/>
        </w:rPr>
        <w:t xml:space="preserve"> more than 5% of the day school candidates</w:t>
      </w:r>
      <w:r w:rsidR="00C351FF" w:rsidRPr="00100776">
        <w:rPr>
          <w:iCs/>
          <w:lang w:val="en-GB"/>
        </w:rPr>
        <w:t>, while</w:t>
      </w:r>
      <w:r w:rsidR="009011AC" w:rsidRPr="00100776">
        <w:rPr>
          <w:iCs/>
          <w:lang w:val="en-GB"/>
        </w:rPr>
        <w:t xml:space="preserve"> popular choices</w:t>
      </w:r>
      <w:r w:rsidR="00C351FF" w:rsidRPr="00100776">
        <w:rPr>
          <w:iCs/>
          <w:lang w:val="en-GB"/>
        </w:rPr>
        <w:t>,</w:t>
      </w:r>
      <w:r w:rsidR="009011AC" w:rsidRPr="00100776">
        <w:rPr>
          <w:iCs/>
          <w:lang w:val="en-GB"/>
        </w:rPr>
        <w:t xml:space="preserve"> such as science</w:t>
      </w:r>
      <w:r w:rsidR="00D44247" w:rsidRPr="00100776">
        <w:rPr>
          <w:iCs/>
          <w:lang w:val="en-GB"/>
        </w:rPr>
        <w:t xml:space="preserve"> </w:t>
      </w:r>
      <w:r w:rsidR="009011AC" w:rsidRPr="00100776">
        <w:rPr>
          <w:iCs/>
          <w:lang w:val="en-GB"/>
        </w:rPr>
        <w:t>subjects</w:t>
      </w:r>
      <w:r w:rsidR="00C351FF" w:rsidRPr="00100776">
        <w:rPr>
          <w:iCs/>
          <w:lang w:val="en-GB"/>
        </w:rPr>
        <w:t>,</w:t>
      </w:r>
      <w:r w:rsidR="009011AC" w:rsidRPr="00100776">
        <w:rPr>
          <w:iCs/>
          <w:lang w:val="en-GB"/>
        </w:rPr>
        <w:t xml:space="preserve"> </w:t>
      </w:r>
      <w:r w:rsidR="00C351FF" w:rsidRPr="00100776">
        <w:rPr>
          <w:iCs/>
          <w:lang w:val="en-GB"/>
        </w:rPr>
        <w:t>w</w:t>
      </w:r>
      <w:r w:rsidR="009464C9" w:rsidRPr="00100776">
        <w:rPr>
          <w:iCs/>
          <w:lang w:val="en-GB"/>
        </w:rPr>
        <w:t>ere</w:t>
      </w:r>
      <w:r w:rsidR="00C351FF" w:rsidRPr="00100776">
        <w:rPr>
          <w:iCs/>
          <w:lang w:val="en-GB"/>
        </w:rPr>
        <w:t xml:space="preserve"> chosen by</w:t>
      </w:r>
      <w:r w:rsidR="00135D5D" w:rsidRPr="00100776">
        <w:rPr>
          <w:iCs/>
          <w:lang w:val="en-GB"/>
        </w:rPr>
        <w:t xml:space="preserve"> more than</w:t>
      </w:r>
      <w:r w:rsidR="009011AC" w:rsidRPr="00100776">
        <w:rPr>
          <w:iCs/>
          <w:lang w:val="en-GB"/>
        </w:rPr>
        <w:t xml:space="preserve"> 25%</w:t>
      </w:r>
      <w:r w:rsidR="004835CD" w:rsidRPr="00100776">
        <w:rPr>
          <w:iCs/>
          <w:lang w:val="en-GB"/>
        </w:rPr>
        <w:t xml:space="preserve"> </w:t>
      </w:r>
      <w:r w:rsidR="009011AC" w:rsidRPr="00100776">
        <w:rPr>
          <w:iCs/>
          <w:lang w:val="en-GB"/>
        </w:rPr>
        <w:t>(</w:t>
      </w:r>
      <w:r w:rsidR="002A3D4C" w:rsidRPr="00100776">
        <w:rPr>
          <w:iCs/>
          <w:lang w:val="en-GB"/>
        </w:rPr>
        <w:t>Hong Kong Examinations and Assessment Authority</w:t>
      </w:r>
      <w:r w:rsidR="00571178" w:rsidRPr="00100776">
        <w:rPr>
          <w:iCs/>
          <w:lang w:val="en-GB"/>
        </w:rPr>
        <w:t>, 202</w:t>
      </w:r>
      <w:r w:rsidR="00EE28D2" w:rsidRPr="00100776">
        <w:rPr>
          <w:iCs/>
          <w:lang w:val="en-GB"/>
        </w:rPr>
        <w:t>1</w:t>
      </w:r>
      <w:r w:rsidR="009011AC" w:rsidRPr="00100776">
        <w:rPr>
          <w:iCs/>
          <w:lang w:val="en-GB"/>
        </w:rPr>
        <w:t xml:space="preserve">). </w:t>
      </w:r>
      <w:r w:rsidR="002A3D4C" w:rsidRPr="00100776">
        <w:rPr>
          <w:iCs/>
          <w:lang w:val="en-GB"/>
        </w:rPr>
        <w:t xml:space="preserve">The table also shows </w:t>
      </w:r>
      <w:r w:rsidR="00920B62" w:rsidRPr="00100776">
        <w:rPr>
          <w:iCs/>
          <w:lang w:val="en-GB"/>
        </w:rPr>
        <w:t xml:space="preserve">the grade distributions of music </w:t>
      </w:r>
      <w:r w:rsidR="00C351FF" w:rsidRPr="00100776">
        <w:rPr>
          <w:iCs/>
          <w:lang w:val="en-GB"/>
        </w:rPr>
        <w:t xml:space="preserve">as a </w:t>
      </w:r>
      <w:r w:rsidR="00920B62" w:rsidRPr="00100776">
        <w:rPr>
          <w:iCs/>
          <w:lang w:val="en-GB"/>
        </w:rPr>
        <w:t xml:space="preserve">subject compared with the overall grade distributions of all </w:t>
      </w:r>
      <w:r w:rsidR="00C351FF" w:rsidRPr="00100776">
        <w:rPr>
          <w:iCs/>
          <w:lang w:val="en-GB"/>
        </w:rPr>
        <w:t xml:space="preserve">other </w:t>
      </w:r>
      <w:r w:rsidR="00920B62" w:rsidRPr="00100776">
        <w:rPr>
          <w:iCs/>
          <w:lang w:val="en-GB"/>
        </w:rPr>
        <w:t xml:space="preserve">subjects, where 5** is the highest grade and 3 the minimum </w:t>
      </w:r>
      <w:r w:rsidR="00DA0B73" w:rsidRPr="00100776">
        <w:rPr>
          <w:iCs/>
          <w:lang w:val="en-GB"/>
        </w:rPr>
        <w:t>passing grade</w:t>
      </w:r>
      <w:r w:rsidR="00920B62" w:rsidRPr="00100776">
        <w:rPr>
          <w:iCs/>
          <w:lang w:val="en-GB"/>
        </w:rPr>
        <w:t>.</w:t>
      </w:r>
      <w:r w:rsidR="00DA0B73" w:rsidRPr="00100776">
        <w:rPr>
          <w:iCs/>
          <w:lang w:val="en-GB"/>
        </w:rPr>
        <w:t xml:space="preserve"> </w:t>
      </w:r>
      <w:r w:rsidR="00601311" w:rsidRPr="00100776">
        <w:rPr>
          <w:iCs/>
          <w:lang w:val="en-GB"/>
        </w:rPr>
        <w:t xml:space="preserve">The </w:t>
      </w:r>
      <w:proofErr w:type="gramStart"/>
      <w:r w:rsidR="00601311" w:rsidRPr="00100776">
        <w:rPr>
          <w:iCs/>
          <w:lang w:val="en-GB"/>
        </w:rPr>
        <w:t>higher grade</w:t>
      </w:r>
      <w:proofErr w:type="gramEnd"/>
      <w:r w:rsidR="00601311" w:rsidRPr="00100776">
        <w:rPr>
          <w:iCs/>
          <w:lang w:val="en-GB"/>
        </w:rPr>
        <w:t xml:space="preserve"> distribution</w:t>
      </w:r>
      <w:r w:rsidR="00DA0B73" w:rsidRPr="00100776">
        <w:rPr>
          <w:iCs/>
          <w:lang w:val="en-GB"/>
        </w:rPr>
        <w:t xml:space="preserve"> suggest</w:t>
      </w:r>
      <w:r w:rsidR="00601311" w:rsidRPr="00100776">
        <w:rPr>
          <w:iCs/>
          <w:lang w:val="en-GB"/>
        </w:rPr>
        <w:t>s</w:t>
      </w:r>
      <w:r w:rsidR="00DA0B73" w:rsidRPr="00100776">
        <w:rPr>
          <w:iCs/>
          <w:lang w:val="en-GB"/>
        </w:rPr>
        <w:t xml:space="preserve"> that </w:t>
      </w:r>
      <w:r w:rsidR="00601311" w:rsidRPr="00100776">
        <w:rPr>
          <w:iCs/>
          <w:lang w:val="en-GB"/>
        </w:rPr>
        <w:t xml:space="preserve">it is </w:t>
      </w:r>
      <w:r w:rsidR="00C351FF" w:rsidRPr="00100776">
        <w:rPr>
          <w:iCs/>
          <w:lang w:val="en-GB"/>
        </w:rPr>
        <w:t>much</w:t>
      </w:r>
      <w:r w:rsidR="003269FA" w:rsidRPr="00100776">
        <w:rPr>
          <w:iCs/>
          <w:lang w:val="en-GB"/>
        </w:rPr>
        <w:t xml:space="preserve"> </w:t>
      </w:r>
      <w:r w:rsidR="00601311" w:rsidRPr="00100776">
        <w:rPr>
          <w:iCs/>
          <w:lang w:val="en-GB"/>
        </w:rPr>
        <w:t>easier to get</w:t>
      </w:r>
      <w:r w:rsidR="003269FA" w:rsidRPr="00100776">
        <w:rPr>
          <w:iCs/>
          <w:lang w:val="en-GB"/>
        </w:rPr>
        <w:t xml:space="preserve"> a pass or</w:t>
      </w:r>
      <w:r w:rsidR="00601311" w:rsidRPr="00100776">
        <w:rPr>
          <w:iCs/>
          <w:lang w:val="en-GB"/>
        </w:rPr>
        <w:t xml:space="preserve"> </w:t>
      </w:r>
      <w:r w:rsidR="00C351FF" w:rsidRPr="00100776">
        <w:rPr>
          <w:iCs/>
          <w:lang w:val="en-GB"/>
        </w:rPr>
        <w:t xml:space="preserve">a </w:t>
      </w:r>
      <w:r w:rsidR="00601311" w:rsidRPr="00100776">
        <w:rPr>
          <w:iCs/>
          <w:lang w:val="en-GB"/>
        </w:rPr>
        <w:t xml:space="preserve">better grade in music, yet </w:t>
      </w:r>
      <w:r w:rsidR="00C351FF" w:rsidRPr="00100776">
        <w:rPr>
          <w:iCs/>
          <w:lang w:val="en-GB"/>
        </w:rPr>
        <w:t xml:space="preserve">this is not reflected by </w:t>
      </w:r>
      <w:r w:rsidR="00AB3622" w:rsidRPr="00100776">
        <w:rPr>
          <w:iCs/>
          <w:lang w:val="en-GB"/>
        </w:rPr>
        <w:t>a correspondingly high(er) number of students taking up the subject</w:t>
      </w:r>
      <w:r w:rsidR="00601311" w:rsidRPr="00100776">
        <w:rPr>
          <w:iCs/>
          <w:lang w:val="en-GB"/>
        </w:rPr>
        <w:t xml:space="preserve">. </w:t>
      </w:r>
    </w:p>
    <w:p w14:paraId="09BCAAD2" w14:textId="60717922" w:rsidR="00156F2B" w:rsidRPr="00100776" w:rsidRDefault="00156F2B" w:rsidP="00156F2B">
      <w:pPr>
        <w:pStyle w:val="NoSpacing"/>
        <w:rPr>
          <w:lang w:val="en-GB"/>
        </w:rPr>
      </w:pPr>
      <w:r w:rsidRPr="00100776">
        <w:rPr>
          <w:lang w:val="en-GB"/>
        </w:rPr>
        <w:t xml:space="preserve">Table </w:t>
      </w:r>
      <w:r w:rsidR="00BE5593" w:rsidRPr="00100776">
        <w:rPr>
          <w:lang w:val="en-GB"/>
        </w:rPr>
        <w:t>1</w:t>
      </w:r>
      <w:r w:rsidRPr="00100776">
        <w:rPr>
          <w:lang w:val="en-GB"/>
        </w:rPr>
        <w:t xml:space="preserve">. Results of HKDSE day school candidates </w:t>
      </w:r>
      <w:r w:rsidR="00C351FF" w:rsidRPr="00100776">
        <w:rPr>
          <w:lang w:val="en-GB"/>
        </w:rPr>
        <w:t>studying</w:t>
      </w:r>
      <w:r w:rsidRPr="00100776">
        <w:rPr>
          <w:lang w:val="en-GB"/>
        </w:rPr>
        <w:t xml:space="preserve"> music and </w:t>
      </w:r>
      <w:r w:rsidR="00C351FF" w:rsidRPr="00100776">
        <w:rPr>
          <w:lang w:val="en-GB"/>
        </w:rPr>
        <w:t xml:space="preserve">grade </w:t>
      </w:r>
      <w:r w:rsidRPr="00100776">
        <w:rPr>
          <w:lang w:val="en-GB"/>
        </w:rPr>
        <w:t>averages (2012-20</w:t>
      </w:r>
      <w:r w:rsidR="00A62A7A" w:rsidRPr="00100776">
        <w:rPr>
          <w:lang w:val="en-GB"/>
        </w:rPr>
        <w:t>21</w:t>
      </w:r>
      <w:r w:rsidRPr="00100776">
        <w:rPr>
          <w:lang w:val="en-GB"/>
        </w:rPr>
        <w:t>)</w:t>
      </w:r>
    </w:p>
    <w:tbl>
      <w:tblPr>
        <w:tblStyle w:val="TableGrid"/>
        <w:tblW w:w="9283" w:type="dxa"/>
        <w:tblInd w:w="4"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421"/>
        <w:gridCol w:w="786"/>
        <w:gridCol w:w="786"/>
        <w:gridCol w:w="786"/>
        <w:gridCol w:w="786"/>
        <w:gridCol w:w="787"/>
        <w:gridCol w:w="786"/>
        <w:gridCol w:w="786"/>
        <w:gridCol w:w="786"/>
        <w:gridCol w:w="786"/>
        <w:gridCol w:w="787"/>
      </w:tblGrid>
      <w:tr w:rsidR="00156F2B" w:rsidRPr="00100776" w14:paraId="143FECED" w14:textId="77777777" w:rsidTr="00C14A8C">
        <w:tc>
          <w:tcPr>
            <w:tcW w:w="1421" w:type="dxa"/>
            <w:vMerge w:val="restart"/>
            <w:vAlign w:val="center"/>
          </w:tcPr>
          <w:p w14:paraId="25F1E453" w14:textId="77777777" w:rsidR="00156F2B" w:rsidRPr="00100776" w:rsidRDefault="00156F2B" w:rsidP="00161659">
            <w:pPr>
              <w:jc w:val="center"/>
              <w:rPr>
                <w:lang w:val="en-GB"/>
              </w:rPr>
            </w:pPr>
            <w:r w:rsidRPr="00100776">
              <w:rPr>
                <w:lang w:val="en-GB"/>
              </w:rPr>
              <w:t>Year</w:t>
            </w:r>
          </w:p>
        </w:tc>
        <w:tc>
          <w:tcPr>
            <w:tcW w:w="1572" w:type="dxa"/>
            <w:gridSpan w:val="2"/>
            <w:vAlign w:val="center"/>
          </w:tcPr>
          <w:p w14:paraId="4BD11A2B" w14:textId="77777777" w:rsidR="00156F2B" w:rsidRPr="00100776" w:rsidRDefault="00156F2B" w:rsidP="00161659">
            <w:pPr>
              <w:jc w:val="center"/>
              <w:rPr>
                <w:lang w:val="en-GB"/>
              </w:rPr>
            </w:pPr>
            <w:r w:rsidRPr="00100776">
              <w:rPr>
                <w:lang w:val="en-GB"/>
              </w:rPr>
              <w:t>2012</w:t>
            </w:r>
          </w:p>
        </w:tc>
        <w:tc>
          <w:tcPr>
            <w:tcW w:w="1572" w:type="dxa"/>
            <w:gridSpan w:val="2"/>
            <w:vAlign w:val="center"/>
          </w:tcPr>
          <w:p w14:paraId="2FE5D18B" w14:textId="77777777" w:rsidR="00156F2B" w:rsidRPr="00100776" w:rsidRDefault="00156F2B" w:rsidP="00161659">
            <w:pPr>
              <w:jc w:val="center"/>
              <w:rPr>
                <w:lang w:val="en-GB"/>
              </w:rPr>
            </w:pPr>
            <w:r w:rsidRPr="00100776">
              <w:rPr>
                <w:lang w:val="en-GB"/>
              </w:rPr>
              <w:t>2013</w:t>
            </w:r>
          </w:p>
        </w:tc>
        <w:tc>
          <w:tcPr>
            <w:tcW w:w="1573" w:type="dxa"/>
            <w:gridSpan w:val="2"/>
            <w:vAlign w:val="center"/>
          </w:tcPr>
          <w:p w14:paraId="1EA486E2" w14:textId="77777777" w:rsidR="00156F2B" w:rsidRPr="00100776" w:rsidRDefault="00156F2B" w:rsidP="00161659">
            <w:pPr>
              <w:jc w:val="center"/>
              <w:rPr>
                <w:lang w:val="en-GB"/>
              </w:rPr>
            </w:pPr>
            <w:r w:rsidRPr="00100776">
              <w:rPr>
                <w:lang w:val="en-GB"/>
              </w:rPr>
              <w:t>2014</w:t>
            </w:r>
          </w:p>
        </w:tc>
        <w:tc>
          <w:tcPr>
            <w:tcW w:w="1572" w:type="dxa"/>
            <w:gridSpan w:val="2"/>
            <w:vAlign w:val="center"/>
          </w:tcPr>
          <w:p w14:paraId="28D74739" w14:textId="77777777" w:rsidR="00156F2B" w:rsidRPr="00100776" w:rsidRDefault="00156F2B" w:rsidP="00161659">
            <w:pPr>
              <w:jc w:val="center"/>
              <w:rPr>
                <w:lang w:val="en-GB"/>
              </w:rPr>
            </w:pPr>
            <w:r w:rsidRPr="00100776">
              <w:rPr>
                <w:lang w:val="en-GB"/>
              </w:rPr>
              <w:t>2015</w:t>
            </w:r>
          </w:p>
        </w:tc>
        <w:tc>
          <w:tcPr>
            <w:tcW w:w="1573" w:type="dxa"/>
            <w:gridSpan w:val="2"/>
            <w:vAlign w:val="center"/>
          </w:tcPr>
          <w:p w14:paraId="65D4153F" w14:textId="77777777" w:rsidR="00156F2B" w:rsidRPr="00100776" w:rsidRDefault="00156F2B" w:rsidP="00161659">
            <w:pPr>
              <w:jc w:val="center"/>
              <w:rPr>
                <w:lang w:val="en-GB"/>
              </w:rPr>
            </w:pPr>
            <w:r w:rsidRPr="00100776">
              <w:rPr>
                <w:lang w:val="en-GB"/>
              </w:rPr>
              <w:t>2016</w:t>
            </w:r>
          </w:p>
        </w:tc>
      </w:tr>
      <w:tr w:rsidR="00156F2B" w:rsidRPr="00100776" w14:paraId="726B4DD4" w14:textId="77777777" w:rsidTr="00C14A8C">
        <w:tc>
          <w:tcPr>
            <w:tcW w:w="1421" w:type="dxa"/>
            <w:vMerge/>
            <w:tcBorders>
              <w:bottom w:val="single" w:sz="4" w:space="0" w:color="auto"/>
            </w:tcBorders>
            <w:vAlign w:val="center"/>
          </w:tcPr>
          <w:p w14:paraId="73710E2C" w14:textId="77777777" w:rsidR="00156F2B" w:rsidRPr="00100776" w:rsidRDefault="00156F2B" w:rsidP="00161659">
            <w:pPr>
              <w:jc w:val="center"/>
              <w:rPr>
                <w:lang w:val="en-GB"/>
              </w:rPr>
            </w:pPr>
          </w:p>
        </w:tc>
        <w:tc>
          <w:tcPr>
            <w:tcW w:w="786" w:type="dxa"/>
            <w:tcBorders>
              <w:bottom w:val="single" w:sz="4" w:space="0" w:color="auto"/>
            </w:tcBorders>
            <w:vAlign w:val="center"/>
          </w:tcPr>
          <w:p w14:paraId="5339922A" w14:textId="77777777" w:rsidR="00156F2B" w:rsidRPr="00100776" w:rsidRDefault="00156F2B" w:rsidP="00161659">
            <w:pPr>
              <w:jc w:val="center"/>
              <w:rPr>
                <w:lang w:val="en-GB"/>
              </w:rPr>
            </w:pPr>
            <w:r w:rsidRPr="00100776">
              <w:rPr>
                <w:lang w:val="en-GB"/>
              </w:rPr>
              <w:t>Total</w:t>
            </w:r>
          </w:p>
        </w:tc>
        <w:tc>
          <w:tcPr>
            <w:tcW w:w="786" w:type="dxa"/>
            <w:tcBorders>
              <w:bottom w:val="single" w:sz="4" w:space="0" w:color="auto"/>
            </w:tcBorders>
            <w:vAlign w:val="center"/>
          </w:tcPr>
          <w:p w14:paraId="62A9298D" w14:textId="77777777" w:rsidR="00156F2B" w:rsidRPr="00100776" w:rsidRDefault="00156F2B" w:rsidP="00161659">
            <w:pPr>
              <w:jc w:val="center"/>
              <w:rPr>
                <w:lang w:val="en-GB"/>
              </w:rPr>
            </w:pPr>
            <w:r w:rsidRPr="00100776">
              <w:rPr>
                <w:lang w:val="en-GB"/>
              </w:rPr>
              <w:t>Music</w:t>
            </w:r>
          </w:p>
        </w:tc>
        <w:tc>
          <w:tcPr>
            <w:tcW w:w="786" w:type="dxa"/>
            <w:tcBorders>
              <w:bottom w:val="single" w:sz="4" w:space="0" w:color="auto"/>
            </w:tcBorders>
            <w:vAlign w:val="center"/>
          </w:tcPr>
          <w:p w14:paraId="0EABED54" w14:textId="77777777" w:rsidR="00156F2B" w:rsidRPr="00100776" w:rsidRDefault="00156F2B" w:rsidP="00161659">
            <w:pPr>
              <w:jc w:val="center"/>
              <w:rPr>
                <w:lang w:val="en-GB"/>
              </w:rPr>
            </w:pPr>
            <w:r w:rsidRPr="00100776">
              <w:rPr>
                <w:lang w:val="en-GB"/>
              </w:rPr>
              <w:t>Total</w:t>
            </w:r>
          </w:p>
        </w:tc>
        <w:tc>
          <w:tcPr>
            <w:tcW w:w="786" w:type="dxa"/>
            <w:tcBorders>
              <w:bottom w:val="single" w:sz="4" w:space="0" w:color="auto"/>
            </w:tcBorders>
            <w:vAlign w:val="center"/>
          </w:tcPr>
          <w:p w14:paraId="74BC6097" w14:textId="77777777" w:rsidR="00156F2B" w:rsidRPr="00100776" w:rsidRDefault="00156F2B" w:rsidP="00161659">
            <w:pPr>
              <w:jc w:val="center"/>
              <w:rPr>
                <w:lang w:val="en-GB"/>
              </w:rPr>
            </w:pPr>
            <w:r w:rsidRPr="00100776">
              <w:rPr>
                <w:lang w:val="en-GB"/>
              </w:rPr>
              <w:t>Music</w:t>
            </w:r>
          </w:p>
        </w:tc>
        <w:tc>
          <w:tcPr>
            <w:tcW w:w="787" w:type="dxa"/>
            <w:tcBorders>
              <w:bottom w:val="single" w:sz="4" w:space="0" w:color="auto"/>
            </w:tcBorders>
            <w:vAlign w:val="center"/>
          </w:tcPr>
          <w:p w14:paraId="79D28015" w14:textId="77777777" w:rsidR="00156F2B" w:rsidRPr="00100776" w:rsidRDefault="00156F2B" w:rsidP="00161659">
            <w:pPr>
              <w:jc w:val="center"/>
              <w:rPr>
                <w:lang w:val="en-GB"/>
              </w:rPr>
            </w:pPr>
            <w:r w:rsidRPr="00100776">
              <w:rPr>
                <w:lang w:val="en-GB"/>
              </w:rPr>
              <w:t>Total</w:t>
            </w:r>
          </w:p>
        </w:tc>
        <w:tc>
          <w:tcPr>
            <w:tcW w:w="786" w:type="dxa"/>
            <w:tcBorders>
              <w:bottom w:val="single" w:sz="4" w:space="0" w:color="auto"/>
            </w:tcBorders>
            <w:vAlign w:val="center"/>
          </w:tcPr>
          <w:p w14:paraId="1B888FF4" w14:textId="77777777" w:rsidR="00156F2B" w:rsidRPr="00100776" w:rsidRDefault="00156F2B" w:rsidP="00161659">
            <w:pPr>
              <w:jc w:val="center"/>
              <w:rPr>
                <w:lang w:val="en-GB"/>
              </w:rPr>
            </w:pPr>
            <w:r w:rsidRPr="00100776">
              <w:rPr>
                <w:lang w:val="en-GB"/>
              </w:rPr>
              <w:t>Music</w:t>
            </w:r>
          </w:p>
        </w:tc>
        <w:tc>
          <w:tcPr>
            <w:tcW w:w="786" w:type="dxa"/>
            <w:tcBorders>
              <w:bottom w:val="single" w:sz="4" w:space="0" w:color="auto"/>
            </w:tcBorders>
            <w:vAlign w:val="center"/>
          </w:tcPr>
          <w:p w14:paraId="610753E3" w14:textId="77777777" w:rsidR="00156F2B" w:rsidRPr="00100776" w:rsidRDefault="00156F2B" w:rsidP="00161659">
            <w:pPr>
              <w:jc w:val="center"/>
              <w:rPr>
                <w:lang w:val="en-GB"/>
              </w:rPr>
            </w:pPr>
            <w:r w:rsidRPr="00100776">
              <w:rPr>
                <w:lang w:val="en-GB"/>
              </w:rPr>
              <w:t>Total</w:t>
            </w:r>
          </w:p>
        </w:tc>
        <w:tc>
          <w:tcPr>
            <w:tcW w:w="786" w:type="dxa"/>
            <w:tcBorders>
              <w:bottom w:val="single" w:sz="4" w:space="0" w:color="auto"/>
            </w:tcBorders>
            <w:vAlign w:val="center"/>
          </w:tcPr>
          <w:p w14:paraId="712A19E8" w14:textId="77777777" w:rsidR="00156F2B" w:rsidRPr="00100776" w:rsidRDefault="00156F2B" w:rsidP="00161659">
            <w:pPr>
              <w:jc w:val="center"/>
              <w:rPr>
                <w:lang w:val="en-GB"/>
              </w:rPr>
            </w:pPr>
            <w:r w:rsidRPr="00100776">
              <w:rPr>
                <w:lang w:val="en-GB"/>
              </w:rPr>
              <w:t>Music</w:t>
            </w:r>
          </w:p>
        </w:tc>
        <w:tc>
          <w:tcPr>
            <w:tcW w:w="786" w:type="dxa"/>
            <w:tcBorders>
              <w:bottom w:val="single" w:sz="4" w:space="0" w:color="auto"/>
            </w:tcBorders>
            <w:vAlign w:val="center"/>
          </w:tcPr>
          <w:p w14:paraId="7730CF71" w14:textId="77777777" w:rsidR="00156F2B" w:rsidRPr="00100776" w:rsidRDefault="00156F2B" w:rsidP="00161659">
            <w:pPr>
              <w:jc w:val="center"/>
              <w:rPr>
                <w:lang w:val="en-GB"/>
              </w:rPr>
            </w:pPr>
            <w:r w:rsidRPr="00100776">
              <w:rPr>
                <w:lang w:val="en-GB"/>
              </w:rPr>
              <w:t>Total</w:t>
            </w:r>
          </w:p>
        </w:tc>
        <w:tc>
          <w:tcPr>
            <w:tcW w:w="787" w:type="dxa"/>
            <w:tcBorders>
              <w:bottom w:val="single" w:sz="4" w:space="0" w:color="auto"/>
            </w:tcBorders>
            <w:vAlign w:val="center"/>
          </w:tcPr>
          <w:p w14:paraId="26930D20" w14:textId="77777777" w:rsidR="00156F2B" w:rsidRPr="00100776" w:rsidRDefault="00156F2B" w:rsidP="00161659">
            <w:pPr>
              <w:rPr>
                <w:lang w:val="en-GB"/>
              </w:rPr>
            </w:pPr>
            <w:r w:rsidRPr="00100776">
              <w:rPr>
                <w:lang w:val="en-GB"/>
              </w:rPr>
              <w:t>Music</w:t>
            </w:r>
          </w:p>
        </w:tc>
      </w:tr>
      <w:tr w:rsidR="00156F2B" w:rsidRPr="00100776" w14:paraId="463EE1BC" w14:textId="77777777" w:rsidTr="00C14A8C">
        <w:tc>
          <w:tcPr>
            <w:tcW w:w="1421" w:type="dxa"/>
            <w:tcBorders>
              <w:bottom w:val="nil"/>
            </w:tcBorders>
            <w:vAlign w:val="center"/>
          </w:tcPr>
          <w:p w14:paraId="1995A99E" w14:textId="77777777" w:rsidR="00156F2B" w:rsidRPr="00100776" w:rsidRDefault="00156F2B" w:rsidP="00161659">
            <w:pPr>
              <w:jc w:val="center"/>
              <w:rPr>
                <w:lang w:val="en-GB"/>
              </w:rPr>
            </w:pPr>
            <w:r w:rsidRPr="00100776">
              <w:rPr>
                <w:lang w:val="en-GB"/>
              </w:rPr>
              <w:t>Number of Candidates</w:t>
            </w:r>
          </w:p>
        </w:tc>
        <w:tc>
          <w:tcPr>
            <w:tcW w:w="786" w:type="dxa"/>
            <w:tcBorders>
              <w:bottom w:val="nil"/>
            </w:tcBorders>
            <w:vAlign w:val="center"/>
          </w:tcPr>
          <w:p w14:paraId="1D98BF95" w14:textId="77777777" w:rsidR="00156F2B" w:rsidRPr="00100776" w:rsidRDefault="00156F2B" w:rsidP="00161659">
            <w:pPr>
              <w:jc w:val="center"/>
              <w:rPr>
                <w:sz w:val="20"/>
                <w:szCs w:val="20"/>
                <w:lang w:val="en-GB"/>
              </w:rPr>
            </w:pPr>
            <w:r w:rsidRPr="00100776">
              <w:rPr>
                <w:sz w:val="20"/>
                <w:szCs w:val="20"/>
                <w:lang w:val="en-GB"/>
              </w:rPr>
              <w:t>70,282</w:t>
            </w:r>
          </w:p>
        </w:tc>
        <w:tc>
          <w:tcPr>
            <w:tcW w:w="786" w:type="dxa"/>
            <w:tcBorders>
              <w:bottom w:val="nil"/>
            </w:tcBorders>
            <w:vAlign w:val="center"/>
          </w:tcPr>
          <w:p w14:paraId="07FA7EEA" w14:textId="77777777" w:rsidR="00156F2B" w:rsidRPr="00100776" w:rsidRDefault="00156F2B" w:rsidP="00161659">
            <w:pPr>
              <w:jc w:val="center"/>
              <w:rPr>
                <w:lang w:val="en-GB"/>
              </w:rPr>
            </w:pPr>
            <w:r w:rsidRPr="00100776">
              <w:rPr>
                <w:lang w:val="en-GB"/>
              </w:rPr>
              <w:t>233</w:t>
            </w:r>
            <w:r w:rsidRPr="00100776">
              <w:rPr>
                <w:lang w:val="en-GB"/>
              </w:rPr>
              <w:br/>
            </w:r>
            <w:r w:rsidRPr="00100776">
              <w:rPr>
                <w:sz w:val="18"/>
                <w:szCs w:val="18"/>
                <w:lang w:val="en-GB"/>
              </w:rPr>
              <w:t>(0.33%)</w:t>
            </w:r>
          </w:p>
        </w:tc>
        <w:tc>
          <w:tcPr>
            <w:tcW w:w="786" w:type="dxa"/>
            <w:tcBorders>
              <w:bottom w:val="nil"/>
            </w:tcBorders>
            <w:vAlign w:val="center"/>
          </w:tcPr>
          <w:p w14:paraId="2FE38AEF" w14:textId="77777777" w:rsidR="00156F2B" w:rsidRPr="00100776" w:rsidRDefault="00156F2B" w:rsidP="00161659">
            <w:pPr>
              <w:jc w:val="center"/>
              <w:rPr>
                <w:sz w:val="20"/>
                <w:szCs w:val="20"/>
                <w:lang w:val="en-GB"/>
              </w:rPr>
            </w:pPr>
            <w:r w:rsidRPr="00100776">
              <w:rPr>
                <w:sz w:val="20"/>
                <w:szCs w:val="20"/>
                <w:lang w:val="en-GB"/>
              </w:rPr>
              <w:t>69,750</w:t>
            </w:r>
          </w:p>
        </w:tc>
        <w:tc>
          <w:tcPr>
            <w:tcW w:w="786" w:type="dxa"/>
            <w:tcBorders>
              <w:bottom w:val="nil"/>
            </w:tcBorders>
            <w:vAlign w:val="center"/>
          </w:tcPr>
          <w:p w14:paraId="4755C7F1" w14:textId="77777777" w:rsidR="00156F2B" w:rsidRPr="00100776" w:rsidRDefault="00156F2B" w:rsidP="00161659">
            <w:pPr>
              <w:jc w:val="center"/>
              <w:rPr>
                <w:sz w:val="18"/>
                <w:szCs w:val="18"/>
                <w:lang w:val="en-GB"/>
              </w:rPr>
            </w:pPr>
            <w:r w:rsidRPr="00100776">
              <w:rPr>
                <w:lang w:val="en-GB"/>
              </w:rPr>
              <w:t>252</w:t>
            </w:r>
            <w:r w:rsidRPr="00100776">
              <w:rPr>
                <w:lang w:val="en-GB"/>
              </w:rPr>
              <w:br/>
            </w:r>
            <w:r w:rsidRPr="00100776">
              <w:rPr>
                <w:sz w:val="18"/>
                <w:szCs w:val="18"/>
                <w:lang w:val="en-GB"/>
              </w:rPr>
              <w:t>(0.36%)</w:t>
            </w:r>
          </w:p>
        </w:tc>
        <w:tc>
          <w:tcPr>
            <w:tcW w:w="787" w:type="dxa"/>
            <w:tcBorders>
              <w:bottom w:val="nil"/>
            </w:tcBorders>
            <w:vAlign w:val="center"/>
          </w:tcPr>
          <w:p w14:paraId="40E44F94" w14:textId="77777777" w:rsidR="00156F2B" w:rsidRPr="00100776" w:rsidRDefault="00156F2B" w:rsidP="00161659">
            <w:pPr>
              <w:jc w:val="center"/>
              <w:rPr>
                <w:sz w:val="20"/>
                <w:szCs w:val="20"/>
                <w:lang w:val="en-GB"/>
              </w:rPr>
            </w:pPr>
            <w:r w:rsidRPr="00100776">
              <w:rPr>
                <w:sz w:val="20"/>
                <w:szCs w:val="20"/>
                <w:lang w:val="en-GB"/>
              </w:rPr>
              <w:t>65,270</w:t>
            </w:r>
          </w:p>
        </w:tc>
        <w:tc>
          <w:tcPr>
            <w:tcW w:w="786" w:type="dxa"/>
            <w:tcBorders>
              <w:bottom w:val="nil"/>
            </w:tcBorders>
            <w:vAlign w:val="center"/>
          </w:tcPr>
          <w:p w14:paraId="11CDB13E" w14:textId="77777777" w:rsidR="00156F2B" w:rsidRPr="00100776" w:rsidRDefault="00156F2B" w:rsidP="00161659">
            <w:pPr>
              <w:jc w:val="center"/>
              <w:rPr>
                <w:lang w:val="en-GB"/>
              </w:rPr>
            </w:pPr>
            <w:r w:rsidRPr="00100776">
              <w:rPr>
                <w:lang w:val="en-GB"/>
              </w:rPr>
              <w:t>188</w:t>
            </w:r>
          </w:p>
          <w:p w14:paraId="1B154E26" w14:textId="77777777" w:rsidR="00156F2B" w:rsidRPr="00100776" w:rsidRDefault="00156F2B" w:rsidP="00161659">
            <w:pPr>
              <w:jc w:val="center"/>
              <w:rPr>
                <w:lang w:val="en-GB"/>
              </w:rPr>
            </w:pPr>
            <w:r w:rsidRPr="00100776">
              <w:rPr>
                <w:sz w:val="18"/>
                <w:szCs w:val="18"/>
                <w:lang w:val="en-GB"/>
              </w:rPr>
              <w:t>(0.29%)</w:t>
            </w:r>
          </w:p>
        </w:tc>
        <w:tc>
          <w:tcPr>
            <w:tcW w:w="786" w:type="dxa"/>
            <w:tcBorders>
              <w:bottom w:val="nil"/>
            </w:tcBorders>
            <w:vAlign w:val="center"/>
          </w:tcPr>
          <w:p w14:paraId="1B63CB3E" w14:textId="77777777" w:rsidR="00156F2B" w:rsidRPr="00100776" w:rsidRDefault="00156F2B" w:rsidP="00161659">
            <w:pPr>
              <w:jc w:val="center"/>
              <w:rPr>
                <w:sz w:val="20"/>
                <w:szCs w:val="20"/>
                <w:lang w:val="en-GB"/>
              </w:rPr>
            </w:pPr>
            <w:r w:rsidRPr="00100776">
              <w:rPr>
                <w:sz w:val="20"/>
                <w:szCs w:val="20"/>
                <w:lang w:val="en-GB"/>
              </w:rPr>
              <w:t>61,136</w:t>
            </w:r>
          </w:p>
        </w:tc>
        <w:tc>
          <w:tcPr>
            <w:tcW w:w="786" w:type="dxa"/>
            <w:tcBorders>
              <w:bottom w:val="nil"/>
            </w:tcBorders>
            <w:vAlign w:val="center"/>
          </w:tcPr>
          <w:p w14:paraId="5E78CF48" w14:textId="77777777" w:rsidR="00156F2B" w:rsidRPr="00100776" w:rsidRDefault="00156F2B" w:rsidP="00161659">
            <w:pPr>
              <w:jc w:val="center"/>
              <w:rPr>
                <w:lang w:val="en-GB"/>
              </w:rPr>
            </w:pPr>
            <w:r w:rsidRPr="00100776">
              <w:rPr>
                <w:lang w:val="en-GB"/>
              </w:rPr>
              <w:t>192</w:t>
            </w:r>
            <w:r w:rsidRPr="00100776">
              <w:rPr>
                <w:lang w:val="en-GB"/>
              </w:rPr>
              <w:br/>
            </w:r>
            <w:r w:rsidRPr="00100776">
              <w:rPr>
                <w:sz w:val="18"/>
                <w:szCs w:val="18"/>
                <w:lang w:val="en-GB"/>
              </w:rPr>
              <w:t>(0.31%)</w:t>
            </w:r>
          </w:p>
        </w:tc>
        <w:tc>
          <w:tcPr>
            <w:tcW w:w="786" w:type="dxa"/>
            <w:tcBorders>
              <w:bottom w:val="nil"/>
            </w:tcBorders>
            <w:vAlign w:val="center"/>
          </w:tcPr>
          <w:p w14:paraId="5BB4DB1D" w14:textId="77777777" w:rsidR="00156F2B" w:rsidRPr="00100776" w:rsidRDefault="00156F2B" w:rsidP="00161659">
            <w:pPr>
              <w:jc w:val="center"/>
              <w:rPr>
                <w:sz w:val="20"/>
                <w:szCs w:val="20"/>
                <w:lang w:val="en-GB"/>
              </w:rPr>
            </w:pPr>
            <w:r w:rsidRPr="00100776">
              <w:rPr>
                <w:sz w:val="20"/>
                <w:szCs w:val="20"/>
                <w:lang w:val="en-GB"/>
              </w:rPr>
              <w:t>56,112</w:t>
            </w:r>
          </w:p>
        </w:tc>
        <w:tc>
          <w:tcPr>
            <w:tcW w:w="787" w:type="dxa"/>
            <w:tcBorders>
              <w:bottom w:val="nil"/>
            </w:tcBorders>
            <w:vAlign w:val="center"/>
          </w:tcPr>
          <w:p w14:paraId="4446DF32" w14:textId="77777777" w:rsidR="00156F2B" w:rsidRPr="00100776" w:rsidRDefault="00156F2B" w:rsidP="00161659">
            <w:pPr>
              <w:jc w:val="center"/>
              <w:rPr>
                <w:lang w:val="en-GB"/>
              </w:rPr>
            </w:pPr>
            <w:r w:rsidRPr="00100776">
              <w:rPr>
                <w:lang w:val="en-GB"/>
              </w:rPr>
              <w:t>203</w:t>
            </w:r>
          </w:p>
          <w:p w14:paraId="6DED5E13" w14:textId="77777777" w:rsidR="00156F2B" w:rsidRPr="00100776" w:rsidRDefault="00156F2B" w:rsidP="00161659">
            <w:pPr>
              <w:jc w:val="center"/>
              <w:rPr>
                <w:lang w:val="en-GB"/>
              </w:rPr>
            </w:pPr>
            <w:r w:rsidRPr="00100776">
              <w:rPr>
                <w:sz w:val="18"/>
                <w:szCs w:val="18"/>
                <w:lang w:val="en-GB"/>
              </w:rPr>
              <w:t>(0.36%)</w:t>
            </w:r>
          </w:p>
        </w:tc>
      </w:tr>
      <w:tr w:rsidR="00156F2B" w:rsidRPr="00100776" w14:paraId="0CF2DAE2" w14:textId="77777777" w:rsidTr="00C14A8C">
        <w:tc>
          <w:tcPr>
            <w:tcW w:w="1421" w:type="dxa"/>
            <w:tcBorders>
              <w:top w:val="nil"/>
              <w:bottom w:val="nil"/>
            </w:tcBorders>
            <w:vAlign w:val="center"/>
          </w:tcPr>
          <w:p w14:paraId="7566B340" w14:textId="77777777" w:rsidR="00156F2B" w:rsidRPr="00100776" w:rsidRDefault="00156F2B" w:rsidP="00161659">
            <w:pPr>
              <w:jc w:val="center"/>
              <w:rPr>
                <w:lang w:val="en-GB"/>
              </w:rPr>
            </w:pPr>
            <w:r w:rsidRPr="00100776">
              <w:rPr>
                <w:lang w:val="en-GB"/>
              </w:rPr>
              <w:t>5** (highest)</w:t>
            </w:r>
          </w:p>
        </w:tc>
        <w:tc>
          <w:tcPr>
            <w:tcW w:w="786" w:type="dxa"/>
            <w:tcBorders>
              <w:top w:val="nil"/>
              <w:bottom w:val="nil"/>
            </w:tcBorders>
            <w:vAlign w:val="center"/>
          </w:tcPr>
          <w:p w14:paraId="7FF782CD" w14:textId="77777777" w:rsidR="00156F2B" w:rsidRPr="00100776" w:rsidRDefault="00156F2B" w:rsidP="00161659">
            <w:pPr>
              <w:jc w:val="center"/>
              <w:rPr>
                <w:lang w:val="en-GB"/>
              </w:rPr>
            </w:pPr>
            <w:r w:rsidRPr="00100776">
              <w:rPr>
                <w:lang w:val="en-GB"/>
              </w:rPr>
              <w:t>1.1%</w:t>
            </w:r>
          </w:p>
        </w:tc>
        <w:tc>
          <w:tcPr>
            <w:tcW w:w="786" w:type="dxa"/>
            <w:tcBorders>
              <w:top w:val="nil"/>
              <w:bottom w:val="nil"/>
            </w:tcBorders>
            <w:vAlign w:val="center"/>
          </w:tcPr>
          <w:p w14:paraId="5561E9AF" w14:textId="77777777" w:rsidR="00156F2B" w:rsidRPr="00100776" w:rsidRDefault="00156F2B" w:rsidP="00161659">
            <w:pPr>
              <w:jc w:val="center"/>
              <w:rPr>
                <w:lang w:val="en-GB"/>
              </w:rPr>
            </w:pPr>
            <w:r w:rsidRPr="00100776">
              <w:rPr>
                <w:lang w:val="en-GB"/>
              </w:rPr>
              <w:t>1.7%</w:t>
            </w:r>
          </w:p>
        </w:tc>
        <w:tc>
          <w:tcPr>
            <w:tcW w:w="786" w:type="dxa"/>
            <w:tcBorders>
              <w:top w:val="nil"/>
              <w:bottom w:val="nil"/>
            </w:tcBorders>
            <w:vAlign w:val="center"/>
          </w:tcPr>
          <w:p w14:paraId="284EB81E" w14:textId="77777777" w:rsidR="00156F2B" w:rsidRPr="00100776" w:rsidRDefault="00156F2B" w:rsidP="00161659">
            <w:pPr>
              <w:jc w:val="center"/>
              <w:rPr>
                <w:lang w:val="en-GB"/>
              </w:rPr>
            </w:pPr>
            <w:r w:rsidRPr="00100776">
              <w:rPr>
                <w:lang w:val="en-GB"/>
              </w:rPr>
              <w:t>1.2%</w:t>
            </w:r>
          </w:p>
        </w:tc>
        <w:tc>
          <w:tcPr>
            <w:tcW w:w="786" w:type="dxa"/>
            <w:tcBorders>
              <w:top w:val="nil"/>
              <w:bottom w:val="nil"/>
            </w:tcBorders>
            <w:vAlign w:val="center"/>
          </w:tcPr>
          <w:p w14:paraId="6EFA0CB2" w14:textId="77777777" w:rsidR="00156F2B" w:rsidRPr="00100776" w:rsidRDefault="00156F2B" w:rsidP="00161659">
            <w:pPr>
              <w:jc w:val="center"/>
              <w:rPr>
                <w:lang w:val="en-GB"/>
              </w:rPr>
            </w:pPr>
            <w:r w:rsidRPr="00100776">
              <w:rPr>
                <w:lang w:val="en-GB"/>
              </w:rPr>
              <w:t>2.0%</w:t>
            </w:r>
          </w:p>
        </w:tc>
        <w:tc>
          <w:tcPr>
            <w:tcW w:w="787" w:type="dxa"/>
            <w:tcBorders>
              <w:top w:val="nil"/>
              <w:bottom w:val="nil"/>
            </w:tcBorders>
            <w:vAlign w:val="center"/>
          </w:tcPr>
          <w:p w14:paraId="09C5F28B" w14:textId="77777777" w:rsidR="00156F2B" w:rsidRPr="00100776" w:rsidRDefault="00156F2B" w:rsidP="00161659">
            <w:pPr>
              <w:jc w:val="center"/>
              <w:rPr>
                <w:lang w:val="en-GB"/>
              </w:rPr>
            </w:pPr>
            <w:r w:rsidRPr="00100776">
              <w:rPr>
                <w:lang w:val="en-GB"/>
              </w:rPr>
              <w:t>1.2%</w:t>
            </w:r>
          </w:p>
        </w:tc>
        <w:tc>
          <w:tcPr>
            <w:tcW w:w="786" w:type="dxa"/>
            <w:tcBorders>
              <w:top w:val="nil"/>
              <w:bottom w:val="nil"/>
            </w:tcBorders>
            <w:vAlign w:val="center"/>
          </w:tcPr>
          <w:p w14:paraId="09F664F0" w14:textId="77777777" w:rsidR="00156F2B" w:rsidRPr="00100776" w:rsidRDefault="00156F2B" w:rsidP="00161659">
            <w:pPr>
              <w:jc w:val="center"/>
              <w:rPr>
                <w:lang w:val="en-GB"/>
              </w:rPr>
            </w:pPr>
            <w:r w:rsidRPr="00100776">
              <w:rPr>
                <w:lang w:val="en-GB"/>
              </w:rPr>
              <w:t>2.1%</w:t>
            </w:r>
          </w:p>
        </w:tc>
        <w:tc>
          <w:tcPr>
            <w:tcW w:w="786" w:type="dxa"/>
            <w:tcBorders>
              <w:top w:val="nil"/>
              <w:bottom w:val="nil"/>
            </w:tcBorders>
            <w:vAlign w:val="center"/>
          </w:tcPr>
          <w:p w14:paraId="4C8B05A2" w14:textId="77777777" w:rsidR="00156F2B" w:rsidRPr="00100776" w:rsidRDefault="00156F2B" w:rsidP="00161659">
            <w:pPr>
              <w:jc w:val="center"/>
              <w:rPr>
                <w:lang w:val="en-GB"/>
              </w:rPr>
            </w:pPr>
            <w:r w:rsidRPr="00100776">
              <w:rPr>
                <w:lang w:val="en-GB"/>
              </w:rPr>
              <w:t>1.3%</w:t>
            </w:r>
          </w:p>
        </w:tc>
        <w:tc>
          <w:tcPr>
            <w:tcW w:w="786" w:type="dxa"/>
            <w:tcBorders>
              <w:top w:val="nil"/>
              <w:bottom w:val="nil"/>
            </w:tcBorders>
            <w:vAlign w:val="center"/>
          </w:tcPr>
          <w:p w14:paraId="0C63E568" w14:textId="77777777" w:rsidR="00156F2B" w:rsidRPr="00100776" w:rsidRDefault="00156F2B" w:rsidP="00161659">
            <w:pPr>
              <w:jc w:val="center"/>
              <w:rPr>
                <w:lang w:val="en-GB"/>
              </w:rPr>
            </w:pPr>
            <w:r w:rsidRPr="00100776">
              <w:rPr>
                <w:lang w:val="en-GB"/>
              </w:rPr>
              <w:t>2.1%</w:t>
            </w:r>
          </w:p>
        </w:tc>
        <w:tc>
          <w:tcPr>
            <w:tcW w:w="786" w:type="dxa"/>
            <w:tcBorders>
              <w:top w:val="nil"/>
              <w:bottom w:val="nil"/>
            </w:tcBorders>
            <w:vAlign w:val="center"/>
          </w:tcPr>
          <w:p w14:paraId="6F647A2E" w14:textId="77777777" w:rsidR="00156F2B" w:rsidRPr="00100776" w:rsidRDefault="00156F2B" w:rsidP="00161659">
            <w:pPr>
              <w:jc w:val="center"/>
              <w:rPr>
                <w:lang w:val="en-GB"/>
              </w:rPr>
            </w:pPr>
            <w:r w:rsidRPr="00100776">
              <w:rPr>
                <w:lang w:val="en-GB"/>
              </w:rPr>
              <w:t>1.3%</w:t>
            </w:r>
          </w:p>
        </w:tc>
        <w:tc>
          <w:tcPr>
            <w:tcW w:w="787" w:type="dxa"/>
            <w:tcBorders>
              <w:top w:val="nil"/>
              <w:bottom w:val="nil"/>
            </w:tcBorders>
            <w:vAlign w:val="center"/>
          </w:tcPr>
          <w:p w14:paraId="7CB027C6" w14:textId="77777777" w:rsidR="00156F2B" w:rsidRPr="00100776" w:rsidRDefault="00156F2B" w:rsidP="00161659">
            <w:pPr>
              <w:jc w:val="center"/>
              <w:rPr>
                <w:lang w:val="en-GB"/>
              </w:rPr>
            </w:pPr>
            <w:r w:rsidRPr="00100776">
              <w:rPr>
                <w:lang w:val="en-GB"/>
              </w:rPr>
              <w:t>2.0%</w:t>
            </w:r>
          </w:p>
        </w:tc>
      </w:tr>
      <w:tr w:rsidR="00156F2B" w:rsidRPr="00100776" w14:paraId="06C31689" w14:textId="77777777" w:rsidTr="00C14A8C">
        <w:tc>
          <w:tcPr>
            <w:tcW w:w="1421" w:type="dxa"/>
            <w:tcBorders>
              <w:top w:val="nil"/>
              <w:bottom w:val="nil"/>
            </w:tcBorders>
            <w:vAlign w:val="center"/>
          </w:tcPr>
          <w:p w14:paraId="5BC3BEA1" w14:textId="77777777" w:rsidR="00156F2B" w:rsidRPr="00100776" w:rsidRDefault="00156F2B" w:rsidP="00161659">
            <w:pPr>
              <w:jc w:val="center"/>
              <w:rPr>
                <w:lang w:val="en-GB"/>
              </w:rPr>
            </w:pPr>
            <w:r w:rsidRPr="00100776">
              <w:rPr>
                <w:lang w:val="en-GB"/>
              </w:rPr>
              <w:lastRenderedPageBreak/>
              <w:t>5 or above</w:t>
            </w:r>
          </w:p>
        </w:tc>
        <w:tc>
          <w:tcPr>
            <w:tcW w:w="786" w:type="dxa"/>
            <w:tcBorders>
              <w:top w:val="nil"/>
              <w:bottom w:val="nil"/>
            </w:tcBorders>
            <w:vAlign w:val="center"/>
          </w:tcPr>
          <w:p w14:paraId="7F751EF8" w14:textId="77777777" w:rsidR="00156F2B" w:rsidRPr="00100776" w:rsidRDefault="00156F2B" w:rsidP="00161659">
            <w:pPr>
              <w:jc w:val="center"/>
              <w:rPr>
                <w:lang w:val="en-GB"/>
              </w:rPr>
            </w:pPr>
            <w:r w:rsidRPr="00100776">
              <w:rPr>
                <w:lang w:val="en-GB"/>
              </w:rPr>
              <w:t>10.6%</w:t>
            </w:r>
          </w:p>
        </w:tc>
        <w:tc>
          <w:tcPr>
            <w:tcW w:w="786" w:type="dxa"/>
            <w:tcBorders>
              <w:top w:val="nil"/>
              <w:bottom w:val="nil"/>
            </w:tcBorders>
            <w:vAlign w:val="center"/>
          </w:tcPr>
          <w:p w14:paraId="4B32134B" w14:textId="77777777" w:rsidR="00156F2B" w:rsidRPr="00100776" w:rsidRDefault="00156F2B" w:rsidP="00161659">
            <w:pPr>
              <w:jc w:val="center"/>
              <w:rPr>
                <w:lang w:val="en-GB"/>
              </w:rPr>
            </w:pPr>
            <w:r w:rsidRPr="00100776">
              <w:rPr>
                <w:lang w:val="en-GB"/>
              </w:rPr>
              <w:t>19.0%</w:t>
            </w:r>
          </w:p>
        </w:tc>
        <w:tc>
          <w:tcPr>
            <w:tcW w:w="786" w:type="dxa"/>
            <w:tcBorders>
              <w:top w:val="nil"/>
              <w:bottom w:val="nil"/>
            </w:tcBorders>
            <w:vAlign w:val="center"/>
          </w:tcPr>
          <w:p w14:paraId="5B1B002F" w14:textId="77777777" w:rsidR="00156F2B" w:rsidRPr="00100776" w:rsidRDefault="00156F2B" w:rsidP="00161659">
            <w:pPr>
              <w:jc w:val="center"/>
              <w:rPr>
                <w:lang w:val="en-GB"/>
              </w:rPr>
            </w:pPr>
            <w:r w:rsidRPr="00100776">
              <w:rPr>
                <w:lang w:val="en-GB"/>
              </w:rPr>
              <w:t>11.2%</w:t>
            </w:r>
          </w:p>
        </w:tc>
        <w:tc>
          <w:tcPr>
            <w:tcW w:w="786" w:type="dxa"/>
            <w:tcBorders>
              <w:top w:val="nil"/>
              <w:bottom w:val="nil"/>
            </w:tcBorders>
            <w:vAlign w:val="center"/>
          </w:tcPr>
          <w:p w14:paraId="35E2E00B" w14:textId="77777777" w:rsidR="00156F2B" w:rsidRPr="00100776" w:rsidRDefault="00156F2B" w:rsidP="00161659">
            <w:pPr>
              <w:jc w:val="center"/>
              <w:rPr>
                <w:lang w:val="en-GB"/>
              </w:rPr>
            </w:pPr>
            <w:r w:rsidRPr="00100776">
              <w:rPr>
                <w:lang w:val="en-GB"/>
              </w:rPr>
              <w:t>16.7%</w:t>
            </w:r>
          </w:p>
        </w:tc>
        <w:tc>
          <w:tcPr>
            <w:tcW w:w="787" w:type="dxa"/>
            <w:tcBorders>
              <w:top w:val="nil"/>
              <w:bottom w:val="nil"/>
            </w:tcBorders>
            <w:vAlign w:val="center"/>
          </w:tcPr>
          <w:p w14:paraId="5BB9DF16" w14:textId="77777777" w:rsidR="00156F2B" w:rsidRPr="00100776" w:rsidRDefault="00156F2B" w:rsidP="00161659">
            <w:pPr>
              <w:jc w:val="center"/>
              <w:rPr>
                <w:lang w:val="en-GB"/>
              </w:rPr>
            </w:pPr>
            <w:r w:rsidRPr="00100776">
              <w:rPr>
                <w:lang w:val="en-GB"/>
              </w:rPr>
              <w:t>11.8%</w:t>
            </w:r>
          </w:p>
        </w:tc>
        <w:tc>
          <w:tcPr>
            <w:tcW w:w="786" w:type="dxa"/>
            <w:tcBorders>
              <w:top w:val="nil"/>
              <w:bottom w:val="nil"/>
            </w:tcBorders>
            <w:vAlign w:val="center"/>
          </w:tcPr>
          <w:p w14:paraId="04B027B6" w14:textId="77777777" w:rsidR="00156F2B" w:rsidRPr="00100776" w:rsidRDefault="00156F2B" w:rsidP="00161659">
            <w:pPr>
              <w:jc w:val="center"/>
              <w:rPr>
                <w:lang w:val="en-GB"/>
              </w:rPr>
            </w:pPr>
            <w:r w:rsidRPr="00100776">
              <w:rPr>
                <w:lang w:val="en-GB"/>
              </w:rPr>
              <w:t>20.7%</w:t>
            </w:r>
          </w:p>
        </w:tc>
        <w:tc>
          <w:tcPr>
            <w:tcW w:w="786" w:type="dxa"/>
            <w:tcBorders>
              <w:top w:val="nil"/>
              <w:bottom w:val="nil"/>
            </w:tcBorders>
            <w:vAlign w:val="center"/>
          </w:tcPr>
          <w:p w14:paraId="74F026FD" w14:textId="77777777" w:rsidR="00156F2B" w:rsidRPr="00100776" w:rsidRDefault="00156F2B" w:rsidP="00161659">
            <w:pPr>
              <w:jc w:val="center"/>
              <w:rPr>
                <w:lang w:val="en-GB"/>
              </w:rPr>
            </w:pPr>
            <w:r w:rsidRPr="00100776">
              <w:rPr>
                <w:lang w:val="en-GB"/>
              </w:rPr>
              <w:t>12.2%</w:t>
            </w:r>
          </w:p>
        </w:tc>
        <w:tc>
          <w:tcPr>
            <w:tcW w:w="786" w:type="dxa"/>
            <w:tcBorders>
              <w:top w:val="nil"/>
              <w:bottom w:val="nil"/>
            </w:tcBorders>
            <w:vAlign w:val="center"/>
          </w:tcPr>
          <w:p w14:paraId="3C14A8C1" w14:textId="77777777" w:rsidR="00156F2B" w:rsidRPr="00100776" w:rsidRDefault="00156F2B" w:rsidP="00161659">
            <w:pPr>
              <w:jc w:val="center"/>
              <w:rPr>
                <w:lang w:val="en-GB"/>
              </w:rPr>
            </w:pPr>
            <w:r w:rsidRPr="00100776">
              <w:rPr>
                <w:lang w:val="en-GB"/>
              </w:rPr>
              <w:t>20.3%</w:t>
            </w:r>
          </w:p>
        </w:tc>
        <w:tc>
          <w:tcPr>
            <w:tcW w:w="786" w:type="dxa"/>
            <w:tcBorders>
              <w:top w:val="nil"/>
              <w:bottom w:val="nil"/>
            </w:tcBorders>
            <w:vAlign w:val="center"/>
          </w:tcPr>
          <w:p w14:paraId="7F9ABCDD" w14:textId="77777777" w:rsidR="00156F2B" w:rsidRPr="00100776" w:rsidRDefault="00156F2B" w:rsidP="00161659">
            <w:pPr>
              <w:jc w:val="center"/>
              <w:rPr>
                <w:lang w:val="en-GB"/>
              </w:rPr>
            </w:pPr>
            <w:r w:rsidRPr="00100776">
              <w:rPr>
                <w:lang w:val="en-GB"/>
              </w:rPr>
              <w:t>12.5%</w:t>
            </w:r>
          </w:p>
        </w:tc>
        <w:tc>
          <w:tcPr>
            <w:tcW w:w="787" w:type="dxa"/>
            <w:tcBorders>
              <w:top w:val="nil"/>
              <w:bottom w:val="nil"/>
            </w:tcBorders>
            <w:vAlign w:val="center"/>
          </w:tcPr>
          <w:p w14:paraId="6E4C78CC" w14:textId="77777777" w:rsidR="00156F2B" w:rsidRPr="00100776" w:rsidRDefault="00156F2B" w:rsidP="00161659">
            <w:pPr>
              <w:jc w:val="center"/>
              <w:rPr>
                <w:lang w:val="en-GB"/>
              </w:rPr>
            </w:pPr>
            <w:r w:rsidRPr="00100776">
              <w:rPr>
                <w:lang w:val="en-GB"/>
              </w:rPr>
              <w:t>20.7%</w:t>
            </w:r>
          </w:p>
        </w:tc>
      </w:tr>
      <w:tr w:rsidR="00156F2B" w:rsidRPr="00100776" w14:paraId="04BDFF2E" w14:textId="77777777" w:rsidTr="00C14A8C">
        <w:tc>
          <w:tcPr>
            <w:tcW w:w="1421" w:type="dxa"/>
            <w:tcBorders>
              <w:top w:val="nil"/>
            </w:tcBorders>
            <w:vAlign w:val="center"/>
          </w:tcPr>
          <w:p w14:paraId="054432F5" w14:textId="77777777" w:rsidR="00156F2B" w:rsidRPr="00100776" w:rsidRDefault="00156F2B" w:rsidP="00161659">
            <w:pPr>
              <w:jc w:val="center"/>
              <w:rPr>
                <w:lang w:val="en-GB"/>
              </w:rPr>
            </w:pPr>
            <w:r w:rsidRPr="00100776">
              <w:rPr>
                <w:lang w:val="en-GB"/>
              </w:rPr>
              <w:t>3 or above</w:t>
            </w:r>
          </w:p>
        </w:tc>
        <w:tc>
          <w:tcPr>
            <w:tcW w:w="786" w:type="dxa"/>
            <w:tcBorders>
              <w:top w:val="nil"/>
            </w:tcBorders>
            <w:vAlign w:val="center"/>
          </w:tcPr>
          <w:p w14:paraId="2463826D" w14:textId="77777777" w:rsidR="00156F2B" w:rsidRPr="00100776" w:rsidRDefault="00156F2B" w:rsidP="00161659">
            <w:pPr>
              <w:jc w:val="center"/>
              <w:rPr>
                <w:lang w:val="en-GB"/>
              </w:rPr>
            </w:pPr>
            <w:r w:rsidRPr="00100776">
              <w:rPr>
                <w:lang w:val="en-GB"/>
              </w:rPr>
              <w:t>59.8%</w:t>
            </w:r>
          </w:p>
        </w:tc>
        <w:tc>
          <w:tcPr>
            <w:tcW w:w="786" w:type="dxa"/>
            <w:tcBorders>
              <w:top w:val="nil"/>
            </w:tcBorders>
            <w:vAlign w:val="center"/>
          </w:tcPr>
          <w:p w14:paraId="188F4387" w14:textId="77777777" w:rsidR="00156F2B" w:rsidRPr="00100776" w:rsidRDefault="00156F2B" w:rsidP="00161659">
            <w:pPr>
              <w:jc w:val="center"/>
              <w:rPr>
                <w:lang w:val="en-GB"/>
              </w:rPr>
            </w:pPr>
            <w:r w:rsidRPr="00100776">
              <w:rPr>
                <w:lang w:val="en-GB"/>
              </w:rPr>
              <w:t>85.8%</w:t>
            </w:r>
          </w:p>
        </w:tc>
        <w:tc>
          <w:tcPr>
            <w:tcW w:w="786" w:type="dxa"/>
            <w:tcBorders>
              <w:top w:val="nil"/>
            </w:tcBorders>
            <w:vAlign w:val="center"/>
          </w:tcPr>
          <w:p w14:paraId="4B1E40CC" w14:textId="77777777" w:rsidR="00156F2B" w:rsidRPr="00100776" w:rsidRDefault="00156F2B" w:rsidP="00161659">
            <w:pPr>
              <w:jc w:val="center"/>
              <w:rPr>
                <w:lang w:val="en-GB"/>
              </w:rPr>
            </w:pPr>
            <w:r w:rsidRPr="00100776">
              <w:rPr>
                <w:lang w:val="en-GB"/>
              </w:rPr>
              <w:t>59.6%</w:t>
            </w:r>
          </w:p>
        </w:tc>
        <w:tc>
          <w:tcPr>
            <w:tcW w:w="786" w:type="dxa"/>
            <w:tcBorders>
              <w:top w:val="nil"/>
            </w:tcBorders>
            <w:vAlign w:val="center"/>
          </w:tcPr>
          <w:p w14:paraId="62A8B922" w14:textId="77777777" w:rsidR="00156F2B" w:rsidRPr="00100776" w:rsidRDefault="00156F2B" w:rsidP="00161659">
            <w:pPr>
              <w:jc w:val="center"/>
              <w:rPr>
                <w:lang w:val="en-GB"/>
              </w:rPr>
            </w:pPr>
            <w:r w:rsidRPr="00100776">
              <w:rPr>
                <w:lang w:val="en-GB"/>
              </w:rPr>
              <w:t>82.5%</w:t>
            </w:r>
          </w:p>
        </w:tc>
        <w:tc>
          <w:tcPr>
            <w:tcW w:w="787" w:type="dxa"/>
            <w:tcBorders>
              <w:top w:val="nil"/>
            </w:tcBorders>
            <w:vAlign w:val="center"/>
          </w:tcPr>
          <w:p w14:paraId="7DD3442F" w14:textId="77777777" w:rsidR="00156F2B" w:rsidRPr="00100776" w:rsidRDefault="00156F2B" w:rsidP="00161659">
            <w:pPr>
              <w:jc w:val="center"/>
              <w:rPr>
                <w:lang w:val="en-GB"/>
              </w:rPr>
            </w:pPr>
            <w:r w:rsidRPr="00100776">
              <w:rPr>
                <w:lang w:val="en-GB"/>
              </w:rPr>
              <w:t>59.9%</w:t>
            </w:r>
          </w:p>
        </w:tc>
        <w:tc>
          <w:tcPr>
            <w:tcW w:w="786" w:type="dxa"/>
            <w:tcBorders>
              <w:top w:val="nil"/>
            </w:tcBorders>
            <w:vAlign w:val="center"/>
          </w:tcPr>
          <w:p w14:paraId="2CEBC26D" w14:textId="77777777" w:rsidR="00156F2B" w:rsidRPr="00100776" w:rsidRDefault="00156F2B" w:rsidP="00161659">
            <w:pPr>
              <w:jc w:val="center"/>
              <w:rPr>
                <w:lang w:val="en-GB"/>
              </w:rPr>
            </w:pPr>
            <w:r w:rsidRPr="00100776">
              <w:rPr>
                <w:lang w:val="en-GB"/>
              </w:rPr>
              <w:t>81.4%</w:t>
            </w:r>
          </w:p>
        </w:tc>
        <w:tc>
          <w:tcPr>
            <w:tcW w:w="786" w:type="dxa"/>
            <w:tcBorders>
              <w:top w:val="nil"/>
            </w:tcBorders>
            <w:vAlign w:val="center"/>
          </w:tcPr>
          <w:p w14:paraId="6B8E931B" w14:textId="77777777" w:rsidR="00156F2B" w:rsidRPr="00100776" w:rsidRDefault="00156F2B" w:rsidP="00161659">
            <w:pPr>
              <w:jc w:val="center"/>
              <w:rPr>
                <w:lang w:val="en-GB"/>
              </w:rPr>
            </w:pPr>
            <w:r w:rsidRPr="00100776">
              <w:rPr>
                <w:lang w:val="en-GB"/>
              </w:rPr>
              <w:t>60.2%</w:t>
            </w:r>
          </w:p>
        </w:tc>
        <w:tc>
          <w:tcPr>
            <w:tcW w:w="786" w:type="dxa"/>
            <w:tcBorders>
              <w:top w:val="nil"/>
            </w:tcBorders>
            <w:vAlign w:val="center"/>
          </w:tcPr>
          <w:p w14:paraId="57AE65E6" w14:textId="77777777" w:rsidR="00156F2B" w:rsidRPr="00100776" w:rsidRDefault="00156F2B" w:rsidP="00161659">
            <w:pPr>
              <w:jc w:val="center"/>
              <w:rPr>
                <w:lang w:val="en-GB"/>
              </w:rPr>
            </w:pPr>
            <w:r w:rsidRPr="00100776">
              <w:rPr>
                <w:lang w:val="en-GB"/>
              </w:rPr>
              <w:t>76.6%</w:t>
            </w:r>
          </w:p>
        </w:tc>
        <w:tc>
          <w:tcPr>
            <w:tcW w:w="786" w:type="dxa"/>
            <w:tcBorders>
              <w:top w:val="nil"/>
            </w:tcBorders>
            <w:vAlign w:val="center"/>
          </w:tcPr>
          <w:p w14:paraId="58880264" w14:textId="77777777" w:rsidR="00156F2B" w:rsidRPr="00100776" w:rsidRDefault="00156F2B" w:rsidP="00161659">
            <w:pPr>
              <w:jc w:val="center"/>
              <w:rPr>
                <w:lang w:val="en-GB"/>
              </w:rPr>
            </w:pPr>
            <w:r w:rsidRPr="00100776">
              <w:rPr>
                <w:lang w:val="en-GB"/>
              </w:rPr>
              <w:t>61.6%</w:t>
            </w:r>
          </w:p>
        </w:tc>
        <w:tc>
          <w:tcPr>
            <w:tcW w:w="787" w:type="dxa"/>
            <w:tcBorders>
              <w:top w:val="nil"/>
            </w:tcBorders>
            <w:vAlign w:val="center"/>
          </w:tcPr>
          <w:p w14:paraId="74D0AE5C" w14:textId="77777777" w:rsidR="00156F2B" w:rsidRPr="00100776" w:rsidRDefault="00156F2B" w:rsidP="00161659">
            <w:pPr>
              <w:jc w:val="center"/>
              <w:rPr>
                <w:lang w:val="en-GB"/>
              </w:rPr>
            </w:pPr>
            <w:r w:rsidRPr="00100776">
              <w:rPr>
                <w:lang w:val="en-GB"/>
              </w:rPr>
              <w:t>80.3%</w:t>
            </w:r>
          </w:p>
        </w:tc>
      </w:tr>
      <w:tr w:rsidR="002C1549" w:rsidRPr="00100776" w14:paraId="054B7E93" w14:textId="77777777" w:rsidTr="00C14A8C">
        <w:tc>
          <w:tcPr>
            <w:tcW w:w="1421" w:type="dxa"/>
            <w:vMerge w:val="restart"/>
            <w:vAlign w:val="center"/>
          </w:tcPr>
          <w:p w14:paraId="61A10AF1" w14:textId="77777777" w:rsidR="002C1549" w:rsidRPr="00100776" w:rsidRDefault="002C1549" w:rsidP="00161659">
            <w:pPr>
              <w:jc w:val="center"/>
              <w:rPr>
                <w:lang w:val="en-GB"/>
              </w:rPr>
            </w:pPr>
            <w:r w:rsidRPr="00100776">
              <w:rPr>
                <w:lang w:val="en-GB"/>
              </w:rPr>
              <w:t>Year</w:t>
            </w:r>
          </w:p>
        </w:tc>
        <w:tc>
          <w:tcPr>
            <w:tcW w:w="1572" w:type="dxa"/>
            <w:gridSpan w:val="2"/>
            <w:vAlign w:val="center"/>
          </w:tcPr>
          <w:p w14:paraId="7A2DB3FC" w14:textId="5400D8B5" w:rsidR="002C1549" w:rsidRPr="00100776" w:rsidRDefault="002C1549" w:rsidP="00161659">
            <w:pPr>
              <w:jc w:val="center"/>
              <w:rPr>
                <w:lang w:val="en-GB"/>
              </w:rPr>
            </w:pPr>
            <w:r w:rsidRPr="00100776">
              <w:rPr>
                <w:lang w:val="en-GB"/>
              </w:rPr>
              <w:t>2017</w:t>
            </w:r>
          </w:p>
        </w:tc>
        <w:tc>
          <w:tcPr>
            <w:tcW w:w="1572" w:type="dxa"/>
            <w:gridSpan w:val="2"/>
            <w:vAlign w:val="center"/>
          </w:tcPr>
          <w:p w14:paraId="465ED517" w14:textId="238168BD" w:rsidR="002C1549" w:rsidRPr="00100776" w:rsidRDefault="002C1549" w:rsidP="00161659">
            <w:pPr>
              <w:jc w:val="center"/>
              <w:rPr>
                <w:lang w:val="en-GB"/>
              </w:rPr>
            </w:pPr>
            <w:r w:rsidRPr="00100776">
              <w:rPr>
                <w:lang w:val="en-GB"/>
              </w:rPr>
              <w:t>2018</w:t>
            </w:r>
          </w:p>
        </w:tc>
        <w:tc>
          <w:tcPr>
            <w:tcW w:w="1573" w:type="dxa"/>
            <w:gridSpan w:val="2"/>
            <w:vAlign w:val="center"/>
          </w:tcPr>
          <w:p w14:paraId="3F21A7A6" w14:textId="14454F1C" w:rsidR="002C1549" w:rsidRPr="00100776" w:rsidRDefault="002C1549" w:rsidP="00161659">
            <w:pPr>
              <w:jc w:val="center"/>
              <w:rPr>
                <w:lang w:val="en-GB"/>
              </w:rPr>
            </w:pPr>
            <w:r w:rsidRPr="00100776">
              <w:rPr>
                <w:lang w:val="en-GB"/>
              </w:rPr>
              <w:t>2019</w:t>
            </w:r>
          </w:p>
        </w:tc>
        <w:tc>
          <w:tcPr>
            <w:tcW w:w="1572" w:type="dxa"/>
            <w:gridSpan w:val="2"/>
            <w:vAlign w:val="center"/>
          </w:tcPr>
          <w:p w14:paraId="09297269" w14:textId="211D45E6" w:rsidR="002C1549" w:rsidRPr="00100776" w:rsidRDefault="002C1549" w:rsidP="00161659">
            <w:pPr>
              <w:jc w:val="center"/>
              <w:rPr>
                <w:lang w:val="en-GB"/>
              </w:rPr>
            </w:pPr>
            <w:r w:rsidRPr="00100776">
              <w:rPr>
                <w:lang w:val="en-GB"/>
              </w:rPr>
              <w:t>2020</w:t>
            </w:r>
          </w:p>
        </w:tc>
        <w:tc>
          <w:tcPr>
            <w:tcW w:w="1573" w:type="dxa"/>
            <w:gridSpan w:val="2"/>
            <w:vAlign w:val="center"/>
          </w:tcPr>
          <w:p w14:paraId="1616D73A" w14:textId="47BDD43F" w:rsidR="002C1549" w:rsidRPr="00100776" w:rsidRDefault="002C1549" w:rsidP="00161659">
            <w:pPr>
              <w:jc w:val="center"/>
              <w:rPr>
                <w:lang w:val="en-GB"/>
              </w:rPr>
            </w:pPr>
            <w:r w:rsidRPr="00100776">
              <w:rPr>
                <w:lang w:val="en-GB"/>
              </w:rPr>
              <w:t>2021</w:t>
            </w:r>
          </w:p>
        </w:tc>
      </w:tr>
      <w:tr w:rsidR="002C1549" w:rsidRPr="00100776" w14:paraId="6CFE2FE1" w14:textId="77777777" w:rsidTr="00C14A8C">
        <w:tc>
          <w:tcPr>
            <w:tcW w:w="1421" w:type="dxa"/>
            <w:vMerge/>
            <w:tcBorders>
              <w:bottom w:val="single" w:sz="4" w:space="0" w:color="auto"/>
            </w:tcBorders>
            <w:vAlign w:val="center"/>
          </w:tcPr>
          <w:p w14:paraId="3C439137" w14:textId="77777777" w:rsidR="002C1549" w:rsidRPr="00100776" w:rsidRDefault="002C1549" w:rsidP="00161659">
            <w:pPr>
              <w:jc w:val="center"/>
              <w:rPr>
                <w:lang w:val="en-GB"/>
              </w:rPr>
            </w:pPr>
          </w:p>
        </w:tc>
        <w:tc>
          <w:tcPr>
            <w:tcW w:w="786" w:type="dxa"/>
            <w:tcBorders>
              <w:bottom w:val="single" w:sz="4" w:space="0" w:color="auto"/>
            </w:tcBorders>
            <w:vAlign w:val="center"/>
          </w:tcPr>
          <w:p w14:paraId="0726AD39" w14:textId="77777777" w:rsidR="002C1549" w:rsidRPr="00100776" w:rsidRDefault="002C1549" w:rsidP="00161659">
            <w:pPr>
              <w:jc w:val="center"/>
              <w:rPr>
                <w:lang w:val="en-GB"/>
              </w:rPr>
            </w:pPr>
            <w:r w:rsidRPr="00100776">
              <w:rPr>
                <w:lang w:val="en-GB"/>
              </w:rPr>
              <w:t>Total</w:t>
            </w:r>
          </w:p>
        </w:tc>
        <w:tc>
          <w:tcPr>
            <w:tcW w:w="786" w:type="dxa"/>
            <w:tcBorders>
              <w:bottom w:val="single" w:sz="4" w:space="0" w:color="auto"/>
            </w:tcBorders>
            <w:vAlign w:val="center"/>
          </w:tcPr>
          <w:p w14:paraId="71D006B2" w14:textId="77777777" w:rsidR="002C1549" w:rsidRPr="00100776" w:rsidRDefault="002C1549" w:rsidP="00161659">
            <w:pPr>
              <w:jc w:val="center"/>
              <w:rPr>
                <w:lang w:val="en-GB"/>
              </w:rPr>
            </w:pPr>
            <w:r w:rsidRPr="00100776">
              <w:rPr>
                <w:lang w:val="en-GB"/>
              </w:rPr>
              <w:t>Music</w:t>
            </w:r>
          </w:p>
        </w:tc>
        <w:tc>
          <w:tcPr>
            <w:tcW w:w="786" w:type="dxa"/>
            <w:tcBorders>
              <w:bottom w:val="single" w:sz="4" w:space="0" w:color="auto"/>
            </w:tcBorders>
            <w:vAlign w:val="center"/>
          </w:tcPr>
          <w:p w14:paraId="549DD432" w14:textId="77777777" w:rsidR="002C1549" w:rsidRPr="00100776" w:rsidRDefault="002C1549" w:rsidP="00161659">
            <w:pPr>
              <w:jc w:val="center"/>
              <w:rPr>
                <w:lang w:val="en-GB"/>
              </w:rPr>
            </w:pPr>
            <w:r w:rsidRPr="00100776">
              <w:rPr>
                <w:lang w:val="en-GB"/>
              </w:rPr>
              <w:t>Total</w:t>
            </w:r>
          </w:p>
        </w:tc>
        <w:tc>
          <w:tcPr>
            <w:tcW w:w="786" w:type="dxa"/>
            <w:tcBorders>
              <w:bottom w:val="single" w:sz="4" w:space="0" w:color="auto"/>
            </w:tcBorders>
            <w:vAlign w:val="center"/>
          </w:tcPr>
          <w:p w14:paraId="45E273FB" w14:textId="77777777" w:rsidR="002C1549" w:rsidRPr="00100776" w:rsidRDefault="002C1549" w:rsidP="00161659">
            <w:pPr>
              <w:jc w:val="center"/>
              <w:rPr>
                <w:lang w:val="en-GB"/>
              </w:rPr>
            </w:pPr>
            <w:r w:rsidRPr="00100776">
              <w:rPr>
                <w:lang w:val="en-GB"/>
              </w:rPr>
              <w:t>Music</w:t>
            </w:r>
          </w:p>
        </w:tc>
        <w:tc>
          <w:tcPr>
            <w:tcW w:w="787" w:type="dxa"/>
            <w:tcBorders>
              <w:bottom w:val="single" w:sz="4" w:space="0" w:color="auto"/>
            </w:tcBorders>
            <w:vAlign w:val="center"/>
          </w:tcPr>
          <w:p w14:paraId="1B883AA7" w14:textId="77777777" w:rsidR="002C1549" w:rsidRPr="00100776" w:rsidRDefault="002C1549" w:rsidP="00161659">
            <w:pPr>
              <w:jc w:val="center"/>
              <w:rPr>
                <w:lang w:val="en-GB"/>
              </w:rPr>
            </w:pPr>
            <w:r w:rsidRPr="00100776">
              <w:rPr>
                <w:lang w:val="en-GB"/>
              </w:rPr>
              <w:t>Total</w:t>
            </w:r>
          </w:p>
        </w:tc>
        <w:tc>
          <w:tcPr>
            <w:tcW w:w="786" w:type="dxa"/>
            <w:tcBorders>
              <w:bottom w:val="single" w:sz="4" w:space="0" w:color="auto"/>
            </w:tcBorders>
            <w:vAlign w:val="center"/>
          </w:tcPr>
          <w:p w14:paraId="543EE3AC" w14:textId="77777777" w:rsidR="002C1549" w:rsidRPr="00100776" w:rsidRDefault="002C1549" w:rsidP="00161659">
            <w:pPr>
              <w:jc w:val="center"/>
              <w:rPr>
                <w:lang w:val="en-GB"/>
              </w:rPr>
            </w:pPr>
            <w:r w:rsidRPr="00100776">
              <w:rPr>
                <w:lang w:val="en-GB"/>
              </w:rPr>
              <w:t>Music</w:t>
            </w:r>
          </w:p>
        </w:tc>
        <w:tc>
          <w:tcPr>
            <w:tcW w:w="786" w:type="dxa"/>
            <w:tcBorders>
              <w:bottom w:val="single" w:sz="4" w:space="0" w:color="auto"/>
            </w:tcBorders>
            <w:vAlign w:val="center"/>
          </w:tcPr>
          <w:p w14:paraId="0BB11082" w14:textId="77777777" w:rsidR="002C1549" w:rsidRPr="00100776" w:rsidRDefault="002C1549" w:rsidP="00161659">
            <w:pPr>
              <w:jc w:val="center"/>
              <w:rPr>
                <w:lang w:val="en-GB"/>
              </w:rPr>
            </w:pPr>
            <w:r w:rsidRPr="00100776">
              <w:rPr>
                <w:lang w:val="en-GB"/>
              </w:rPr>
              <w:t>Total</w:t>
            </w:r>
          </w:p>
        </w:tc>
        <w:tc>
          <w:tcPr>
            <w:tcW w:w="786" w:type="dxa"/>
            <w:tcBorders>
              <w:bottom w:val="single" w:sz="4" w:space="0" w:color="auto"/>
            </w:tcBorders>
            <w:vAlign w:val="center"/>
          </w:tcPr>
          <w:p w14:paraId="22D30898" w14:textId="77777777" w:rsidR="002C1549" w:rsidRPr="00100776" w:rsidRDefault="002C1549" w:rsidP="00161659">
            <w:pPr>
              <w:jc w:val="center"/>
              <w:rPr>
                <w:lang w:val="en-GB"/>
              </w:rPr>
            </w:pPr>
            <w:r w:rsidRPr="00100776">
              <w:rPr>
                <w:lang w:val="en-GB"/>
              </w:rPr>
              <w:t>Music</w:t>
            </w:r>
          </w:p>
        </w:tc>
        <w:tc>
          <w:tcPr>
            <w:tcW w:w="786" w:type="dxa"/>
            <w:tcBorders>
              <w:bottom w:val="single" w:sz="4" w:space="0" w:color="auto"/>
            </w:tcBorders>
            <w:vAlign w:val="center"/>
          </w:tcPr>
          <w:p w14:paraId="14FD7FFF" w14:textId="77777777" w:rsidR="002C1549" w:rsidRPr="00100776" w:rsidRDefault="002C1549" w:rsidP="00161659">
            <w:pPr>
              <w:jc w:val="center"/>
              <w:rPr>
                <w:lang w:val="en-GB"/>
              </w:rPr>
            </w:pPr>
            <w:r w:rsidRPr="00100776">
              <w:rPr>
                <w:lang w:val="en-GB"/>
              </w:rPr>
              <w:t>Total</w:t>
            </w:r>
          </w:p>
        </w:tc>
        <w:tc>
          <w:tcPr>
            <w:tcW w:w="787" w:type="dxa"/>
            <w:tcBorders>
              <w:bottom w:val="single" w:sz="4" w:space="0" w:color="auto"/>
            </w:tcBorders>
            <w:vAlign w:val="center"/>
          </w:tcPr>
          <w:p w14:paraId="5C2405C5" w14:textId="77777777" w:rsidR="002C1549" w:rsidRPr="00100776" w:rsidRDefault="002C1549" w:rsidP="00161659">
            <w:pPr>
              <w:rPr>
                <w:lang w:val="en-GB"/>
              </w:rPr>
            </w:pPr>
            <w:r w:rsidRPr="00100776">
              <w:rPr>
                <w:lang w:val="en-GB"/>
              </w:rPr>
              <w:t>Music</w:t>
            </w:r>
          </w:p>
        </w:tc>
      </w:tr>
      <w:tr w:rsidR="002C1549" w:rsidRPr="00100776" w14:paraId="0F4A5646" w14:textId="77777777" w:rsidTr="00C14A8C">
        <w:tc>
          <w:tcPr>
            <w:tcW w:w="1421" w:type="dxa"/>
            <w:tcBorders>
              <w:bottom w:val="nil"/>
            </w:tcBorders>
            <w:vAlign w:val="center"/>
          </w:tcPr>
          <w:p w14:paraId="6E7FB85B" w14:textId="77777777" w:rsidR="002C1549" w:rsidRPr="00100776" w:rsidRDefault="002C1549" w:rsidP="002C1549">
            <w:pPr>
              <w:jc w:val="center"/>
              <w:rPr>
                <w:lang w:val="en-GB"/>
              </w:rPr>
            </w:pPr>
            <w:r w:rsidRPr="00100776">
              <w:rPr>
                <w:lang w:val="en-GB"/>
              </w:rPr>
              <w:t>Number of Candidates</w:t>
            </w:r>
          </w:p>
        </w:tc>
        <w:tc>
          <w:tcPr>
            <w:tcW w:w="786" w:type="dxa"/>
            <w:tcBorders>
              <w:bottom w:val="nil"/>
            </w:tcBorders>
            <w:vAlign w:val="center"/>
          </w:tcPr>
          <w:p w14:paraId="34D0715F" w14:textId="18567073" w:rsidR="002C1549" w:rsidRPr="00100776" w:rsidRDefault="00A010BF" w:rsidP="002C1549">
            <w:pPr>
              <w:jc w:val="center"/>
              <w:rPr>
                <w:sz w:val="20"/>
                <w:szCs w:val="20"/>
                <w:lang w:val="en-GB"/>
              </w:rPr>
            </w:pPr>
            <w:r w:rsidRPr="00100776">
              <w:rPr>
                <w:sz w:val="20"/>
                <w:szCs w:val="20"/>
                <w:lang w:val="en-GB"/>
              </w:rPr>
              <w:t>51,192</w:t>
            </w:r>
          </w:p>
        </w:tc>
        <w:tc>
          <w:tcPr>
            <w:tcW w:w="786" w:type="dxa"/>
            <w:tcBorders>
              <w:bottom w:val="nil"/>
            </w:tcBorders>
            <w:vAlign w:val="center"/>
          </w:tcPr>
          <w:p w14:paraId="3727E6EE" w14:textId="76CDE5F2" w:rsidR="002C1549" w:rsidRPr="00100776" w:rsidRDefault="002C1549" w:rsidP="002C1549">
            <w:pPr>
              <w:jc w:val="center"/>
              <w:rPr>
                <w:lang w:val="en-GB"/>
              </w:rPr>
            </w:pPr>
            <w:r w:rsidRPr="00100776">
              <w:rPr>
                <w:lang w:val="en-GB"/>
              </w:rPr>
              <w:t>165</w:t>
            </w:r>
          </w:p>
          <w:p w14:paraId="3B9A1C29" w14:textId="5E13D190" w:rsidR="002C1549" w:rsidRPr="00100776" w:rsidRDefault="002C1549" w:rsidP="002C1549">
            <w:pPr>
              <w:jc w:val="center"/>
              <w:rPr>
                <w:lang w:val="en-GB"/>
              </w:rPr>
            </w:pPr>
            <w:r w:rsidRPr="00100776">
              <w:rPr>
                <w:sz w:val="18"/>
                <w:szCs w:val="18"/>
                <w:lang w:val="en-GB"/>
              </w:rPr>
              <w:t>(0</w:t>
            </w:r>
            <w:r w:rsidR="00B27AE8" w:rsidRPr="00100776">
              <w:rPr>
                <w:sz w:val="18"/>
                <w:szCs w:val="18"/>
                <w:lang w:val="en-GB"/>
              </w:rPr>
              <w:t>.32</w:t>
            </w:r>
            <w:r w:rsidRPr="00100776">
              <w:rPr>
                <w:sz w:val="18"/>
                <w:szCs w:val="18"/>
                <w:lang w:val="en-GB"/>
              </w:rPr>
              <w:t>%)</w:t>
            </w:r>
          </w:p>
        </w:tc>
        <w:tc>
          <w:tcPr>
            <w:tcW w:w="786" w:type="dxa"/>
            <w:tcBorders>
              <w:bottom w:val="nil"/>
            </w:tcBorders>
            <w:vAlign w:val="center"/>
          </w:tcPr>
          <w:p w14:paraId="223711C9" w14:textId="03781E9C" w:rsidR="002C1549" w:rsidRPr="00100776" w:rsidRDefault="00A010BF" w:rsidP="002C1549">
            <w:pPr>
              <w:jc w:val="center"/>
              <w:rPr>
                <w:sz w:val="20"/>
                <w:szCs w:val="20"/>
                <w:lang w:val="en-GB"/>
              </w:rPr>
            </w:pPr>
            <w:r w:rsidRPr="00100776">
              <w:rPr>
                <w:sz w:val="20"/>
                <w:szCs w:val="20"/>
                <w:lang w:val="en-GB"/>
              </w:rPr>
              <w:t>50,642</w:t>
            </w:r>
          </w:p>
        </w:tc>
        <w:tc>
          <w:tcPr>
            <w:tcW w:w="786" w:type="dxa"/>
            <w:tcBorders>
              <w:bottom w:val="nil"/>
            </w:tcBorders>
            <w:vAlign w:val="center"/>
          </w:tcPr>
          <w:p w14:paraId="35B20B09" w14:textId="6C8DD6DE" w:rsidR="002C1549" w:rsidRPr="00100776" w:rsidRDefault="002C1549" w:rsidP="002C1549">
            <w:pPr>
              <w:jc w:val="center"/>
              <w:rPr>
                <w:sz w:val="18"/>
                <w:szCs w:val="18"/>
                <w:lang w:val="en-GB"/>
              </w:rPr>
            </w:pPr>
            <w:r w:rsidRPr="00100776">
              <w:rPr>
                <w:lang w:val="en-GB"/>
              </w:rPr>
              <w:t>218</w:t>
            </w:r>
            <w:r w:rsidRPr="00100776">
              <w:rPr>
                <w:lang w:val="en-GB"/>
              </w:rPr>
              <w:br/>
            </w:r>
            <w:r w:rsidRPr="00100776">
              <w:rPr>
                <w:sz w:val="18"/>
                <w:szCs w:val="18"/>
                <w:lang w:val="en-GB"/>
              </w:rPr>
              <w:t>(0</w:t>
            </w:r>
            <w:r w:rsidR="00B27AE8" w:rsidRPr="00100776">
              <w:rPr>
                <w:sz w:val="18"/>
                <w:szCs w:val="18"/>
                <w:lang w:val="en-GB"/>
              </w:rPr>
              <w:t>.43</w:t>
            </w:r>
            <w:r w:rsidRPr="00100776">
              <w:rPr>
                <w:sz w:val="18"/>
                <w:szCs w:val="18"/>
                <w:lang w:val="en-GB"/>
              </w:rPr>
              <w:t>%)</w:t>
            </w:r>
          </w:p>
        </w:tc>
        <w:tc>
          <w:tcPr>
            <w:tcW w:w="787" w:type="dxa"/>
            <w:tcBorders>
              <w:bottom w:val="nil"/>
            </w:tcBorders>
            <w:vAlign w:val="center"/>
          </w:tcPr>
          <w:p w14:paraId="0A5E28E5" w14:textId="20CD70BB" w:rsidR="002C1549" w:rsidRPr="00100776" w:rsidRDefault="00A010BF" w:rsidP="002C1549">
            <w:pPr>
              <w:jc w:val="center"/>
              <w:rPr>
                <w:sz w:val="20"/>
                <w:szCs w:val="20"/>
                <w:lang w:val="en-GB"/>
              </w:rPr>
            </w:pPr>
            <w:r w:rsidRPr="00100776">
              <w:rPr>
                <w:sz w:val="20"/>
                <w:szCs w:val="20"/>
                <w:lang w:val="en-GB"/>
              </w:rPr>
              <w:t>47,005</w:t>
            </w:r>
          </w:p>
        </w:tc>
        <w:tc>
          <w:tcPr>
            <w:tcW w:w="786" w:type="dxa"/>
            <w:tcBorders>
              <w:bottom w:val="nil"/>
            </w:tcBorders>
            <w:vAlign w:val="center"/>
          </w:tcPr>
          <w:p w14:paraId="59539DC0" w14:textId="4A6D6CC5" w:rsidR="002C1549" w:rsidRPr="00100776" w:rsidRDefault="002C1549" w:rsidP="002C1549">
            <w:pPr>
              <w:jc w:val="center"/>
              <w:rPr>
                <w:lang w:val="en-GB"/>
              </w:rPr>
            </w:pPr>
            <w:r w:rsidRPr="00100776">
              <w:rPr>
                <w:lang w:val="en-GB"/>
              </w:rPr>
              <w:t>184</w:t>
            </w:r>
          </w:p>
          <w:p w14:paraId="77D7B04E" w14:textId="33FFA5F9" w:rsidR="002C1549" w:rsidRPr="00100776" w:rsidRDefault="002C1549" w:rsidP="002C1549">
            <w:pPr>
              <w:jc w:val="center"/>
              <w:rPr>
                <w:lang w:val="en-GB"/>
              </w:rPr>
            </w:pPr>
            <w:r w:rsidRPr="00100776">
              <w:rPr>
                <w:sz w:val="18"/>
                <w:szCs w:val="18"/>
                <w:lang w:val="en-GB"/>
              </w:rPr>
              <w:t>(0</w:t>
            </w:r>
            <w:r w:rsidR="00B177D8" w:rsidRPr="00100776">
              <w:rPr>
                <w:sz w:val="18"/>
                <w:szCs w:val="18"/>
                <w:lang w:val="en-GB"/>
              </w:rPr>
              <w:t>.39</w:t>
            </w:r>
            <w:r w:rsidRPr="00100776">
              <w:rPr>
                <w:sz w:val="18"/>
                <w:szCs w:val="18"/>
                <w:lang w:val="en-GB"/>
              </w:rPr>
              <w:t>%)</w:t>
            </w:r>
          </w:p>
        </w:tc>
        <w:tc>
          <w:tcPr>
            <w:tcW w:w="786" w:type="dxa"/>
            <w:tcBorders>
              <w:bottom w:val="nil"/>
            </w:tcBorders>
            <w:vAlign w:val="center"/>
          </w:tcPr>
          <w:p w14:paraId="28938D35" w14:textId="0E63BE76" w:rsidR="002C1549" w:rsidRPr="00100776" w:rsidRDefault="00A010BF" w:rsidP="002C1549">
            <w:pPr>
              <w:jc w:val="center"/>
              <w:rPr>
                <w:sz w:val="20"/>
                <w:szCs w:val="20"/>
                <w:lang w:val="en-GB"/>
              </w:rPr>
            </w:pPr>
            <w:r w:rsidRPr="00100776">
              <w:rPr>
                <w:sz w:val="20"/>
                <w:szCs w:val="20"/>
                <w:lang w:val="en-GB"/>
              </w:rPr>
              <w:t>44,521</w:t>
            </w:r>
          </w:p>
        </w:tc>
        <w:tc>
          <w:tcPr>
            <w:tcW w:w="786" w:type="dxa"/>
            <w:tcBorders>
              <w:bottom w:val="nil"/>
            </w:tcBorders>
            <w:vAlign w:val="center"/>
          </w:tcPr>
          <w:p w14:paraId="3F9D013F" w14:textId="74A2BF4F" w:rsidR="002C1549" w:rsidRPr="00100776" w:rsidRDefault="002C1549" w:rsidP="002C1549">
            <w:pPr>
              <w:jc w:val="center"/>
              <w:rPr>
                <w:lang w:val="en-GB"/>
              </w:rPr>
            </w:pPr>
            <w:r w:rsidRPr="00100776">
              <w:rPr>
                <w:lang w:val="en-GB"/>
              </w:rPr>
              <w:t>1</w:t>
            </w:r>
            <w:r w:rsidR="00A010BF" w:rsidRPr="00100776">
              <w:rPr>
                <w:lang w:val="en-GB"/>
              </w:rPr>
              <w:t>95</w:t>
            </w:r>
            <w:r w:rsidRPr="00100776">
              <w:rPr>
                <w:lang w:val="en-GB"/>
              </w:rPr>
              <w:br/>
            </w:r>
            <w:r w:rsidRPr="00100776">
              <w:rPr>
                <w:sz w:val="18"/>
                <w:szCs w:val="18"/>
                <w:lang w:val="en-GB"/>
              </w:rPr>
              <w:t>(0</w:t>
            </w:r>
            <w:r w:rsidR="00B177D8" w:rsidRPr="00100776">
              <w:rPr>
                <w:sz w:val="18"/>
                <w:szCs w:val="18"/>
                <w:lang w:val="en-GB"/>
              </w:rPr>
              <w:t>.44</w:t>
            </w:r>
            <w:r w:rsidRPr="00100776">
              <w:rPr>
                <w:sz w:val="18"/>
                <w:szCs w:val="18"/>
                <w:lang w:val="en-GB"/>
              </w:rPr>
              <w:t>%)</w:t>
            </w:r>
          </w:p>
        </w:tc>
        <w:tc>
          <w:tcPr>
            <w:tcW w:w="786" w:type="dxa"/>
            <w:tcBorders>
              <w:bottom w:val="nil"/>
            </w:tcBorders>
            <w:vAlign w:val="center"/>
          </w:tcPr>
          <w:p w14:paraId="0545A34F" w14:textId="14120944" w:rsidR="002C1549" w:rsidRPr="00100776" w:rsidRDefault="00574DF7" w:rsidP="002C1549">
            <w:pPr>
              <w:jc w:val="center"/>
              <w:rPr>
                <w:sz w:val="20"/>
                <w:szCs w:val="20"/>
                <w:lang w:val="en-GB"/>
              </w:rPr>
            </w:pPr>
            <w:r w:rsidRPr="00100776">
              <w:rPr>
                <w:sz w:val="20"/>
                <w:szCs w:val="20"/>
                <w:lang w:val="en-GB"/>
              </w:rPr>
              <w:t>42,386</w:t>
            </w:r>
          </w:p>
        </w:tc>
        <w:tc>
          <w:tcPr>
            <w:tcW w:w="787" w:type="dxa"/>
            <w:tcBorders>
              <w:bottom w:val="nil"/>
            </w:tcBorders>
            <w:vAlign w:val="center"/>
          </w:tcPr>
          <w:p w14:paraId="5B96C3DF" w14:textId="4735C3D5" w:rsidR="002C1549" w:rsidRPr="00100776" w:rsidRDefault="00574DF7" w:rsidP="002C1549">
            <w:pPr>
              <w:jc w:val="center"/>
              <w:rPr>
                <w:lang w:val="en-GB"/>
              </w:rPr>
            </w:pPr>
            <w:r w:rsidRPr="00100776">
              <w:rPr>
                <w:lang w:val="en-GB"/>
              </w:rPr>
              <w:t>143</w:t>
            </w:r>
          </w:p>
          <w:p w14:paraId="41E5285D" w14:textId="766D7FC1" w:rsidR="002C1549" w:rsidRPr="00100776" w:rsidRDefault="002C1549" w:rsidP="002C1549">
            <w:pPr>
              <w:jc w:val="center"/>
              <w:rPr>
                <w:lang w:val="en-GB"/>
              </w:rPr>
            </w:pPr>
            <w:r w:rsidRPr="00100776">
              <w:rPr>
                <w:sz w:val="18"/>
                <w:szCs w:val="18"/>
                <w:lang w:val="en-GB"/>
              </w:rPr>
              <w:t>(0</w:t>
            </w:r>
            <w:r w:rsidR="00574DF7" w:rsidRPr="00100776">
              <w:rPr>
                <w:sz w:val="18"/>
                <w:szCs w:val="18"/>
                <w:lang w:val="en-GB"/>
              </w:rPr>
              <w:t>.34</w:t>
            </w:r>
            <w:r w:rsidRPr="00100776">
              <w:rPr>
                <w:sz w:val="18"/>
                <w:szCs w:val="18"/>
                <w:lang w:val="en-GB"/>
              </w:rPr>
              <w:t>%)</w:t>
            </w:r>
          </w:p>
        </w:tc>
      </w:tr>
      <w:tr w:rsidR="002C1549" w:rsidRPr="00100776" w14:paraId="75DD6356" w14:textId="77777777" w:rsidTr="00C14A8C">
        <w:tc>
          <w:tcPr>
            <w:tcW w:w="1421" w:type="dxa"/>
            <w:tcBorders>
              <w:top w:val="nil"/>
              <w:bottom w:val="nil"/>
            </w:tcBorders>
            <w:vAlign w:val="center"/>
          </w:tcPr>
          <w:p w14:paraId="31DC70C8" w14:textId="77777777" w:rsidR="002C1549" w:rsidRPr="00100776" w:rsidRDefault="002C1549" w:rsidP="00161659">
            <w:pPr>
              <w:jc w:val="center"/>
              <w:rPr>
                <w:lang w:val="en-GB"/>
              </w:rPr>
            </w:pPr>
            <w:r w:rsidRPr="00100776">
              <w:rPr>
                <w:lang w:val="en-GB"/>
              </w:rPr>
              <w:t>5** (highest)</w:t>
            </w:r>
          </w:p>
        </w:tc>
        <w:tc>
          <w:tcPr>
            <w:tcW w:w="786" w:type="dxa"/>
            <w:tcBorders>
              <w:top w:val="nil"/>
              <w:bottom w:val="nil"/>
            </w:tcBorders>
            <w:vAlign w:val="center"/>
          </w:tcPr>
          <w:p w14:paraId="70DF68B8" w14:textId="7352F92B" w:rsidR="002C1549" w:rsidRPr="00100776" w:rsidRDefault="00A010BF" w:rsidP="00161659">
            <w:pPr>
              <w:jc w:val="center"/>
              <w:rPr>
                <w:lang w:val="en-GB"/>
              </w:rPr>
            </w:pPr>
            <w:r w:rsidRPr="00100776">
              <w:rPr>
                <w:lang w:val="en-GB"/>
              </w:rPr>
              <w:t>1.7</w:t>
            </w:r>
            <w:r w:rsidR="002C1549" w:rsidRPr="00100776">
              <w:rPr>
                <w:lang w:val="en-GB"/>
              </w:rPr>
              <w:t>%</w:t>
            </w:r>
          </w:p>
        </w:tc>
        <w:tc>
          <w:tcPr>
            <w:tcW w:w="786" w:type="dxa"/>
            <w:tcBorders>
              <w:top w:val="nil"/>
              <w:bottom w:val="nil"/>
            </w:tcBorders>
            <w:vAlign w:val="center"/>
          </w:tcPr>
          <w:p w14:paraId="45C1404C" w14:textId="75C1DD04" w:rsidR="002C1549" w:rsidRPr="00100776" w:rsidRDefault="002C1549" w:rsidP="00161659">
            <w:pPr>
              <w:jc w:val="center"/>
              <w:rPr>
                <w:lang w:val="en-GB"/>
              </w:rPr>
            </w:pPr>
            <w:r w:rsidRPr="00100776">
              <w:rPr>
                <w:lang w:val="en-GB"/>
              </w:rPr>
              <w:t>1.8%</w:t>
            </w:r>
          </w:p>
        </w:tc>
        <w:tc>
          <w:tcPr>
            <w:tcW w:w="786" w:type="dxa"/>
            <w:tcBorders>
              <w:top w:val="nil"/>
              <w:bottom w:val="nil"/>
            </w:tcBorders>
            <w:vAlign w:val="center"/>
          </w:tcPr>
          <w:p w14:paraId="21CC7B5A" w14:textId="46F09B29" w:rsidR="002C1549" w:rsidRPr="00100776" w:rsidRDefault="00A010BF" w:rsidP="00161659">
            <w:pPr>
              <w:jc w:val="center"/>
              <w:rPr>
                <w:lang w:val="en-GB"/>
              </w:rPr>
            </w:pPr>
            <w:r w:rsidRPr="00100776">
              <w:rPr>
                <w:lang w:val="en-GB"/>
              </w:rPr>
              <w:t>1.2</w:t>
            </w:r>
            <w:r w:rsidR="002C1549" w:rsidRPr="00100776">
              <w:rPr>
                <w:lang w:val="en-GB"/>
              </w:rPr>
              <w:t>%</w:t>
            </w:r>
          </w:p>
        </w:tc>
        <w:tc>
          <w:tcPr>
            <w:tcW w:w="786" w:type="dxa"/>
            <w:tcBorders>
              <w:top w:val="nil"/>
              <w:bottom w:val="nil"/>
            </w:tcBorders>
            <w:vAlign w:val="center"/>
          </w:tcPr>
          <w:p w14:paraId="3CA4FA12" w14:textId="5E6E66A5" w:rsidR="002C1549" w:rsidRPr="00100776" w:rsidRDefault="002C1549" w:rsidP="00161659">
            <w:pPr>
              <w:jc w:val="center"/>
              <w:rPr>
                <w:lang w:val="en-GB"/>
              </w:rPr>
            </w:pPr>
            <w:r w:rsidRPr="00100776">
              <w:rPr>
                <w:lang w:val="en-GB"/>
              </w:rPr>
              <w:t>1.9%</w:t>
            </w:r>
          </w:p>
        </w:tc>
        <w:tc>
          <w:tcPr>
            <w:tcW w:w="787" w:type="dxa"/>
            <w:tcBorders>
              <w:top w:val="nil"/>
              <w:bottom w:val="nil"/>
            </w:tcBorders>
            <w:vAlign w:val="center"/>
          </w:tcPr>
          <w:p w14:paraId="201A5E3B" w14:textId="7D35ADAB" w:rsidR="002C1549" w:rsidRPr="00100776" w:rsidRDefault="00A010BF" w:rsidP="00161659">
            <w:pPr>
              <w:jc w:val="center"/>
              <w:rPr>
                <w:lang w:val="en-GB"/>
              </w:rPr>
            </w:pPr>
            <w:r w:rsidRPr="00100776">
              <w:rPr>
                <w:lang w:val="en-GB"/>
              </w:rPr>
              <w:t>1.4</w:t>
            </w:r>
            <w:r w:rsidR="002C1549" w:rsidRPr="00100776">
              <w:rPr>
                <w:lang w:val="en-GB"/>
              </w:rPr>
              <w:t>%</w:t>
            </w:r>
          </w:p>
        </w:tc>
        <w:tc>
          <w:tcPr>
            <w:tcW w:w="786" w:type="dxa"/>
            <w:tcBorders>
              <w:top w:val="nil"/>
              <w:bottom w:val="nil"/>
            </w:tcBorders>
            <w:vAlign w:val="center"/>
          </w:tcPr>
          <w:p w14:paraId="2E9DC12C" w14:textId="2F7805AB" w:rsidR="002C1549" w:rsidRPr="00100776" w:rsidRDefault="002C1549" w:rsidP="00161659">
            <w:pPr>
              <w:jc w:val="center"/>
              <w:rPr>
                <w:lang w:val="en-GB"/>
              </w:rPr>
            </w:pPr>
            <w:r w:rsidRPr="00100776">
              <w:rPr>
                <w:lang w:val="en-GB"/>
              </w:rPr>
              <w:t>2.2%</w:t>
            </w:r>
          </w:p>
        </w:tc>
        <w:tc>
          <w:tcPr>
            <w:tcW w:w="786" w:type="dxa"/>
            <w:tcBorders>
              <w:top w:val="nil"/>
              <w:bottom w:val="nil"/>
            </w:tcBorders>
            <w:vAlign w:val="center"/>
          </w:tcPr>
          <w:p w14:paraId="75087040" w14:textId="364D53AB" w:rsidR="002C1549" w:rsidRPr="00100776" w:rsidRDefault="00A010BF" w:rsidP="00161659">
            <w:pPr>
              <w:jc w:val="center"/>
              <w:rPr>
                <w:lang w:val="en-GB"/>
              </w:rPr>
            </w:pPr>
            <w:r w:rsidRPr="00100776">
              <w:rPr>
                <w:lang w:val="en-GB"/>
              </w:rPr>
              <w:t>1.3</w:t>
            </w:r>
            <w:r w:rsidR="002C1549" w:rsidRPr="00100776">
              <w:rPr>
                <w:lang w:val="en-GB"/>
              </w:rPr>
              <w:t>%</w:t>
            </w:r>
          </w:p>
        </w:tc>
        <w:tc>
          <w:tcPr>
            <w:tcW w:w="786" w:type="dxa"/>
            <w:tcBorders>
              <w:top w:val="nil"/>
              <w:bottom w:val="nil"/>
            </w:tcBorders>
            <w:vAlign w:val="center"/>
          </w:tcPr>
          <w:p w14:paraId="5FC73B16" w14:textId="7F2438F5" w:rsidR="002C1549" w:rsidRPr="00100776" w:rsidRDefault="00A010BF" w:rsidP="00161659">
            <w:pPr>
              <w:jc w:val="center"/>
              <w:rPr>
                <w:lang w:val="en-GB"/>
              </w:rPr>
            </w:pPr>
            <w:r w:rsidRPr="00100776">
              <w:rPr>
                <w:lang w:val="en-GB"/>
              </w:rPr>
              <w:t>2.1</w:t>
            </w:r>
            <w:r w:rsidR="002C1549" w:rsidRPr="00100776">
              <w:rPr>
                <w:lang w:val="en-GB"/>
              </w:rPr>
              <w:t>%</w:t>
            </w:r>
          </w:p>
        </w:tc>
        <w:tc>
          <w:tcPr>
            <w:tcW w:w="786" w:type="dxa"/>
            <w:tcBorders>
              <w:top w:val="nil"/>
              <w:bottom w:val="nil"/>
            </w:tcBorders>
            <w:vAlign w:val="center"/>
          </w:tcPr>
          <w:p w14:paraId="7932B44C" w14:textId="79E0EA8F" w:rsidR="002C1549" w:rsidRPr="00100776" w:rsidRDefault="00574DF7" w:rsidP="00161659">
            <w:pPr>
              <w:jc w:val="center"/>
              <w:rPr>
                <w:lang w:val="en-GB"/>
              </w:rPr>
            </w:pPr>
            <w:r w:rsidRPr="00100776">
              <w:rPr>
                <w:lang w:val="en-GB"/>
              </w:rPr>
              <w:t>1.3</w:t>
            </w:r>
            <w:r w:rsidR="002C1549" w:rsidRPr="00100776">
              <w:rPr>
                <w:lang w:val="en-GB"/>
              </w:rPr>
              <w:t>%</w:t>
            </w:r>
          </w:p>
        </w:tc>
        <w:tc>
          <w:tcPr>
            <w:tcW w:w="787" w:type="dxa"/>
            <w:tcBorders>
              <w:top w:val="nil"/>
              <w:bottom w:val="nil"/>
            </w:tcBorders>
            <w:vAlign w:val="center"/>
          </w:tcPr>
          <w:p w14:paraId="293BCABC" w14:textId="67F921E0" w:rsidR="002C1549" w:rsidRPr="00100776" w:rsidRDefault="00574DF7" w:rsidP="00161659">
            <w:pPr>
              <w:jc w:val="center"/>
              <w:rPr>
                <w:lang w:val="en-GB"/>
              </w:rPr>
            </w:pPr>
            <w:r w:rsidRPr="00100776">
              <w:rPr>
                <w:lang w:val="en-GB"/>
              </w:rPr>
              <w:t>2.1</w:t>
            </w:r>
            <w:r w:rsidR="002C1549" w:rsidRPr="00100776">
              <w:rPr>
                <w:lang w:val="en-GB"/>
              </w:rPr>
              <w:t>%</w:t>
            </w:r>
          </w:p>
        </w:tc>
      </w:tr>
      <w:tr w:rsidR="002C1549" w:rsidRPr="00100776" w14:paraId="5EC33DA0" w14:textId="77777777" w:rsidTr="00C14A8C">
        <w:tc>
          <w:tcPr>
            <w:tcW w:w="1421" w:type="dxa"/>
            <w:tcBorders>
              <w:top w:val="nil"/>
              <w:bottom w:val="nil"/>
            </w:tcBorders>
            <w:vAlign w:val="center"/>
          </w:tcPr>
          <w:p w14:paraId="4938E0AA" w14:textId="77777777" w:rsidR="002C1549" w:rsidRPr="00100776" w:rsidRDefault="002C1549" w:rsidP="00161659">
            <w:pPr>
              <w:jc w:val="center"/>
              <w:rPr>
                <w:lang w:val="en-GB"/>
              </w:rPr>
            </w:pPr>
            <w:r w:rsidRPr="00100776">
              <w:rPr>
                <w:lang w:val="en-GB"/>
              </w:rPr>
              <w:t>5 or above</w:t>
            </w:r>
          </w:p>
        </w:tc>
        <w:tc>
          <w:tcPr>
            <w:tcW w:w="786" w:type="dxa"/>
            <w:tcBorders>
              <w:top w:val="nil"/>
              <w:bottom w:val="nil"/>
            </w:tcBorders>
            <w:vAlign w:val="center"/>
          </w:tcPr>
          <w:p w14:paraId="260FAE81" w14:textId="517D7F93" w:rsidR="002C1549" w:rsidRPr="00100776" w:rsidRDefault="00A010BF" w:rsidP="00161659">
            <w:pPr>
              <w:jc w:val="center"/>
              <w:rPr>
                <w:lang w:val="en-GB"/>
              </w:rPr>
            </w:pPr>
            <w:r w:rsidRPr="00100776">
              <w:rPr>
                <w:lang w:val="en-GB"/>
              </w:rPr>
              <w:t>16.6</w:t>
            </w:r>
            <w:r w:rsidR="002C1549" w:rsidRPr="00100776">
              <w:rPr>
                <w:lang w:val="en-GB"/>
              </w:rPr>
              <w:t>%</w:t>
            </w:r>
          </w:p>
        </w:tc>
        <w:tc>
          <w:tcPr>
            <w:tcW w:w="786" w:type="dxa"/>
            <w:tcBorders>
              <w:top w:val="nil"/>
              <w:bottom w:val="nil"/>
            </w:tcBorders>
            <w:vAlign w:val="center"/>
          </w:tcPr>
          <w:p w14:paraId="42A64F0C" w14:textId="18F39A00" w:rsidR="002C1549" w:rsidRPr="00100776" w:rsidRDefault="002C1549" w:rsidP="00161659">
            <w:pPr>
              <w:jc w:val="center"/>
              <w:rPr>
                <w:lang w:val="en-GB"/>
              </w:rPr>
            </w:pPr>
            <w:r w:rsidRPr="00100776">
              <w:rPr>
                <w:lang w:val="en-GB"/>
              </w:rPr>
              <w:t>19.6%</w:t>
            </w:r>
          </w:p>
        </w:tc>
        <w:tc>
          <w:tcPr>
            <w:tcW w:w="786" w:type="dxa"/>
            <w:tcBorders>
              <w:top w:val="nil"/>
              <w:bottom w:val="nil"/>
            </w:tcBorders>
            <w:vAlign w:val="center"/>
          </w:tcPr>
          <w:p w14:paraId="01336471" w14:textId="5ECA0CD8" w:rsidR="002C1549" w:rsidRPr="00100776" w:rsidRDefault="00A010BF" w:rsidP="00161659">
            <w:pPr>
              <w:jc w:val="center"/>
              <w:rPr>
                <w:lang w:val="en-GB"/>
              </w:rPr>
            </w:pPr>
            <w:r w:rsidRPr="00100776">
              <w:rPr>
                <w:lang w:val="en-GB"/>
              </w:rPr>
              <w:t>12.0</w:t>
            </w:r>
            <w:r w:rsidR="002C1549" w:rsidRPr="00100776">
              <w:rPr>
                <w:lang w:val="en-GB"/>
              </w:rPr>
              <w:t>%</w:t>
            </w:r>
          </w:p>
        </w:tc>
        <w:tc>
          <w:tcPr>
            <w:tcW w:w="786" w:type="dxa"/>
            <w:tcBorders>
              <w:top w:val="nil"/>
              <w:bottom w:val="nil"/>
            </w:tcBorders>
            <w:vAlign w:val="center"/>
          </w:tcPr>
          <w:p w14:paraId="2BA0F7CD" w14:textId="6C00773C" w:rsidR="002C1549" w:rsidRPr="00100776" w:rsidRDefault="002C1549" w:rsidP="00161659">
            <w:pPr>
              <w:jc w:val="center"/>
              <w:rPr>
                <w:lang w:val="en-GB"/>
              </w:rPr>
            </w:pPr>
            <w:r w:rsidRPr="00100776">
              <w:rPr>
                <w:lang w:val="en-GB"/>
              </w:rPr>
              <w:t>21.0%</w:t>
            </w:r>
          </w:p>
        </w:tc>
        <w:tc>
          <w:tcPr>
            <w:tcW w:w="787" w:type="dxa"/>
            <w:tcBorders>
              <w:top w:val="nil"/>
              <w:bottom w:val="nil"/>
            </w:tcBorders>
            <w:vAlign w:val="center"/>
          </w:tcPr>
          <w:p w14:paraId="594F4884" w14:textId="186329A3" w:rsidR="002C1549" w:rsidRPr="00100776" w:rsidRDefault="00A010BF" w:rsidP="00161659">
            <w:pPr>
              <w:jc w:val="center"/>
              <w:rPr>
                <w:lang w:val="en-GB"/>
              </w:rPr>
            </w:pPr>
            <w:r w:rsidRPr="00100776">
              <w:rPr>
                <w:lang w:val="en-GB"/>
              </w:rPr>
              <w:t>13.4</w:t>
            </w:r>
            <w:r w:rsidR="002C1549" w:rsidRPr="00100776">
              <w:rPr>
                <w:lang w:val="en-GB"/>
              </w:rPr>
              <w:t>%</w:t>
            </w:r>
          </w:p>
        </w:tc>
        <w:tc>
          <w:tcPr>
            <w:tcW w:w="786" w:type="dxa"/>
            <w:tcBorders>
              <w:top w:val="nil"/>
              <w:bottom w:val="nil"/>
            </w:tcBorders>
            <w:vAlign w:val="center"/>
          </w:tcPr>
          <w:p w14:paraId="519DDB83" w14:textId="31B6A2A9" w:rsidR="002C1549" w:rsidRPr="00100776" w:rsidRDefault="002C1549" w:rsidP="00161659">
            <w:pPr>
              <w:jc w:val="center"/>
              <w:rPr>
                <w:lang w:val="en-GB"/>
              </w:rPr>
            </w:pPr>
            <w:r w:rsidRPr="00100776">
              <w:rPr>
                <w:lang w:val="en-GB"/>
              </w:rPr>
              <w:t>22.8%</w:t>
            </w:r>
          </w:p>
        </w:tc>
        <w:tc>
          <w:tcPr>
            <w:tcW w:w="786" w:type="dxa"/>
            <w:tcBorders>
              <w:top w:val="nil"/>
              <w:bottom w:val="nil"/>
            </w:tcBorders>
            <w:vAlign w:val="center"/>
          </w:tcPr>
          <w:p w14:paraId="2FFB13CC" w14:textId="69B762FC" w:rsidR="002C1549" w:rsidRPr="00100776" w:rsidRDefault="00A010BF" w:rsidP="00161659">
            <w:pPr>
              <w:jc w:val="center"/>
              <w:rPr>
                <w:lang w:val="en-GB"/>
              </w:rPr>
            </w:pPr>
            <w:r w:rsidRPr="00100776">
              <w:rPr>
                <w:lang w:val="en-GB"/>
              </w:rPr>
              <w:t>12.6</w:t>
            </w:r>
            <w:r w:rsidR="002C1549" w:rsidRPr="00100776">
              <w:rPr>
                <w:lang w:val="en-GB"/>
              </w:rPr>
              <w:t>%</w:t>
            </w:r>
          </w:p>
        </w:tc>
        <w:tc>
          <w:tcPr>
            <w:tcW w:w="786" w:type="dxa"/>
            <w:tcBorders>
              <w:top w:val="nil"/>
              <w:bottom w:val="nil"/>
            </w:tcBorders>
            <w:vAlign w:val="center"/>
          </w:tcPr>
          <w:p w14:paraId="4E333F77" w14:textId="6A049537" w:rsidR="002C1549" w:rsidRPr="00100776" w:rsidRDefault="00A010BF" w:rsidP="00161659">
            <w:pPr>
              <w:jc w:val="center"/>
              <w:rPr>
                <w:lang w:val="en-GB"/>
              </w:rPr>
            </w:pPr>
            <w:r w:rsidRPr="00100776">
              <w:rPr>
                <w:lang w:val="en-GB"/>
              </w:rPr>
              <w:t>22.1</w:t>
            </w:r>
            <w:r w:rsidR="002C1549" w:rsidRPr="00100776">
              <w:rPr>
                <w:lang w:val="en-GB"/>
              </w:rPr>
              <w:t>%</w:t>
            </w:r>
          </w:p>
        </w:tc>
        <w:tc>
          <w:tcPr>
            <w:tcW w:w="786" w:type="dxa"/>
            <w:tcBorders>
              <w:top w:val="nil"/>
              <w:bottom w:val="nil"/>
            </w:tcBorders>
            <w:vAlign w:val="center"/>
          </w:tcPr>
          <w:p w14:paraId="1F16A794" w14:textId="107F8C04" w:rsidR="002C1549" w:rsidRPr="00100776" w:rsidRDefault="00574DF7" w:rsidP="00161659">
            <w:pPr>
              <w:jc w:val="center"/>
              <w:rPr>
                <w:lang w:val="en-GB"/>
              </w:rPr>
            </w:pPr>
            <w:r w:rsidRPr="00100776">
              <w:rPr>
                <w:lang w:val="en-GB"/>
              </w:rPr>
              <w:t>13.2</w:t>
            </w:r>
            <w:r w:rsidR="002C1549" w:rsidRPr="00100776">
              <w:rPr>
                <w:lang w:val="en-GB"/>
              </w:rPr>
              <w:t>%</w:t>
            </w:r>
          </w:p>
        </w:tc>
        <w:tc>
          <w:tcPr>
            <w:tcW w:w="787" w:type="dxa"/>
            <w:tcBorders>
              <w:top w:val="nil"/>
              <w:bottom w:val="nil"/>
            </w:tcBorders>
            <w:vAlign w:val="center"/>
          </w:tcPr>
          <w:p w14:paraId="43278918" w14:textId="01799EC3" w:rsidR="002C1549" w:rsidRPr="00100776" w:rsidRDefault="00574DF7" w:rsidP="00161659">
            <w:pPr>
              <w:jc w:val="center"/>
              <w:rPr>
                <w:lang w:val="en-GB"/>
              </w:rPr>
            </w:pPr>
            <w:r w:rsidRPr="00100776">
              <w:rPr>
                <w:lang w:val="en-GB"/>
              </w:rPr>
              <w:t>22.0</w:t>
            </w:r>
            <w:r w:rsidR="002C1549" w:rsidRPr="00100776">
              <w:rPr>
                <w:lang w:val="en-GB"/>
              </w:rPr>
              <w:t>%</w:t>
            </w:r>
          </w:p>
        </w:tc>
      </w:tr>
      <w:tr w:rsidR="002C1549" w:rsidRPr="00100776" w14:paraId="0F821D1D" w14:textId="77777777" w:rsidTr="00C14A8C">
        <w:tc>
          <w:tcPr>
            <w:tcW w:w="1421" w:type="dxa"/>
            <w:tcBorders>
              <w:top w:val="nil"/>
            </w:tcBorders>
            <w:vAlign w:val="center"/>
          </w:tcPr>
          <w:p w14:paraId="03201026" w14:textId="77777777" w:rsidR="002C1549" w:rsidRPr="00100776" w:rsidRDefault="002C1549" w:rsidP="00161659">
            <w:pPr>
              <w:jc w:val="center"/>
              <w:rPr>
                <w:lang w:val="en-GB"/>
              </w:rPr>
            </w:pPr>
            <w:r w:rsidRPr="00100776">
              <w:rPr>
                <w:lang w:val="en-GB"/>
              </w:rPr>
              <w:t>3 or above</w:t>
            </w:r>
          </w:p>
        </w:tc>
        <w:tc>
          <w:tcPr>
            <w:tcW w:w="786" w:type="dxa"/>
            <w:tcBorders>
              <w:top w:val="nil"/>
            </w:tcBorders>
            <w:vAlign w:val="center"/>
          </w:tcPr>
          <w:p w14:paraId="0018404D" w14:textId="08D74006" w:rsidR="002C1549" w:rsidRPr="00100776" w:rsidRDefault="00A010BF" w:rsidP="00161659">
            <w:pPr>
              <w:jc w:val="center"/>
              <w:rPr>
                <w:lang w:val="en-GB"/>
              </w:rPr>
            </w:pPr>
            <w:r w:rsidRPr="00100776">
              <w:rPr>
                <w:lang w:val="en-GB"/>
              </w:rPr>
              <w:t>66.7</w:t>
            </w:r>
            <w:r w:rsidR="002C1549" w:rsidRPr="00100776">
              <w:rPr>
                <w:lang w:val="en-GB"/>
              </w:rPr>
              <w:t>%</w:t>
            </w:r>
          </w:p>
        </w:tc>
        <w:tc>
          <w:tcPr>
            <w:tcW w:w="786" w:type="dxa"/>
            <w:tcBorders>
              <w:top w:val="nil"/>
            </w:tcBorders>
            <w:vAlign w:val="center"/>
          </w:tcPr>
          <w:p w14:paraId="3D6769D2" w14:textId="647C370F" w:rsidR="002C1549" w:rsidRPr="00100776" w:rsidRDefault="002C1549" w:rsidP="00161659">
            <w:pPr>
              <w:jc w:val="center"/>
              <w:rPr>
                <w:lang w:val="en-GB"/>
              </w:rPr>
            </w:pPr>
            <w:r w:rsidRPr="00100776">
              <w:rPr>
                <w:lang w:val="en-GB"/>
              </w:rPr>
              <w:t>77.9%</w:t>
            </w:r>
          </w:p>
        </w:tc>
        <w:tc>
          <w:tcPr>
            <w:tcW w:w="786" w:type="dxa"/>
            <w:tcBorders>
              <w:top w:val="nil"/>
            </w:tcBorders>
            <w:vAlign w:val="center"/>
          </w:tcPr>
          <w:p w14:paraId="43536F54" w14:textId="1A007310" w:rsidR="002C1549" w:rsidRPr="00100776" w:rsidRDefault="00A010BF" w:rsidP="00161659">
            <w:pPr>
              <w:jc w:val="center"/>
              <w:rPr>
                <w:lang w:val="en-GB"/>
              </w:rPr>
            </w:pPr>
            <w:r w:rsidRPr="00100776">
              <w:rPr>
                <w:lang w:val="en-GB"/>
              </w:rPr>
              <w:t>62.0</w:t>
            </w:r>
            <w:r w:rsidR="002C1549" w:rsidRPr="00100776">
              <w:rPr>
                <w:lang w:val="en-GB"/>
              </w:rPr>
              <w:t>%</w:t>
            </w:r>
          </w:p>
        </w:tc>
        <w:tc>
          <w:tcPr>
            <w:tcW w:w="786" w:type="dxa"/>
            <w:tcBorders>
              <w:top w:val="nil"/>
            </w:tcBorders>
            <w:vAlign w:val="center"/>
          </w:tcPr>
          <w:p w14:paraId="72E2D4CF" w14:textId="27602D55" w:rsidR="002C1549" w:rsidRPr="00100776" w:rsidRDefault="002C1549" w:rsidP="00161659">
            <w:pPr>
              <w:jc w:val="center"/>
              <w:rPr>
                <w:lang w:val="en-GB"/>
              </w:rPr>
            </w:pPr>
            <w:r w:rsidRPr="00100776">
              <w:rPr>
                <w:lang w:val="en-GB"/>
              </w:rPr>
              <w:t>79.9%</w:t>
            </w:r>
          </w:p>
        </w:tc>
        <w:tc>
          <w:tcPr>
            <w:tcW w:w="787" w:type="dxa"/>
            <w:tcBorders>
              <w:top w:val="nil"/>
            </w:tcBorders>
            <w:vAlign w:val="center"/>
          </w:tcPr>
          <w:p w14:paraId="030B0D9A" w14:textId="353C0A5D" w:rsidR="002C1549" w:rsidRPr="00100776" w:rsidRDefault="00A010BF" w:rsidP="00161659">
            <w:pPr>
              <w:jc w:val="center"/>
              <w:rPr>
                <w:lang w:val="en-GB"/>
              </w:rPr>
            </w:pPr>
            <w:r w:rsidRPr="00100776">
              <w:rPr>
                <w:lang w:val="en-GB"/>
              </w:rPr>
              <w:t>62.6</w:t>
            </w:r>
            <w:r w:rsidR="002C1549" w:rsidRPr="00100776">
              <w:rPr>
                <w:lang w:val="en-GB"/>
              </w:rPr>
              <w:t>%</w:t>
            </w:r>
          </w:p>
        </w:tc>
        <w:tc>
          <w:tcPr>
            <w:tcW w:w="786" w:type="dxa"/>
            <w:tcBorders>
              <w:top w:val="nil"/>
            </w:tcBorders>
            <w:vAlign w:val="center"/>
          </w:tcPr>
          <w:p w14:paraId="5A157EEC" w14:textId="40B25A7B" w:rsidR="002C1549" w:rsidRPr="00100776" w:rsidRDefault="002C1549" w:rsidP="00161659">
            <w:pPr>
              <w:jc w:val="center"/>
              <w:rPr>
                <w:lang w:val="en-GB"/>
              </w:rPr>
            </w:pPr>
            <w:r w:rsidRPr="00100776">
              <w:rPr>
                <w:lang w:val="en-GB"/>
              </w:rPr>
              <w:t>81.0%</w:t>
            </w:r>
          </w:p>
        </w:tc>
        <w:tc>
          <w:tcPr>
            <w:tcW w:w="786" w:type="dxa"/>
            <w:tcBorders>
              <w:top w:val="nil"/>
            </w:tcBorders>
            <w:vAlign w:val="center"/>
          </w:tcPr>
          <w:p w14:paraId="05B30380" w14:textId="66ACFCD0" w:rsidR="002C1549" w:rsidRPr="00100776" w:rsidRDefault="00A010BF" w:rsidP="00161659">
            <w:pPr>
              <w:jc w:val="center"/>
              <w:rPr>
                <w:lang w:val="en-GB"/>
              </w:rPr>
            </w:pPr>
            <w:r w:rsidRPr="00100776">
              <w:rPr>
                <w:lang w:val="en-GB"/>
              </w:rPr>
              <w:t>61.8</w:t>
            </w:r>
            <w:r w:rsidR="002C1549" w:rsidRPr="00100776">
              <w:rPr>
                <w:lang w:val="en-GB"/>
              </w:rPr>
              <w:t>%</w:t>
            </w:r>
          </w:p>
        </w:tc>
        <w:tc>
          <w:tcPr>
            <w:tcW w:w="786" w:type="dxa"/>
            <w:tcBorders>
              <w:top w:val="nil"/>
            </w:tcBorders>
            <w:vAlign w:val="center"/>
          </w:tcPr>
          <w:p w14:paraId="3F99EEDC" w14:textId="20FD4B69" w:rsidR="002C1549" w:rsidRPr="00100776" w:rsidRDefault="00A010BF" w:rsidP="00161659">
            <w:pPr>
              <w:jc w:val="center"/>
              <w:rPr>
                <w:lang w:val="en-GB"/>
              </w:rPr>
            </w:pPr>
            <w:r w:rsidRPr="00100776">
              <w:rPr>
                <w:lang w:val="en-GB"/>
              </w:rPr>
              <w:t>83.1</w:t>
            </w:r>
            <w:r w:rsidR="002C1549" w:rsidRPr="00100776">
              <w:rPr>
                <w:lang w:val="en-GB"/>
              </w:rPr>
              <w:t>%</w:t>
            </w:r>
          </w:p>
        </w:tc>
        <w:tc>
          <w:tcPr>
            <w:tcW w:w="786" w:type="dxa"/>
            <w:tcBorders>
              <w:top w:val="nil"/>
            </w:tcBorders>
            <w:vAlign w:val="center"/>
          </w:tcPr>
          <w:p w14:paraId="0F6D51F4" w14:textId="72F4FE0E" w:rsidR="002C1549" w:rsidRPr="00100776" w:rsidRDefault="00574DF7" w:rsidP="00161659">
            <w:pPr>
              <w:jc w:val="center"/>
              <w:rPr>
                <w:lang w:val="en-GB"/>
              </w:rPr>
            </w:pPr>
            <w:r w:rsidRPr="00100776">
              <w:rPr>
                <w:lang w:val="en-GB"/>
              </w:rPr>
              <w:t>62.6</w:t>
            </w:r>
            <w:r w:rsidR="002C1549" w:rsidRPr="00100776">
              <w:rPr>
                <w:lang w:val="en-GB"/>
              </w:rPr>
              <w:t>%</w:t>
            </w:r>
          </w:p>
        </w:tc>
        <w:tc>
          <w:tcPr>
            <w:tcW w:w="787" w:type="dxa"/>
            <w:tcBorders>
              <w:top w:val="nil"/>
            </w:tcBorders>
            <w:vAlign w:val="center"/>
          </w:tcPr>
          <w:p w14:paraId="6FEDC3EC" w14:textId="50B3C712" w:rsidR="002C1549" w:rsidRPr="00100776" w:rsidRDefault="00574DF7" w:rsidP="00161659">
            <w:pPr>
              <w:jc w:val="center"/>
              <w:rPr>
                <w:lang w:val="en-GB"/>
              </w:rPr>
            </w:pPr>
            <w:r w:rsidRPr="00100776">
              <w:rPr>
                <w:lang w:val="en-GB"/>
              </w:rPr>
              <w:t>87.9</w:t>
            </w:r>
            <w:r w:rsidR="002C1549" w:rsidRPr="00100776">
              <w:rPr>
                <w:lang w:val="en-GB"/>
              </w:rPr>
              <w:t>%</w:t>
            </w:r>
          </w:p>
        </w:tc>
      </w:tr>
    </w:tbl>
    <w:p w14:paraId="30087962" w14:textId="54F8ECD5" w:rsidR="00CA4707" w:rsidRPr="00100776" w:rsidRDefault="00156F2B" w:rsidP="00153FBB">
      <w:pPr>
        <w:rPr>
          <w:i/>
          <w:lang w:val="en-GB"/>
        </w:rPr>
      </w:pPr>
      <w:r w:rsidRPr="00100776">
        <w:rPr>
          <w:lang w:val="en-GB"/>
        </w:rPr>
        <w:br/>
      </w:r>
      <w:r w:rsidR="00CA4707" w:rsidRPr="00100776">
        <w:rPr>
          <w:i/>
          <w:lang w:val="en-GB"/>
        </w:rPr>
        <w:t>‘Elite code</w:t>
      </w:r>
      <w:r w:rsidR="00A62A7A" w:rsidRPr="00100776">
        <w:rPr>
          <w:i/>
          <w:lang w:val="en-GB"/>
        </w:rPr>
        <w:t>’</w:t>
      </w:r>
    </w:p>
    <w:p w14:paraId="70B9850A" w14:textId="0E782C30" w:rsidR="00905F34" w:rsidRPr="00100776" w:rsidRDefault="00FB647D" w:rsidP="00153FBB">
      <w:pPr>
        <w:rPr>
          <w:iCs/>
          <w:lang w:val="en-GB"/>
        </w:rPr>
      </w:pPr>
      <w:r w:rsidRPr="00100776">
        <w:rPr>
          <w:iCs/>
          <w:lang w:val="en-GB"/>
        </w:rPr>
        <w:t xml:space="preserve">Previous </w:t>
      </w:r>
      <w:r w:rsidR="00096871" w:rsidRPr="00100776">
        <w:rPr>
          <w:iCs/>
          <w:lang w:val="en-GB"/>
        </w:rPr>
        <w:t>scholarly works</w:t>
      </w:r>
      <w:r w:rsidRPr="00100776">
        <w:rPr>
          <w:iCs/>
          <w:lang w:val="en-GB"/>
        </w:rPr>
        <w:t xml:space="preserve"> ha</w:t>
      </w:r>
      <w:r w:rsidR="00096871" w:rsidRPr="00100776">
        <w:rPr>
          <w:iCs/>
          <w:lang w:val="en-GB"/>
        </w:rPr>
        <w:t xml:space="preserve">ve suggested some reasons behind the low </w:t>
      </w:r>
      <w:r w:rsidR="00905F34" w:rsidRPr="00100776">
        <w:rPr>
          <w:iCs/>
          <w:lang w:val="en-GB"/>
        </w:rPr>
        <w:t>enrolment</w:t>
      </w:r>
      <w:r w:rsidR="00096871" w:rsidRPr="00100776">
        <w:rPr>
          <w:iCs/>
          <w:lang w:val="en-GB"/>
        </w:rPr>
        <w:t xml:space="preserve">. </w:t>
      </w:r>
      <w:r w:rsidR="00F51C8B" w:rsidRPr="00100776">
        <w:rPr>
          <w:iCs/>
          <w:lang w:val="en-GB"/>
        </w:rPr>
        <w:t xml:space="preserve">A </w:t>
      </w:r>
      <w:r w:rsidR="004F27F0" w:rsidRPr="00100776">
        <w:rPr>
          <w:iCs/>
          <w:lang w:val="en-GB"/>
        </w:rPr>
        <w:t>major concern, which is specific to music as a school subject, is the ‘elite code</w:t>
      </w:r>
      <w:r w:rsidR="00384110" w:rsidRPr="00100776">
        <w:rPr>
          <w:iCs/>
          <w:lang w:val="en-GB"/>
        </w:rPr>
        <w:t xml:space="preserve">’ suggested by </w:t>
      </w:r>
      <w:r w:rsidR="00905F34" w:rsidRPr="00100776">
        <w:rPr>
          <w:iCs/>
          <w:lang w:val="en-GB"/>
        </w:rPr>
        <w:t xml:space="preserve">Lamont and </w:t>
      </w:r>
      <w:proofErr w:type="spellStart"/>
      <w:r w:rsidR="00905F34" w:rsidRPr="00100776">
        <w:rPr>
          <w:iCs/>
          <w:lang w:val="en-GB"/>
        </w:rPr>
        <w:t>Maton</w:t>
      </w:r>
      <w:proofErr w:type="spellEnd"/>
      <w:r w:rsidR="00905F34" w:rsidRPr="00100776">
        <w:rPr>
          <w:iCs/>
          <w:lang w:val="en-GB"/>
        </w:rPr>
        <w:t xml:space="preserve"> (2008) </w:t>
      </w:r>
      <w:r w:rsidR="00F51C8B" w:rsidRPr="00100776">
        <w:rPr>
          <w:iCs/>
          <w:lang w:val="en-GB"/>
        </w:rPr>
        <w:t xml:space="preserve">and based on </w:t>
      </w:r>
      <w:r w:rsidR="00905F34" w:rsidRPr="00100776">
        <w:rPr>
          <w:iCs/>
          <w:lang w:val="en-GB"/>
        </w:rPr>
        <w:t xml:space="preserve">their views </w:t>
      </w:r>
      <w:r w:rsidR="00CA4707" w:rsidRPr="00100776">
        <w:rPr>
          <w:iCs/>
          <w:lang w:val="en-GB"/>
        </w:rPr>
        <w:t>o</w:t>
      </w:r>
      <w:r w:rsidR="00F51C8B" w:rsidRPr="00100776">
        <w:rPr>
          <w:iCs/>
          <w:lang w:val="en-GB"/>
        </w:rPr>
        <w:t>f</w:t>
      </w:r>
      <w:r w:rsidR="00905F34" w:rsidRPr="00100776">
        <w:rPr>
          <w:iCs/>
          <w:lang w:val="en-GB"/>
        </w:rPr>
        <w:t xml:space="preserve"> the </w:t>
      </w:r>
      <w:r w:rsidR="000C39F5" w:rsidRPr="00100776">
        <w:rPr>
          <w:lang w:val="en-GB"/>
        </w:rPr>
        <w:t xml:space="preserve">low uptake rates </w:t>
      </w:r>
      <w:r w:rsidR="00905F34" w:rsidRPr="00100776">
        <w:rPr>
          <w:iCs/>
          <w:lang w:val="en-GB"/>
        </w:rPr>
        <w:t xml:space="preserve">of </w:t>
      </w:r>
      <w:r w:rsidR="00F51C8B" w:rsidRPr="00100776">
        <w:rPr>
          <w:iCs/>
          <w:lang w:val="en-GB"/>
        </w:rPr>
        <w:t xml:space="preserve">music within the </w:t>
      </w:r>
      <w:r w:rsidR="00CA4707" w:rsidRPr="00100776">
        <w:rPr>
          <w:iCs/>
          <w:lang w:val="en-GB"/>
        </w:rPr>
        <w:t>General Certificate of Secondary Education (GCSE) in the UK</w:t>
      </w:r>
      <w:r w:rsidR="00905F34" w:rsidRPr="00100776">
        <w:rPr>
          <w:iCs/>
          <w:lang w:val="en-GB"/>
        </w:rPr>
        <w:t>:</w:t>
      </w:r>
      <w:r w:rsidR="0070196F" w:rsidRPr="00100776">
        <w:rPr>
          <w:iCs/>
          <w:lang w:val="en-GB"/>
        </w:rPr>
        <w:t xml:space="preserve"> </w:t>
      </w:r>
    </w:p>
    <w:p w14:paraId="3328E273" w14:textId="0A07C889" w:rsidR="00153FBB" w:rsidRPr="00100776" w:rsidRDefault="0070196F" w:rsidP="0070196F">
      <w:pPr>
        <w:ind w:left="720"/>
        <w:rPr>
          <w:i/>
          <w:lang w:val="en-GB"/>
        </w:rPr>
      </w:pPr>
      <w:r w:rsidRPr="00100776">
        <w:rPr>
          <w:i/>
          <w:lang w:val="en-GB"/>
        </w:rPr>
        <w:t>…</w:t>
      </w:r>
      <w:r w:rsidR="00153FBB" w:rsidRPr="00100776">
        <w:rPr>
          <w:i/>
          <w:lang w:val="en-GB"/>
        </w:rPr>
        <w:t>earlier stages of the music curriculum emphasise either musical knowledge or musical dispositions of knowers, but music at GCSE level represents an ‘elite code’ where achievement depends upon both possessing specialist knowledge and being the right kind of knower</w:t>
      </w:r>
      <w:r w:rsidRPr="00100776">
        <w:rPr>
          <w:i/>
          <w:lang w:val="en-GB"/>
        </w:rPr>
        <w:t>. (p.</w:t>
      </w:r>
      <w:r w:rsidR="00CA4707" w:rsidRPr="00100776">
        <w:rPr>
          <w:i/>
          <w:lang w:val="en-GB"/>
        </w:rPr>
        <w:t>267</w:t>
      </w:r>
      <w:r w:rsidRPr="00100776">
        <w:rPr>
          <w:i/>
          <w:lang w:val="en-GB"/>
        </w:rPr>
        <w:t>)</w:t>
      </w:r>
    </w:p>
    <w:p w14:paraId="72D3A090" w14:textId="16D4C255" w:rsidR="00CE3660" w:rsidRPr="00100776" w:rsidRDefault="009C52B9" w:rsidP="00294256">
      <w:pPr>
        <w:rPr>
          <w:lang w:val="en-GB"/>
        </w:rPr>
      </w:pPr>
      <w:r w:rsidRPr="00100776">
        <w:rPr>
          <w:lang w:val="en-GB"/>
        </w:rPr>
        <w:t xml:space="preserve">This view is </w:t>
      </w:r>
      <w:r w:rsidR="0085016B" w:rsidRPr="00100776">
        <w:rPr>
          <w:lang w:val="en-GB"/>
        </w:rPr>
        <w:t>shared</w:t>
      </w:r>
      <w:r w:rsidRPr="00100776">
        <w:rPr>
          <w:lang w:val="en-GB"/>
        </w:rPr>
        <w:t xml:space="preserve"> by Bray (2000)</w:t>
      </w:r>
      <w:r w:rsidR="00F51C8B" w:rsidRPr="00100776">
        <w:rPr>
          <w:lang w:val="en-GB"/>
        </w:rPr>
        <w:t>,</w:t>
      </w:r>
      <w:r w:rsidRPr="00100776">
        <w:rPr>
          <w:lang w:val="en-GB"/>
        </w:rPr>
        <w:t xml:space="preserve"> who argued that students may be deterred from choosing music as their GCSE optional subject because </w:t>
      </w:r>
      <w:r w:rsidRPr="00100776">
        <w:rPr>
          <w:rFonts w:cstheme="minorHAnsi"/>
          <w:lang w:val="en-GB"/>
        </w:rPr>
        <w:t xml:space="preserve">they feel prior training, such as specialist music lessons, are important in order to succeed. </w:t>
      </w:r>
      <w:r w:rsidR="00CE7368" w:rsidRPr="00100776">
        <w:rPr>
          <w:rFonts w:cstheme="minorHAnsi"/>
          <w:lang w:val="en-GB"/>
        </w:rPr>
        <w:t xml:space="preserve">Wright’s (2002) study provided </w:t>
      </w:r>
      <w:r w:rsidR="00F51C8B" w:rsidRPr="00100776">
        <w:rPr>
          <w:rFonts w:cstheme="minorHAnsi"/>
          <w:lang w:val="en-GB"/>
        </w:rPr>
        <w:t xml:space="preserve">additional </w:t>
      </w:r>
      <w:r w:rsidR="00CE7368" w:rsidRPr="00100776">
        <w:rPr>
          <w:rFonts w:cstheme="minorHAnsi"/>
          <w:lang w:val="en-GB"/>
        </w:rPr>
        <w:t xml:space="preserve">evidence for this hypothesis, </w:t>
      </w:r>
      <w:r w:rsidR="00D53C27" w:rsidRPr="00100776">
        <w:rPr>
          <w:rFonts w:cstheme="minorHAnsi"/>
          <w:lang w:val="en-GB"/>
        </w:rPr>
        <w:t xml:space="preserve">in which music was viewed by students as being </w:t>
      </w:r>
      <w:r w:rsidR="00F51C8B" w:rsidRPr="00100776">
        <w:rPr>
          <w:rFonts w:cstheme="minorHAnsi"/>
          <w:lang w:val="en-GB"/>
        </w:rPr>
        <w:t xml:space="preserve">an </w:t>
      </w:r>
      <w:r w:rsidR="00D53C27" w:rsidRPr="00100776">
        <w:rPr>
          <w:rFonts w:cstheme="minorHAnsi"/>
          <w:lang w:val="en-GB"/>
        </w:rPr>
        <w:t>elitist</w:t>
      </w:r>
      <w:r w:rsidR="00F51C8B" w:rsidRPr="00100776">
        <w:rPr>
          <w:rFonts w:cstheme="minorHAnsi"/>
          <w:lang w:val="en-GB"/>
        </w:rPr>
        <w:t xml:space="preserve"> subject</w:t>
      </w:r>
      <w:r w:rsidR="00D53C27" w:rsidRPr="00100776">
        <w:rPr>
          <w:rFonts w:cstheme="minorHAnsi"/>
          <w:lang w:val="en-GB"/>
        </w:rPr>
        <w:t xml:space="preserve">. </w:t>
      </w:r>
      <w:r w:rsidR="00543CD8" w:rsidRPr="00100776">
        <w:rPr>
          <w:rFonts w:cstheme="minorHAnsi"/>
          <w:lang w:val="en-GB"/>
        </w:rPr>
        <w:t xml:space="preserve">Thompson (2019) </w:t>
      </w:r>
      <w:r w:rsidR="00D53C27" w:rsidRPr="00100776">
        <w:rPr>
          <w:rFonts w:cstheme="minorHAnsi"/>
          <w:lang w:val="en-GB"/>
        </w:rPr>
        <w:t>further elaborated</w:t>
      </w:r>
      <w:r w:rsidR="00543CD8" w:rsidRPr="00100776">
        <w:rPr>
          <w:rFonts w:cstheme="minorHAnsi"/>
          <w:lang w:val="en-GB"/>
        </w:rPr>
        <w:t xml:space="preserve"> </w:t>
      </w:r>
      <w:proofErr w:type="gramStart"/>
      <w:r w:rsidR="00D53C27" w:rsidRPr="00100776">
        <w:rPr>
          <w:rFonts w:cstheme="minorHAnsi"/>
          <w:lang w:val="en-GB"/>
        </w:rPr>
        <w:t xml:space="preserve">that </w:t>
      </w:r>
      <w:r w:rsidR="00D53C27" w:rsidRPr="00100776">
        <w:rPr>
          <w:rFonts w:cstheme="minorHAnsi"/>
        </w:rPr>
        <w:t>students</w:t>
      </w:r>
      <w:proofErr w:type="gramEnd"/>
      <w:r w:rsidR="00543CD8" w:rsidRPr="00100776">
        <w:rPr>
          <w:rFonts w:cstheme="minorHAnsi"/>
        </w:rPr>
        <w:t xml:space="preserve"> from </w:t>
      </w:r>
      <w:r w:rsidR="00543CD8" w:rsidRPr="00100776">
        <w:rPr>
          <w:rFonts w:cstheme="minorHAnsi"/>
          <w:color w:val="202124"/>
          <w:shd w:val="clear" w:color="auto" w:fill="FFFFFF"/>
        </w:rPr>
        <w:t>economically deprived</w:t>
      </w:r>
      <w:r w:rsidR="00543CD8" w:rsidRPr="00100776">
        <w:rPr>
          <w:rFonts w:cstheme="minorHAnsi"/>
        </w:rPr>
        <w:t xml:space="preserve"> backgrounds</w:t>
      </w:r>
      <w:r w:rsidR="0085016B" w:rsidRPr="00100776">
        <w:rPr>
          <w:rFonts w:cstheme="minorHAnsi"/>
        </w:rPr>
        <w:t xml:space="preserve"> could be disadvantaged</w:t>
      </w:r>
      <w:r w:rsidR="00F51C8B" w:rsidRPr="00100776">
        <w:rPr>
          <w:rFonts w:cstheme="minorHAnsi"/>
        </w:rPr>
        <w:t>, which</w:t>
      </w:r>
      <w:r w:rsidR="0085016B" w:rsidRPr="00100776">
        <w:rPr>
          <w:rFonts w:cstheme="minorHAnsi"/>
        </w:rPr>
        <w:t xml:space="preserve"> limited </w:t>
      </w:r>
      <w:r w:rsidR="00F51C8B" w:rsidRPr="00100776">
        <w:rPr>
          <w:rFonts w:cstheme="minorHAnsi"/>
        </w:rPr>
        <w:t>the</w:t>
      </w:r>
      <w:r w:rsidR="0085016B" w:rsidRPr="00100776">
        <w:rPr>
          <w:rFonts w:cstheme="minorHAnsi"/>
        </w:rPr>
        <w:t xml:space="preserve"> likelihood </w:t>
      </w:r>
      <w:r w:rsidR="00F51C8B" w:rsidRPr="00100776">
        <w:rPr>
          <w:rFonts w:cstheme="minorHAnsi"/>
        </w:rPr>
        <w:t>of them</w:t>
      </w:r>
      <w:r w:rsidR="0085016B" w:rsidRPr="00100776">
        <w:rPr>
          <w:rFonts w:cstheme="minorHAnsi"/>
        </w:rPr>
        <w:t xml:space="preserve"> consider</w:t>
      </w:r>
      <w:r w:rsidR="00F51C8B" w:rsidRPr="00100776">
        <w:rPr>
          <w:rFonts w:cstheme="minorHAnsi"/>
        </w:rPr>
        <w:t>ing</w:t>
      </w:r>
      <w:r w:rsidR="0085016B" w:rsidRPr="00100776">
        <w:rPr>
          <w:rFonts w:cstheme="minorHAnsi"/>
        </w:rPr>
        <w:t xml:space="preserve"> music </w:t>
      </w:r>
      <w:r w:rsidR="00294256" w:rsidRPr="00100776">
        <w:rPr>
          <w:rFonts w:cstheme="minorHAnsi"/>
        </w:rPr>
        <w:t>as</w:t>
      </w:r>
      <w:r w:rsidR="0085016B" w:rsidRPr="00100776">
        <w:rPr>
          <w:rFonts w:cstheme="minorHAnsi"/>
        </w:rPr>
        <w:t xml:space="preserve"> a viable option for higher study in the Hong Kong context.</w:t>
      </w:r>
      <w:r w:rsidR="00294256" w:rsidRPr="00100776">
        <w:rPr>
          <w:rFonts w:cstheme="minorHAnsi"/>
        </w:rPr>
        <w:t xml:space="preserve"> The survey by </w:t>
      </w:r>
      <w:r w:rsidR="00294256" w:rsidRPr="00100776">
        <w:rPr>
          <w:lang w:val="en-GB"/>
        </w:rPr>
        <w:t xml:space="preserve">McPherson and O’Neill (2010) provided </w:t>
      </w:r>
      <w:r w:rsidR="00F51C8B" w:rsidRPr="00100776">
        <w:rPr>
          <w:lang w:val="en-GB"/>
        </w:rPr>
        <w:t xml:space="preserve">more </w:t>
      </w:r>
      <w:r w:rsidR="00294256" w:rsidRPr="00100776">
        <w:rPr>
          <w:lang w:val="en-GB"/>
        </w:rPr>
        <w:t>research evidence for this view,</w:t>
      </w:r>
      <w:r w:rsidR="00F51C8B" w:rsidRPr="00100776">
        <w:rPr>
          <w:lang w:val="en-GB"/>
        </w:rPr>
        <w:t xml:space="preserve"> whereby </w:t>
      </w:r>
      <w:r w:rsidR="00294256" w:rsidRPr="00100776">
        <w:rPr>
          <w:lang w:val="en-GB"/>
        </w:rPr>
        <w:t xml:space="preserve">students </w:t>
      </w:r>
      <w:r w:rsidR="00A62A7A" w:rsidRPr="00100776">
        <w:rPr>
          <w:lang w:val="en-GB"/>
        </w:rPr>
        <w:t xml:space="preserve">with prior instrumental learning experience </w:t>
      </w:r>
      <w:r w:rsidR="00294256" w:rsidRPr="00100776">
        <w:rPr>
          <w:lang w:val="en-GB"/>
        </w:rPr>
        <w:t>consider</w:t>
      </w:r>
      <w:r w:rsidR="000A1944" w:rsidRPr="00100776">
        <w:rPr>
          <w:lang w:val="en-GB"/>
        </w:rPr>
        <w:t>ed</w:t>
      </w:r>
      <w:r w:rsidR="00294256" w:rsidRPr="00100776">
        <w:rPr>
          <w:lang w:val="en-GB"/>
        </w:rPr>
        <w:t xml:space="preserve"> music a</w:t>
      </w:r>
      <w:r w:rsidR="00A62A7A" w:rsidRPr="00100776">
        <w:rPr>
          <w:lang w:val="en-GB"/>
        </w:rPr>
        <w:t>n</w:t>
      </w:r>
      <w:r w:rsidR="00294256" w:rsidRPr="00100776">
        <w:rPr>
          <w:lang w:val="en-GB"/>
        </w:rPr>
        <w:t xml:space="preserve"> easier subject than their non-music learning peers.</w:t>
      </w:r>
    </w:p>
    <w:p w14:paraId="740B7904" w14:textId="12171103" w:rsidR="009B7B4D" w:rsidRPr="00100776" w:rsidRDefault="009B7B4D" w:rsidP="00156F2B">
      <w:pPr>
        <w:rPr>
          <w:i/>
          <w:lang w:val="en-GB"/>
        </w:rPr>
      </w:pPr>
      <w:r w:rsidRPr="00100776">
        <w:rPr>
          <w:i/>
          <w:lang w:val="en-GB"/>
        </w:rPr>
        <w:t xml:space="preserve">Value </w:t>
      </w:r>
    </w:p>
    <w:p w14:paraId="2E326226" w14:textId="5B033F54" w:rsidR="00CB2EE2" w:rsidRPr="00100776" w:rsidRDefault="00123176" w:rsidP="00445490">
      <w:pPr>
        <w:rPr>
          <w:lang w:val="en-GB"/>
        </w:rPr>
      </w:pPr>
      <w:r w:rsidRPr="00100776">
        <w:rPr>
          <w:lang w:val="en-GB"/>
        </w:rPr>
        <w:t>M</w:t>
      </w:r>
      <w:r w:rsidR="00972C0D" w:rsidRPr="00100776">
        <w:rPr>
          <w:lang w:val="en-GB"/>
        </w:rPr>
        <w:t>usic is often regarded as a ‘cultural subject’</w:t>
      </w:r>
      <w:r w:rsidR="005E7573" w:rsidRPr="00100776">
        <w:rPr>
          <w:lang w:val="en-GB"/>
        </w:rPr>
        <w:t>,</w:t>
      </w:r>
      <w:r w:rsidR="00972C0D" w:rsidRPr="00100776">
        <w:rPr>
          <w:lang w:val="en-GB"/>
        </w:rPr>
        <w:t xml:space="preserve"> as </w:t>
      </w:r>
      <w:r w:rsidR="005E7573" w:rsidRPr="00100776">
        <w:rPr>
          <w:lang w:val="en-GB"/>
        </w:rPr>
        <w:t xml:space="preserve">opposed </w:t>
      </w:r>
      <w:r w:rsidR="00972C0D" w:rsidRPr="00100776">
        <w:rPr>
          <w:lang w:val="en-GB"/>
        </w:rPr>
        <w:t>to</w:t>
      </w:r>
      <w:r w:rsidRPr="00100776">
        <w:rPr>
          <w:lang w:val="en-GB"/>
        </w:rPr>
        <w:t xml:space="preserve"> </w:t>
      </w:r>
      <w:r w:rsidR="005E7573" w:rsidRPr="00100776">
        <w:rPr>
          <w:lang w:val="en-GB"/>
        </w:rPr>
        <w:t xml:space="preserve">the </w:t>
      </w:r>
      <w:r w:rsidRPr="00100776">
        <w:rPr>
          <w:lang w:val="en-GB"/>
        </w:rPr>
        <w:t xml:space="preserve">more </w:t>
      </w:r>
      <w:r w:rsidR="005E7573" w:rsidRPr="00100776">
        <w:rPr>
          <w:lang w:val="en-GB"/>
        </w:rPr>
        <w:t xml:space="preserve">dominant </w:t>
      </w:r>
      <w:r w:rsidR="00972C0D" w:rsidRPr="00100776">
        <w:rPr>
          <w:lang w:val="en-GB"/>
        </w:rPr>
        <w:t>‘academic subjects’ such as language</w:t>
      </w:r>
      <w:r w:rsidR="009464C9" w:rsidRPr="00100776">
        <w:rPr>
          <w:lang w:val="en-GB"/>
        </w:rPr>
        <w:t>s</w:t>
      </w:r>
      <w:r w:rsidR="00972C0D" w:rsidRPr="00100776">
        <w:rPr>
          <w:lang w:val="en-GB"/>
        </w:rPr>
        <w:t xml:space="preserve">, mathematics and science (Cheung, 2004). ‘Academic </w:t>
      </w:r>
      <w:r w:rsidR="00A86501" w:rsidRPr="00100776">
        <w:rPr>
          <w:lang w:val="en-GB"/>
        </w:rPr>
        <w:t xml:space="preserve">subjects’ </w:t>
      </w:r>
      <w:proofErr w:type="gramStart"/>
      <w:r w:rsidR="00A86501" w:rsidRPr="00100776">
        <w:rPr>
          <w:lang w:val="en-GB"/>
        </w:rPr>
        <w:t xml:space="preserve">are considered </w:t>
      </w:r>
      <w:r w:rsidR="005E7573" w:rsidRPr="00100776">
        <w:rPr>
          <w:lang w:val="en-GB"/>
        </w:rPr>
        <w:t>to be</w:t>
      </w:r>
      <w:proofErr w:type="gramEnd"/>
      <w:r w:rsidR="005E7573" w:rsidRPr="00100776">
        <w:rPr>
          <w:lang w:val="en-GB"/>
        </w:rPr>
        <w:t xml:space="preserve"> </w:t>
      </w:r>
      <w:r w:rsidR="00A86501" w:rsidRPr="00100776">
        <w:rPr>
          <w:lang w:val="en-GB"/>
        </w:rPr>
        <w:t>useful and important for future study or career</w:t>
      </w:r>
      <w:r w:rsidR="005E7573" w:rsidRPr="00100776">
        <w:rPr>
          <w:lang w:val="en-GB"/>
        </w:rPr>
        <w:t xml:space="preserve"> prospects</w:t>
      </w:r>
      <w:r w:rsidR="00A86501" w:rsidRPr="00100776">
        <w:rPr>
          <w:lang w:val="en-GB"/>
        </w:rPr>
        <w:t xml:space="preserve">, while ‘cultural subjects’ are more </w:t>
      </w:r>
      <w:r w:rsidR="005E7573" w:rsidRPr="00100776">
        <w:rPr>
          <w:lang w:val="en-GB"/>
        </w:rPr>
        <w:t xml:space="preserve">suitable as </w:t>
      </w:r>
      <w:r w:rsidR="00A86501" w:rsidRPr="00100776">
        <w:rPr>
          <w:lang w:val="en-GB"/>
        </w:rPr>
        <w:t>leisure</w:t>
      </w:r>
      <w:r w:rsidR="005E7573" w:rsidRPr="00100776">
        <w:rPr>
          <w:lang w:val="en-GB"/>
        </w:rPr>
        <w:t xml:space="preserve"> pursuits</w:t>
      </w:r>
      <w:r w:rsidR="00A86501" w:rsidRPr="00100776">
        <w:rPr>
          <w:lang w:val="en-GB"/>
        </w:rPr>
        <w:t xml:space="preserve"> (Leung &amp; McPherson, 2010). This view is supported by Bray (2000), who suggested that music may be viewed by parents as unimportant because it lacks vocational value, a</w:t>
      </w:r>
      <w:r w:rsidR="005E7573" w:rsidRPr="00100776">
        <w:rPr>
          <w:lang w:val="en-GB"/>
        </w:rPr>
        <w:t xml:space="preserve"> message they </w:t>
      </w:r>
      <w:r w:rsidR="00A86501" w:rsidRPr="00100776">
        <w:rPr>
          <w:lang w:val="en-GB"/>
        </w:rPr>
        <w:t>may transmit to their children.</w:t>
      </w:r>
      <w:r w:rsidR="00A85A5F" w:rsidRPr="00100776">
        <w:rPr>
          <w:lang w:val="en-GB"/>
        </w:rPr>
        <w:t xml:space="preserve"> Ng and Morris (1998) </w:t>
      </w:r>
      <w:r w:rsidR="00E14CF5" w:rsidRPr="00100776">
        <w:rPr>
          <w:lang w:val="en-GB"/>
        </w:rPr>
        <w:t xml:space="preserve">conducted a study on music </w:t>
      </w:r>
      <w:r w:rsidR="005E7573" w:rsidRPr="00100776">
        <w:rPr>
          <w:lang w:val="en-GB"/>
        </w:rPr>
        <w:t>as a</w:t>
      </w:r>
      <w:r w:rsidR="00E14CF5" w:rsidRPr="00100776">
        <w:rPr>
          <w:lang w:val="en-GB"/>
        </w:rPr>
        <w:t xml:space="preserve"> secondary school </w:t>
      </w:r>
      <w:r w:rsidR="005E7573" w:rsidRPr="00100776">
        <w:rPr>
          <w:lang w:val="en-GB"/>
        </w:rPr>
        <w:t xml:space="preserve">subject </w:t>
      </w:r>
      <w:r w:rsidR="00E14CF5" w:rsidRPr="00100776">
        <w:rPr>
          <w:lang w:val="en-GB"/>
        </w:rPr>
        <w:t>and found that</w:t>
      </w:r>
      <w:r w:rsidR="00A85A5F" w:rsidRPr="00100776">
        <w:rPr>
          <w:lang w:val="en-GB"/>
        </w:rPr>
        <w:t xml:space="preserve"> that the </w:t>
      </w:r>
      <w:r w:rsidR="00AE6135" w:rsidRPr="00100776">
        <w:rPr>
          <w:lang w:val="en-GB"/>
        </w:rPr>
        <w:t>schooling</w:t>
      </w:r>
      <w:r w:rsidR="00445490" w:rsidRPr="00100776">
        <w:rPr>
          <w:lang w:val="en-GB"/>
        </w:rPr>
        <w:t xml:space="preserve"> environment in Hong Kong</w:t>
      </w:r>
      <w:r w:rsidR="00A85A5F" w:rsidRPr="00100776">
        <w:rPr>
          <w:lang w:val="en-GB"/>
        </w:rPr>
        <w:t xml:space="preserve"> </w:t>
      </w:r>
      <w:r w:rsidR="005E7573" w:rsidRPr="00100776">
        <w:rPr>
          <w:lang w:val="en-GB"/>
        </w:rPr>
        <w:t>was</w:t>
      </w:r>
      <w:r w:rsidR="00A85A5F" w:rsidRPr="00100776">
        <w:rPr>
          <w:lang w:val="en-GB"/>
        </w:rPr>
        <w:t xml:space="preserve"> highly academic</w:t>
      </w:r>
      <w:r w:rsidR="00445490" w:rsidRPr="00100776">
        <w:rPr>
          <w:lang w:val="en-GB"/>
        </w:rPr>
        <w:t>,</w:t>
      </w:r>
      <w:r w:rsidR="00A85A5F" w:rsidRPr="00100776">
        <w:rPr>
          <w:lang w:val="en-GB"/>
        </w:rPr>
        <w:t xml:space="preserve"> and ‘one in which music had a marginal status’ (p. 196).</w:t>
      </w:r>
      <w:r w:rsidR="00445490" w:rsidRPr="00100776">
        <w:rPr>
          <w:lang w:val="en-GB"/>
        </w:rPr>
        <w:t xml:space="preserve"> </w:t>
      </w:r>
    </w:p>
    <w:p w14:paraId="1D97D621" w14:textId="0CEF4B7E" w:rsidR="009D0728" w:rsidRPr="00100776" w:rsidRDefault="00EC4B69" w:rsidP="009D0728">
      <w:pPr>
        <w:rPr>
          <w:lang w:val="en-GB"/>
        </w:rPr>
      </w:pPr>
      <w:r w:rsidRPr="00100776">
        <w:rPr>
          <w:lang w:val="en-GB"/>
        </w:rPr>
        <w:t>D</w:t>
      </w:r>
      <w:r w:rsidR="00AA29F9" w:rsidRPr="00100776">
        <w:rPr>
          <w:lang w:val="en-GB"/>
        </w:rPr>
        <w:t xml:space="preserve">eeply rooted </w:t>
      </w:r>
      <w:r w:rsidR="009D0728" w:rsidRPr="00100776">
        <w:rPr>
          <w:lang w:val="en-GB"/>
        </w:rPr>
        <w:t xml:space="preserve">Chinese </w:t>
      </w:r>
      <w:r w:rsidR="00AA29F9" w:rsidRPr="00100776">
        <w:rPr>
          <w:lang w:val="en-GB"/>
        </w:rPr>
        <w:t xml:space="preserve">socio-cultural values also play a role in the marginalisation of music </w:t>
      </w:r>
      <w:r w:rsidRPr="00100776">
        <w:rPr>
          <w:lang w:val="en-GB"/>
        </w:rPr>
        <w:t xml:space="preserve">as a school </w:t>
      </w:r>
      <w:r w:rsidR="00AA29F9" w:rsidRPr="00100776">
        <w:rPr>
          <w:lang w:val="en-GB"/>
        </w:rPr>
        <w:t>subject</w:t>
      </w:r>
      <w:r w:rsidR="009D0728" w:rsidRPr="00100776">
        <w:rPr>
          <w:lang w:val="en-GB"/>
        </w:rPr>
        <w:t>, high</w:t>
      </w:r>
      <w:r w:rsidRPr="00100776">
        <w:rPr>
          <w:lang w:val="en-GB"/>
        </w:rPr>
        <w:t>er</w:t>
      </w:r>
      <w:r w:rsidR="009D0728" w:rsidRPr="00100776">
        <w:rPr>
          <w:lang w:val="en-GB"/>
        </w:rPr>
        <w:t xml:space="preserve"> esteem </w:t>
      </w:r>
      <w:r w:rsidRPr="00100776">
        <w:rPr>
          <w:lang w:val="en-GB"/>
        </w:rPr>
        <w:t xml:space="preserve">being placed </w:t>
      </w:r>
      <w:r w:rsidR="009D0728" w:rsidRPr="00100776">
        <w:rPr>
          <w:lang w:val="en-GB"/>
        </w:rPr>
        <w:t xml:space="preserve">on academic subjects that </w:t>
      </w:r>
      <w:r w:rsidRPr="00100776">
        <w:rPr>
          <w:lang w:val="en-GB"/>
        </w:rPr>
        <w:t xml:space="preserve">can </w:t>
      </w:r>
      <w:r w:rsidR="009D0728" w:rsidRPr="00100776">
        <w:rPr>
          <w:lang w:val="en-GB"/>
        </w:rPr>
        <w:t xml:space="preserve">lead to careers in </w:t>
      </w:r>
      <w:r w:rsidR="00B275F9" w:rsidRPr="00100776">
        <w:rPr>
          <w:lang w:val="en-GB"/>
        </w:rPr>
        <w:t xml:space="preserve">certain </w:t>
      </w:r>
      <w:r w:rsidRPr="00100776">
        <w:rPr>
          <w:lang w:val="en-GB"/>
        </w:rPr>
        <w:t xml:space="preserve">favoured </w:t>
      </w:r>
      <w:r w:rsidR="009D0728" w:rsidRPr="00100776">
        <w:rPr>
          <w:lang w:val="en-GB"/>
        </w:rPr>
        <w:t>professions and highly remunerated work in the service-based economy (Morris, 1997).</w:t>
      </w:r>
      <w:r w:rsidR="00CB2EE2" w:rsidRPr="00100776">
        <w:rPr>
          <w:lang w:val="en-GB"/>
        </w:rPr>
        <w:t xml:space="preserve"> </w:t>
      </w:r>
      <w:r w:rsidR="009D0728" w:rsidRPr="00100776">
        <w:rPr>
          <w:lang w:val="en-GB"/>
        </w:rPr>
        <w:t xml:space="preserve">Schools and universities have increasingly come under pressure to produce the </w:t>
      </w:r>
      <w:r w:rsidR="009D0728" w:rsidRPr="00100776">
        <w:rPr>
          <w:lang w:val="en-GB"/>
        </w:rPr>
        <w:lastRenderedPageBreak/>
        <w:t xml:space="preserve">skilled workers </w:t>
      </w:r>
      <w:r w:rsidRPr="00100776">
        <w:rPr>
          <w:lang w:val="en-GB"/>
        </w:rPr>
        <w:t>necessary for</w:t>
      </w:r>
      <w:r w:rsidR="009D0728" w:rsidRPr="00100776">
        <w:rPr>
          <w:lang w:val="en-GB"/>
        </w:rPr>
        <w:t xml:space="preserve"> a service-based economy, which places </w:t>
      </w:r>
      <w:r w:rsidR="009464C9" w:rsidRPr="00100776">
        <w:rPr>
          <w:lang w:val="en-GB"/>
        </w:rPr>
        <w:t xml:space="preserve">a </w:t>
      </w:r>
      <w:r w:rsidR="009D0728" w:rsidRPr="00100776">
        <w:rPr>
          <w:lang w:val="en-GB"/>
        </w:rPr>
        <w:t>low</w:t>
      </w:r>
      <w:r w:rsidR="00B275F9" w:rsidRPr="00100776">
        <w:rPr>
          <w:lang w:val="en-GB"/>
        </w:rPr>
        <w:t>er</w:t>
      </w:r>
      <w:r w:rsidR="009D0728" w:rsidRPr="00100776">
        <w:rPr>
          <w:lang w:val="en-GB"/>
        </w:rPr>
        <w:t xml:space="preserve"> value </w:t>
      </w:r>
      <w:r w:rsidRPr="00100776">
        <w:rPr>
          <w:lang w:val="en-GB"/>
        </w:rPr>
        <w:t xml:space="preserve">on </w:t>
      </w:r>
      <w:r w:rsidR="009D0728" w:rsidRPr="00100776">
        <w:rPr>
          <w:lang w:val="en-GB"/>
        </w:rPr>
        <w:t>‘cultural subjects’ such as music (Leung &amp; McPherson, 2010).</w:t>
      </w:r>
    </w:p>
    <w:p w14:paraId="73308063" w14:textId="6A64B2A6" w:rsidR="009B7B4D" w:rsidRPr="00100776" w:rsidRDefault="00655BFF" w:rsidP="00156F2B">
      <w:pPr>
        <w:rPr>
          <w:i/>
          <w:lang w:val="en-GB"/>
        </w:rPr>
      </w:pPr>
      <w:r w:rsidRPr="00100776">
        <w:rPr>
          <w:i/>
          <w:lang w:val="en-GB"/>
        </w:rPr>
        <w:t xml:space="preserve">Integration of </w:t>
      </w:r>
      <w:r w:rsidR="0062218A" w:rsidRPr="00100776">
        <w:rPr>
          <w:i/>
          <w:lang w:val="en-GB"/>
        </w:rPr>
        <w:t xml:space="preserve">Chinese and </w:t>
      </w:r>
      <w:r w:rsidR="00192A7F" w:rsidRPr="00100776">
        <w:rPr>
          <w:i/>
          <w:lang w:val="en-GB"/>
        </w:rPr>
        <w:t>local musical cultures</w:t>
      </w:r>
    </w:p>
    <w:p w14:paraId="0F329937" w14:textId="47F28D1A" w:rsidR="00A033F6" w:rsidRPr="00100776" w:rsidRDefault="006C7791" w:rsidP="00A033F6">
      <w:pPr>
        <w:rPr>
          <w:lang w:val="en-GB"/>
        </w:rPr>
      </w:pPr>
      <w:r w:rsidRPr="00100776">
        <w:rPr>
          <w:lang w:val="en-GB"/>
        </w:rPr>
        <w:t xml:space="preserve">Despite </w:t>
      </w:r>
      <w:r w:rsidR="00655BFF" w:rsidRPr="00100776">
        <w:rPr>
          <w:lang w:val="en-GB"/>
        </w:rPr>
        <w:t>socio-political pressure</w:t>
      </w:r>
      <w:r w:rsidR="00A17609" w:rsidRPr="00100776">
        <w:rPr>
          <w:lang w:val="en-GB"/>
        </w:rPr>
        <w:t>s</w:t>
      </w:r>
      <w:r w:rsidR="00655BFF" w:rsidRPr="00100776">
        <w:rPr>
          <w:lang w:val="en-GB"/>
        </w:rPr>
        <w:t xml:space="preserve"> to encourage Chinese music and the </w:t>
      </w:r>
      <w:r w:rsidR="00123176" w:rsidRPr="00100776">
        <w:rPr>
          <w:lang w:val="en-GB"/>
        </w:rPr>
        <w:t>global trend</w:t>
      </w:r>
      <w:r w:rsidR="00655BFF" w:rsidRPr="00100776">
        <w:rPr>
          <w:lang w:val="en-GB"/>
        </w:rPr>
        <w:t xml:space="preserve"> to include diverse musical cultures, how to integrate </w:t>
      </w:r>
      <w:r w:rsidR="00123176" w:rsidRPr="00100776">
        <w:rPr>
          <w:lang w:val="en-GB"/>
        </w:rPr>
        <w:t>these non-Western musical cultures</w:t>
      </w:r>
      <w:r w:rsidR="00655BFF" w:rsidRPr="00100776">
        <w:rPr>
          <w:lang w:val="en-GB"/>
        </w:rPr>
        <w:t xml:space="preserve"> into the curriculum remains a challenge for music education in Hong Kong (Ho &amp; Law, 2009).</w:t>
      </w:r>
      <w:r w:rsidR="00B12B5C" w:rsidRPr="00100776">
        <w:rPr>
          <w:lang w:val="en-GB"/>
        </w:rPr>
        <w:t xml:space="preserve"> It </w:t>
      </w:r>
      <w:r w:rsidR="00A17609" w:rsidRPr="00100776">
        <w:rPr>
          <w:lang w:val="en-GB"/>
        </w:rPr>
        <w:t xml:space="preserve">has </w:t>
      </w:r>
      <w:r w:rsidR="00B12B5C" w:rsidRPr="00100776">
        <w:rPr>
          <w:lang w:val="en-GB"/>
        </w:rPr>
        <w:t xml:space="preserve">also led to </w:t>
      </w:r>
      <w:r w:rsidR="00A17609" w:rsidRPr="00100776">
        <w:rPr>
          <w:lang w:val="en-GB"/>
        </w:rPr>
        <w:t xml:space="preserve">a </w:t>
      </w:r>
      <w:r w:rsidR="00B12B5C" w:rsidRPr="00100776">
        <w:rPr>
          <w:lang w:val="en-GB"/>
        </w:rPr>
        <w:t>growing</w:t>
      </w:r>
      <w:r w:rsidR="004F27F0" w:rsidRPr="00100776">
        <w:rPr>
          <w:lang w:val="en-GB"/>
        </w:rPr>
        <w:t xml:space="preserve"> concern regarding the flexibility of the music curriculum to adapt to such changes (Ho, 2007</w:t>
      </w:r>
      <w:r w:rsidR="00CE4A1B" w:rsidRPr="00100776">
        <w:rPr>
          <w:lang w:val="en-GB"/>
        </w:rPr>
        <w:t>a</w:t>
      </w:r>
      <w:r w:rsidR="004F27F0" w:rsidRPr="00100776">
        <w:rPr>
          <w:lang w:val="en-GB"/>
        </w:rPr>
        <w:t xml:space="preserve">). </w:t>
      </w:r>
      <w:r w:rsidR="00AA03E3" w:rsidRPr="00100776">
        <w:rPr>
          <w:lang w:val="en-GB"/>
        </w:rPr>
        <w:t xml:space="preserve">Typically, </w:t>
      </w:r>
      <w:r w:rsidR="00A17609" w:rsidRPr="00100776">
        <w:rPr>
          <w:lang w:val="en-GB"/>
        </w:rPr>
        <w:t xml:space="preserve">although </w:t>
      </w:r>
      <w:r w:rsidR="00AA03E3" w:rsidRPr="00100776">
        <w:rPr>
          <w:lang w:val="en-GB"/>
        </w:rPr>
        <w:t>students learn to play Western instruments</w:t>
      </w:r>
      <w:r w:rsidR="00A17609" w:rsidRPr="00100776">
        <w:rPr>
          <w:lang w:val="en-GB"/>
        </w:rPr>
        <w:t>,</w:t>
      </w:r>
      <w:r w:rsidR="00AA03E3" w:rsidRPr="00100776">
        <w:rPr>
          <w:lang w:val="en-GB"/>
        </w:rPr>
        <w:t xml:space="preserve"> such as the piano, violin and flute, both inside and outside school, they rarely play Chinese musical instruments (Ho, 2003a, 2003b; Leung, 2001). However, survey results have </w:t>
      </w:r>
      <w:r w:rsidR="00A17609" w:rsidRPr="00100776">
        <w:rPr>
          <w:lang w:val="en-GB"/>
        </w:rPr>
        <w:t xml:space="preserve">also </w:t>
      </w:r>
      <w:r w:rsidR="00AA03E3" w:rsidRPr="00100776">
        <w:rPr>
          <w:lang w:val="en-GB"/>
        </w:rPr>
        <w:t>revealed that students agree they should be learning more about the music of other cultures (Ho, 2007</w:t>
      </w:r>
      <w:r w:rsidR="00CE4A1B" w:rsidRPr="00100776">
        <w:rPr>
          <w:lang w:val="en-GB"/>
        </w:rPr>
        <w:t>b</w:t>
      </w:r>
      <w:r w:rsidR="00AA03E3" w:rsidRPr="00100776">
        <w:rPr>
          <w:lang w:val="en-GB"/>
        </w:rPr>
        <w:t>).</w:t>
      </w:r>
      <w:r w:rsidR="00A033F6" w:rsidRPr="00100776">
        <w:rPr>
          <w:lang w:val="en-GB"/>
        </w:rPr>
        <w:t xml:space="preserve"> While primary students tend to accept Cantonese opera as a component of their music curriculum, secondary students </w:t>
      </w:r>
      <w:r w:rsidR="00A17609" w:rsidRPr="00100776">
        <w:rPr>
          <w:lang w:val="en-GB"/>
        </w:rPr>
        <w:t>exhibit</w:t>
      </w:r>
      <w:r w:rsidR="00A033F6" w:rsidRPr="00100776">
        <w:rPr>
          <w:lang w:val="en-GB"/>
        </w:rPr>
        <w:t xml:space="preserve"> negative perceptions </w:t>
      </w:r>
      <w:r w:rsidR="00146AE6" w:rsidRPr="00100776">
        <w:rPr>
          <w:lang w:val="en-GB"/>
        </w:rPr>
        <w:t xml:space="preserve">towards </w:t>
      </w:r>
      <w:r w:rsidR="00A033F6" w:rsidRPr="00100776">
        <w:rPr>
          <w:lang w:val="en-GB"/>
        </w:rPr>
        <w:t xml:space="preserve">the genre due to </w:t>
      </w:r>
      <w:r w:rsidR="00A17609" w:rsidRPr="00100776">
        <w:rPr>
          <w:lang w:val="en-GB"/>
        </w:rPr>
        <w:t xml:space="preserve">its </w:t>
      </w:r>
      <w:r w:rsidR="00A033F6" w:rsidRPr="00100776">
        <w:rPr>
          <w:lang w:val="en-GB"/>
        </w:rPr>
        <w:t xml:space="preserve">socio-cultural attributions (Leung &amp; Leung, 2010). </w:t>
      </w:r>
    </w:p>
    <w:p w14:paraId="1EE0DC2D" w14:textId="7AF188BD" w:rsidR="00C774FB" w:rsidRPr="00100776" w:rsidRDefault="00AA3989" w:rsidP="00C774FB">
      <w:pPr>
        <w:rPr>
          <w:i/>
          <w:lang w:val="en-GB"/>
        </w:rPr>
      </w:pPr>
      <w:r w:rsidRPr="00100776">
        <w:rPr>
          <w:i/>
          <w:lang w:val="en-GB"/>
        </w:rPr>
        <w:t>Readiness</w:t>
      </w:r>
      <w:r w:rsidR="00C774FB" w:rsidRPr="00100776">
        <w:rPr>
          <w:i/>
          <w:lang w:val="en-GB"/>
        </w:rPr>
        <w:t xml:space="preserve"> of teachers</w:t>
      </w:r>
    </w:p>
    <w:p w14:paraId="07017FEB" w14:textId="7AB079B8" w:rsidR="00A63874" w:rsidRPr="00100776" w:rsidRDefault="00AA6E21" w:rsidP="00D70DBF">
      <w:pPr>
        <w:rPr>
          <w:lang w:val="en-GB"/>
        </w:rPr>
      </w:pPr>
      <w:r w:rsidRPr="00100776">
        <w:rPr>
          <w:lang w:val="en-GB"/>
        </w:rPr>
        <w:t>Since the influence from teachers and the overall musical atmosphere in school</w:t>
      </w:r>
      <w:r w:rsidR="00146AE6" w:rsidRPr="00100776">
        <w:rPr>
          <w:lang w:val="en-GB"/>
        </w:rPr>
        <w:t>s</w:t>
      </w:r>
      <w:r w:rsidRPr="00100776">
        <w:rPr>
          <w:lang w:val="en-GB"/>
        </w:rPr>
        <w:t xml:space="preserve"> are contributing factors that affect senior secondary students’ decision </w:t>
      </w:r>
      <w:r w:rsidR="00146AE6" w:rsidRPr="00100776">
        <w:rPr>
          <w:lang w:val="en-GB"/>
        </w:rPr>
        <w:t xml:space="preserve">as to </w:t>
      </w:r>
      <w:proofErr w:type="gramStart"/>
      <w:r w:rsidRPr="00100776">
        <w:rPr>
          <w:lang w:val="en-GB"/>
        </w:rPr>
        <w:t xml:space="preserve">whether </w:t>
      </w:r>
      <w:r w:rsidR="00146AE6" w:rsidRPr="00100776">
        <w:rPr>
          <w:lang w:val="en-GB"/>
        </w:rPr>
        <w:t>or not</w:t>
      </w:r>
      <w:proofErr w:type="gramEnd"/>
      <w:r w:rsidR="00146AE6" w:rsidRPr="00100776">
        <w:rPr>
          <w:lang w:val="en-GB"/>
        </w:rPr>
        <w:t xml:space="preserve"> </w:t>
      </w:r>
      <w:r w:rsidRPr="00100776">
        <w:rPr>
          <w:lang w:val="en-GB"/>
        </w:rPr>
        <w:t xml:space="preserve">to take music as </w:t>
      </w:r>
      <w:r w:rsidR="00146AE6" w:rsidRPr="00100776">
        <w:rPr>
          <w:lang w:val="en-GB"/>
        </w:rPr>
        <w:t xml:space="preserve">an </w:t>
      </w:r>
      <w:r w:rsidRPr="00100776">
        <w:rPr>
          <w:lang w:val="en-GB"/>
        </w:rPr>
        <w:t xml:space="preserve">elective subject (Leung, So &amp; Lee, 2008), the readiness of music teachers </w:t>
      </w:r>
      <w:r w:rsidR="00146AE6" w:rsidRPr="00100776">
        <w:rPr>
          <w:lang w:val="en-GB"/>
        </w:rPr>
        <w:t xml:space="preserve">to </w:t>
      </w:r>
      <w:r w:rsidRPr="00100776">
        <w:rPr>
          <w:lang w:val="en-GB"/>
        </w:rPr>
        <w:t>deliver multicultural music content may also be accountable for the low enrolment</w:t>
      </w:r>
      <w:r w:rsidR="00146AE6" w:rsidRPr="00100776">
        <w:rPr>
          <w:lang w:val="en-GB"/>
        </w:rPr>
        <w:t xml:space="preserve"> numbers</w:t>
      </w:r>
      <w:r w:rsidRPr="00100776">
        <w:rPr>
          <w:lang w:val="en-GB"/>
        </w:rPr>
        <w:t xml:space="preserve">. </w:t>
      </w:r>
      <w:r w:rsidR="005759A2" w:rsidRPr="00100776">
        <w:rPr>
          <w:lang w:val="en-GB"/>
        </w:rPr>
        <w:t>Leung’s (1997) study revealed that m</w:t>
      </w:r>
      <w:r w:rsidR="00FA17B0" w:rsidRPr="00100776">
        <w:rPr>
          <w:lang w:val="en-GB"/>
        </w:rPr>
        <w:t>ost</w:t>
      </w:r>
      <w:r w:rsidR="00173AA1" w:rsidRPr="00100776">
        <w:rPr>
          <w:lang w:val="en-GB"/>
        </w:rPr>
        <w:t xml:space="preserve"> of </w:t>
      </w:r>
      <w:r w:rsidR="005759A2" w:rsidRPr="00100776">
        <w:rPr>
          <w:lang w:val="en-GB"/>
        </w:rPr>
        <w:t>the music teachers in Hong Kong</w:t>
      </w:r>
      <w:r w:rsidR="00173AA1" w:rsidRPr="00100776">
        <w:rPr>
          <w:lang w:val="en-GB"/>
        </w:rPr>
        <w:t xml:space="preserve"> </w:t>
      </w:r>
      <w:r w:rsidR="005759A2" w:rsidRPr="00100776">
        <w:rPr>
          <w:lang w:val="en-GB"/>
        </w:rPr>
        <w:t>were</w:t>
      </w:r>
      <w:r w:rsidR="00173AA1" w:rsidRPr="00100776">
        <w:rPr>
          <w:lang w:val="en-GB"/>
        </w:rPr>
        <w:t xml:space="preserve"> well trained in Western classical music</w:t>
      </w:r>
      <w:r w:rsidR="000B57A7" w:rsidRPr="00100776">
        <w:rPr>
          <w:lang w:val="en-GB"/>
        </w:rPr>
        <w:t>,</w:t>
      </w:r>
      <w:r w:rsidR="00173AA1" w:rsidRPr="00100776">
        <w:rPr>
          <w:lang w:val="en-GB"/>
        </w:rPr>
        <w:t xml:space="preserve"> but not in </w:t>
      </w:r>
      <w:r w:rsidR="00192A7F" w:rsidRPr="00100776">
        <w:rPr>
          <w:lang w:val="en-GB"/>
        </w:rPr>
        <w:t>Chinese music or other</w:t>
      </w:r>
      <w:r w:rsidR="00173AA1" w:rsidRPr="00100776">
        <w:rPr>
          <w:lang w:val="en-GB"/>
        </w:rPr>
        <w:t xml:space="preserve"> musical cultures.</w:t>
      </w:r>
      <w:r w:rsidR="005759A2" w:rsidRPr="00100776">
        <w:rPr>
          <w:lang w:val="en-GB"/>
        </w:rPr>
        <w:t xml:space="preserve"> This finding is echoed by Law and Ho (2004), who argued that </w:t>
      </w:r>
      <w:r w:rsidR="008201EC" w:rsidRPr="00100776">
        <w:rPr>
          <w:lang w:val="en-GB"/>
        </w:rPr>
        <w:t xml:space="preserve">many music teachers in Hong Kong </w:t>
      </w:r>
      <w:r w:rsidR="00C774FB" w:rsidRPr="00100776">
        <w:rPr>
          <w:lang w:val="en-GB"/>
        </w:rPr>
        <w:t xml:space="preserve">receive </w:t>
      </w:r>
      <w:r w:rsidR="008201EC" w:rsidRPr="00100776">
        <w:rPr>
          <w:lang w:val="en-GB"/>
        </w:rPr>
        <w:t>far less</w:t>
      </w:r>
      <w:r w:rsidR="00C774FB" w:rsidRPr="00100776">
        <w:rPr>
          <w:lang w:val="en-GB"/>
        </w:rPr>
        <w:t xml:space="preserve"> professional training in Chinese music</w:t>
      </w:r>
      <w:r w:rsidR="008201EC" w:rsidRPr="00100776">
        <w:rPr>
          <w:lang w:val="en-GB"/>
        </w:rPr>
        <w:t xml:space="preserve"> compared to Western classical music</w:t>
      </w:r>
      <w:r w:rsidR="00C774FB" w:rsidRPr="00100776">
        <w:rPr>
          <w:lang w:val="en-GB"/>
        </w:rPr>
        <w:t xml:space="preserve">, </w:t>
      </w:r>
      <w:r w:rsidR="00146AE6" w:rsidRPr="00100776">
        <w:rPr>
          <w:lang w:val="en-GB"/>
        </w:rPr>
        <w:t>despite its emphasis</w:t>
      </w:r>
      <w:r w:rsidR="008201EC" w:rsidRPr="00100776">
        <w:rPr>
          <w:lang w:val="en-GB"/>
        </w:rPr>
        <w:t xml:space="preserve"> in higher music education.</w:t>
      </w:r>
      <w:r w:rsidR="00C774FB" w:rsidRPr="00100776">
        <w:rPr>
          <w:lang w:val="en-GB"/>
        </w:rPr>
        <w:t xml:space="preserve"> </w:t>
      </w:r>
      <w:r w:rsidR="00456329" w:rsidRPr="00100776">
        <w:rPr>
          <w:lang w:val="en-GB"/>
        </w:rPr>
        <w:t>Leung (2021) conducted a</w:t>
      </w:r>
      <w:r w:rsidR="00146AE6" w:rsidRPr="00100776">
        <w:rPr>
          <w:lang w:val="en-GB"/>
        </w:rPr>
        <w:t>nother</w:t>
      </w:r>
      <w:r w:rsidR="00456329" w:rsidRPr="00100776">
        <w:rPr>
          <w:lang w:val="en-GB"/>
        </w:rPr>
        <w:t xml:space="preserve"> study to investigate the relationship between the teaching of Cantonese opera in schools and teacher </w:t>
      </w:r>
      <w:r w:rsidR="00850C0A" w:rsidRPr="00100776">
        <w:rPr>
          <w:lang w:val="en-GB"/>
        </w:rPr>
        <w:t>variables</w:t>
      </w:r>
      <w:r w:rsidR="00146AE6" w:rsidRPr="00100776">
        <w:rPr>
          <w:lang w:val="en-GB"/>
        </w:rPr>
        <w:t>,</w:t>
      </w:r>
      <w:r w:rsidR="00850C0A" w:rsidRPr="00100776">
        <w:rPr>
          <w:lang w:val="en-GB"/>
        </w:rPr>
        <w:t xml:space="preserve"> such as their music</w:t>
      </w:r>
      <w:r w:rsidR="00934463" w:rsidRPr="00100776">
        <w:rPr>
          <w:lang w:val="en-GB"/>
        </w:rPr>
        <w:t>al</w:t>
      </w:r>
      <w:r w:rsidR="00850C0A" w:rsidRPr="00100776">
        <w:rPr>
          <w:lang w:val="en-GB"/>
        </w:rPr>
        <w:t xml:space="preserve"> background</w:t>
      </w:r>
      <w:r w:rsidR="00934463" w:rsidRPr="00100776">
        <w:rPr>
          <w:lang w:val="en-GB"/>
        </w:rPr>
        <w:t>s</w:t>
      </w:r>
      <w:r w:rsidR="00850C0A" w:rsidRPr="00100776">
        <w:rPr>
          <w:lang w:val="en-GB"/>
        </w:rPr>
        <w:t xml:space="preserve"> and interest</w:t>
      </w:r>
      <w:r w:rsidR="00934463" w:rsidRPr="00100776">
        <w:rPr>
          <w:lang w:val="en-GB"/>
        </w:rPr>
        <w:t>s</w:t>
      </w:r>
      <w:r w:rsidR="008C4851" w:rsidRPr="00100776">
        <w:rPr>
          <w:lang w:val="en-GB"/>
        </w:rPr>
        <w:t xml:space="preserve">. </w:t>
      </w:r>
      <w:r w:rsidR="00146AE6" w:rsidRPr="00100776">
        <w:rPr>
          <w:lang w:val="en-GB"/>
        </w:rPr>
        <w:t>The r</w:t>
      </w:r>
      <w:r w:rsidR="008C4851" w:rsidRPr="00100776">
        <w:rPr>
          <w:lang w:val="en-GB"/>
        </w:rPr>
        <w:t xml:space="preserve">esults found that </w:t>
      </w:r>
      <w:r w:rsidR="00456329" w:rsidRPr="00100776">
        <w:rPr>
          <w:lang w:val="en-GB"/>
        </w:rPr>
        <w:t xml:space="preserve">teachers </w:t>
      </w:r>
      <w:r w:rsidR="00146AE6" w:rsidRPr="00100776">
        <w:rPr>
          <w:lang w:val="en-GB"/>
        </w:rPr>
        <w:t>we</w:t>
      </w:r>
      <w:r w:rsidR="00456329" w:rsidRPr="00100776">
        <w:rPr>
          <w:lang w:val="en-GB"/>
        </w:rPr>
        <w:t xml:space="preserve">re </w:t>
      </w:r>
      <w:r w:rsidR="00146AE6" w:rsidRPr="00100776">
        <w:rPr>
          <w:lang w:val="en-GB"/>
        </w:rPr>
        <w:t xml:space="preserve">moderately </w:t>
      </w:r>
      <w:r w:rsidR="00456329" w:rsidRPr="00100776">
        <w:rPr>
          <w:lang w:val="en-GB"/>
        </w:rPr>
        <w:t>interested, confident and knowledgeable about teaching the genre,</w:t>
      </w:r>
      <w:r w:rsidR="008C4851" w:rsidRPr="00100776">
        <w:rPr>
          <w:lang w:val="en-GB"/>
        </w:rPr>
        <w:t xml:space="preserve"> </w:t>
      </w:r>
      <w:r w:rsidR="00850C0A" w:rsidRPr="00100776">
        <w:rPr>
          <w:lang w:val="en-GB"/>
        </w:rPr>
        <w:t>and</w:t>
      </w:r>
      <w:r w:rsidR="00456329" w:rsidRPr="00100776">
        <w:rPr>
          <w:lang w:val="en-GB"/>
        </w:rPr>
        <w:t xml:space="preserve"> </w:t>
      </w:r>
      <w:r w:rsidR="00146AE6" w:rsidRPr="00100776">
        <w:rPr>
          <w:lang w:val="en-GB"/>
        </w:rPr>
        <w:t xml:space="preserve">that there was </w:t>
      </w:r>
      <w:r w:rsidR="00456329" w:rsidRPr="00100776">
        <w:rPr>
          <w:lang w:val="en-GB"/>
        </w:rPr>
        <w:t>a significant relationship between the</w:t>
      </w:r>
      <w:r w:rsidR="00850C0A" w:rsidRPr="00100776">
        <w:rPr>
          <w:lang w:val="en-GB"/>
        </w:rPr>
        <w:t>ir</w:t>
      </w:r>
      <w:r w:rsidR="00456329" w:rsidRPr="00100776">
        <w:rPr>
          <w:lang w:val="en-GB"/>
        </w:rPr>
        <w:t xml:space="preserve"> music</w:t>
      </w:r>
      <w:r w:rsidR="00146AE6" w:rsidRPr="00100776">
        <w:rPr>
          <w:lang w:val="en-GB"/>
        </w:rPr>
        <w:t>al</w:t>
      </w:r>
      <w:r w:rsidR="00456329" w:rsidRPr="00100776">
        <w:rPr>
          <w:lang w:val="en-GB"/>
        </w:rPr>
        <w:t xml:space="preserve"> backgrounds and</w:t>
      </w:r>
      <w:r w:rsidR="00146AE6" w:rsidRPr="00100776">
        <w:rPr>
          <w:lang w:val="en-GB"/>
        </w:rPr>
        <w:t xml:space="preserve"> their</w:t>
      </w:r>
      <w:r w:rsidR="00456329" w:rsidRPr="00100776">
        <w:rPr>
          <w:lang w:val="en-GB"/>
        </w:rPr>
        <w:t xml:space="preserve"> interest in Cantonese opera</w:t>
      </w:r>
      <w:r w:rsidR="00850C0A" w:rsidRPr="00100776">
        <w:rPr>
          <w:lang w:val="en-GB"/>
        </w:rPr>
        <w:t>.</w:t>
      </w:r>
      <w:r w:rsidR="00456329" w:rsidRPr="00100776">
        <w:rPr>
          <w:lang w:val="en-GB"/>
        </w:rPr>
        <w:t xml:space="preserve"> </w:t>
      </w:r>
      <w:r w:rsidR="00146AE6" w:rsidRPr="00100776">
        <w:rPr>
          <w:lang w:val="en-GB"/>
        </w:rPr>
        <w:t>Nevertheless</w:t>
      </w:r>
      <w:r w:rsidR="00CB538E" w:rsidRPr="00100776">
        <w:rPr>
          <w:lang w:val="en-GB"/>
        </w:rPr>
        <w:t xml:space="preserve">, </w:t>
      </w:r>
      <w:r w:rsidR="00146AE6" w:rsidRPr="00100776">
        <w:rPr>
          <w:lang w:val="en-GB"/>
        </w:rPr>
        <w:t xml:space="preserve">the study also revealed </w:t>
      </w:r>
      <w:r w:rsidR="00CB538E" w:rsidRPr="00100776">
        <w:rPr>
          <w:lang w:val="en-GB"/>
        </w:rPr>
        <w:t xml:space="preserve">that music teachers in Hong Kong are </w:t>
      </w:r>
      <w:r w:rsidR="00B5600C" w:rsidRPr="00100776">
        <w:rPr>
          <w:lang w:val="en-GB"/>
        </w:rPr>
        <w:t>un</w:t>
      </w:r>
      <w:r w:rsidR="00CB538E" w:rsidRPr="00100776">
        <w:rPr>
          <w:lang w:val="en-GB"/>
        </w:rPr>
        <w:t xml:space="preserve">familiar with the genre </w:t>
      </w:r>
      <w:r w:rsidR="00146AE6" w:rsidRPr="00100776">
        <w:rPr>
          <w:lang w:val="en-GB"/>
        </w:rPr>
        <w:t xml:space="preserve">because of </w:t>
      </w:r>
      <w:r w:rsidR="00CB538E" w:rsidRPr="00100776">
        <w:rPr>
          <w:lang w:val="en-GB"/>
        </w:rPr>
        <w:t xml:space="preserve">insufficient training, which has led to a lack of confidence in teaching. </w:t>
      </w:r>
    </w:p>
    <w:p w14:paraId="144CFA34" w14:textId="3BE289D1" w:rsidR="0010792B" w:rsidRPr="00100776" w:rsidRDefault="0010792B" w:rsidP="00D70DBF">
      <w:pPr>
        <w:rPr>
          <w:lang w:val="en-GB"/>
        </w:rPr>
      </w:pPr>
      <w:r w:rsidRPr="00100776">
        <w:rPr>
          <w:lang w:val="en-GB"/>
        </w:rPr>
        <w:t xml:space="preserve">Teacher training plays a prominent role in </w:t>
      </w:r>
      <w:r w:rsidR="003C1BA1" w:rsidRPr="00100776">
        <w:rPr>
          <w:lang w:val="en-GB"/>
        </w:rPr>
        <w:t xml:space="preserve">the delivery of multicultural music content in schools that excels beyond the over-emphasised western classical tradition. </w:t>
      </w:r>
      <w:r w:rsidR="001E4884" w:rsidRPr="00100776">
        <w:rPr>
          <w:lang w:val="en-GB"/>
        </w:rPr>
        <w:t>While the</w:t>
      </w:r>
      <w:r w:rsidR="00B06DFF" w:rsidRPr="00100776">
        <w:rPr>
          <w:lang w:val="en-GB"/>
        </w:rPr>
        <w:t xml:space="preserve"> music</w:t>
      </w:r>
      <w:r w:rsidR="001E4884" w:rsidRPr="00100776">
        <w:rPr>
          <w:lang w:val="en-GB"/>
        </w:rPr>
        <w:t xml:space="preserve"> teacher training programmes in Hong Kong </w:t>
      </w:r>
      <w:r w:rsidR="00856C9E" w:rsidRPr="00100776">
        <w:rPr>
          <w:lang w:val="en-GB"/>
        </w:rPr>
        <w:t xml:space="preserve">have been packed with contemporary agenda in the education sector such as inclusive education (Wong &amp; </w:t>
      </w:r>
      <w:proofErr w:type="spellStart"/>
      <w:r w:rsidR="00856C9E" w:rsidRPr="00100776">
        <w:rPr>
          <w:lang w:val="en-GB"/>
        </w:rPr>
        <w:t>Chik</w:t>
      </w:r>
      <w:proofErr w:type="spellEnd"/>
      <w:r w:rsidR="00856C9E" w:rsidRPr="00100776">
        <w:rPr>
          <w:lang w:val="en-GB"/>
        </w:rPr>
        <w:t xml:space="preserve">, 2016), </w:t>
      </w:r>
      <w:r w:rsidR="00B92A62" w:rsidRPr="00100776">
        <w:rPr>
          <w:lang w:val="en-GB"/>
        </w:rPr>
        <w:t>interdisciplinary and experiential learning (Chen &amp; Lo, 2019)</w:t>
      </w:r>
      <w:r w:rsidR="001732D0" w:rsidRPr="00100776">
        <w:rPr>
          <w:lang w:val="en-GB"/>
        </w:rPr>
        <w:t>, technological integration (</w:t>
      </w:r>
      <w:r w:rsidR="004958CE" w:rsidRPr="00100776">
        <w:rPr>
          <w:lang w:val="en-GB"/>
        </w:rPr>
        <w:t>Leong &amp; Cheng</w:t>
      </w:r>
      <w:r w:rsidR="001732D0" w:rsidRPr="00100776">
        <w:rPr>
          <w:lang w:val="en-GB"/>
        </w:rPr>
        <w:t>, 2014),</w:t>
      </w:r>
      <w:r w:rsidR="00102354" w:rsidRPr="00100776">
        <w:rPr>
          <w:lang w:val="en-GB"/>
        </w:rPr>
        <w:t xml:space="preserve"> and</w:t>
      </w:r>
      <w:r w:rsidR="001732D0" w:rsidRPr="00100776">
        <w:rPr>
          <w:lang w:val="en-GB"/>
        </w:rPr>
        <w:t xml:space="preserve"> </w:t>
      </w:r>
      <w:r w:rsidR="00102354" w:rsidRPr="00100776">
        <w:rPr>
          <w:lang w:val="en-GB"/>
        </w:rPr>
        <w:t>emergency remote teaching (</w:t>
      </w:r>
      <w:r w:rsidR="001D38D8" w:rsidRPr="00100776">
        <w:rPr>
          <w:lang w:val="en-GB"/>
        </w:rPr>
        <w:t>Cheng</w:t>
      </w:r>
      <w:r w:rsidR="00102354" w:rsidRPr="00100776">
        <w:rPr>
          <w:lang w:val="en-GB"/>
        </w:rPr>
        <w:t xml:space="preserve"> &amp; </w:t>
      </w:r>
      <w:r w:rsidR="001D38D8" w:rsidRPr="00100776">
        <w:rPr>
          <w:lang w:val="en-GB"/>
        </w:rPr>
        <w:t>Lam</w:t>
      </w:r>
      <w:r w:rsidR="00102354" w:rsidRPr="00100776">
        <w:rPr>
          <w:lang w:val="en-GB"/>
        </w:rPr>
        <w:t xml:space="preserve">, 2021), the </w:t>
      </w:r>
      <w:r w:rsidR="008D1A3C" w:rsidRPr="00100776">
        <w:rPr>
          <w:lang w:val="en-GB"/>
        </w:rPr>
        <w:t xml:space="preserve">increase </w:t>
      </w:r>
      <w:r w:rsidR="00102354" w:rsidRPr="00100776">
        <w:rPr>
          <w:lang w:val="en-GB"/>
        </w:rPr>
        <w:t>of Chinese and local musical culture</w:t>
      </w:r>
      <w:r w:rsidR="00B06DFF" w:rsidRPr="00100776">
        <w:rPr>
          <w:lang w:val="en-GB"/>
        </w:rPr>
        <w:t>s</w:t>
      </w:r>
      <w:r w:rsidR="00102354" w:rsidRPr="00100776">
        <w:rPr>
          <w:lang w:val="en-GB"/>
        </w:rPr>
        <w:t xml:space="preserve"> </w:t>
      </w:r>
      <w:r w:rsidR="008D1A3C" w:rsidRPr="00100776">
        <w:rPr>
          <w:lang w:val="en-GB"/>
        </w:rPr>
        <w:t xml:space="preserve">in the curriculum has been slowly progressing. </w:t>
      </w:r>
      <w:r w:rsidR="00BB04D1" w:rsidRPr="00100776">
        <w:rPr>
          <w:lang w:val="en-GB"/>
        </w:rPr>
        <w:t xml:space="preserve">Together with the </w:t>
      </w:r>
      <w:r w:rsidR="00607064" w:rsidRPr="00100776">
        <w:rPr>
          <w:lang w:val="en-GB"/>
        </w:rPr>
        <w:t xml:space="preserve">aforesaid prior knowledge and training </w:t>
      </w:r>
      <w:r w:rsidR="00516E19" w:rsidRPr="00100776">
        <w:rPr>
          <w:lang w:val="en-GB"/>
        </w:rPr>
        <w:t>received</w:t>
      </w:r>
      <w:r w:rsidR="00FC4B5A" w:rsidRPr="00100776">
        <w:rPr>
          <w:lang w:val="en-GB"/>
        </w:rPr>
        <w:t xml:space="preserve">, these factors contribute to music teachers’ incompetence and </w:t>
      </w:r>
      <w:r w:rsidR="00607064" w:rsidRPr="00100776">
        <w:rPr>
          <w:lang w:val="en-GB"/>
        </w:rPr>
        <w:t xml:space="preserve">the </w:t>
      </w:r>
      <w:r w:rsidR="00FC4B5A" w:rsidRPr="00100776">
        <w:rPr>
          <w:lang w:val="en-GB"/>
        </w:rPr>
        <w:t>lack of confidence in teaching non-Western musi</w:t>
      </w:r>
      <w:r w:rsidR="00607064" w:rsidRPr="00100776">
        <w:rPr>
          <w:lang w:val="en-GB"/>
        </w:rPr>
        <w:t xml:space="preserve">c </w:t>
      </w:r>
      <w:r w:rsidR="00CB1E3C" w:rsidRPr="00100776">
        <w:rPr>
          <w:lang w:val="en-GB"/>
        </w:rPr>
        <w:t>(Leung, 2014)</w:t>
      </w:r>
      <w:r w:rsidR="00FC4B5A" w:rsidRPr="00100776">
        <w:rPr>
          <w:lang w:val="en-GB"/>
        </w:rPr>
        <w:t xml:space="preserve">. </w:t>
      </w:r>
      <w:r w:rsidR="00B06DFF" w:rsidRPr="00100776">
        <w:rPr>
          <w:lang w:val="en-GB"/>
        </w:rPr>
        <w:t>On a more positive note, this situation is believed to have improved in recent years as a result of more teacher-artist partnerships, training programmes and pedagogical models for higher education (e.g., Leung, 2020; Leung, 2014).</w:t>
      </w:r>
    </w:p>
    <w:p w14:paraId="5E76732E" w14:textId="77777777" w:rsidR="00696733" w:rsidRPr="00100776" w:rsidRDefault="00696733" w:rsidP="00851DF4">
      <w:pPr>
        <w:pStyle w:val="Heading1"/>
      </w:pPr>
      <w:r w:rsidRPr="00100776">
        <w:lastRenderedPageBreak/>
        <w:t>Aim</w:t>
      </w:r>
    </w:p>
    <w:p w14:paraId="012DA3E6" w14:textId="4E3C2EB1" w:rsidR="00696733" w:rsidRPr="00100776" w:rsidRDefault="007340F4" w:rsidP="00627A60">
      <w:pPr>
        <w:rPr>
          <w:lang w:val="en-GB"/>
        </w:rPr>
      </w:pPr>
      <w:r w:rsidRPr="00100776">
        <w:rPr>
          <w:lang w:val="en-GB"/>
        </w:rPr>
        <w:t>While s</w:t>
      </w:r>
      <w:r w:rsidR="00873803" w:rsidRPr="00100776">
        <w:rPr>
          <w:lang w:val="en-GB"/>
        </w:rPr>
        <w:t>cholar</w:t>
      </w:r>
      <w:r w:rsidR="00BA74EF" w:rsidRPr="00100776">
        <w:rPr>
          <w:lang w:val="en-GB"/>
        </w:rPr>
        <w:t>s</w:t>
      </w:r>
      <w:r w:rsidR="00873803" w:rsidRPr="00100776">
        <w:rPr>
          <w:lang w:val="en-GB"/>
        </w:rPr>
        <w:t xml:space="preserve"> have </w:t>
      </w:r>
      <w:r w:rsidR="00E400DC" w:rsidRPr="00100776">
        <w:rPr>
          <w:lang w:val="en-GB"/>
        </w:rPr>
        <w:t>looked at the links</w:t>
      </w:r>
      <w:r w:rsidR="00873803" w:rsidRPr="00100776">
        <w:rPr>
          <w:lang w:val="en-GB"/>
        </w:rPr>
        <w:t xml:space="preserve"> </w:t>
      </w:r>
      <w:r w:rsidRPr="00100776">
        <w:rPr>
          <w:lang w:val="en-GB"/>
        </w:rPr>
        <w:t xml:space="preserve">between </w:t>
      </w:r>
      <w:r w:rsidR="003A0A97" w:rsidRPr="00100776">
        <w:rPr>
          <w:lang w:val="en-GB"/>
        </w:rPr>
        <w:t xml:space="preserve">low enrolment and the difficulties in teaching and learning music </w:t>
      </w:r>
      <w:r w:rsidR="00E400DC" w:rsidRPr="00100776">
        <w:rPr>
          <w:lang w:val="en-GB"/>
        </w:rPr>
        <w:t>at</w:t>
      </w:r>
      <w:r w:rsidR="003A0A97" w:rsidRPr="00100776">
        <w:rPr>
          <w:lang w:val="en-GB"/>
        </w:rPr>
        <w:t xml:space="preserve"> </w:t>
      </w:r>
      <w:r w:rsidRPr="00100776">
        <w:rPr>
          <w:lang w:val="en-GB"/>
        </w:rPr>
        <w:t xml:space="preserve">the </w:t>
      </w:r>
      <w:r w:rsidR="003A0A97" w:rsidRPr="00100776">
        <w:rPr>
          <w:lang w:val="en-GB"/>
        </w:rPr>
        <w:t>senior secondary level</w:t>
      </w:r>
      <w:r w:rsidR="00BA74EF" w:rsidRPr="00100776">
        <w:rPr>
          <w:lang w:val="en-GB"/>
        </w:rPr>
        <w:t xml:space="preserve"> in Hong Kong</w:t>
      </w:r>
      <w:r w:rsidR="00E563E7" w:rsidRPr="00100776">
        <w:rPr>
          <w:lang w:val="en-GB"/>
        </w:rPr>
        <w:t xml:space="preserve">, there is a dearth of research investigating the issue from the students’ perspective. </w:t>
      </w:r>
      <w:r w:rsidR="002B03AA" w:rsidRPr="00100776">
        <w:rPr>
          <w:lang w:val="en-GB"/>
        </w:rPr>
        <w:t xml:space="preserve">A </w:t>
      </w:r>
      <w:r w:rsidR="00627A60" w:rsidRPr="00100776">
        <w:rPr>
          <w:lang w:val="en-GB"/>
        </w:rPr>
        <w:t xml:space="preserve">mixed-method study by Leung, So and Lee (2008) </w:t>
      </w:r>
      <w:r w:rsidR="002B03AA" w:rsidRPr="00100776">
        <w:rPr>
          <w:lang w:val="en-GB"/>
        </w:rPr>
        <w:t xml:space="preserve">was designed with such </w:t>
      </w:r>
      <w:r w:rsidR="00BA74EF" w:rsidRPr="00100776">
        <w:rPr>
          <w:lang w:val="en-GB"/>
        </w:rPr>
        <w:t>a</w:t>
      </w:r>
      <w:r w:rsidR="00627A60" w:rsidRPr="00100776">
        <w:rPr>
          <w:lang w:val="en-GB"/>
        </w:rPr>
        <w:t xml:space="preserve"> purpose</w:t>
      </w:r>
      <w:r w:rsidR="002B03AA" w:rsidRPr="00100776">
        <w:rPr>
          <w:lang w:val="en-GB"/>
        </w:rPr>
        <w:t xml:space="preserve"> in </w:t>
      </w:r>
      <w:proofErr w:type="gramStart"/>
      <w:r w:rsidR="002B03AA" w:rsidRPr="00100776">
        <w:rPr>
          <w:lang w:val="en-GB"/>
        </w:rPr>
        <w:t>mind</w:t>
      </w:r>
      <w:r w:rsidR="00627A60" w:rsidRPr="00100776">
        <w:rPr>
          <w:lang w:val="en-GB"/>
        </w:rPr>
        <w:t xml:space="preserve">, </w:t>
      </w:r>
      <w:r w:rsidR="00BA74EF" w:rsidRPr="00100776">
        <w:rPr>
          <w:lang w:val="en-GB"/>
        </w:rPr>
        <w:t>but</w:t>
      </w:r>
      <w:proofErr w:type="gramEnd"/>
      <w:r w:rsidR="00BA74EF" w:rsidRPr="00100776">
        <w:rPr>
          <w:lang w:val="en-GB"/>
        </w:rPr>
        <w:t xml:space="preserve"> </w:t>
      </w:r>
      <w:r w:rsidR="007D0698" w:rsidRPr="00100776">
        <w:rPr>
          <w:lang w:val="en-GB"/>
        </w:rPr>
        <w:t xml:space="preserve">was conducted </w:t>
      </w:r>
      <w:r w:rsidR="00BA74EF" w:rsidRPr="00100776">
        <w:rPr>
          <w:lang w:val="en-GB"/>
        </w:rPr>
        <w:t xml:space="preserve">based on </w:t>
      </w:r>
      <w:r w:rsidR="007D0698" w:rsidRPr="00100776">
        <w:rPr>
          <w:lang w:val="en-GB"/>
        </w:rPr>
        <w:t xml:space="preserve">the previous HKCEE syllabus and </w:t>
      </w:r>
      <w:r w:rsidR="00BA74EF" w:rsidRPr="00100776">
        <w:rPr>
          <w:lang w:val="en-GB"/>
        </w:rPr>
        <w:t xml:space="preserve">the </w:t>
      </w:r>
      <w:r w:rsidR="007D0698" w:rsidRPr="00100776">
        <w:rPr>
          <w:lang w:val="en-GB"/>
        </w:rPr>
        <w:t xml:space="preserve">older senior secondary music curriculum. </w:t>
      </w:r>
      <w:bookmarkStart w:id="1" w:name="_Hlk105496288"/>
      <w:r w:rsidR="007D0698" w:rsidRPr="00100776">
        <w:rPr>
          <w:lang w:val="en-GB"/>
        </w:rPr>
        <w:t>The study presented in this paper aim</w:t>
      </w:r>
      <w:r w:rsidR="00BA74EF" w:rsidRPr="00100776">
        <w:rPr>
          <w:lang w:val="en-GB"/>
        </w:rPr>
        <w:t>ed</w:t>
      </w:r>
      <w:r w:rsidR="007D0698" w:rsidRPr="00100776">
        <w:rPr>
          <w:lang w:val="en-GB"/>
        </w:rPr>
        <w:t xml:space="preserve"> </w:t>
      </w:r>
      <w:r w:rsidR="005527B3" w:rsidRPr="00100776">
        <w:rPr>
          <w:lang w:val="en-GB"/>
        </w:rPr>
        <w:t>to examine the rationale behind the unpopularity of music as a</w:t>
      </w:r>
      <w:r w:rsidR="00377CED" w:rsidRPr="00100776">
        <w:rPr>
          <w:lang w:val="en-GB"/>
        </w:rPr>
        <w:t xml:space="preserve"> public</w:t>
      </w:r>
      <w:r w:rsidR="005527B3" w:rsidRPr="00100776">
        <w:rPr>
          <w:lang w:val="en-GB"/>
        </w:rPr>
        <w:t xml:space="preserve"> examination subject in Hong Kong senior secondary levels</w:t>
      </w:r>
      <w:r w:rsidR="00BA74EF" w:rsidRPr="00100776">
        <w:rPr>
          <w:lang w:val="en-GB"/>
        </w:rPr>
        <w:t xml:space="preserve"> ba</w:t>
      </w:r>
      <w:r w:rsidR="00C87937" w:rsidRPr="00100776">
        <w:rPr>
          <w:lang w:val="en-GB"/>
        </w:rPr>
        <w:t>s</w:t>
      </w:r>
      <w:r w:rsidR="00BA74EF" w:rsidRPr="00100776">
        <w:rPr>
          <w:lang w:val="en-GB"/>
        </w:rPr>
        <w:t xml:space="preserve">ed on the </w:t>
      </w:r>
      <w:r w:rsidR="00B41166" w:rsidRPr="00100776">
        <w:rPr>
          <w:lang w:val="en-GB"/>
        </w:rPr>
        <w:t xml:space="preserve">following </w:t>
      </w:r>
      <w:r w:rsidR="00DA5696" w:rsidRPr="00100776">
        <w:rPr>
          <w:lang w:val="en-GB"/>
        </w:rPr>
        <w:t>four</w:t>
      </w:r>
      <w:r w:rsidR="00B41166" w:rsidRPr="00100776">
        <w:rPr>
          <w:lang w:val="en-GB"/>
        </w:rPr>
        <w:t xml:space="preserve"> research questions</w:t>
      </w:r>
      <w:r w:rsidR="00BA74EF" w:rsidRPr="00100776">
        <w:rPr>
          <w:lang w:val="en-GB"/>
        </w:rPr>
        <w:t>:</w:t>
      </w:r>
    </w:p>
    <w:p w14:paraId="18BC3359" w14:textId="46B9B2D6" w:rsidR="00B41166" w:rsidRPr="00100776" w:rsidRDefault="00CA2134" w:rsidP="00D562A5">
      <w:pPr>
        <w:pStyle w:val="ListParagraph"/>
        <w:numPr>
          <w:ilvl w:val="0"/>
          <w:numId w:val="4"/>
        </w:numPr>
        <w:rPr>
          <w:lang w:val="en-GB"/>
        </w:rPr>
      </w:pPr>
      <w:r w:rsidRPr="00100776">
        <w:rPr>
          <w:lang w:val="en-GB"/>
        </w:rPr>
        <w:t>What</w:t>
      </w:r>
      <w:r w:rsidR="00D562A5" w:rsidRPr="00100776">
        <w:rPr>
          <w:lang w:val="en-GB"/>
        </w:rPr>
        <w:t xml:space="preserve"> </w:t>
      </w:r>
      <w:r w:rsidR="003A1950" w:rsidRPr="00100776">
        <w:rPr>
          <w:lang w:val="en-GB"/>
        </w:rPr>
        <w:t>are the</w:t>
      </w:r>
      <w:r w:rsidR="00D562A5" w:rsidRPr="00100776">
        <w:rPr>
          <w:lang w:val="en-GB"/>
        </w:rPr>
        <w:t xml:space="preserve"> relationship</w:t>
      </w:r>
      <w:r w:rsidR="003A1950" w:rsidRPr="00100776">
        <w:rPr>
          <w:lang w:val="en-GB"/>
        </w:rPr>
        <w:t>s</w:t>
      </w:r>
      <w:r w:rsidR="00D562A5" w:rsidRPr="00100776">
        <w:rPr>
          <w:lang w:val="en-GB"/>
        </w:rPr>
        <w:t xml:space="preserve"> between students’ prior </w:t>
      </w:r>
      <w:r w:rsidR="000C44EF" w:rsidRPr="00100776">
        <w:rPr>
          <w:lang w:val="en-GB"/>
        </w:rPr>
        <w:t>music</w:t>
      </w:r>
      <w:r w:rsidR="00D562A5" w:rsidRPr="00100776">
        <w:rPr>
          <w:lang w:val="en-GB"/>
        </w:rPr>
        <w:t xml:space="preserve"> experience</w:t>
      </w:r>
      <w:r w:rsidR="00BA74EF" w:rsidRPr="00100776">
        <w:rPr>
          <w:lang w:val="en-GB"/>
        </w:rPr>
        <w:t>s</w:t>
      </w:r>
      <w:r w:rsidR="00D562A5" w:rsidRPr="00100776">
        <w:rPr>
          <w:lang w:val="en-GB"/>
        </w:rPr>
        <w:t xml:space="preserve"> and their self-assessed difficulties </w:t>
      </w:r>
      <w:r w:rsidR="003A1950" w:rsidRPr="00100776">
        <w:rPr>
          <w:lang w:val="en-GB"/>
        </w:rPr>
        <w:t>in music</w:t>
      </w:r>
      <w:r w:rsidR="00BA74EF" w:rsidRPr="00100776">
        <w:rPr>
          <w:lang w:val="en-GB"/>
        </w:rPr>
        <w:t xml:space="preserve"> as a</w:t>
      </w:r>
      <w:r w:rsidR="003A1950" w:rsidRPr="00100776">
        <w:rPr>
          <w:lang w:val="en-GB"/>
        </w:rPr>
        <w:t xml:space="preserve"> </w:t>
      </w:r>
      <w:r w:rsidR="00504FC6" w:rsidRPr="00100776">
        <w:rPr>
          <w:lang w:val="en-GB"/>
        </w:rPr>
        <w:t>subject</w:t>
      </w:r>
      <w:r w:rsidR="00D562A5" w:rsidRPr="00100776">
        <w:rPr>
          <w:lang w:val="en-GB"/>
        </w:rPr>
        <w:t>?</w:t>
      </w:r>
    </w:p>
    <w:p w14:paraId="0AD5C540" w14:textId="14733C75" w:rsidR="00DA5696" w:rsidRPr="00100776" w:rsidRDefault="00504FC6" w:rsidP="00D562A5">
      <w:pPr>
        <w:pStyle w:val="ListParagraph"/>
        <w:numPr>
          <w:ilvl w:val="0"/>
          <w:numId w:val="4"/>
        </w:numPr>
        <w:rPr>
          <w:lang w:val="en-GB"/>
        </w:rPr>
      </w:pPr>
      <w:r w:rsidRPr="00100776">
        <w:rPr>
          <w:lang w:val="en-GB"/>
        </w:rPr>
        <w:t xml:space="preserve">How </w:t>
      </w:r>
      <w:r w:rsidR="00BA74EF" w:rsidRPr="00100776">
        <w:rPr>
          <w:lang w:val="en-GB"/>
        </w:rPr>
        <w:t>are</w:t>
      </w:r>
      <w:r w:rsidR="003A38B5" w:rsidRPr="00100776">
        <w:rPr>
          <w:lang w:val="en-GB"/>
        </w:rPr>
        <w:t xml:space="preserve"> students’ study</w:t>
      </w:r>
      <w:r w:rsidRPr="00100776">
        <w:rPr>
          <w:lang w:val="en-GB"/>
        </w:rPr>
        <w:t xml:space="preserve"> </w:t>
      </w:r>
      <w:r w:rsidR="00BA74EF" w:rsidRPr="00100776">
        <w:rPr>
          <w:lang w:val="en-GB"/>
        </w:rPr>
        <w:t xml:space="preserve">priorities </w:t>
      </w:r>
      <w:r w:rsidRPr="00100776">
        <w:rPr>
          <w:lang w:val="en-GB"/>
        </w:rPr>
        <w:t xml:space="preserve">related to their interest </w:t>
      </w:r>
      <w:r w:rsidR="009D7106" w:rsidRPr="00100776">
        <w:rPr>
          <w:lang w:val="en-GB"/>
        </w:rPr>
        <w:t xml:space="preserve">in, </w:t>
      </w:r>
      <w:r w:rsidRPr="00100776">
        <w:rPr>
          <w:lang w:val="en-GB"/>
        </w:rPr>
        <w:t>and perceived difficulty</w:t>
      </w:r>
      <w:r w:rsidR="009D7106" w:rsidRPr="00100776">
        <w:rPr>
          <w:lang w:val="en-GB"/>
        </w:rPr>
        <w:t xml:space="preserve"> of, music</w:t>
      </w:r>
      <w:r w:rsidRPr="00100776">
        <w:rPr>
          <w:lang w:val="en-GB"/>
        </w:rPr>
        <w:t>?</w:t>
      </w:r>
    </w:p>
    <w:p w14:paraId="178C655F" w14:textId="115FAE11" w:rsidR="00B41166" w:rsidRPr="00100776" w:rsidRDefault="009B5488" w:rsidP="00B41166">
      <w:pPr>
        <w:pStyle w:val="ListParagraph"/>
        <w:numPr>
          <w:ilvl w:val="0"/>
          <w:numId w:val="4"/>
        </w:numPr>
        <w:rPr>
          <w:lang w:val="en-GB"/>
        </w:rPr>
      </w:pPr>
      <w:r w:rsidRPr="00100776">
        <w:rPr>
          <w:lang w:val="en-GB"/>
        </w:rPr>
        <w:t xml:space="preserve">What </w:t>
      </w:r>
      <w:r w:rsidR="00E560E4" w:rsidRPr="00100776">
        <w:rPr>
          <w:lang w:val="en-GB"/>
        </w:rPr>
        <w:t xml:space="preserve">difficulties do </w:t>
      </w:r>
      <w:r w:rsidRPr="00100776">
        <w:rPr>
          <w:lang w:val="en-GB"/>
        </w:rPr>
        <w:t xml:space="preserve">students </w:t>
      </w:r>
      <w:r w:rsidR="00E560E4" w:rsidRPr="00100776">
        <w:rPr>
          <w:lang w:val="en-GB"/>
        </w:rPr>
        <w:t xml:space="preserve">find </w:t>
      </w:r>
      <w:proofErr w:type="gramStart"/>
      <w:r w:rsidR="009D7106" w:rsidRPr="00100776">
        <w:rPr>
          <w:lang w:val="en-GB"/>
        </w:rPr>
        <w:t xml:space="preserve">with </w:t>
      </w:r>
      <w:r w:rsidR="00E560E4" w:rsidRPr="00100776">
        <w:rPr>
          <w:lang w:val="en-GB"/>
        </w:rPr>
        <w:t xml:space="preserve">regard </w:t>
      </w:r>
      <w:r w:rsidR="009D7106" w:rsidRPr="00100776">
        <w:rPr>
          <w:lang w:val="en-GB"/>
        </w:rPr>
        <w:t>to</w:t>
      </w:r>
      <w:proofErr w:type="gramEnd"/>
      <w:r w:rsidR="009D7106" w:rsidRPr="00100776">
        <w:rPr>
          <w:lang w:val="en-GB"/>
        </w:rPr>
        <w:t xml:space="preserve"> </w:t>
      </w:r>
      <w:r w:rsidR="00E560E4" w:rsidRPr="00100776">
        <w:rPr>
          <w:lang w:val="en-GB"/>
        </w:rPr>
        <w:t xml:space="preserve">the </w:t>
      </w:r>
      <w:r w:rsidR="00192A7F" w:rsidRPr="00100776">
        <w:rPr>
          <w:lang w:val="en-GB"/>
        </w:rPr>
        <w:t>subject matters of Chinese music and Cantonese opera</w:t>
      </w:r>
      <w:r w:rsidR="00E560E4" w:rsidRPr="00100776">
        <w:rPr>
          <w:lang w:val="en-GB"/>
        </w:rPr>
        <w:t xml:space="preserve"> covered in the </w:t>
      </w:r>
      <w:r w:rsidR="009D7106" w:rsidRPr="00100776">
        <w:rPr>
          <w:lang w:val="en-GB"/>
        </w:rPr>
        <w:t xml:space="preserve">music </w:t>
      </w:r>
      <w:r w:rsidR="000C44EF" w:rsidRPr="00100776">
        <w:rPr>
          <w:lang w:val="en-GB"/>
        </w:rPr>
        <w:t>curriculum</w:t>
      </w:r>
      <w:r w:rsidRPr="00100776">
        <w:rPr>
          <w:lang w:val="en-GB"/>
        </w:rPr>
        <w:t>?</w:t>
      </w:r>
    </w:p>
    <w:p w14:paraId="340B1B93" w14:textId="59F0C476" w:rsidR="00B41166" w:rsidRPr="00100776" w:rsidRDefault="00EB3FF3" w:rsidP="00B41166">
      <w:pPr>
        <w:pStyle w:val="ListParagraph"/>
        <w:numPr>
          <w:ilvl w:val="0"/>
          <w:numId w:val="4"/>
        </w:numPr>
        <w:rPr>
          <w:lang w:val="en-GB"/>
        </w:rPr>
      </w:pPr>
      <w:r w:rsidRPr="00100776">
        <w:rPr>
          <w:lang w:val="en-GB"/>
        </w:rPr>
        <w:t>How</w:t>
      </w:r>
      <w:r w:rsidR="009D7106" w:rsidRPr="00100776">
        <w:rPr>
          <w:lang w:val="en-GB"/>
        </w:rPr>
        <w:t xml:space="preserve"> do</w:t>
      </w:r>
      <w:r w:rsidRPr="00100776">
        <w:rPr>
          <w:lang w:val="en-GB"/>
        </w:rPr>
        <w:t xml:space="preserve"> </w:t>
      </w:r>
      <w:r w:rsidR="000C44EF" w:rsidRPr="00100776">
        <w:rPr>
          <w:lang w:val="en-GB"/>
        </w:rPr>
        <w:t>students assess their achievement</w:t>
      </w:r>
      <w:r w:rsidR="007B6DE9" w:rsidRPr="00100776">
        <w:rPr>
          <w:lang w:val="en-GB"/>
        </w:rPr>
        <w:t>s</w:t>
      </w:r>
      <w:r w:rsidR="000C44EF" w:rsidRPr="00100776">
        <w:rPr>
          <w:lang w:val="en-GB"/>
        </w:rPr>
        <w:t xml:space="preserve"> in </w:t>
      </w:r>
      <w:r w:rsidR="009D7106" w:rsidRPr="00100776">
        <w:rPr>
          <w:lang w:val="en-GB"/>
        </w:rPr>
        <w:t xml:space="preserve">relation to the </w:t>
      </w:r>
      <w:r w:rsidR="007F425E" w:rsidRPr="00100776">
        <w:rPr>
          <w:lang w:val="en-GB"/>
        </w:rPr>
        <w:t xml:space="preserve">aims and learning targets </w:t>
      </w:r>
      <w:r w:rsidR="000C44EF" w:rsidRPr="00100776">
        <w:rPr>
          <w:lang w:val="en-GB"/>
        </w:rPr>
        <w:t>of the music curriculum?</w:t>
      </w:r>
    </w:p>
    <w:bookmarkEnd w:id="1"/>
    <w:p w14:paraId="67C5711E" w14:textId="15E66DD9" w:rsidR="00144A0B" w:rsidRPr="00100776" w:rsidRDefault="00A61951" w:rsidP="00851DF4">
      <w:pPr>
        <w:pStyle w:val="Heading1"/>
      </w:pPr>
      <w:r w:rsidRPr="00100776">
        <w:t>Methodology</w:t>
      </w:r>
    </w:p>
    <w:p w14:paraId="5D94A67F" w14:textId="1D4AAA52" w:rsidR="009961EE" w:rsidRPr="00100776" w:rsidRDefault="00BC0E62" w:rsidP="00F6420D">
      <w:pPr>
        <w:pStyle w:val="NoSpacing"/>
        <w:rPr>
          <w:bCs/>
          <w:lang w:val="en-GB"/>
        </w:rPr>
      </w:pPr>
      <w:r w:rsidRPr="00100776">
        <w:rPr>
          <w:bCs/>
          <w:lang w:val="en-GB"/>
        </w:rPr>
        <w:t xml:space="preserve">In accordance with the purposes of </w:t>
      </w:r>
      <w:r w:rsidR="00E20B55" w:rsidRPr="00100776">
        <w:rPr>
          <w:bCs/>
          <w:lang w:val="en-GB"/>
        </w:rPr>
        <w:t>the research, a</w:t>
      </w:r>
      <w:r w:rsidR="00B41166" w:rsidRPr="00100776">
        <w:rPr>
          <w:bCs/>
          <w:lang w:val="en-GB"/>
        </w:rPr>
        <w:t xml:space="preserve"> survey </w:t>
      </w:r>
      <w:r w:rsidR="001B0798" w:rsidRPr="00100776">
        <w:rPr>
          <w:bCs/>
          <w:lang w:val="en-GB"/>
        </w:rPr>
        <w:t>was conducted</w:t>
      </w:r>
      <w:r w:rsidR="00E20B55" w:rsidRPr="00100776">
        <w:rPr>
          <w:bCs/>
          <w:lang w:val="en-GB"/>
        </w:rPr>
        <w:t xml:space="preserve"> to collect data from</w:t>
      </w:r>
      <w:r w:rsidR="00B41166" w:rsidRPr="00100776">
        <w:rPr>
          <w:bCs/>
          <w:lang w:val="en-GB"/>
        </w:rPr>
        <w:t xml:space="preserve"> </w:t>
      </w:r>
      <w:r w:rsidR="00A819B3" w:rsidRPr="00100776">
        <w:rPr>
          <w:bCs/>
          <w:lang w:val="en-GB"/>
        </w:rPr>
        <w:t xml:space="preserve">those </w:t>
      </w:r>
      <w:r w:rsidR="008B4C67" w:rsidRPr="00100776">
        <w:rPr>
          <w:bCs/>
          <w:lang w:val="en-GB"/>
        </w:rPr>
        <w:t>senior secondary students</w:t>
      </w:r>
      <w:r w:rsidR="00E20B55" w:rsidRPr="00100776">
        <w:rPr>
          <w:bCs/>
          <w:lang w:val="en-GB"/>
        </w:rPr>
        <w:t xml:space="preserve"> (N = 121)</w:t>
      </w:r>
      <w:r w:rsidR="00D737A3" w:rsidRPr="00100776">
        <w:rPr>
          <w:bCs/>
          <w:lang w:val="en-GB"/>
        </w:rPr>
        <w:t xml:space="preserve"> in Form</w:t>
      </w:r>
      <w:r w:rsidR="00A819B3" w:rsidRPr="00100776">
        <w:rPr>
          <w:bCs/>
          <w:lang w:val="en-GB"/>
        </w:rPr>
        <w:t>s</w:t>
      </w:r>
      <w:r w:rsidR="00D737A3" w:rsidRPr="00100776">
        <w:rPr>
          <w:bCs/>
          <w:lang w:val="en-GB"/>
        </w:rPr>
        <w:t xml:space="preserve"> 5 and 6 (equivalent to Year</w:t>
      </w:r>
      <w:r w:rsidR="007876AC" w:rsidRPr="00100776">
        <w:rPr>
          <w:bCs/>
          <w:lang w:val="en-GB"/>
        </w:rPr>
        <w:t>s</w:t>
      </w:r>
      <w:r w:rsidR="00D737A3" w:rsidRPr="00100776">
        <w:rPr>
          <w:bCs/>
          <w:lang w:val="en-GB"/>
        </w:rPr>
        <w:t xml:space="preserve"> 12 and 13)</w:t>
      </w:r>
      <w:r w:rsidR="008B4C67" w:rsidRPr="00100776">
        <w:rPr>
          <w:bCs/>
          <w:lang w:val="en-GB"/>
        </w:rPr>
        <w:t xml:space="preserve"> who </w:t>
      </w:r>
      <w:r w:rsidR="00A819B3" w:rsidRPr="00100776">
        <w:rPr>
          <w:bCs/>
          <w:lang w:val="en-GB"/>
        </w:rPr>
        <w:t xml:space="preserve">had </w:t>
      </w:r>
      <w:r w:rsidR="008B4C67" w:rsidRPr="00100776">
        <w:rPr>
          <w:bCs/>
          <w:lang w:val="en-GB"/>
        </w:rPr>
        <w:t xml:space="preserve">selected music as one of </w:t>
      </w:r>
      <w:r w:rsidR="00D737A3" w:rsidRPr="00100776">
        <w:rPr>
          <w:bCs/>
          <w:lang w:val="en-GB"/>
        </w:rPr>
        <w:t>the</w:t>
      </w:r>
      <w:r w:rsidR="008B4C67" w:rsidRPr="00100776">
        <w:rPr>
          <w:bCs/>
          <w:lang w:val="en-GB"/>
        </w:rPr>
        <w:t xml:space="preserve"> </w:t>
      </w:r>
      <w:r w:rsidR="00D737A3" w:rsidRPr="00100776">
        <w:rPr>
          <w:bCs/>
          <w:lang w:val="en-GB"/>
        </w:rPr>
        <w:t>elective subjects for their HKDSE studies</w:t>
      </w:r>
      <w:r w:rsidR="00D61BFF" w:rsidRPr="00100776">
        <w:rPr>
          <w:bCs/>
          <w:lang w:val="en-GB"/>
        </w:rPr>
        <w:t>; 74 of the participants were female and 47 were male</w:t>
      </w:r>
      <w:r w:rsidR="00D737A3" w:rsidRPr="00100776">
        <w:rPr>
          <w:bCs/>
          <w:lang w:val="en-GB"/>
        </w:rPr>
        <w:t xml:space="preserve">. </w:t>
      </w:r>
      <w:r w:rsidR="00F73F61" w:rsidRPr="00100776">
        <w:rPr>
          <w:bCs/>
          <w:lang w:val="en-GB"/>
        </w:rPr>
        <w:t>The questionnaire was distributed to participants who took part in</w:t>
      </w:r>
      <w:r w:rsidR="00C96431" w:rsidRPr="00100776">
        <w:rPr>
          <w:bCs/>
          <w:lang w:val="en-GB"/>
        </w:rPr>
        <w:t xml:space="preserve"> </w:t>
      </w:r>
      <w:r w:rsidR="00F6420D" w:rsidRPr="00100776">
        <w:rPr>
          <w:bCs/>
          <w:lang w:val="en-GB"/>
        </w:rPr>
        <w:t>two</w:t>
      </w:r>
      <w:r w:rsidR="00F73F61" w:rsidRPr="00100776">
        <w:rPr>
          <w:bCs/>
          <w:lang w:val="en-GB"/>
        </w:rPr>
        <w:t xml:space="preserve"> workshop</w:t>
      </w:r>
      <w:r w:rsidR="00F6420D" w:rsidRPr="00100776">
        <w:rPr>
          <w:bCs/>
          <w:lang w:val="en-GB"/>
        </w:rPr>
        <w:t>s</w:t>
      </w:r>
      <w:r w:rsidR="00F73F61" w:rsidRPr="00100776">
        <w:rPr>
          <w:bCs/>
          <w:lang w:val="en-GB"/>
        </w:rPr>
        <w:t xml:space="preserve"> </w:t>
      </w:r>
      <w:r w:rsidR="00C96431" w:rsidRPr="00100776">
        <w:rPr>
          <w:bCs/>
          <w:lang w:val="en-GB"/>
        </w:rPr>
        <w:t xml:space="preserve">preparing students </w:t>
      </w:r>
      <w:r w:rsidR="00A819B3" w:rsidRPr="00100776">
        <w:rPr>
          <w:bCs/>
          <w:lang w:val="en-GB"/>
        </w:rPr>
        <w:t>for the</w:t>
      </w:r>
      <w:r w:rsidR="00C96431" w:rsidRPr="00100776">
        <w:rPr>
          <w:bCs/>
          <w:lang w:val="en-GB"/>
        </w:rPr>
        <w:t xml:space="preserve"> </w:t>
      </w:r>
      <w:proofErr w:type="gramStart"/>
      <w:r w:rsidR="00C96431" w:rsidRPr="00100776">
        <w:rPr>
          <w:bCs/>
          <w:lang w:val="en-GB"/>
        </w:rPr>
        <w:t xml:space="preserve">HKDSE, </w:t>
      </w:r>
      <w:r w:rsidR="00A819B3" w:rsidRPr="00100776">
        <w:rPr>
          <w:bCs/>
          <w:lang w:val="en-GB"/>
        </w:rPr>
        <w:t>and</w:t>
      </w:r>
      <w:proofErr w:type="gramEnd"/>
      <w:r w:rsidR="00A819B3" w:rsidRPr="00100776">
        <w:rPr>
          <w:bCs/>
          <w:lang w:val="en-GB"/>
        </w:rPr>
        <w:t xml:space="preserve"> was</w:t>
      </w:r>
      <w:r w:rsidR="00C96431" w:rsidRPr="00100776">
        <w:rPr>
          <w:bCs/>
          <w:lang w:val="en-GB"/>
        </w:rPr>
        <w:t xml:space="preserve"> held by the university </w:t>
      </w:r>
      <w:r w:rsidR="00A819B3" w:rsidRPr="00100776">
        <w:rPr>
          <w:bCs/>
          <w:lang w:val="en-GB"/>
        </w:rPr>
        <w:t xml:space="preserve">where </w:t>
      </w:r>
      <w:r w:rsidR="00C96431" w:rsidRPr="00100776">
        <w:rPr>
          <w:bCs/>
          <w:lang w:val="en-GB"/>
        </w:rPr>
        <w:t xml:space="preserve">the author </w:t>
      </w:r>
      <w:r w:rsidR="009961EE" w:rsidRPr="00100776">
        <w:rPr>
          <w:bCs/>
          <w:lang w:val="en-GB"/>
        </w:rPr>
        <w:t>was</w:t>
      </w:r>
      <w:r w:rsidR="00C96431" w:rsidRPr="00100776">
        <w:rPr>
          <w:bCs/>
          <w:lang w:val="en-GB"/>
        </w:rPr>
        <w:t xml:space="preserve"> working. </w:t>
      </w:r>
      <w:r w:rsidR="00CD2E7D" w:rsidRPr="00100776">
        <w:rPr>
          <w:bCs/>
          <w:lang w:val="en-GB"/>
        </w:rPr>
        <w:t xml:space="preserve">Confidentiality </w:t>
      </w:r>
      <w:r w:rsidR="006E6944" w:rsidRPr="00100776">
        <w:rPr>
          <w:bCs/>
          <w:lang w:val="en-GB"/>
        </w:rPr>
        <w:t xml:space="preserve">and anonymity as part of the ethical procedure were assured via </w:t>
      </w:r>
      <w:r w:rsidR="0076122E" w:rsidRPr="00100776">
        <w:rPr>
          <w:bCs/>
          <w:lang w:val="en-GB"/>
        </w:rPr>
        <w:t xml:space="preserve">an </w:t>
      </w:r>
      <w:r w:rsidR="00C96431" w:rsidRPr="00100776">
        <w:rPr>
          <w:bCs/>
          <w:lang w:val="en-GB"/>
        </w:rPr>
        <w:t>information sheet and consent form</w:t>
      </w:r>
      <w:r w:rsidR="006E6944" w:rsidRPr="00100776">
        <w:rPr>
          <w:bCs/>
          <w:lang w:val="en-GB"/>
        </w:rPr>
        <w:t>, along with being informed about the</w:t>
      </w:r>
      <w:r w:rsidR="0076122E" w:rsidRPr="00100776">
        <w:rPr>
          <w:lang w:val="en-GB"/>
        </w:rPr>
        <w:t xml:space="preserve"> voluntary nature of their participation.</w:t>
      </w:r>
      <w:r w:rsidR="00F6420D" w:rsidRPr="00100776">
        <w:rPr>
          <w:lang w:val="en-GB"/>
        </w:rPr>
        <w:t xml:space="preserve"> No personal data</w:t>
      </w:r>
      <w:r w:rsidR="006E6944" w:rsidRPr="00100776">
        <w:rPr>
          <w:lang w:val="en-GB"/>
        </w:rPr>
        <w:t>,</w:t>
      </w:r>
      <w:r w:rsidR="00F6420D" w:rsidRPr="00100776">
        <w:rPr>
          <w:lang w:val="en-GB"/>
        </w:rPr>
        <w:t xml:space="preserve"> except the demographic information necessary for the data analysis and the name required on the consent form</w:t>
      </w:r>
      <w:r w:rsidR="006E6944" w:rsidRPr="00100776">
        <w:rPr>
          <w:lang w:val="en-GB"/>
        </w:rPr>
        <w:t>, were collected</w:t>
      </w:r>
      <w:r w:rsidR="00F6420D" w:rsidRPr="00100776">
        <w:rPr>
          <w:lang w:val="en-GB"/>
        </w:rPr>
        <w:t>.</w:t>
      </w:r>
      <w:r w:rsidR="009961EE" w:rsidRPr="00100776">
        <w:rPr>
          <w:lang w:val="en-GB"/>
        </w:rPr>
        <w:t xml:space="preserve"> </w:t>
      </w:r>
    </w:p>
    <w:p w14:paraId="44826F35" w14:textId="64C31B87" w:rsidR="009961EE" w:rsidRPr="00100776" w:rsidRDefault="009961EE" w:rsidP="00F6420D">
      <w:pPr>
        <w:pStyle w:val="NoSpacing"/>
        <w:rPr>
          <w:lang w:val="en-GB"/>
        </w:rPr>
      </w:pPr>
    </w:p>
    <w:p w14:paraId="722F74D8" w14:textId="69A494A4" w:rsidR="004241DB" w:rsidRPr="00100776" w:rsidRDefault="000A096F" w:rsidP="00F6420D">
      <w:pPr>
        <w:pStyle w:val="NoSpacing"/>
        <w:rPr>
          <w:lang w:val="en-GB"/>
        </w:rPr>
      </w:pPr>
      <w:r w:rsidRPr="00100776">
        <w:rPr>
          <w:lang w:val="en-GB"/>
        </w:rPr>
        <w:t xml:space="preserve">The questionnaire </w:t>
      </w:r>
      <w:r w:rsidR="00E91469" w:rsidRPr="00100776">
        <w:rPr>
          <w:lang w:val="en-GB"/>
        </w:rPr>
        <w:t>consist</w:t>
      </w:r>
      <w:r w:rsidR="006E6944" w:rsidRPr="00100776">
        <w:rPr>
          <w:lang w:val="en-GB"/>
        </w:rPr>
        <w:t>ed</w:t>
      </w:r>
      <w:r w:rsidR="00E91469" w:rsidRPr="00100776">
        <w:rPr>
          <w:lang w:val="en-GB"/>
        </w:rPr>
        <w:t xml:space="preserve"> of </w:t>
      </w:r>
      <w:r w:rsidR="00F66692" w:rsidRPr="00100776">
        <w:rPr>
          <w:lang w:val="en-GB"/>
        </w:rPr>
        <w:t>three</w:t>
      </w:r>
      <w:r w:rsidR="00E91469" w:rsidRPr="00100776">
        <w:rPr>
          <w:lang w:val="en-GB"/>
        </w:rPr>
        <w:t xml:space="preserve"> parts. The first collected demographic information, including </w:t>
      </w:r>
      <w:r w:rsidR="006E6944" w:rsidRPr="00100776">
        <w:rPr>
          <w:lang w:val="en-GB"/>
        </w:rPr>
        <w:t xml:space="preserve">the participants’ </w:t>
      </w:r>
      <w:r w:rsidR="00E91469" w:rsidRPr="00100776">
        <w:rPr>
          <w:lang w:val="en-GB"/>
        </w:rPr>
        <w:t xml:space="preserve">gender, </w:t>
      </w:r>
      <w:r w:rsidR="001078B1" w:rsidRPr="00100776">
        <w:rPr>
          <w:lang w:val="en-GB"/>
        </w:rPr>
        <w:t xml:space="preserve">instrumental and ensemble experience. The second assessed </w:t>
      </w:r>
      <w:r w:rsidR="006E6944" w:rsidRPr="00100776">
        <w:rPr>
          <w:lang w:val="en-GB"/>
        </w:rPr>
        <w:t xml:space="preserve">their </w:t>
      </w:r>
      <w:r w:rsidR="001078B1" w:rsidRPr="00100776">
        <w:rPr>
          <w:lang w:val="en-GB"/>
        </w:rPr>
        <w:t xml:space="preserve">familiarity and confidence </w:t>
      </w:r>
      <w:r w:rsidR="006E6944" w:rsidRPr="00100776">
        <w:rPr>
          <w:lang w:val="en-GB"/>
        </w:rPr>
        <w:t>with the</w:t>
      </w:r>
      <w:r w:rsidR="001078B1" w:rsidRPr="00100776">
        <w:rPr>
          <w:lang w:val="en-GB"/>
        </w:rPr>
        <w:t xml:space="preserve"> different components </w:t>
      </w:r>
      <w:r w:rsidR="00A63798" w:rsidRPr="00100776">
        <w:rPr>
          <w:lang w:val="en-GB"/>
        </w:rPr>
        <w:t>of the</w:t>
      </w:r>
      <w:r w:rsidR="001078B1" w:rsidRPr="00100776">
        <w:rPr>
          <w:lang w:val="en-GB"/>
        </w:rPr>
        <w:t xml:space="preserve"> subject</w:t>
      </w:r>
      <w:r w:rsidR="00A63798" w:rsidRPr="00100776">
        <w:rPr>
          <w:lang w:val="en-GB"/>
        </w:rPr>
        <w:t>, as well as</w:t>
      </w:r>
      <w:r w:rsidR="007231D3" w:rsidRPr="00100776">
        <w:rPr>
          <w:lang w:val="en-GB"/>
        </w:rPr>
        <w:t xml:space="preserve"> the degree to which they</w:t>
      </w:r>
      <w:r w:rsidR="00A63798" w:rsidRPr="00100776">
        <w:rPr>
          <w:lang w:val="en-GB"/>
        </w:rPr>
        <w:t xml:space="preserve"> </w:t>
      </w:r>
      <w:r w:rsidR="0075473B" w:rsidRPr="00100776">
        <w:rPr>
          <w:lang w:val="en-GB"/>
        </w:rPr>
        <w:t>priorit</w:t>
      </w:r>
      <w:r w:rsidR="007231D3" w:rsidRPr="00100776">
        <w:rPr>
          <w:lang w:val="en-GB"/>
        </w:rPr>
        <w:t>ised</w:t>
      </w:r>
      <w:r w:rsidR="0075473B" w:rsidRPr="00100776">
        <w:rPr>
          <w:lang w:val="en-GB"/>
        </w:rPr>
        <w:t xml:space="preserve"> </w:t>
      </w:r>
      <w:r w:rsidR="007231D3" w:rsidRPr="00100776">
        <w:rPr>
          <w:lang w:val="en-GB"/>
        </w:rPr>
        <w:t>their</w:t>
      </w:r>
      <w:r w:rsidR="00A63798" w:rsidRPr="00100776">
        <w:rPr>
          <w:lang w:val="en-GB"/>
        </w:rPr>
        <w:t xml:space="preserve"> </w:t>
      </w:r>
      <w:r w:rsidR="007231D3" w:rsidRPr="00100776">
        <w:rPr>
          <w:lang w:val="en-GB"/>
        </w:rPr>
        <w:t xml:space="preserve">musical </w:t>
      </w:r>
      <w:r w:rsidR="00A63798" w:rsidRPr="00100776">
        <w:rPr>
          <w:lang w:val="en-GB"/>
        </w:rPr>
        <w:t>stud</w:t>
      </w:r>
      <w:r w:rsidR="007231D3" w:rsidRPr="00100776">
        <w:rPr>
          <w:lang w:val="en-GB"/>
        </w:rPr>
        <w:t>ies</w:t>
      </w:r>
      <w:r w:rsidR="00A63798" w:rsidRPr="00100776">
        <w:rPr>
          <w:lang w:val="en-GB"/>
        </w:rPr>
        <w:t xml:space="preserve"> </w:t>
      </w:r>
      <w:r w:rsidR="007231D3" w:rsidRPr="00100776">
        <w:rPr>
          <w:lang w:val="en-GB"/>
        </w:rPr>
        <w:t xml:space="preserve">compared to </w:t>
      </w:r>
      <w:r w:rsidR="0075473B" w:rsidRPr="00100776">
        <w:rPr>
          <w:lang w:val="en-GB"/>
        </w:rPr>
        <w:t>other subjects</w:t>
      </w:r>
      <w:r w:rsidR="001078B1" w:rsidRPr="00100776">
        <w:rPr>
          <w:lang w:val="en-GB"/>
        </w:rPr>
        <w:t xml:space="preserve">. </w:t>
      </w:r>
      <w:r w:rsidR="0076122E" w:rsidRPr="00100776">
        <w:rPr>
          <w:lang w:val="en-GB"/>
        </w:rPr>
        <w:t xml:space="preserve">The third </w:t>
      </w:r>
      <w:r w:rsidR="007231D3" w:rsidRPr="00100776">
        <w:rPr>
          <w:lang w:val="en-GB"/>
        </w:rPr>
        <w:t>required the</w:t>
      </w:r>
      <w:r w:rsidR="00505E65" w:rsidRPr="00100776">
        <w:rPr>
          <w:lang w:val="en-GB"/>
        </w:rPr>
        <w:t xml:space="preserve"> participants </w:t>
      </w:r>
      <w:r w:rsidR="007231D3" w:rsidRPr="00100776">
        <w:rPr>
          <w:lang w:val="en-GB"/>
        </w:rPr>
        <w:t xml:space="preserve">to </w:t>
      </w:r>
      <w:r w:rsidR="00505E65" w:rsidRPr="00100776">
        <w:rPr>
          <w:lang w:val="en-GB"/>
        </w:rPr>
        <w:t xml:space="preserve">assess </w:t>
      </w:r>
      <w:r w:rsidR="007231D3" w:rsidRPr="00100776">
        <w:rPr>
          <w:lang w:val="en-GB"/>
        </w:rPr>
        <w:t xml:space="preserve">their </w:t>
      </w:r>
      <w:r w:rsidR="00505E65" w:rsidRPr="00100776">
        <w:rPr>
          <w:lang w:val="en-GB"/>
        </w:rPr>
        <w:t xml:space="preserve">achievements </w:t>
      </w:r>
      <w:proofErr w:type="gramStart"/>
      <w:r w:rsidR="007231D3" w:rsidRPr="00100776">
        <w:rPr>
          <w:lang w:val="en-GB"/>
        </w:rPr>
        <w:t>with regard to</w:t>
      </w:r>
      <w:proofErr w:type="gramEnd"/>
      <w:r w:rsidR="00505E65" w:rsidRPr="00100776">
        <w:rPr>
          <w:lang w:val="en-GB"/>
        </w:rPr>
        <w:t xml:space="preserve"> the learning </w:t>
      </w:r>
      <w:r w:rsidR="00F66692" w:rsidRPr="00100776">
        <w:rPr>
          <w:lang w:val="en-GB"/>
        </w:rPr>
        <w:t>targets and curriculum aims</w:t>
      </w:r>
      <w:r w:rsidR="00762BB4" w:rsidRPr="00100776">
        <w:rPr>
          <w:lang w:val="en-GB"/>
        </w:rPr>
        <w:t>.</w:t>
      </w:r>
    </w:p>
    <w:p w14:paraId="578A0896" w14:textId="77777777" w:rsidR="003068F6" w:rsidRPr="00100776" w:rsidRDefault="003068F6" w:rsidP="00F6420D">
      <w:pPr>
        <w:pStyle w:val="NoSpacing"/>
        <w:rPr>
          <w:b/>
          <w:lang w:val="en-GB"/>
        </w:rPr>
      </w:pPr>
    </w:p>
    <w:p w14:paraId="6EE59D4A" w14:textId="76C3FB3B" w:rsidR="00EB3FF3" w:rsidRPr="00100776" w:rsidRDefault="003068F6" w:rsidP="00851DF4">
      <w:pPr>
        <w:pStyle w:val="Heading1"/>
      </w:pPr>
      <w:r w:rsidRPr="00100776">
        <w:t>Findings</w:t>
      </w:r>
    </w:p>
    <w:p w14:paraId="071EDE76" w14:textId="77777777" w:rsidR="003068F6" w:rsidRPr="00100776" w:rsidRDefault="003068F6" w:rsidP="00F6420D">
      <w:pPr>
        <w:pStyle w:val="NoSpacing"/>
        <w:rPr>
          <w:lang w:val="en-GB"/>
        </w:rPr>
      </w:pPr>
    </w:p>
    <w:p w14:paraId="53D63A9A" w14:textId="67E0F24D" w:rsidR="00EB3FF3" w:rsidRPr="00100776" w:rsidRDefault="00AB69EA" w:rsidP="00F6420D">
      <w:pPr>
        <w:pStyle w:val="NoSpacing"/>
        <w:rPr>
          <w:i/>
          <w:iCs/>
          <w:lang w:val="en-GB"/>
        </w:rPr>
      </w:pPr>
      <w:r w:rsidRPr="00100776">
        <w:rPr>
          <w:i/>
          <w:iCs/>
          <w:lang w:val="en-GB"/>
        </w:rPr>
        <w:t>Instrumental and ensemble experience</w:t>
      </w:r>
    </w:p>
    <w:p w14:paraId="4B981205" w14:textId="5F731973" w:rsidR="00115147" w:rsidRPr="00100776" w:rsidRDefault="00115147" w:rsidP="00F6420D">
      <w:pPr>
        <w:pStyle w:val="NoSpacing"/>
        <w:rPr>
          <w:lang w:val="en-GB"/>
        </w:rPr>
      </w:pPr>
    </w:p>
    <w:p w14:paraId="1778D91D" w14:textId="65B16AEE" w:rsidR="009B1CEA" w:rsidRPr="00100776" w:rsidRDefault="009B1CEA" w:rsidP="000C6AEF">
      <w:pPr>
        <w:pStyle w:val="NoSpacing"/>
        <w:rPr>
          <w:lang w:val="en-GB"/>
        </w:rPr>
      </w:pPr>
      <w:r w:rsidRPr="00100776">
        <w:rPr>
          <w:lang w:val="en-GB"/>
        </w:rPr>
        <w:t xml:space="preserve">Table </w:t>
      </w:r>
      <w:r w:rsidR="00BE5593" w:rsidRPr="00100776">
        <w:rPr>
          <w:lang w:val="en-GB"/>
        </w:rPr>
        <w:t>2</w:t>
      </w:r>
      <w:r w:rsidRPr="00100776">
        <w:rPr>
          <w:lang w:val="en-GB"/>
        </w:rPr>
        <w:t xml:space="preserve"> summari</w:t>
      </w:r>
      <w:r w:rsidR="00077DDE" w:rsidRPr="00100776">
        <w:rPr>
          <w:lang w:val="en-GB"/>
        </w:rPr>
        <w:t>s</w:t>
      </w:r>
      <w:r w:rsidRPr="00100776">
        <w:rPr>
          <w:lang w:val="en-GB"/>
        </w:rPr>
        <w:t xml:space="preserve">es </w:t>
      </w:r>
      <w:r w:rsidR="00705819" w:rsidRPr="00100776">
        <w:rPr>
          <w:lang w:val="en-GB"/>
        </w:rPr>
        <w:t xml:space="preserve">participants’ </w:t>
      </w:r>
      <w:r w:rsidRPr="00100776">
        <w:rPr>
          <w:lang w:val="en-GB"/>
        </w:rPr>
        <w:t>instrumental and ensemble experience.</w:t>
      </w:r>
      <w:r w:rsidR="00BC3367" w:rsidRPr="00100776">
        <w:rPr>
          <w:lang w:val="en-GB"/>
        </w:rPr>
        <w:t xml:space="preserve"> </w:t>
      </w:r>
      <w:r w:rsidR="00DE416D" w:rsidRPr="00100776">
        <w:rPr>
          <w:lang w:val="en-GB"/>
        </w:rPr>
        <w:t>I</w:t>
      </w:r>
      <w:r w:rsidR="00BC3367" w:rsidRPr="00100776">
        <w:rPr>
          <w:lang w:val="en-GB"/>
        </w:rPr>
        <w:t xml:space="preserve">nstrumental learning experience is determined by whether participants have </w:t>
      </w:r>
      <w:r w:rsidR="00ED7135" w:rsidRPr="00100776">
        <w:rPr>
          <w:lang w:val="en-GB"/>
        </w:rPr>
        <w:t>attained a qualification</w:t>
      </w:r>
      <w:r w:rsidR="00C77C2C" w:rsidRPr="00100776">
        <w:rPr>
          <w:lang w:val="en-GB"/>
        </w:rPr>
        <w:t xml:space="preserve"> of at least ABRSM Grade 5 </w:t>
      </w:r>
      <w:r w:rsidR="00D22B54" w:rsidRPr="00100776">
        <w:rPr>
          <w:lang w:val="en-GB"/>
        </w:rPr>
        <w:t>(</w:t>
      </w:r>
      <w:r w:rsidR="00C77C2C" w:rsidRPr="00100776">
        <w:rPr>
          <w:lang w:val="en-GB"/>
        </w:rPr>
        <w:t xml:space="preserve">or </w:t>
      </w:r>
      <w:r w:rsidR="00DE416D" w:rsidRPr="00100776">
        <w:rPr>
          <w:lang w:val="en-GB"/>
        </w:rPr>
        <w:t xml:space="preserve">its </w:t>
      </w:r>
      <w:r w:rsidR="00C77C2C" w:rsidRPr="00100776">
        <w:rPr>
          <w:lang w:val="en-GB"/>
        </w:rPr>
        <w:t>equivalent</w:t>
      </w:r>
      <w:r w:rsidR="00D22B54" w:rsidRPr="00100776">
        <w:rPr>
          <w:lang w:val="en-GB"/>
        </w:rPr>
        <w:t>)</w:t>
      </w:r>
      <w:r w:rsidR="00ED7135" w:rsidRPr="00100776">
        <w:rPr>
          <w:lang w:val="en-GB"/>
        </w:rPr>
        <w:t xml:space="preserve"> in any of the </w:t>
      </w:r>
      <w:proofErr w:type="gramStart"/>
      <w:r w:rsidR="00D22B54" w:rsidRPr="00100776">
        <w:rPr>
          <w:lang w:val="en-GB"/>
        </w:rPr>
        <w:t xml:space="preserve">aforementioned </w:t>
      </w:r>
      <w:r w:rsidR="00ED7135" w:rsidRPr="00100776">
        <w:rPr>
          <w:lang w:val="en-GB"/>
        </w:rPr>
        <w:t>graded</w:t>
      </w:r>
      <w:proofErr w:type="gramEnd"/>
      <w:r w:rsidR="00ED7135" w:rsidRPr="00100776">
        <w:rPr>
          <w:lang w:val="en-GB"/>
        </w:rPr>
        <w:t xml:space="preserve"> examinations</w:t>
      </w:r>
      <w:r w:rsidR="00705819" w:rsidRPr="00100776">
        <w:rPr>
          <w:lang w:val="en-GB"/>
        </w:rPr>
        <w:t>.</w:t>
      </w:r>
      <w:r w:rsidR="00A567EA" w:rsidRPr="00100776">
        <w:rPr>
          <w:lang w:val="en-GB"/>
        </w:rPr>
        <w:t xml:space="preserve"> Most of them </w:t>
      </w:r>
      <w:r w:rsidR="00DE416D" w:rsidRPr="00100776">
        <w:rPr>
          <w:lang w:val="en-GB"/>
        </w:rPr>
        <w:t>were learning</w:t>
      </w:r>
      <w:r w:rsidR="00724C3D" w:rsidRPr="00100776">
        <w:rPr>
          <w:lang w:val="en-GB"/>
        </w:rPr>
        <w:t xml:space="preserve"> Western musical instrument</w:t>
      </w:r>
      <w:r w:rsidR="00DE416D" w:rsidRPr="00100776">
        <w:rPr>
          <w:lang w:val="en-GB"/>
        </w:rPr>
        <w:t>s</w:t>
      </w:r>
      <w:r w:rsidR="00724C3D" w:rsidRPr="00100776">
        <w:rPr>
          <w:lang w:val="en-GB"/>
        </w:rPr>
        <w:t xml:space="preserve"> </w:t>
      </w:r>
      <w:r w:rsidR="000100CD" w:rsidRPr="00100776">
        <w:rPr>
          <w:lang w:val="en-GB"/>
        </w:rPr>
        <w:t>(96.69%)</w:t>
      </w:r>
      <w:r w:rsidR="00A567EA" w:rsidRPr="00100776">
        <w:rPr>
          <w:lang w:val="en-GB"/>
        </w:rPr>
        <w:t xml:space="preserve">, </w:t>
      </w:r>
      <w:r w:rsidR="00DE416D" w:rsidRPr="00100776">
        <w:rPr>
          <w:lang w:val="en-GB"/>
        </w:rPr>
        <w:t>as opposed to</w:t>
      </w:r>
      <w:r w:rsidR="00A567EA" w:rsidRPr="00100776">
        <w:rPr>
          <w:lang w:val="en-GB"/>
        </w:rPr>
        <w:t xml:space="preserve"> Chinese musical instrument</w:t>
      </w:r>
      <w:r w:rsidR="00DE416D" w:rsidRPr="00100776">
        <w:rPr>
          <w:lang w:val="en-GB"/>
        </w:rPr>
        <w:t>s</w:t>
      </w:r>
      <w:r w:rsidR="00A567EA" w:rsidRPr="00100776">
        <w:rPr>
          <w:lang w:val="en-GB"/>
        </w:rPr>
        <w:t xml:space="preserve"> (11.57%)</w:t>
      </w:r>
      <w:r w:rsidR="00DE416D" w:rsidRPr="00100776">
        <w:rPr>
          <w:lang w:val="en-GB"/>
        </w:rPr>
        <w:t>, and all of them had achieved a graded examination qualification</w:t>
      </w:r>
      <w:r w:rsidR="00A567EA" w:rsidRPr="00100776">
        <w:rPr>
          <w:lang w:val="en-GB"/>
        </w:rPr>
        <w:t xml:space="preserve">. </w:t>
      </w:r>
      <w:r w:rsidR="00DA3863" w:rsidRPr="00100776">
        <w:rPr>
          <w:lang w:val="en-GB"/>
        </w:rPr>
        <w:lastRenderedPageBreak/>
        <w:t xml:space="preserve">Similarly, most </w:t>
      </w:r>
      <w:r w:rsidR="00DE416D" w:rsidRPr="00100776">
        <w:rPr>
          <w:lang w:val="en-GB"/>
        </w:rPr>
        <w:t xml:space="preserve">of the </w:t>
      </w:r>
      <w:r w:rsidR="00DA3863" w:rsidRPr="00100776">
        <w:rPr>
          <w:lang w:val="en-GB"/>
        </w:rPr>
        <w:t xml:space="preserve">participants reported </w:t>
      </w:r>
      <w:r w:rsidR="0091505C" w:rsidRPr="00100776">
        <w:rPr>
          <w:lang w:val="en-GB"/>
        </w:rPr>
        <w:t xml:space="preserve">that </w:t>
      </w:r>
      <w:r w:rsidR="00DA3863" w:rsidRPr="00100776">
        <w:rPr>
          <w:lang w:val="en-GB"/>
        </w:rPr>
        <w:t xml:space="preserve">they </w:t>
      </w:r>
      <w:r w:rsidR="00DE416D" w:rsidRPr="00100776">
        <w:rPr>
          <w:lang w:val="en-GB"/>
        </w:rPr>
        <w:t>were</w:t>
      </w:r>
      <w:r w:rsidR="00DA3863" w:rsidRPr="00100776">
        <w:rPr>
          <w:lang w:val="en-GB"/>
        </w:rPr>
        <w:t xml:space="preserve"> </w:t>
      </w:r>
      <w:r w:rsidR="00DE416D" w:rsidRPr="00100776">
        <w:rPr>
          <w:lang w:val="en-GB"/>
        </w:rPr>
        <w:t xml:space="preserve">a </w:t>
      </w:r>
      <w:r w:rsidR="00DA3863" w:rsidRPr="00100776">
        <w:rPr>
          <w:lang w:val="en-GB"/>
        </w:rPr>
        <w:t xml:space="preserve">member of one or more </w:t>
      </w:r>
      <w:r w:rsidR="00DE416D" w:rsidRPr="00100776">
        <w:rPr>
          <w:lang w:val="en-GB"/>
        </w:rPr>
        <w:t>W</w:t>
      </w:r>
      <w:r w:rsidR="00DA3863" w:rsidRPr="00100776">
        <w:rPr>
          <w:lang w:val="en-GB"/>
        </w:rPr>
        <w:t>estern music ensembles (66.94%)</w:t>
      </w:r>
      <w:r w:rsidR="00DE416D" w:rsidRPr="00100776">
        <w:rPr>
          <w:lang w:val="en-GB"/>
        </w:rPr>
        <w:t>,</w:t>
      </w:r>
      <w:r w:rsidR="00DA3863" w:rsidRPr="00100776">
        <w:rPr>
          <w:lang w:val="en-GB"/>
        </w:rPr>
        <w:t xml:space="preserve"> such as</w:t>
      </w:r>
      <w:r w:rsidR="00DE416D" w:rsidRPr="00100776">
        <w:rPr>
          <w:lang w:val="en-GB"/>
        </w:rPr>
        <w:t xml:space="preserve"> an</w:t>
      </w:r>
      <w:r w:rsidR="00DA3863" w:rsidRPr="00100776">
        <w:rPr>
          <w:lang w:val="en-GB"/>
        </w:rPr>
        <w:t xml:space="preserve"> orchestra </w:t>
      </w:r>
      <w:r w:rsidR="00DE416D" w:rsidRPr="00100776">
        <w:rPr>
          <w:lang w:val="en-GB"/>
        </w:rPr>
        <w:t xml:space="preserve">or </w:t>
      </w:r>
      <w:r w:rsidR="00DA3863" w:rsidRPr="00100776">
        <w:rPr>
          <w:lang w:val="en-GB"/>
        </w:rPr>
        <w:t xml:space="preserve">symphonic wind band. The number of participants who </w:t>
      </w:r>
      <w:r w:rsidR="00DE416D" w:rsidRPr="00100776">
        <w:rPr>
          <w:lang w:val="en-GB"/>
        </w:rPr>
        <w:t xml:space="preserve">were also members of a </w:t>
      </w:r>
      <w:r w:rsidR="00DA3863" w:rsidRPr="00100776">
        <w:rPr>
          <w:lang w:val="en-GB"/>
        </w:rPr>
        <w:t xml:space="preserve">Chinese music ensemble </w:t>
      </w:r>
      <w:r w:rsidR="00E561A5" w:rsidRPr="00100776">
        <w:rPr>
          <w:lang w:val="en-GB"/>
        </w:rPr>
        <w:t xml:space="preserve">(18.18%) </w:t>
      </w:r>
      <w:r w:rsidR="00DE416D" w:rsidRPr="00100776">
        <w:rPr>
          <w:lang w:val="en-GB"/>
        </w:rPr>
        <w:t>was</w:t>
      </w:r>
      <w:r w:rsidR="00E561A5" w:rsidRPr="00100776">
        <w:rPr>
          <w:lang w:val="en-GB"/>
        </w:rPr>
        <w:t xml:space="preserve"> higher than </w:t>
      </w:r>
      <w:r w:rsidR="00DE416D" w:rsidRPr="00100776">
        <w:rPr>
          <w:lang w:val="en-GB"/>
        </w:rPr>
        <w:t xml:space="preserve">those </w:t>
      </w:r>
      <w:r w:rsidR="00E561A5" w:rsidRPr="00100776">
        <w:rPr>
          <w:lang w:val="en-GB"/>
        </w:rPr>
        <w:t xml:space="preserve">who </w:t>
      </w:r>
      <w:r w:rsidR="00DE416D" w:rsidRPr="00100776">
        <w:rPr>
          <w:lang w:val="en-GB"/>
        </w:rPr>
        <w:t xml:space="preserve">were learning a </w:t>
      </w:r>
      <w:r w:rsidR="00E561A5" w:rsidRPr="00100776">
        <w:rPr>
          <w:lang w:val="en-GB"/>
        </w:rPr>
        <w:t>Chinese musical instrument</w:t>
      </w:r>
      <w:r w:rsidR="00DE416D" w:rsidRPr="00100776">
        <w:rPr>
          <w:lang w:val="en-GB"/>
        </w:rPr>
        <w:t xml:space="preserve"> only, the reason being that</w:t>
      </w:r>
      <w:r w:rsidR="00E561A5" w:rsidRPr="00100776">
        <w:rPr>
          <w:lang w:val="en-GB"/>
        </w:rPr>
        <w:t xml:space="preserve"> Western percussion instruments and lower strings </w:t>
      </w:r>
      <w:proofErr w:type="gramStart"/>
      <w:r w:rsidR="00DE416D" w:rsidRPr="00100776">
        <w:rPr>
          <w:lang w:val="en-GB"/>
        </w:rPr>
        <w:t>are able to</w:t>
      </w:r>
      <w:proofErr w:type="gramEnd"/>
      <w:r w:rsidR="00DE416D" w:rsidRPr="00100776">
        <w:rPr>
          <w:lang w:val="en-GB"/>
        </w:rPr>
        <w:t xml:space="preserve"> join </w:t>
      </w:r>
      <w:r w:rsidR="00E561A5" w:rsidRPr="00100776">
        <w:rPr>
          <w:lang w:val="en-GB"/>
        </w:rPr>
        <w:t>Chinese music ensembles</w:t>
      </w:r>
      <w:r w:rsidR="00DE416D" w:rsidRPr="00100776">
        <w:rPr>
          <w:lang w:val="en-GB"/>
        </w:rPr>
        <w:t>,</w:t>
      </w:r>
      <w:r w:rsidR="00E561A5" w:rsidRPr="00100776">
        <w:rPr>
          <w:lang w:val="en-GB"/>
        </w:rPr>
        <w:t xml:space="preserve"> </w:t>
      </w:r>
      <w:r w:rsidR="0091505C" w:rsidRPr="00100776">
        <w:rPr>
          <w:lang w:val="en-GB"/>
        </w:rPr>
        <w:t>e.g.,</w:t>
      </w:r>
      <w:r w:rsidR="00DE416D" w:rsidRPr="00100776">
        <w:rPr>
          <w:lang w:val="en-GB"/>
        </w:rPr>
        <w:t xml:space="preserve"> </w:t>
      </w:r>
      <w:r w:rsidR="00E561A5" w:rsidRPr="00100776">
        <w:rPr>
          <w:lang w:val="en-GB"/>
        </w:rPr>
        <w:t xml:space="preserve">Chinese orchestra. Around a quarter of the participants </w:t>
      </w:r>
      <w:r w:rsidR="00DE416D" w:rsidRPr="00100776">
        <w:rPr>
          <w:lang w:val="en-GB"/>
        </w:rPr>
        <w:t xml:space="preserve">(25.62%) </w:t>
      </w:r>
      <w:r w:rsidR="00E561A5" w:rsidRPr="00100776">
        <w:rPr>
          <w:lang w:val="en-GB"/>
        </w:rPr>
        <w:t>ha</w:t>
      </w:r>
      <w:r w:rsidR="00DE416D" w:rsidRPr="00100776">
        <w:rPr>
          <w:lang w:val="en-GB"/>
        </w:rPr>
        <w:t>d</w:t>
      </w:r>
      <w:r w:rsidR="00E561A5" w:rsidRPr="00100776">
        <w:rPr>
          <w:lang w:val="en-GB"/>
        </w:rPr>
        <w:t xml:space="preserve"> not join</w:t>
      </w:r>
      <w:r w:rsidR="00DE416D" w:rsidRPr="00100776">
        <w:rPr>
          <w:lang w:val="en-GB"/>
        </w:rPr>
        <w:t>ed</w:t>
      </w:r>
      <w:r w:rsidR="00E561A5" w:rsidRPr="00100776">
        <w:rPr>
          <w:lang w:val="en-GB"/>
        </w:rPr>
        <w:t xml:space="preserve"> </w:t>
      </w:r>
      <w:r w:rsidR="00DE416D" w:rsidRPr="00100776">
        <w:rPr>
          <w:lang w:val="en-GB"/>
        </w:rPr>
        <w:t>either a</w:t>
      </w:r>
      <w:r w:rsidR="00E561A5" w:rsidRPr="00100776">
        <w:rPr>
          <w:lang w:val="en-GB"/>
        </w:rPr>
        <w:t xml:space="preserve"> Western or </w:t>
      </w:r>
      <w:r w:rsidR="00DE416D" w:rsidRPr="00100776">
        <w:rPr>
          <w:lang w:val="en-GB"/>
        </w:rPr>
        <w:t xml:space="preserve">a </w:t>
      </w:r>
      <w:r w:rsidR="00E561A5" w:rsidRPr="00100776">
        <w:rPr>
          <w:lang w:val="en-GB"/>
        </w:rPr>
        <w:t xml:space="preserve">Chinese music ensemble, and </w:t>
      </w:r>
      <w:r w:rsidR="00F86E0B" w:rsidRPr="00100776">
        <w:rPr>
          <w:lang w:val="en-GB"/>
        </w:rPr>
        <w:t xml:space="preserve">less than one-tenth </w:t>
      </w:r>
      <w:r w:rsidR="00DE416D" w:rsidRPr="00100776">
        <w:rPr>
          <w:lang w:val="en-GB"/>
        </w:rPr>
        <w:t xml:space="preserve">(8.26%) </w:t>
      </w:r>
      <w:r w:rsidR="00E561A5" w:rsidRPr="00100776">
        <w:rPr>
          <w:lang w:val="en-GB"/>
        </w:rPr>
        <w:t>reported that they ha</w:t>
      </w:r>
      <w:r w:rsidR="00DE416D" w:rsidRPr="00100776">
        <w:rPr>
          <w:lang w:val="en-GB"/>
        </w:rPr>
        <w:t>d</w:t>
      </w:r>
      <w:r w:rsidR="00E561A5" w:rsidRPr="00100776">
        <w:rPr>
          <w:lang w:val="en-GB"/>
        </w:rPr>
        <w:t xml:space="preserve"> no ensemble experience </w:t>
      </w:r>
      <w:r w:rsidR="00DE416D" w:rsidRPr="00100776">
        <w:rPr>
          <w:lang w:val="en-GB"/>
        </w:rPr>
        <w:t xml:space="preserve">at all, </w:t>
      </w:r>
      <w:r w:rsidR="00E561A5" w:rsidRPr="00100776">
        <w:rPr>
          <w:lang w:val="en-GB"/>
        </w:rPr>
        <w:t>including choral.</w:t>
      </w:r>
      <w:r w:rsidR="00B4003B" w:rsidRPr="00100776">
        <w:rPr>
          <w:lang w:val="en-GB"/>
        </w:rPr>
        <w:t xml:space="preserve"> Because of </w:t>
      </w:r>
      <w:r w:rsidR="000C6AEF" w:rsidRPr="00100776">
        <w:rPr>
          <w:lang w:val="en-GB"/>
        </w:rPr>
        <w:t xml:space="preserve">a lack of variability, no further </w:t>
      </w:r>
      <w:r w:rsidR="006C6C89" w:rsidRPr="00100776">
        <w:rPr>
          <w:lang w:val="en-GB"/>
        </w:rPr>
        <w:t xml:space="preserve">statistical </w:t>
      </w:r>
      <w:r w:rsidR="000C6AEF" w:rsidRPr="00100776">
        <w:rPr>
          <w:lang w:val="en-GB"/>
        </w:rPr>
        <w:t>analyses were conducted on participants’ instrumental and ensemble experience.</w:t>
      </w:r>
    </w:p>
    <w:p w14:paraId="64914A95" w14:textId="6A7E1CF6" w:rsidR="00E60548" w:rsidRPr="00100776" w:rsidRDefault="00E60548" w:rsidP="00F6420D">
      <w:pPr>
        <w:pStyle w:val="NoSpacing"/>
        <w:rPr>
          <w:lang w:val="en-GB"/>
        </w:rPr>
      </w:pPr>
    </w:p>
    <w:p w14:paraId="0329EC5A" w14:textId="63285AFE" w:rsidR="00337E32" w:rsidRPr="00100776" w:rsidRDefault="00337E32" w:rsidP="00F6420D">
      <w:pPr>
        <w:pStyle w:val="NoSpacing"/>
        <w:rPr>
          <w:lang w:val="en-GB"/>
        </w:rPr>
      </w:pPr>
      <w:r w:rsidRPr="00100776">
        <w:rPr>
          <w:lang w:val="en-GB"/>
        </w:rPr>
        <w:t xml:space="preserve">Table </w:t>
      </w:r>
      <w:r w:rsidR="00BE5593" w:rsidRPr="00100776">
        <w:rPr>
          <w:lang w:val="en-GB"/>
        </w:rPr>
        <w:t>2</w:t>
      </w:r>
      <w:r w:rsidRPr="00100776">
        <w:rPr>
          <w:lang w:val="en-GB"/>
        </w:rPr>
        <w:t xml:space="preserve">. </w:t>
      </w:r>
      <w:r w:rsidR="00A736DD" w:rsidRPr="00100776">
        <w:rPr>
          <w:lang w:val="en-GB"/>
        </w:rPr>
        <w:t>Summary statistics for participants’ i</w:t>
      </w:r>
      <w:r w:rsidR="00596937" w:rsidRPr="00100776">
        <w:rPr>
          <w:lang w:val="en-GB"/>
        </w:rPr>
        <w:t>nstrumental and ensemble experience</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5812"/>
        <w:gridCol w:w="1554"/>
        <w:gridCol w:w="1264"/>
      </w:tblGrid>
      <w:tr w:rsidR="009B1CEA" w:rsidRPr="00100776" w14:paraId="23CF6392" w14:textId="77777777" w:rsidTr="006B507A">
        <w:tc>
          <w:tcPr>
            <w:tcW w:w="5812" w:type="dxa"/>
            <w:tcBorders>
              <w:bottom w:val="single" w:sz="4" w:space="0" w:color="auto"/>
            </w:tcBorders>
          </w:tcPr>
          <w:p w14:paraId="3C598882" w14:textId="77777777" w:rsidR="009B1CEA" w:rsidRPr="00100776" w:rsidRDefault="009B1CEA" w:rsidP="00F6420D">
            <w:pPr>
              <w:pStyle w:val="NoSpacing"/>
              <w:rPr>
                <w:lang w:val="en-GB"/>
              </w:rPr>
            </w:pPr>
          </w:p>
        </w:tc>
        <w:tc>
          <w:tcPr>
            <w:tcW w:w="1554" w:type="dxa"/>
            <w:tcBorders>
              <w:bottom w:val="single" w:sz="4" w:space="0" w:color="auto"/>
            </w:tcBorders>
          </w:tcPr>
          <w:p w14:paraId="51D6A636" w14:textId="06CE5AF9" w:rsidR="009B1CEA" w:rsidRPr="00100776" w:rsidRDefault="00B838C8" w:rsidP="004241DB">
            <w:pPr>
              <w:pStyle w:val="NoSpacing"/>
              <w:jc w:val="center"/>
              <w:rPr>
                <w:lang w:val="en-GB"/>
              </w:rPr>
            </w:pPr>
            <w:r w:rsidRPr="00100776">
              <w:rPr>
                <w:lang w:val="en-GB"/>
              </w:rPr>
              <w:t>n</w:t>
            </w:r>
          </w:p>
        </w:tc>
        <w:tc>
          <w:tcPr>
            <w:tcW w:w="1264" w:type="dxa"/>
            <w:tcBorders>
              <w:bottom w:val="single" w:sz="4" w:space="0" w:color="auto"/>
            </w:tcBorders>
          </w:tcPr>
          <w:p w14:paraId="32B34E4B" w14:textId="0437FB16" w:rsidR="009B1CEA" w:rsidRPr="00100776" w:rsidRDefault="00B838C8" w:rsidP="004241DB">
            <w:pPr>
              <w:pStyle w:val="NoSpacing"/>
              <w:jc w:val="center"/>
              <w:rPr>
                <w:lang w:val="en-GB"/>
              </w:rPr>
            </w:pPr>
            <w:r w:rsidRPr="00100776">
              <w:rPr>
                <w:lang w:val="en-GB"/>
              </w:rPr>
              <w:t>Percentage</w:t>
            </w:r>
          </w:p>
        </w:tc>
      </w:tr>
      <w:tr w:rsidR="009B1CEA" w:rsidRPr="00100776" w14:paraId="45855FCC" w14:textId="77777777" w:rsidTr="006B507A">
        <w:tc>
          <w:tcPr>
            <w:tcW w:w="5812" w:type="dxa"/>
            <w:tcBorders>
              <w:bottom w:val="nil"/>
            </w:tcBorders>
          </w:tcPr>
          <w:p w14:paraId="662BA716" w14:textId="1E319069" w:rsidR="009B1CEA" w:rsidRPr="00100776" w:rsidRDefault="00B838C8" w:rsidP="00F6420D">
            <w:pPr>
              <w:pStyle w:val="NoSpacing"/>
              <w:rPr>
                <w:b/>
                <w:bCs/>
                <w:lang w:val="en-GB"/>
              </w:rPr>
            </w:pPr>
            <w:r w:rsidRPr="00100776">
              <w:rPr>
                <w:b/>
                <w:bCs/>
                <w:lang w:val="en-GB"/>
              </w:rPr>
              <w:t>Instrumental experience</w:t>
            </w:r>
          </w:p>
        </w:tc>
        <w:tc>
          <w:tcPr>
            <w:tcW w:w="1554" w:type="dxa"/>
            <w:tcBorders>
              <w:bottom w:val="nil"/>
            </w:tcBorders>
          </w:tcPr>
          <w:p w14:paraId="33B5E909" w14:textId="77777777" w:rsidR="009B1CEA" w:rsidRPr="00100776" w:rsidRDefault="009B1CEA" w:rsidP="004241DB">
            <w:pPr>
              <w:pStyle w:val="NoSpacing"/>
              <w:jc w:val="center"/>
              <w:rPr>
                <w:b/>
                <w:bCs/>
                <w:lang w:val="en-GB"/>
              </w:rPr>
            </w:pPr>
          </w:p>
        </w:tc>
        <w:tc>
          <w:tcPr>
            <w:tcW w:w="1264" w:type="dxa"/>
            <w:tcBorders>
              <w:bottom w:val="nil"/>
            </w:tcBorders>
          </w:tcPr>
          <w:p w14:paraId="64B9C347" w14:textId="77777777" w:rsidR="009B1CEA" w:rsidRPr="00100776" w:rsidRDefault="009B1CEA" w:rsidP="004241DB">
            <w:pPr>
              <w:pStyle w:val="NoSpacing"/>
              <w:jc w:val="center"/>
              <w:rPr>
                <w:b/>
                <w:bCs/>
                <w:lang w:val="en-GB"/>
              </w:rPr>
            </w:pPr>
          </w:p>
        </w:tc>
      </w:tr>
      <w:tr w:rsidR="009B1CEA" w:rsidRPr="00100776" w14:paraId="7818EEEF" w14:textId="77777777" w:rsidTr="006B507A">
        <w:tc>
          <w:tcPr>
            <w:tcW w:w="5812" w:type="dxa"/>
            <w:tcBorders>
              <w:top w:val="nil"/>
              <w:bottom w:val="nil"/>
            </w:tcBorders>
          </w:tcPr>
          <w:p w14:paraId="28B8E941" w14:textId="7EAC659D" w:rsidR="009B1CEA" w:rsidRPr="00100776" w:rsidRDefault="00385C4F" w:rsidP="00F6420D">
            <w:pPr>
              <w:pStyle w:val="NoSpacing"/>
              <w:rPr>
                <w:lang w:val="en-GB"/>
              </w:rPr>
            </w:pPr>
            <w:r w:rsidRPr="00100776">
              <w:rPr>
                <w:lang w:val="en-GB"/>
              </w:rPr>
              <w:t xml:space="preserve">  </w:t>
            </w:r>
            <w:r w:rsidR="00B838C8" w:rsidRPr="00100776">
              <w:rPr>
                <w:lang w:val="en-GB"/>
              </w:rPr>
              <w:t>Western musical instrument</w:t>
            </w:r>
          </w:p>
        </w:tc>
        <w:tc>
          <w:tcPr>
            <w:tcW w:w="1554" w:type="dxa"/>
            <w:tcBorders>
              <w:top w:val="nil"/>
              <w:bottom w:val="nil"/>
            </w:tcBorders>
          </w:tcPr>
          <w:p w14:paraId="58D93BC7" w14:textId="73E07530" w:rsidR="009B1CEA" w:rsidRPr="00100776" w:rsidRDefault="004241DB" w:rsidP="004241DB">
            <w:pPr>
              <w:pStyle w:val="NoSpacing"/>
              <w:jc w:val="center"/>
              <w:rPr>
                <w:lang w:val="en-GB"/>
              </w:rPr>
            </w:pPr>
            <w:r w:rsidRPr="00100776">
              <w:rPr>
                <w:lang w:val="en-GB"/>
              </w:rPr>
              <w:t>11</w:t>
            </w:r>
            <w:r w:rsidR="000100CD" w:rsidRPr="00100776">
              <w:rPr>
                <w:lang w:val="en-GB"/>
              </w:rPr>
              <w:t>7</w:t>
            </w:r>
          </w:p>
        </w:tc>
        <w:tc>
          <w:tcPr>
            <w:tcW w:w="1264" w:type="dxa"/>
            <w:tcBorders>
              <w:top w:val="nil"/>
              <w:bottom w:val="nil"/>
            </w:tcBorders>
          </w:tcPr>
          <w:p w14:paraId="20D720FB" w14:textId="541DED0F" w:rsidR="009B1CEA" w:rsidRPr="00100776" w:rsidRDefault="000100CD" w:rsidP="004241DB">
            <w:pPr>
              <w:pStyle w:val="NoSpacing"/>
              <w:jc w:val="center"/>
              <w:rPr>
                <w:lang w:val="en-GB"/>
              </w:rPr>
            </w:pPr>
            <w:r w:rsidRPr="00100776">
              <w:rPr>
                <w:lang w:val="en-GB"/>
              </w:rPr>
              <w:t>96.69</w:t>
            </w:r>
            <w:r w:rsidR="004241DB" w:rsidRPr="00100776">
              <w:rPr>
                <w:lang w:val="en-GB"/>
              </w:rPr>
              <w:t>%</w:t>
            </w:r>
          </w:p>
        </w:tc>
      </w:tr>
      <w:tr w:rsidR="009B1CEA" w:rsidRPr="00100776" w14:paraId="4CFAB805" w14:textId="77777777" w:rsidTr="006B507A">
        <w:tc>
          <w:tcPr>
            <w:tcW w:w="5812" w:type="dxa"/>
            <w:tcBorders>
              <w:top w:val="nil"/>
              <w:bottom w:val="nil"/>
            </w:tcBorders>
          </w:tcPr>
          <w:p w14:paraId="6F93380A" w14:textId="7C90340A" w:rsidR="009B1CEA" w:rsidRPr="00100776" w:rsidRDefault="00385C4F" w:rsidP="00F6420D">
            <w:pPr>
              <w:pStyle w:val="NoSpacing"/>
              <w:rPr>
                <w:lang w:val="en-GB"/>
              </w:rPr>
            </w:pPr>
            <w:r w:rsidRPr="00100776">
              <w:rPr>
                <w:lang w:val="en-GB"/>
              </w:rPr>
              <w:t xml:space="preserve">  </w:t>
            </w:r>
            <w:r w:rsidR="00B838C8" w:rsidRPr="00100776">
              <w:rPr>
                <w:lang w:val="en-GB"/>
              </w:rPr>
              <w:t>Chinese musical instrument</w:t>
            </w:r>
          </w:p>
        </w:tc>
        <w:tc>
          <w:tcPr>
            <w:tcW w:w="1554" w:type="dxa"/>
            <w:tcBorders>
              <w:top w:val="nil"/>
              <w:bottom w:val="nil"/>
            </w:tcBorders>
          </w:tcPr>
          <w:p w14:paraId="7DD9C327" w14:textId="197A8DE1" w:rsidR="009B1CEA" w:rsidRPr="00100776" w:rsidRDefault="0007142E" w:rsidP="004241DB">
            <w:pPr>
              <w:pStyle w:val="NoSpacing"/>
              <w:jc w:val="center"/>
              <w:rPr>
                <w:lang w:val="en-GB"/>
              </w:rPr>
            </w:pPr>
            <w:r w:rsidRPr="00100776">
              <w:rPr>
                <w:lang w:val="en-GB"/>
              </w:rPr>
              <w:t>14</w:t>
            </w:r>
          </w:p>
        </w:tc>
        <w:tc>
          <w:tcPr>
            <w:tcW w:w="1264" w:type="dxa"/>
            <w:tcBorders>
              <w:top w:val="nil"/>
              <w:bottom w:val="nil"/>
            </w:tcBorders>
          </w:tcPr>
          <w:p w14:paraId="2620A22F" w14:textId="3C83E855" w:rsidR="009B1CEA" w:rsidRPr="00100776" w:rsidRDefault="0007142E" w:rsidP="004241DB">
            <w:pPr>
              <w:pStyle w:val="NoSpacing"/>
              <w:jc w:val="center"/>
              <w:rPr>
                <w:lang w:val="en-GB"/>
              </w:rPr>
            </w:pPr>
            <w:r w:rsidRPr="00100776">
              <w:rPr>
                <w:lang w:val="en-GB"/>
              </w:rPr>
              <w:t>11.57</w:t>
            </w:r>
            <w:r w:rsidR="004241DB" w:rsidRPr="00100776">
              <w:rPr>
                <w:lang w:val="en-GB"/>
              </w:rPr>
              <w:t>%</w:t>
            </w:r>
          </w:p>
        </w:tc>
      </w:tr>
      <w:tr w:rsidR="009B1CEA" w:rsidRPr="00100776" w14:paraId="5CCC900F" w14:textId="77777777" w:rsidTr="006B507A">
        <w:tc>
          <w:tcPr>
            <w:tcW w:w="5812" w:type="dxa"/>
            <w:tcBorders>
              <w:top w:val="nil"/>
              <w:bottom w:val="nil"/>
            </w:tcBorders>
          </w:tcPr>
          <w:p w14:paraId="6DFE803E" w14:textId="644D5DC8" w:rsidR="009B1CEA" w:rsidRPr="00100776" w:rsidRDefault="00A234E6" w:rsidP="00F6420D">
            <w:pPr>
              <w:pStyle w:val="NoSpacing"/>
              <w:rPr>
                <w:b/>
                <w:bCs/>
                <w:lang w:val="en-GB"/>
              </w:rPr>
            </w:pPr>
            <w:r w:rsidRPr="00100776">
              <w:rPr>
                <w:b/>
                <w:bCs/>
                <w:lang w:val="en-GB"/>
              </w:rPr>
              <w:t>Ensemble experience</w:t>
            </w:r>
          </w:p>
        </w:tc>
        <w:tc>
          <w:tcPr>
            <w:tcW w:w="1554" w:type="dxa"/>
            <w:tcBorders>
              <w:top w:val="nil"/>
              <w:bottom w:val="nil"/>
            </w:tcBorders>
          </w:tcPr>
          <w:p w14:paraId="578ABEE3" w14:textId="77777777" w:rsidR="009B1CEA" w:rsidRPr="00100776" w:rsidRDefault="009B1CEA" w:rsidP="004241DB">
            <w:pPr>
              <w:pStyle w:val="NoSpacing"/>
              <w:jc w:val="center"/>
              <w:rPr>
                <w:b/>
                <w:bCs/>
                <w:lang w:val="en-GB"/>
              </w:rPr>
            </w:pPr>
          </w:p>
        </w:tc>
        <w:tc>
          <w:tcPr>
            <w:tcW w:w="1264" w:type="dxa"/>
            <w:tcBorders>
              <w:top w:val="nil"/>
              <w:bottom w:val="nil"/>
            </w:tcBorders>
          </w:tcPr>
          <w:p w14:paraId="00C9E7C1" w14:textId="77777777" w:rsidR="009B1CEA" w:rsidRPr="00100776" w:rsidRDefault="009B1CEA" w:rsidP="004241DB">
            <w:pPr>
              <w:pStyle w:val="NoSpacing"/>
              <w:jc w:val="center"/>
              <w:rPr>
                <w:b/>
                <w:bCs/>
                <w:lang w:val="en-GB"/>
              </w:rPr>
            </w:pPr>
          </w:p>
        </w:tc>
      </w:tr>
      <w:tr w:rsidR="009B1CEA" w:rsidRPr="00100776" w14:paraId="4166E82F" w14:textId="77777777" w:rsidTr="006B507A">
        <w:tc>
          <w:tcPr>
            <w:tcW w:w="5812" w:type="dxa"/>
            <w:tcBorders>
              <w:top w:val="nil"/>
              <w:bottom w:val="nil"/>
            </w:tcBorders>
          </w:tcPr>
          <w:p w14:paraId="2EBF6B17" w14:textId="24190F63" w:rsidR="009B1CEA" w:rsidRPr="00100776" w:rsidRDefault="00385C4F" w:rsidP="00F6420D">
            <w:pPr>
              <w:pStyle w:val="NoSpacing"/>
              <w:rPr>
                <w:lang w:val="en-GB"/>
              </w:rPr>
            </w:pPr>
            <w:r w:rsidRPr="00100776">
              <w:rPr>
                <w:lang w:val="en-GB"/>
              </w:rPr>
              <w:t xml:space="preserve">  </w:t>
            </w:r>
            <w:r w:rsidR="00A234E6" w:rsidRPr="00100776">
              <w:rPr>
                <w:lang w:val="en-GB"/>
              </w:rPr>
              <w:t>Western music ensemble</w:t>
            </w:r>
          </w:p>
        </w:tc>
        <w:tc>
          <w:tcPr>
            <w:tcW w:w="1554" w:type="dxa"/>
            <w:tcBorders>
              <w:top w:val="nil"/>
              <w:bottom w:val="nil"/>
            </w:tcBorders>
          </w:tcPr>
          <w:p w14:paraId="007C15EB" w14:textId="4FF050EA" w:rsidR="009B1CEA" w:rsidRPr="00100776" w:rsidRDefault="0007142E" w:rsidP="004241DB">
            <w:pPr>
              <w:pStyle w:val="NoSpacing"/>
              <w:jc w:val="center"/>
              <w:rPr>
                <w:lang w:val="en-GB"/>
              </w:rPr>
            </w:pPr>
            <w:r w:rsidRPr="00100776">
              <w:rPr>
                <w:lang w:val="en-GB"/>
              </w:rPr>
              <w:t>81</w:t>
            </w:r>
          </w:p>
        </w:tc>
        <w:tc>
          <w:tcPr>
            <w:tcW w:w="1264" w:type="dxa"/>
            <w:tcBorders>
              <w:top w:val="nil"/>
              <w:bottom w:val="nil"/>
            </w:tcBorders>
          </w:tcPr>
          <w:p w14:paraId="33619391" w14:textId="6E58F58B" w:rsidR="009B1CEA" w:rsidRPr="00100776" w:rsidRDefault="00734634" w:rsidP="004241DB">
            <w:pPr>
              <w:pStyle w:val="NoSpacing"/>
              <w:jc w:val="center"/>
              <w:rPr>
                <w:lang w:val="en-GB"/>
              </w:rPr>
            </w:pPr>
            <w:r w:rsidRPr="00100776">
              <w:rPr>
                <w:lang w:val="en-GB"/>
              </w:rPr>
              <w:t>66.94%</w:t>
            </w:r>
          </w:p>
        </w:tc>
      </w:tr>
      <w:tr w:rsidR="00A234E6" w:rsidRPr="00100776" w14:paraId="3189AE5B" w14:textId="77777777" w:rsidTr="006B507A">
        <w:tc>
          <w:tcPr>
            <w:tcW w:w="5812" w:type="dxa"/>
            <w:tcBorders>
              <w:top w:val="nil"/>
              <w:bottom w:val="nil"/>
            </w:tcBorders>
          </w:tcPr>
          <w:p w14:paraId="4BEA5A3D" w14:textId="16EBC1EB" w:rsidR="00A234E6" w:rsidRPr="00100776" w:rsidRDefault="00385C4F" w:rsidP="00F6420D">
            <w:pPr>
              <w:pStyle w:val="NoSpacing"/>
              <w:rPr>
                <w:lang w:val="en-GB"/>
              </w:rPr>
            </w:pPr>
            <w:r w:rsidRPr="00100776">
              <w:rPr>
                <w:lang w:val="en-GB"/>
              </w:rPr>
              <w:t xml:space="preserve">  </w:t>
            </w:r>
            <w:r w:rsidR="00A234E6" w:rsidRPr="00100776">
              <w:rPr>
                <w:lang w:val="en-GB"/>
              </w:rPr>
              <w:t>Chinese music ensemble</w:t>
            </w:r>
          </w:p>
        </w:tc>
        <w:tc>
          <w:tcPr>
            <w:tcW w:w="1554" w:type="dxa"/>
            <w:tcBorders>
              <w:top w:val="nil"/>
              <w:bottom w:val="nil"/>
            </w:tcBorders>
          </w:tcPr>
          <w:p w14:paraId="7894BCE3" w14:textId="76E50A71" w:rsidR="00A234E6" w:rsidRPr="00100776" w:rsidRDefault="0007142E" w:rsidP="004241DB">
            <w:pPr>
              <w:pStyle w:val="NoSpacing"/>
              <w:jc w:val="center"/>
              <w:rPr>
                <w:lang w:val="en-GB"/>
              </w:rPr>
            </w:pPr>
            <w:r w:rsidRPr="00100776">
              <w:rPr>
                <w:lang w:val="en-GB"/>
              </w:rPr>
              <w:t>22</w:t>
            </w:r>
          </w:p>
        </w:tc>
        <w:tc>
          <w:tcPr>
            <w:tcW w:w="1264" w:type="dxa"/>
            <w:tcBorders>
              <w:top w:val="nil"/>
              <w:bottom w:val="nil"/>
            </w:tcBorders>
          </w:tcPr>
          <w:p w14:paraId="7D1F36E3" w14:textId="05785927" w:rsidR="00734634" w:rsidRPr="00100776" w:rsidRDefault="00734634" w:rsidP="00734634">
            <w:pPr>
              <w:pStyle w:val="NoSpacing"/>
              <w:jc w:val="center"/>
              <w:rPr>
                <w:lang w:val="en-GB"/>
              </w:rPr>
            </w:pPr>
            <w:r w:rsidRPr="00100776">
              <w:rPr>
                <w:lang w:val="en-GB"/>
              </w:rPr>
              <w:t>18.18%</w:t>
            </w:r>
          </w:p>
        </w:tc>
      </w:tr>
      <w:tr w:rsidR="00DA3863" w:rsidRPr="00100776" w14:paraId="5C1F9671" w14:textId="77777777" w:rsidTr="00DA3863">
        <w:tc>
          <w:tcPr>
            <w:tcW w:w="5812" w:type="dxa"/>
            <w:tcBorders>
              <w:top w:val="nil"/>
            </w:tcBorders>
          </w:tcPr>
          <w:p w14:paraId="23E6357F" w14:textId="3AC1DF3B" w:rsidR="00DA3863" w:rsidRPr="00100776" w:rsidRDefault="00385C4F" w:rsidP="00DA3863">
            <w:pPr>
              <w:pStyle w:val="NoSpacing"/>
              <w:rPr>
                <w:lang w:val="en-GB"/>
              </w:rPr>
            </w:pPr>
            <w:r w:rsidRPr="00100776">
              <w:rPr>
                <w:lang w:val="en-GB"/>
              </w:rPr>
              <w:t xml:space="preserve">  </w:t>
            </w:r>
            <w:r w:rsidR="00DA3863" w:rsidRPr="00100776">
              <w:rPr>
                <w:lang w:val="en-GB"/>
              </w:rPr>
              <w:t>None (including choral ensemble)</w:t>
            </w:r>
          </w:p>
        </w:tc>
        <w:tc>
          <w:tcPr>
            <w:tcW w:w="1554" w:type="dxa"/>
            <w:tcBorders>
              <w:top w:val="nil"/>
            </w:tcBorders>
          </w:tcPr>
          <w:p w14:paraId="519EFFD5" w14:textId="0806EAF5" w:rsidR="00DA3863" w:rsidRPr="00100776" w:rsidRDefault="00DA3863" w:rsidP="00DA3863">
            <w:pPr>
              <w:pStyle w:val="NoSpacing"/>
              <w:jc w:val="center"/>
              <w:rPr>
                <w:lang w:val="en-GB"/>
              </w:rPr>
            </w:pPr>
            <w:r w:rsidRPr="00100776">
              <w:rPr>
                <w:lang w:val="en-GB"/>
              </w:rPr>
              <w:t>10</w:t>
            </w:r>
          </w:p>
        </w:tc>
        <w:tc>
          <w:tcPr>
            <w:tcW w:w="1264" w:type="dxa"/>
            <w:tcBorders>
              <w:top w:val="nil"/>
            </w:tcBorders>
          </w:tcPr>
          <w:p w14:paraId="5BC97F25" w14:textId="2D8E9626" w:rsidR="00DA3863" w:rsidRPr="00100776" w:rsidRDefault="00DA3863" w:rsidP="00DA3863">
            <w:pPr>
              <w:pStyle w:val="NoSpacing"/>
              <w:jc w:val="center"/>
              <w:rPr>
                <w:lang w:val="en-GB"/>
              </w:rPr>
            </w:pPr>
            <w:r w:rsidRPr="00100776">
              <w:rPr>
                <w:lang w:val="en-GB"/>
              </w:rPr>
              <w:t>8.26%</w:t>
            </w:r>
          </w:p>
        </w:tc>
      </w:tr>
    </w:tbl>
    <w:p w14:paraId="25330236" w14:textId="5A60FC4B" w:rsidR="009B1CEA" w:rsidRPr="00100776" w:rsidRDefault="009B1CEA" w:rsidP="00F6420D">
      <w:pPr>
        <w:pStyle w:val="NoSpacing"/>
        <w:rPr>
          <w:lang w:val="en-GB"/>
        </w:rPr>
      </w:pPr>
    </w:p>
    <w:p w14:paraId="6526146B" w14:textId="73593571" w:rsidR="000C6AEF" w:rsidRPr="00100776" w:rsidRDefault="00723157" w:rsidP="00F6420D">
      <w:pPr>
        <w:pStyle w:val="NoSpacing"/>
        <w:rPr>
          <w:i/>
          <w:iCs/>
          <w:lang w:val="en-GB"/>
        </w:rPr>
      </w:pPr>
      <w:r w:rsidRPr="00100776">
        <w:rPr>
          <w:i/>
          <w:iCs/>
          <w:lang w:val="en-GB"/>
        </w:rPr>
        <w:t xml:space="preserve">Priority </w:t>
      </w:r>
      <w:r w:rsidR="00033C35" w:rsidRPr="00100776">
        <w:rPr>
          <w:i/>
          <w:iCs/>
          <w:lang w:val="en-GB"/>
        </w:rPr>
        <w:t>of study</w:t>
      </w:r>
    </w:p>
    <w:p w14:paraId="3750E6F0" w14:textId="77777777" w:rsidR="000C6AEF" w:rsidRPr="00100776" w:rsidRDefault="000C6AEF" w:rsidP="00F6420D">
      <w:pPr>
        <w:pStyle w:val="NoSpacing"/>
        <w:rPr>
          <w:lang w:val="en-GB"/>
        </w:rPr>
      </w:pPr>
    </w:p>
    <w:p w14:paraId="647FE6B4" w14:textId="41D9F9EF" w:rsidR="001F00C3" w:rsidRPr="00100776" w:rsidRDefault="00566CBA" w:rsidP="00706750">
      <w:pPr>
        <w:pStyle w:val="NoSpacing"/>
        <w:rPr>
          <w:lang w:val="en-GB"/>
        </w:rPr>
      </w:pPr>
      <w:r w:rsidRPr="00100776">
        <w:rPr>
          <w:lang w:val="en-GB"/>
        </w:rPr>
        <w:t xml:space="preserve">Participants were asked to rank </w:t>
      </w:r>
      <w:r w:rsidR="00926E8D" w:rsidRPr="00100776">
        <w:rPr>
          <w:lang w:val="en-GB"/>
        </w:rPr>
        <w:t>the</w:t>
      </w:r>
      <w:r w:rsidR="00E83D39" w:rsidRPr="00100776">
        <w:rPr>
          <w:lang w:val="en-GB"/>
        </w:rPr>
        <w:t>ir</w:t>
      </w:r>
      <w:r w:rsidRPr="00100776">
        <w:rPr>
          <w:lang w:val="en-GB"/>
        </w:rPr>
        <w:t xml:space="preserve"> priorities </w:t>
      </w:r>
      <w:r w:rsidR="000D2DBA" w:rsidRPr="00100776">
        <w:rPr>
          <w:lang w:val="en-GB"/>
        </w:rPr>
        <w:t>based on</w:t>
      </w:r>
      <w:r w:rsidRPr="00100776">
        <w:rPr>
          <w:lang w:val="en-GB"/>
        </w:rPr>
        <w:t xml:space="preserve"> the core and elective subjects that they </w:t>
      </w:r>
      <w:r w:rsidR="00F25974" w:rsidRPr="00100776">
        <w:rPr>
          <w:lang w:val="en-GB"/>
        </w:rPr>
        <w:t xml:space="preserve">were </w:t>
      </w:r>
      <w:r w:rsidR="00E36A74" w:rsidRPr="00100776">
        <w:rPr>
          <w:lang w:val="en-GB"/>
        </w:rPr>
        <w:t xml:space="preserve">studying. </w:t>
      </w:r>
      <w:r w:rsidR="00534015" w:rsidRPr="00100776">
        <w:rPr>
          <w:lang w:val="en-GB"/>
        </w:rPr>
        <w:t>The ranking</w:t>
      </w:r>
      <w:r w:rsidR="00337E32" w:rsidRPr="00100776">
        <w:rPr>
          <w:lang w:val="en-GB"/>
        </w:rPr>
        <w:t>s</w:t>
      </w:r>
      <w:r w:rsidR="00534015" w:rsidRPr="00100776">
        <w:rPr>
          <w:lang w:val="en-GB"/>
        </w:rPr>
        <w:t xml:space="preserve"> </w:t>
      </w:r>
      <w:r w:rsidR="00F25974" w:rsidRPr="00100776">
        <w:rPr>
          <w:lang w:val="en-GB"/>
        </w:rPr>
        <w:t xml:space="preserve">were </w:t>
      </w:r>
      <w:r w:rsidR="00534015" w:rsidRPr="00100776">
        <w:rPr>
          <w:lang w:val="en-GB"/>
        </w:rPr>
        <w:t xml:space="preserve">converted into </w:t>
      </w:r>
      <w:r w:rsidR="00337E32" w:rsidRPr="00100776">
        <w:rPr>
          <w:lang w:val="en-GB"/>
        </w:rPr>
        <w:t xml:space="preserve">weighted scores and </w:t>
      </w:r>
      <w:r w:rsidR="00F25974" w:rsidRPr="00100776">
        <w:rPr>
          <w:lang w:val="en-GB"/>
        </w:rPr>
        <w:t xml:space="preserve">are </w:t>
      </w:r>
      <w:r w:rsidR="00337E32" w:rsidRPr="00100776">
        <w:rPr>
          <w:lang w:val="en-GB"/>
        </w:rPr>
        <w:t xml:space="preserve">presented in Table </w:t>
      </w:r>
      <w:r w:rsidR="00A730B8" w:rsidRPr="00100776">
        <w:rPr>
          <w:lang w:val="en-GB"/>
        </w:rPr>
        <w:t>3</w:t>
      </w:r>
      <w:r w:rsidR="00F01F1F" w:rsidRPr="00100776">
        <w:rPr>
          <w:lang w:val="en-GB"/>
        </w:rPr>
        <w:t xml:space="preserve">. </w:t>
      </w:r>
      <w:r w:rsidR="00E201A8" w:rsidRPr="00100776">
        <w:rPr>
          <w:lang w:val="en-GB"/>
        </w:rPr>
        <w:t xml:space="preserve">Descriptive analysis shows that </w:t>
      </w:r>
      <w:r w:rsidR="00605A2D" w:rsidRPr="00100776">
        <w:rPr>
          <w:lang w:val="en-GB"/>
        </w:rPr>
        <w:t>participants ranked</w:t>
      </w:r>
      <w:r w:rsidR="00F25974" w:rsidRPr="00100776">
        <w:rPr>
          <w:lang w:val="en-GB"/>
        </w:rPr>
        <w:t xml:space="preserve"> the</w:t>
      </w:r>
      <w:r w:rsidR="00605A2D" w:rsidRPr="00100776">
        <w:rPr>
          <w:lang w:val="en-GB"/>
        </w:rPr>
        <w:t xml:space="preserve"> core subjects</w:t>
      </w:r>
      <w:r w:rsidR="00AD1145" w:rsidRPr="00100776">
        <w:rPr>
          <w:lang w:val="en-GB"/>
        </w:rPr>
        <w:t xml:space="preserve"> (M = 0.15, SD = 0.034)</w:t>
      </w:r>
      <w:r w:rsidR="00605A2D" w:rsidRPr="00100776">
        <w:rPr>
          <w:lang w:val="en-GB"/>
        </w:rPr>
        <w:t xml:space="preserve"> </w:t>
      </w:r>
      <w:r w:rsidR="00F25974" w:rsidRPr="00100776">
        <w:rPr>
          <w:lang w:val="en-GB"/>
        </w:rPr>
        <w:t>higher</w:t>
      </w:r>
      <w:r w:rsidR="00605A2D" w:rsidRPr="00100776">
        <w:rPr>
          <w:lang w:val="en-GB"/>
        </w:rPr>
        <w:t xml:space="preserve"> than music</w:t>
      </w:r>
      <w:r w:rsidR="00AD1145" w:rsidRPr="00100776">
        <w:rPr>
          <w:lang w:val="en-GB"/>
        </w:rPr>
        <w:t xml:space="preserve"> (M = 0.13, SD = 0.085)</w:t>
      </w:r>
      <w:r w:rsidR="00F25974" w:rsidRPr="00100776">
        <w:rPr>
          <w:lang w:val="en-GB"/>
        </w:rPr>
        <w:t xml:space="preserve"> (</w:t>
      </w:r>
      <w:r w:rsidR="00605A2D" w:rsidRPr="00100776">
        <w:rPr>
          <w:lang w:val="en-GB"/>
        </w:rPr>
        <w:t xml:space="preserve">Liberal Studies </w:t>
      </w:r>
      <w:proofErr w:type="gramStart"/>
      <w:r w:rsidR="00F25974" w:rsidRPr="00100776">
        <w:rPr>
          <w:lang w:val="en-GB"/>
        </w:rPr>
        <w:t xml:space="preserve">actually </w:t>
      </w:r>
      <w:r w:rsidR="005802F8" w:rsidRPr="00100776">
        <w:rPr>
          <w:lang w:val="en-GB"/>
        </w:rPr>
        <w:t>ranked</w:t>
      </w:r>
      <w:proofErr w:type="gramEnd"/>
      <w:r w:rsidR="005802F8" w:rsidRPr="00100776">
        <w:rPr>
          <w:lang w:val="en-GB"/>
        </w:rPr>
        <w:t xml:space="preserve"> </w:t>
      </w:r>
      <w:r w:rsidR="00F25974" w:rsidRPr="00100776">
        <w:rPr>
          <w:lang w:val="en-GB"/>
        </w:rPr>
        <w:t xml:space="preserve">the </w:t>
      </w:r>
      <w:r w:rsidR="005802F8" w:rsidRPr="00100776">
        <w:rPr>
          <w:lang w:val="en-GB"/>
        </w:rPr>
        <w:t>lowest among</w:t>
      </w:r>
      <w:r w:rsidR="00F25974" w:rsidRPr="00100776">
        <w:rPr>
          <w:lang w:val="en-GB"/>
        </w:rPr>
        <w:t>st</w:t>
      </w:r>
      <w:r w:rsidR="005802F8" w:rsidRPr="00100776">
        <w:rPr>
          <w:lang w:val="en-GB"/>
        </w:rPr>
        <w:t xml:space="preserve"> all subjects</w:t>
      </w:r>
      <w:r w:rsidR="00F25974" w:rsidRPr="00100776">
        <w:rPr>
          <w:lang w:val="en-GB"/>
        </w:rPr>
        <w:t xml:space="preserve">, but it </w:t>
      </w:r>
      <w:r w:rsidR="005802F8" w:rsidRPr="00100776">
        <w:rPr>
          <w:lang w:val="en-GB"/>
        </w:rPr>
        <w:t xml:space="preserve">will </w:t>
      </w:r>
      <w:r w:rsidR="00605A2D" w:rsidRPr="00100776">
        <w:rPr>
          <w:lang w:val="en-GB"/>
        </w:rPr>
        <w:t>soon be replaced (</w:t>
      </w:r>
      <w:r w:rsidR="00072793" w:rsidRPr="00100776">
        <w:rPr>
          <w:lang w:val="en-GB"/>
        </w:rPr>
        <w:t>Chan et al., 2021</w:t>
      </w:r>
      <w:r w:rsidR="00605A2D" w:rsidRPr="00100776">
        <w:rPr>
          <w:lang w:val="en-GB"/>
        </w:rPr>
        <w:t>)</w:t>
      </w:r>
      <w:r w:rsidR="00F25974" w:rsidRPr="00100776">
        <w:rPr>
          <w:lang w:val="en-GB"/>
        </w:rPr>
        <w:t>)</w:t>
      </w:r>
      <w:r w:rsidR="00AC7D55" w:rsidRPr="00100776">
        <w:rPr>
          <w:lang w:val="en-GB"/>
        </w:rPr>
        <w:t xml:space="preserve">; music </w:t>
      </w:r>
      <w:r w:rsidR="00F25974" w:rsidRPr="00100776">
        <w:rPr>
          <w:lang w:val="en-GB"/>
        </w:rPr>
        <w:t xml:space="preserve">actually scored similarly to </w:t>
      </w:r>
      <w:r w:rsidR="00AD1145" w:rsidRPr="00100776">
        <w:rPr>
          <w:lang w:val="en-GB"/>
        </w:rPr>
        <w:t xml:space="preserve">other elective subjects </w:t>
      </w:r>
      <w:r w:rsidR="00F25974" w:rsidRPr="00100776">
        <w:rPr>
          <w:lang w:val="en-GB"/>
        </w:rPr>
        <w:t>o</w:t>
      </w:r>
      <w:r w:rsidR="00AD1145" w:rsidRPr="00100776">
        <w:rPr>
          <w:lang w:val="en-GB"/>
        </w:rPr>
        <w:t>n average (M = 0.13, SD = 0.056).</w:t>
      </w:r>
      <w:r w:rsidR="00926E8D" w:rsidRPr="00100776">
        <w:rPr>
          <w:lang w:val="en-GB"/>
        </w:rPr>
        <w:t xml:space="preserve"> </w:t>
      </w:r>
      <w:r w:rsidR="00706750" w:rsidRPr="00100776">
        <w:rPr>
          <w:lang w:val="en-GB"/>
        </w:rPr>
        <w:t xml:space="preserve">Bivariate analysis </w:t>
      </w:r>
      <w:r w:rsidR="00926E8D" w:rsidRPr="00100776">
        <w:rPr>
          <w:lang w:val="en-GB"/>
        </w:rPr>
        <w:t xml:space="preserve">was </w:t>
      </w:r>
      <w:r w:rsidR="00F25974" w:rsidRPr="00100776">
        <w:rPr>
          <w:lang w:val="en-GB"/>
        </w:rPr>
        <w:t xml:space="preserve">then </w:t>
      </w:r>
      <w:r w:rsidR="00926E8D" w:rsidRPr="00100776">
        <w:rPr>
          <w:lang w:val="en-GB"/>
        </w:rPr>
        <w:t>conducted</w:t>
      </w:r>
      <w:r w:rsidR="00F25974" w:rsidRPr="00100776">
        <w:rPr>
          <w:lang w:val="en-GB"/>
        </w:rPr>
        <w:t xml:space="preserve"> in a bid to examine</w:t>
      </w:r>
      <w:r w:rsidR="00926E8D" w:rsidRPr="00100776">
        <w:rPr>
          <w:lang w:val="en-GB"/>
        </w:rPr>
        <w:t xml:space="preserve"> the </w:t>
      </w:r>
      <w:r w:rsidR="00706750" w:rsidRPr="00100776">
        <w:rPr>
          <w:lang w:val="en-GB"/>
        </w:rPr>
        <w:t>effect of</w:t>
      </w:r>
      <w:r w:rsidR="00926E8D" w:rsidRPr="00100776">
        <w:rPr>
          <w:lang w:val="en-GB"/>
        </w:rPr>
        <w:t xml:space="preserve"> participants’ </w:t>
      </w:r>
      <w:r w:rsidR="00F25974" w:rsidRPr="00100776">
        <w:rPr>
          <w:lang w:val="en-GB"/>
        </w:rPr>
        <w:t xml:space="preserve">study </w:t>
      </w:r>
      <w:r w:rsidR="00926E8D" w:rsidRPr="00100776">
        <w:rPr>
          <w:lang w:val="en-GB"/>
        </w:rPr>
        <w:t>priorit</w:t>
      </w:r>
      <w:r w:rsidR="00F25974" w:rsidRPr="00100776">
        <w:rPr>
          <w:lang w:val="en-GB"/>
        </w:rPr>
        <w:t>ies</w:t>
      </w:r>
      <w:r w:rsidR="00926E8D" w:rsidRPr="00100776">
        <w:rPr>
          <w:lang w:val="en-GB"/>
        </w:rPr>
        <w:t xml:space="preserve"> on their interest </w:t>
      </w:r>
      <w:r w:rsidR="00F25974" w:rsidRPr="00100776">
        <w:rPr>
          <w:lang w:val="en-GB"/>
        </w:rPr>
        <w:t xml:space="preserve">in, </w:t>
      </w:r>
      <w:r w:rsidR="00926E8D" w:rsidRPr="00100776">
        <w:rPr>
          <w:lang w:val="en-GB"/>
        </w:rPr>
        <w:t>and perceived difficulties of</w:t>
      </w:r>
      <w:r w:rsidR="00F25974" w:rsidRPr="00100776">
        <w:rPr>
          <w:lang w:val="en-GB"/>
        </w:rPr>
        <w:t>,</w:t>
      </w:r>
      <w:r w:rsidR="00926E8D" w:rsidRPr="00100776">
        <w:rPr>
          <w:lang w:val="en-GB"/>
        </w:rPr>
        <w:t xml:space="preserve"> music </w:t>
      </w:r>
      <w:r w:rsidR="00F25974" w:rsidRPr="00100776">
        <w:rPr>
          <w:lang w:val="en-GB"/>
        </w:rPr>
        <w:t xml:space="preserve">as a </w:t>
      </w:r>
      <w:r w:rsidR="00926E8D" w:rsidRPr="00100776">
        <w:rPr>
          <w:lang w:val="en-GB"/>
        </w:rPr>
        <w:t>subject</w:t>
      </w:r>
      <w:r w:rsidR="008D54FF" w:rsidRPr="00100776">
        <w:rPr>
          <w:lang w:val="en-GB"/>
        </w:rPr>
        <w:t xml:space="preserve"> (Table </w:t>
      </w:r>
      <w:r w:rsidR="00A730B8" w:rsidRPr="00100776">
        <w:rPr>
          <w:lang w:val="en-GB"/>
        </w:rPr>
        <w:t>4</w:t>
      </w:r>
      <w:r w:rsidR="008D54FF" w:rsidRPr="00100776">
        <w:rPr>
          <w:lang w:val="en-GB"/>
        </w:rPr>
        <w:t>)</w:t>
      </w:r>
      <w:r w:rsidR="00926E8D" w:rsidRPr="00100776">
        <w:rPr>
          <w:lang w:val="en-GB"/>
        </w:rPr>
        <w:t xml:space="preserve">. </w:t>
      </w:r>
      <w:r w:rsidR="005F486A" w:rsidRPr="00100776">
        <w:rPr>
          <w:lang w:val="en-GB"/>
        </w:rPr>
        <w:t xml:space="preserve">There was </w:t>
      </w:r>
      <w:r w:rsidR="00F25974" w:rsidRPr="00100776">
        <w:rPr>
          <w:lang w:val="en-GB"/>
        </w:rPr>
        <w:t xml:space="preserve">a </w:t>
      </w:r>
      <w:r w:rsidR="005F486A" w:rsidRPr="00100776">
        <w:rPr>
          <w:lang w:val="en-GB"/>
        </w:rPr>
        <w:t>significant relationship between participants’ weighted score</w:t>
      </w:r>
      <w:r w:rsidR="002D38F6" w:rsidRPr="00100776">
        <w:rPr>
          <w:lang w:val="en-GB"/>
        </w:rPr>
        <w:t>s</w:t>
      </w:r>
      <w:r w:rsidR="005F486A" w:rsidRPr="00100776">
        <w:rPr>
          <w:lang w:val="en-GB"/>
        </w:rPr>
        <w:t xml:space="preserve"> </w:t>
      </w:r>
      <w:r w:rsidR="00F25974" w:rsidRPr="00100776">
        <w:rPr>
          <w:lang w:val="en-GB"/>
        </w:rPr>
        <w:t>based on</w:t>
      </w:r>
      <w:r w:rsidR="005F486A" w:rsidRPr="00100776">
        <w:rPr>
          <w:lang w:val="en-GB"/>
        </w:rPr>
        <w:t xml:space="preserve"> priority and </w:t>
      </w:r>
      <w:r w:rsidR="002D38F6" w:rsidRPr="00100776">
        <w:rPr>
          <w:lang w:val="en-GB"/>
        </w:rPr>
        <w:t>interest</w:t>
      </w:r>
      <w:r w:rsidR="00485B7D" w:rsidRPr="00100776">
        <w:rPr>
          <w:lang w:val="en-GB"/>
        </w:rPr>
        <w:t xml:space="preserve"> (r = .</w:t>
      </w:r>
      <w:r w:rsidR="00B043F0" w:rsidRPr="00100776">
        <w:rPr>
          <w:lang w:val="en-GB"/>
        </w:rPr>
        <w:t>473</w:t>
      </w:r>
      <w:r w:rsidR="00485B7D" w:rsidRPr="00100776">
        <w:rPr>
          <w:lang w:val="en-GB"/>
        </w:rPr>
        <w:t xml:space="preserve">, </w:t>
      </w:r>
      <w:r w:rsidR="00485B7D" w:rsidRPr="00100776">
        <w:rPr>
          <w:i/>
          <w:iCs/>
          <w:lang w:val="en-GB"/>
        </w:rPr>
        <w:t>p</w:t>
      </w:r>
      <w:r w:rsidR="00485B7D" w:rsidRPr="00100776">
        <w:rPr>
          <w:lang w:val="en-GB"/>
        </w:rPr>
        <w:t xml:space="preserve"> &lt; .001)</w:t>
      </w:r>
      <w:r w:rsidR="001F1CE8" w:rsidRPr="00100776">
        <w:rPr>
          <w:lang w:val="en-GB"/>
        </w:rPr>
        <w:t xml:space="preserve">, </w:t>
      </w:r>
      <w:r w:rsidR="00B27EFD" w:rsidRPr="00100776">
        <w:rPr>
          <w:lang w:val="en-GB"/>
        </w:rPr>
        <w:t xml:space="preserve">in which </w:t>
      </w:r>
      <w:r w:rsidR="00F25974" w:rsidRPr="00100776">
        <w:rPr>
          <w:lang w:val="en-GB"/>
        </w:rPr>
        <w:t xml:space="preserve">the </w:t>
      </w:r>
      <w:r w:rsidR="00B27EFD" w:rsidRPr="00100776">
        <w:rPr>
          <w:lang w:val="en-GB"/>
        </w:rPr>
        <w:t xml:space="preserve">Pearson correlation coefficient revealed a </w:t>
      </w:r>
      <w:r w:rsidR="008D54FF" w:rsidRPr="00100776">
        <w:rPr>
          <w:lang w:val="en-GB"/>
        </w:rPr>
        <w:t>medium and</w:t>
      </w:r>
      <w:r w:rsidR="00F25974" w:rsidRPr="00100776">
        <w:rPr>
          <w:lang w:val="en-GB"/>
        </w:rPr>
        <w:t xml:space="preserve"> a</w:t>
      </w:r>
      <w:r w:rsidR="008D54FF" w:rsidRPr="00100776">
        <w:rPr>
          <w:lang w:val="en-GB"/>
        </w:rPr>
        <w:t xml:space="preserve"> positive</w:t>
      </w:r>
      <w:r w:rsidR="00B27EFD" w:rsidRPr="00100776">
        <w:rPr>
          <w:lang w:val="en-GB"/>
        </w:rPr>
        <w:t xml:space="preserve"> relationship. No significant relationship</w:t>
      </w:r>
      <w:r w:rsidR="00C63C5F" w:rsidRPr="00100776">
        <w:rPr>
          <w:lang w:val="en-GB"/>
        </w:rPr>
        <w:t>s</w:t>
      </w:r>
      <w:r w:rsidR="00B27EFD" w:rsidRPr="00100776">
        <w:rPr>
          <w:lang w:val="en-GB"/>
        </w:rPr>
        <w:t xml:space="preserve"> </w:t>
      </w:r>
      <w:r w:rsidR="00C63C5F" w:rsidRPr="00100776">
        <w:rPr>
          <w:lang w:val="en-GB"/>
        </w:rPr>
        <w:t>were</w:t>
      </w:r>
      <w:r w:rsidR="00B27EFD" w:rsidRPr="00100776">
        <w:rPr>
          <w:lang w:val="en-GB"/>
        </w:rPr>
        <w:t xml:space="preserve"> found between study priority and perceived</w:t>
      </w:r>
      <w:r w:rsidR="001F1CE8" w:rsidRPr="00100776">
        <w:rPr>
          <w:lang w:val="en-GB"/>
        </w:rPr>
        <w:t xml:space="preserve"> difficulty (r = -1.26, </w:t>
      </w:r>
      <w:r w:rsidR="001F1CE8" w:rsidRPr="00100776">
        <w:rPr>
          <w:i/>
          <w:iCs/>
          <w:lang w:val="en-GB"/>
        </w:rPr>
        <w:t>p</w:t>
      </w:r>
      <w:r w:rsidR="001F1CE8" w:rsidRPr="00100776">
        <w:rPr>
          <w:lang w:val="en-GB"/>
        </w:rPr>
        <w:t xml:space="preserve"> = .473)</w:t>
      </w:r>
      <w:r w:rsidR="00F25974" w:rsidRPr="00100776">
        <w:rPr>
          <w:lang w:val="en-GB"/>
        </w:rPr>
        <w:t>; this also applied to</w:t>
      </w:r>
      <w:r w:rsidR="00C63C5F" w:rsidRPr="00100776">
        <w:rPr>
          <w:lang w:val="en-GB"/>
        </w:rPr>
        <w:t xml:space="preserve"> interest and perceived difficulty (r = -.032, </w:t>
      </w:r>
      <w:r w:rsidR="00C63C5F" w:rsidRPr="00100776">
        <w:rPr>
          <w:i/>
          <w:iCs/>
          <w:lang w:val="en-GB"/>
        </w:rPr>
        <w:t>p</w:t>
      </w:r>
      <w:r w:rsidR="00C63C5F" w:rsidRPr="00100776">
        <w:rPr>
          <w:lang w:val="en-GB"/>
        </w:rPr>
        <w:t xml:space="preserve"> = .727)</w:t>
      </w:r>
      <w:r w:rsidR="001F1CE8" w:rsidRPr="00100776">
        <w:rPr>
          <w:lang w:val="en-GB"/>
        </w:rPr>
        <w:t xml:space="preserve">. </w:t>
      </w:r>
    </w:p>
    <w:p w14:paraId="69CEFC1B" w14:textId="77777777" w:rsidR="00566CBA" w:rsidRPr="00100776" w:rsidRDefault="00566CBA" w:rsidP="00F6420D">
      <w:pPr>
        <w:pStyle w:val="NoSpacing"/>
        <w:rPr>
          <w:lang w:val="en-GB"/>
        </w:rPr>
      </w:pPr>
    </w:p>
    <w:p w14:paraId="31E09571" w14:textId="4B75C564" w:rsidR="00596937" w:rsidRPr="00100776" w:rsidRDefault="00596937" w:rsidP="00F6420D">
      <w:pPr>
        <w:pStyle w:val="NoSpacing"/>
        <w:rPr>
          <w:lang w:val="en-GB"/>
        </w:rPr>
      </w:pPr>
      <w:r w:rsidRPr="00100776">
        <w:rPr>
          <w:lang w:val="en-GB"/>
        </w:rPr>
        <w:t xml:space="preserve">Table </w:t>
      </w:r>
      <w:r w:rsidR="00A730B8" w:rsidRPr="00100776">
        <w:rPr>
          <w:lang w:val="en-GB"/>
        </w:rPr>
        <w:t>3</w:t>
      </w:r>
      <w:r w:rsidRPr="00100776">
        <w:rPr>
          <w:lang w:val="en-GB"/>
        </w:rPr>
        <w:t>. Weighted score</w:t>
      </w:r>
      <w:r w:rsidR="00F25974" w:rsidRPr="00100776">
        <w:rPr>
          <w:lang w:val="en-GB"/>
        </w:rPr>
        <w:t>s</w:t>
      </w:r>
      <w:r w:rsidRPr="00100776">
        <w:rPr>
          <w:lang w:val="en-GB"/>
        </w:rPr>
        <w:t xml:space="preserve"> for </w:t>
      </w:r>
      <w:r w:rsidR="00F25974" w:rsidRPr="00100776">
        <w:rPr>
          <w:lang w:val="en-GB"/>
        </w:rPr>
        <w:t xml:space="preserve">participants’ </w:t>
      </w:r>
      <w:r w:rsidRPr="00100776">
        <w:rPr>
          <w:lang w:val="en-GB"/>
        </w:rPr>
        <w:t xml:space="preserve">ranked priorities </w:t>
      </w:r>
      <w:r w:rsidR="00F25974" w:rsidRPr="00100776">
        <w:rPr>
          <w:lang w:val="en-GB"/>
        </w:rPr>
        <w:t>of</w:t>
      </w:r>
      <w:r w:rsidRPr="00100776">
        <w:rPr>
          <w:lang w:val="en-GB"/>
        </w:rPr>
        <w:t xml:space="preserve"> subjects</w:t>
      </w:r>
      <w:r w:rsidR="00DB37EB" w:rsidRPr="00100776">
        <w:rPr>
          <w:lang w:val="en-GB"/>
        </w:rPr>
        <w:t xml:space="preserve"> </w:t>
      </w:r>
      <w:r w:rsidR="00F25974" w:rsidRPr="00100776">
        <w:rPr>
          <w:lang w:val="en-GB"/>
        </w:rPr>
        <w:t>studie</w:t>
      </w:r>
      <w:r w:rsidR="00FB2F35" w:rsidRPr="00100776">
        <w:rPr>
          <w:lang w:val="en-GB"/>
        </w:rPr>
        <w:t xml:space="preserve">d for the </w:t>
      </w:r>
      <w:r w:rsidR="00DB37EB" w:rsidRPr="00100776">
        <w:rPr>
          <w:lang w:val="en-GB"/>
        </w:rPr>
        <w:t>HKDSE</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5387"/>
        <w:gridCol w:w="1276"/>
        <w:gridCol w:w="1967"/>
      </w:tblGrid>
      <w:tr w:rsidR="0076358E" w:rsidRPr="00100776" w14:paraId="786475CE" w14:textId="77777777" w:rsidTr="00C11CA7">
        <w:tc>
          <w:tcPr>
            <w:tcW w:w="5387" w:type="dxa"/>
            <w:tcBorders>
              <w:bottom w:val="single" w:sz="4" w:space="0" w:color="auto"/>
            </w:tcBorders>
          </w:tcPr>
          <w:p w14:paraId="04C3F77C" w14:textId="77777777" w:rsidR="0076358E" w:rsidRPr="00100776" w:rsidRDefault="0076358E" w:rsidP="00F6420D">
            <w:pPr>
              <w:pStyle w:val="NoSpacing"/>
              <w:rPr>
                <w:lang w:val="en-GB"/>
              </w:rPr>
            </w:pPr>
          </w:p>
        </w:tc>
        <w:tc>
          <w:tcPr>
            <w:tcW w:w="1276" w:type="dxa"/>
            <w:tcBorders>
              <w:bottom w:val="single" w:sz="4" w:space="0" w:color="auto"/>
            </w:tcBorders>
          </w:tcPr>
          <w:p w14:paraId="6CFA10C8" w14:textId="542F168A" w:rsidR="0076358E" w:rsidRPr="00100776" w:rsidRDefault="0076358E" w:rsidP="00C11CA7">
            <w:pPr>
              <w:pStyle w:val="NoSpacing"/>
              <w:jc w:val="center"/>
              <w:rPr>
                <w:lang w:val="en-GB"/>
              </w:rPr>
            </w:pPr>
            <w:r w:rsidRPr="00100776">
              <w:rPr>
                <w:lang w:val="en-GB"/>
              </w:rPr>
              <w:t>Mean</w:t>
            </w:r>
          </w:p>
        </w:tc>
        <w:tc>
          <w:tcPr>
            <w:tcW w:w="1967" w:type="dxa"/>
            <w:tcBorders>
              <w:bottom w:val="single" w:sz="4" w:space="0" w:color="auto"/>
            </w:tcBorders>
          </w:tcPr>
          <w:p w14:paraId="5062C676" w14:textId="4455AFE9" w:rsidR="0076358E" w:rsidRPr="00100776" w:rsidRDefault="0076358E" w:rsidP="00C11CA7">
            <w:pPr>
              <w:pStyle w:val="NoSpacing"/>
              <w:jc w:val="center"/>
              <w:rPr>
                <w:lang w:val="en-GB"/>
              </w:rPr>
            </w:pPr>
            <w:r w:rsidRPr="00100776">
              <w:rPr>
                <w:lang w:val="en-GB"/>
              </w:rPr>
              <w:t>Standard Deviation</w:t>
            </w:r>
          </w:p>
        </w:tc>
      </w:tr>
      <w:tr w:rsidR="0076358E" w:rsidRPr="00100776" w14:paraId="0C3EC6F9" w14:textId="77777777" w:rsidTr="00C11CA7">
        <w:tc>
          <w:tcPr>
            <w:tcW w:w="5387" w:type="dxa"/>
            <w:tcBorders>
              <w:bottom w:val="nil"/>
            </w:tcBorders>
          </w:tcPr>
          <w:p w14:paraId="410850FA" w14:textId="6CAAC2CC" w:rsidR="0076358E" w:rsidRPr="00100776" w:rsidRDefault="0076358E" w:rsidP="00F6420D">
            <w:pPr>
              <w:pStyle w:val="NoSpacing"/>
              <w:rPr>
                <w:b/>
                <w:bCs/>
                <w:lang w:val="en-GB"/>
              </w:rPr>
            </w:pPr>
            <w:r w:rsidRPr="00100776">
              <w:rPr>
                <w:b/>
                <w:bCs/>
                <w:lang w:val="en-GB"/>
              </w:rPr>
              <w:t>Music</w:t>
            </w:r>
          </w:p>
        </w:tc>
        <w:tc>
          <w:tcPr>
            <w:tcW w:w="1276" w:type="dxa"/>
            <w:tcBorders>
              <w:bottom w:val="nil"/>
            </w:tcBorders>
          </w:tcPr>
          <w:p w14:paraId="77176B72" w14:textId="710B7C7A" w:rsidR="0076358E" w:rsidRPr="00100776" w:rsidRDefault="0076358E" w:rsidP="00C11CA7">
            <w:pPr>
              <w:pStyle w:val="NoSpacing"/>
              <w:jc w:val="center"/>
              <w:rPr>
                <w:lang w:val="en-GB"/>
              </w:rPr>
            </w:pPr>
            <w:r w:rsidRPr="00100776">
              <w:rPr>
                <w:lang w:val="en-GB"/>
              </w:rPr>
              <w:t>0.13</w:t>
            </w:r>
          </w:p>
        </w:tc>
        <w:tc>
          <w:tcPr>
            <w:tcW w:w="1967" w:type="dxa"/>
            <w:tcBorders>
              <w:bottom w:val="nil"/>
            </w:tcBorders>
          </w:tcPr>
          <w:p w14:paraId="5881F271" w14:textId="340F4547" w:rsidR="0076358E" w:rsidRPr="00100776" w:rsidRDefault="0076358E" w:rsidP="00C11CA7">
            <w:pPr>
              <w:pStyle w:val="NoSpacing"/>
              <w:jc w:val="center"/>
              <w:rPr>
                <w:lang w:val="en-GB"/>
              </w:rPr>
            </w:pPr>
            <w:r w:rsidRPr="00100776">
              <w:rPr>
                <w:lang w:val="en-GB"/>
              </w:rPr>
              <w:t>0.08</w:t>
            </w:r>
            <w:r w:rsidR="00C11CA7" w:rsidRPr="00100776">
              <w:rPr>
                <w:lang w:val="en-GB"/>
              </w:rPr>
              <w:t>5</w:t>
            </w:r>
          </w:p>
        </w:tc>
      </w:tr>
      <w:tr w:rsidR="0076358E" w:rsidRPr="00100776" w14:paraId="785F8DBA" w14:textId="77777777" w:rsidTr="00C11CA7">
        <w:tc>
          <w:tcPr>
            <w:tcW w:w="5387" w:type="dxa"/>
            <w:tcBorders>
              <w:top w:val="nil"/>
              <w:bottom w:val="nil"/>
            </w:tcBorders>
          </w:tcPr>
          <w:p w14:paraId="5F6403D7" w14:textId="40450741" w:rsidR="0076358E" w:rsidRPr="00100776" w:rsidRDefault="0076358E" w:rsidP="00F6420D">
            <w:pPr>
              <w:pStyle w:val="NoSpacing"/>
              <w:rPr>
                <w:b/>
                <w:bCs/>
                <w:lang w:val="en-GB"/>
              </w:rPr>
            </w:pPr>
            <w:r w:rsidRPr="00100776">
              <w:rPr>
                <w:b/>
                <w:bCs/>
                <w:lang w:val="en-GB"/>
              </w:rPr>
              <w:t>Core subjects</w:t>
            </w:r>
          </w:p>
        </w:tc>
        <w:tc>
          <w:tcPr>
            <w:tcW w:w="1276" w:type="dxa"/>
            <w:tcBorders>
              <w:top w:val="nil"/>
              <w:bottom w:val="nil"/>
            </w:tcBorders>
          </w:tcPr>
          <w:p w14:paraId="1AF43097" w14:textId="203DFACE" w:rsidR="0076358E" w:rsidRPr="00100776" w:rsidRDefault="0076358E" w:rsidP="00C11CA7">
            <w:pPr>
              <w:pStyle w:val="NoSpacing"/>
              <w:jc w:val="center"/>
              <w:rPr>
                <w:lang w:val="en-GB"/>
              </w:rPr>
            </w:pPr>
          </w:p>
        </w:tc>
        <w:tc>
          <w:tcPr>
            <w:tcW w:w="1967" w:type="dxa"/>
            <w:tcBorders>
              <w:top w:val="nil"/>
              <w:bottom w:val="nil"/>
            </w:tcBorders>
          </w:tcPr>
          <w:p w14:paraId="24F8D066" w14:textId="299A51B9" w:rsidR="0076358E" w:rsidRPr="00100776" w:rsidRDefault="0076358E" w:rsidP="00C11CA7">
            <w:pPr>
              <w:pStyle w:val="NoSpacing"/>
              <w:jc w:val="center"/>
              <w:rPr>
                <w:lang w:val="en-GB"/>
              </w:rPr>
            </w:pPr>
          </w:p>
        </w:tc>
      </w:tr>
      <w:tr w:rsidR="0076358E" w:rsidRPr="00100776" w14:paraId="337B0B6A" w14:textId="77777777" w:rsidTr="00C11CA7">
        <w:tc>
          <w:tcPr>
            <w:tcW w:w="5387" w:type="dxa"/>
            <w:tcBorders>
              <w:top w:val="nil"/>
              <w:bottom w:val="nil"/>
            </w:tcBorders>
          </w:tcPr>
          <w:p w14:paraId="04CD0D03" w14:textId="3DEF5C41" w:rsidR="0076358E" w:rsidRPr="00100776" w:rsidRDefault="00DA5696" w:rsidP="00F6420D">
            <w:pPr>
              <w:pStyle w:val="NoSpacing"/>
              <w:rPr>
                <w:lang w:val="en-GB"/>
              </w:rPr>
            </w:pPr>
            <w:r w:rsidRPr="00100776">
              <w:rPr>
                <w:lang w:val="en-GB"/>
              </w:rPr>
              <w:t xml:space="preserve">  </w:t>
            </w:r>
            <w:r w:rsidR="0076358E" w:rsidRPr="00100776">
              <w:rPr>
                <w:lang w:val="en-GB"/>
              </w:rPr>
              <w:t xml:space="preserve">English </w:t>
            </w:r>
            <w:r w:rsidR="00C11CA7" w:rsidRPr="00100776">
              <w:rPr>
                <w:lang w:val="en-GB"/>
              </w:rPr>
              <w:t>L</w:t>
            </w:r>
            <w:r w:rsidR="0076358E" w:rsidRPr="00100776">
              <w:rPr>
                <w:lang w:val="en-GB"/>
              </w:rPr>
              <w:t>anguage</w:t>
            </w:r>
          </w:p>
        </w:tc>
        <w:tc>
          <w:tcPr>
            <w:tcW w:w="1276" w:type="dxa"/>
            <w:tcBorders>
              <w:top w:val="nil"/>
              <w:bottom w:val="nil"/>
            </w:tcBorders>
          </w:tcPr>
          <w:p w14:paraId="4978EA0E" w14:textId="2FBF5D39" w:rsidR="0076358E" w:rsidRPr="00100776" w:rsidRDefault="00C11CA7" w:rsidP="00C11CA7">
            <w:pPr>
              <w:pStyle w:val="NoSpacing"/>
              <w:jc w:val="center"/>
              <w:rPr>
                <w:lang w:val="en-GB"/>
              </w:rPr>
            </w:pPr>
            <w:r w:rsidRPr="00100776">
              <w:rPr>
                <w:lang w:val="en-GB"/>
              </w:rPr>
              <w:t>0.18</w:t>
            </w:r>
          </w:p>
        </w:tc>
        <w:tc>
          <w:tcPr>
            <w:tcW w:w="1967" w:type="dxa"/>
            <w:tcBorders>
              <w:top w:val="nil"/>
              <w:bottom w:val="nil"/>
            </w:tcBorders>
          </w:tcPr>
          <w:p w14:paraId="3EB7FD3E" w14:textId="60438B7D" w:rsidR="0076358E" w:rsidRPr="00100776" w:rsidRDefault="00C11CA7" w:rsidP="00C11CA7">
            <w:pPr>
              <w:pStyle w:val="NoSpacing"/>
              <w:jc w:val="center"/>
              <w:rPr>
                <w:lang w:val="en-GB"/>
              </w:rPr>
            </w:pPr>
            <w:r w:rsidRPr="00100776">
              <w:rPr>
                <w:lang w:val="en-GB"/>
              </w:rPr>
              <w:t>0.072</w:t>
            </w:r>
          </w:p>
        </w:tc>
      </w:tr>
      <w:tr w:rsidR="0076358E" w:rsidRPr="00100776" w14:paraId="0FF4C308" w14:textId="77777777" w:rsidTr="00C11CA7">
        <w:tc>
          <w:tcPr>
            <w:tcW w:w="5387" w:type="dxa"/>
            <w:tcBorders>
              <w:top w:val="nil"/>
              <w:bottom w:val="nil"/>
            </w:tcBorders>
          </w:tcPr>
          <w:p w14:paraId="1271BDD3" w14:textId="46FA5D6F" w:rsidR="0076358E" w:rsidRPr="00100776" w:rsidRDefault="00DA5696" w:rsidP="00F6420D">
            <w:pPr>
              <w:pStyle w:val="NoSpacing"/>
              <w:rPr>
                <w:lang w:val="en-GB"/>
              </w:rPr>
            </w:pPr>
            <w:r w:rsidRPr="00100776">
              <w:rPr>
                <w:lang w:val="en-GB"/>
              </w:rPr>
              <w:t xml:space="preserve">  </w:t>
            </w:r>
            <w:r w:rsidR="0076358E" w:rsidRPr="00100776">
              <w:rPr>
                <w:lang w:val="en-GB"/>
              </w:rPr>
              <w:t xml:space="preserve">Chinese </w:t>
            </w:r>
            <w:r w:rsidR="00C11CA7" w:rsidRPr="00100776">
              <w:rPr>
                <w:lang w:val="en-GB"/>
              </w:rPr>
              <w:t>L</w:t>
            </w:r>
            <w:r w:rsidR="0076358E" w:rsidRPr="00100776">
              <w:rPr>
                <w:lang w:val="en-GB"/>
              </w:rPr>
              <w:t>anguage</w:t>
            </w:r>
          </w:p>
        </w:tc>
        <w:tc>
          <w:tcPr>
            <w:tcW w:w="1276" w:type="dxa"/>
            <w:tcBorders>
              <w:top w:val="nil"/>
              <w:bottom w:val="nil"/>
            </w:tcBorders>
          </w:tcPr>
          <w:p w14:paraId="308BF2BD" w14:textId="2CCCDB29" w:rsidR="0076358E" w:rsidRPr="00100776" w:rsidRDefault="00C11CA7" w:rsidP="00C11CA7">
            <w:pPr>
              <w:pStyle w:val="NoSpacing"/>
              <w:jc w:val="center"/>
              <w:rPr>
                <w:lang w:val="en-GB"/>
              </w:rPr>
            </w:pPr>
            <w:r w:rsidRPr="00100776">
              <w:rPr>
                <w:lang w:val="en-GB"/>
              </w:rPr>
              <w:t>0.17</w:t>
            </w:r>
          </w:p>
        </w:tc>
        <w:tc>
          <w:tcPr>
            <w:tcW w:w="1967" w:type="dxa"/>
            <w:tcBorders>
              <w:top w:val="nil"/>
              <w:bottom w:val="nil"/>
            </w:tcBorders>
          </w:tcPr>
          <w:p w14:paraId="03EC0126" w14:textId="460CD3E0" w:rsidR="0076358E" w:rsidRPr="00100776" w:rsidRDefault="00C11CA7" w:rsidP="00C11CA7">
            <w:pPr>
              <w:pStyle w:val="NoSpacing"/>
              <w:jc w:val="center"/>
              <w:rPr>
                <w:lang w:val="en-GB"/>
              </w:rPr>
            </w:pPr>
            <w:r w:rsidRPr="00100776">
              <w:rPr>
                <w:lang w:val="en-GB"/>
              </w:rPr>
              <w:t>0.069</w:t>
            </w:r>
          </w:p>
        </w:tc>
      </w:tr>
      <w:tr w:rsidR="0076358E" w:rsidRPr="00100776" w14:paraId="109A4D2C" w14:textId="77777777" w:rsidTr="00C11CA7">
        <w:tc>
          <w:tcPr>
            <w:tcW w:w="5387" w:type="dxa"/>
            <w:tcBorders>
              <w:top w:val="nil"/>
              <w:bottom w:val="nil"/>
            </w:tcBorders>
          </w:tcPr>
          <w:p w14:paraId="3BEAD489" w14:textId="4C0DCFAB" w:rsidR="0076358E" w:rsidRPr="00100776" w:rsidRDefault="00DA5696" w:rsidP="00F6420D">
            <w:pPr>
              <w:pStyle w:val="NoSpacing"/>
              <w:rPr>
                <w:lang w:val="en-GB"/>
              </w:rPr>
            </w:pPr>
            <w:r w:rsidRPr="00100776">
              <w:rPr>
                <w:lang w:val="en-GB"/>
              </w:rPr>
              <w:t xml:space="preserve">  </w:t>
            </w:r>
            <w:r w:rsidR="0076358E" w:rsidRPr="00100776">
              <w:rPr>
                <w:lang w:val="en-GB"/>
              </w:rPr>
              <w:t>Mathematics</w:t>
            </w:r>
          </w:p>
        </w:tc>
        <w:tc>
          <w:tcPr>
            <w:tcW w:w="1276" w:type="dxa"/>
            <w:tcBorders>
              <w:top w:val="nil"/>
              <w:bottom w:val="nil"/>
            </w:tcBorders>
          </w:tcPr>
          <w:p w14:paraId="3AE86250" w14:textId="2541F67E" w:rsidR="0076358E" w:rsidRPr="00100776" w:rsidRDefault="00C11CA7" w:rsidP="00C11CA7">
            <w:pPr>
              <w:pStyle w:val="NoSpacing"/>
              <w:jc w:val="center"/>
              <w:rPr>
                <w:lang w:val="en-GB"/>
              </w:rPr>
            </w:pPr>
            <w:r w:rsidRPr="00100776">
              <w:rPr>
                <w:lang w:val="en-GB"/>
              </w:rPr>
              <w:t>0.16</w:t>
            </w:r>
          </w:p>
        </w:tc>
        <w:tc>
          <w:tcPr>
            <w:tcW w:w="1967" w:type="dxa"/>
            <w:tcBorders>
              <w:top w:val="nil"/>
              <w:bottom w:val="nil"/>
            </w:tcBorders>
          </w:tcPr>
          <w:p w14:paraId="0010690A" w14:textId="1A8A5A02" w:rsidR="0076358E" w:rsidRPr="00100776" w:rsidRDefault="00C11CA7" w:rsidP="00C11CA7">
            <w:pPr>
              <w:pStyle w:val="NoSpacing"/>
              <w:jc w:val="center"/>
              <w:rPr>
                <w:lang w:val="en-GB"/>
              </w:rPr>
            </w:pPr>
            <w:r w:rsidRPr="00100776">
              <w:rPr>
                <w:lang w:val="en-GB"/>
              </w:rPr>
              <w:t>0.061</w:t>
            </w:r>
          </w:p>
        </w:tc>
      </w:tr>
      <w:tr w:rsidR="00C11CA7" w:rsidRPr="00100776" w14:paraId="01E37EC5" w14:textId="77777777" w:rsidTr="00C11CA7">
        <w:tc>
          <w:tcPr>
            <w:tcW w:w="5387" w:type="dxa"/>
            <w:tcBorders>
              <w:top w:val="nil"/>
              <w:bottom w:val="nil"/>
            </w:tcBorders>
          </w:tcPr>
          <w:p w14:paraId="5AC74C9B" w14:textId="06F1B4DF" w:rsidR="00C11CA7" w:rsidRPr="00100776" w:rsidRDefault="00DA5696" w:rsidP="00F6420D">
            <w:pPr>
              <w:pStyle w:val="NoSpacing"/>
              <w:rPr>
                <w:lang w:val="en-GB"/>
              </w:rPr>
            </w:pPr>
            <w:r w:rsidRPr="00100776">
              <w:rPr>
                <w:lang w:val="en-GB"/>
              </w:rPr>
              <w:t xml:space="preserve">  </w:t>
            </w:r>
            <w:r w:rsidR="00C11CA7" w:rsidRPr="00100776">
              <w:rPr>
                <w:lang w:val="en-GB"/>
              </w:rPr>
              <w:t>Liberal Studies</w:t>
            </w:r>
          </w:p>
        </w:tc>
        <w:tc>
          <w:tcPr>
            <w:tcW w:w="1276" w:type="dxa"/>
            <w:tcBorders>
              <w:top w:val="nil"/>
              <w:bottom w:val="nil"/>
            </w:tcBorders>
          </w:tcPr>
          <w:p w14:paraId="2AD2C08F" w14:textId="5CE27D60" w:rsidR="00C11CA7" w:rsidRPr="00100776" w:rsidRDefault="00C11CA7" w:rsidP="00C11CA7">
            <w:pPr>
              <w:pStyle w:val="NoSpacing"/>
              <w:jc w:val="center"/>
              <w:rPr>
                <w:lang w:val="en-GB"/>
              </w:rPr>
            </w:pPr>
            <w:r w:rsidRPr="00100776">
              <w:rPr>
                <w:lang w:val="en-GB"/>
              </w:rPr>
              <w:t>0.09</w:t>
            </w:r>
          </w:p>
        </w:tc>
        <w:tc>
          <w:tcPr>
            <w:tcW w:w="1967" w:type="dxa"/>
            <w:tcBorders>
              <w:top w:val="nil"/>
              <w:bottom w:val="nil"/>
            </w:tcBorders>
          </w:tcPr>
          <w:p w14:paraId="7231F727" w14:textId="538CE1E6" w:rsidR="00C11CA7" w:rsidRPr="00100776" w:rsidRDefault="00C11CA7" w:rsidP="00C11CA7">
            <w:pPr>
              <w:pStyle w:val="NoSpacing"/>
              <w:jc w:val="center"/>
              <w:rPr>
                <w:lang w:val="en-GB"/>
              </w:rPr>
            </w:pPr>
            <w:r w:rsidRPr="00100776">
              <w:rPr>
                <w:lang w:val="en-GB"/>
              </w:rPr>
              <w:t>0.045</w:t>
            </w:r>
          </w:p>
        </w:tc>
      </w:tr>
      <w:tr w:rsidR="00FB30C9" w:rsidRPr="00100776" w14:paraId="1E59DB90" w14:textId="77777777" w:rsidTr="00C11CA7">
        <w:tc>
          <w:tcPr>
            <w:tcW w:w="5387" w:type="dxa"/>
            <w:tcBorders>
              <w:top w:val="nil"/>
              <w:bottom w:val="nil"/>
            </w:tcBorders>
          </w:tcPr>
          <w:p w14:paraId="76DE9F6B" w14:textId="53D8161F" w:rsidR="00FB30C9" w:rsidRPr="00100776" w:rsidRDefault="00FB30C9" w:rsidP="00FB30C9">
            <w:pPr>
              <w:pStyle w:val="NoSpacing"/>
              <w:rPr>
                <w:lang w:val="en-GB"/>
              </w:rPr>
            </w:pPr>
            <w:r w:rsidRPr="00100776">
              <w:rPr>
                <w:lang w:val="en-GB"/>
              </w:rPr>
              <w:t xml:space="preserve">  Average:</w:t>
            </w:r>
          </w:p>
        </w:tc>
        <w:tc>
          <w:tcPr>
            <w:tcW w:w="1276" w:type="dxa"/>
            <w:tcBorders>
              <w:top w:val="nil"/>
              <w:bottom w:val="nil"/>
            </w:tcBorders>
          </w:tcPr>
          <w:p w14:paraId="5596D524" w14:textId="06FC84AB" w:rsidR="00FB30C9" w:rsidRPr="00100776" w:rsidRDefault="00FB30C9" w:rsidP="00FB30C9">
            <w:pPr>
              <w:pStyle w:val="NoSpacing"/>
              <w:jc w:val="center"/>
              <w:rPr>
                <w:lang w:val="en-GB"/>
              </w:rPr>
            </w:pPr>
            <w:r w:rsidRPr="00100776">
              <w:rPr>
                <w:lang w:val="en-GB"/>
              </w:rPr>
              <w:t>0.15</w:t>
            </w:r>
          </w:p>
        </w:tc>
        <w:tc>
          <w:tcPr>
            <w:tcW w:w="1967" w:type="dxa"/>
            <w:tcBorders>
              <w:top w:val="nil"/>
              <w:bottom w:val="nil"/>
            </w:tcBorders>
          </w:tcPr>
          <w:p w14:paraId="167B96EE" w14:textId="207A3E9C" w:rsidR="00FB30C9" w:rsidRPr="00100776" w:rsidRDefault="00FB30C9" w:rsidP="00FB30C9">
            <w:pPr>
              <w:pStyle w:val="NoSpacing"/>
              <w:jc w:val="center"/>
              <w:rPr>
                <w:lang w:val="en-GB"/>
              </w:rPr>
            </w:pPr>
            <w:r w:rsidRPr="00100776">
              <w:rPr>
                <w:lang w:val="en-GB"/>
              </w:rPr>
              <w:t>0.034</w:t>
            </w:r>
          </w:p>
        </w:tc>
      </w:tr>
      <w:tr w:rsidR="00FB30C9" w:rsidRPr="00100776" w14:paraId="332F903D" w14:textId="77777777" w:rsidTr="00C11CA7">
        <w:tc>
          <w:tcPr>
            <w:tcW w:w="5387" w:type="dxa"/>
            <w:tcBorders>
              <w:top w:val="nil"/>
            </w:tcBorders>
          </w:tcPr>
          <w:p w14:paraId="0A8F4EBB" w14:textId="044D4642" w:rsidR="00FB30C9" w:rsidRPr="00100776" w:rsidRDefault="00FB30C9" w:rsidP="00FB30C9">
            <w:pPr>
              <w:pStyle w:val="NoSpacing"/>
              <w:rPr>
                <w:b/>
                <w:bCs/>
                <w:lang w:val="en-GB"/>
              </w:rPr>
            </w:pPr>
            <w:r w:rsidRPr="00100776">
              <w:rPr>
                <w:b/>
                <w:bCs/>
                <w:lang w:val="en-GB"/>
              </w:rPr>
              <w:t>Elective subjects</w:t>
            </w:r>
          </w:p>
        </w:tc>
        <w:tc>
          <w:tcPr>
            <w:tcW w:w="1276" w:type="dxa"/>
            <w:tcBorders>
              <w:top w:val="nil"/>
            </w:tcBorders>
          </w:tcPr>
          <w:p w14:paraId="36CC107A" w14:textId="15276423" w:rsidR="00FB30C9" w:rsidRPr="00100776" w:rsidRDefault="00FB30C9" w:rsidP="00FB30C9">
            <w:pPr>
              <w:pStyle w:val="NoSpacing"/>
              <w:jc w:val="center"/>
              <w:rPr>
                <w:lang w:val="en-GB"/>
              </w:rPr>
            </w:pPr>
            <w:r w:rsidRPr="00100776">
              <w:rPr>
                <w:lang w:val="en-GB"/>
              </w:rPr>
              <w:t>0.13</w:t>
            </w:r>
          </w:p>
        </w:tc>
        <w:tc>
          <w:tcPr>
            <w:tcW w:w="1967" w:type="dxa"/>
            <w:tcBorders>
              <w:top w:val="nil"/>
            </w:tcBorders>
          </w:tcPr>
          <w:p w14:paraId="4DA0F6F9" w14:textId="5BA0EBCA" w:rsidR="00FB30C9" w:rsidRPr="00100776" w:rsidRDefault="00FB30C9" w:rsidP="00FB30C9">
            <w:pPr>
              <w:pStyle w:val="NoSpacing"/>
              <w:jc w:val="center"/>
              <w:rPr>
                <w:lang w:val="en-GB"/>
              </w:rPr>
            </w:pPr>
            <w:r w:rsidRPr="00100776">
              <w:rPr>
                <w:lang w:val="en-GB"/>
              </w:rPr>
              <w:t>0.056</w:t>
            </w:r>
          </w:p>
        </w:tc>
      </w:tr>
    </w:tbl>
    <w:p w14:paraId="767CB9BC" w14:textId="67CDB0D8" w:rsidR="00B27EFD" w:rsidRPr="00100776" w:rsidRDefault="00B27EFD" w:rsidP="0083251F">
      <w:pPr>
        <w:pStyle w:val="NoSpacing"/>
        <w:rPr>
          <w:bCs/>
          <w:lang w:val="en-GB"/>
        </w:rPr>
      </w:pPr>
    </w:p>
    <w:p w14:paraId="59063BDD" w14:textId="1B0FB394" w:rsidR="005E1C12" w:rsidRPr="00100776" w:rsidRDefault="005E1C12" w:rsidP="0083251F">
      <w:pPr>
        <w:pStyle w:val="NoSpacing"/>
        <w:rPr>
          <w:bCs/>
          <w:lang w:val="en-GB"/>
        </w:rPr>
      </w:pPr>
      <w:r w:rsidRPr="00100776">
        <w:rPr>
          <w:bCs/>
          <w:lang w:val="en-GB"/>
        </w:rPr>
        <w:t xml:space="preserve">Table </w:t>
      </w:r>
      <w:r w:rsidR="00A730B8" w:rsidRPr="00100776">
        <w:rPr>
          <w:bCs/>
          <w:lang w:val="en-GB"/>
        </w:rPr>
        <w:t>4</w:t>
      </w:r>
      <w:r w:rsidRPr="00100776">
        <w:rPr>
          <w:bCs/>
          <w:lang w:val="en-GB"/>
        </w:rPr>
        <w:t xml:space="preserve">. Pearson correlations among </w:t>
      </w:r>
      <w:r w:rsidR="003D5A16" w:rsidRPr="00100776">
        <w:rPr>
          <w:bCs/>
          <w:lang w:val="en-GB"/>
        </w:rPr>
        <w:t>participants’</w:t>
      </w:r>
      <w:r w:rsidR="00B043F0" w:rsidRPr="00100776">
        <w:rPr>
          <w:bCs/>
          <w:lang w:val="en-GB"/>
        </w:rPr>
        <w:t xml:space="preserve"> weighted scores </w:t>
      </w:r>
      <w:r w:rsidR="00FB2F35" w:rsidRPr="00100776">
        <w:rPr>
          <w:bCs/>
          <w:lang w:val="en-GB"/>
        </w:rPr>
        <w:t xml:space="preserve">based on priority of </w:t>
      </w:r>
      <w:r w:rsidR="00B043F0" w:rsidRPr="00100776">
        <w:rPr>
          <w:bCs/>
          <w:lang w:val="en-GB"/>
        </w:rPr>
        <w:t xml:space="preserve">study interest, and perceived difficulty of music </w:t>
      </w:r>
      <w:r w:rsidR="00FB2F35" w:rsidRPr="00100776">
        <w:rPr>
          <w:bCs/>
          <w:lang w:val="en-GB"/>
        </w:rPr>
        <w:t xml:space="preserve">as a </w:t>
      </w:r>
      <w:r w:rsidR="00B043F0" w:rsidRPr="00100776">
        <w:rPr>
          <w:bCs/>
          <w:lang w:val="en-GB"/>
        </w:rPr>
        <w:t>subject</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57"/>
        <w:gridCol w:w="2157"/>
        <w:gridCol w:w="2158"/>
        <w:gridCol w:w="2158"/>
      </w:tblGrid>
      <w:tr w:rsidR="005E1C12" w:rsidRPr="00100776" w14:paraId="4CC86326" w14:textId="77777777" w:rsidTr="00B043F0">
        <w:tc>
          <w:tcPr>
            <w:tcW w:w="2157" w:type="dxa"/>
            <w:tcBorders>
              <w:bottom w:val="single" w:sz="4" w:space="0" w:color="auto"/>
            </w:tcBorders>
          </w:tcPr>
          <w:p w14:paraId="4D9E1103" w14:textId="77777777" w:rsidR="005E1C12" w:rsidRPr="00100776" w:rsidRDefault="005E1C12" w:rsidP="0083251F">
            <w:pPr>
              <w:pStyle w:val="NoSpacing"/>
              <w:rPr>
                <w:b/>
                <w:lang w:val="en-GB"/>
              </w:rPr>
            </w:pPr>
          </w:p>
        </w:tc>
        <w:tc>
          <w:tcPr>
            <w:tcW w:w="2157" w:type="dxa"/>
            <w:tcBorders>
              <w:bottom w:val="single" w:sz="4" w:space="0" w:color="auto"/>
            </w:tcBorders>
          </w:tcPr>
          <w:p w14:paraId="43FF8205" w14:textId="06D05D76" w:rsidR="005E1C12" w:rsidRPr="00100776" w:rsidRDefault="00B043F0" w:rsidP="00B043F0">
            <w:pPr>
              <w:pStyle w:val="NoSpacing"/>
              <w:jc w:val="center"/>
              <w:rPr>
                <w:bCs/>
                <w:lang w:val="en-GB"/>
              </w:rPr>
            </w:pPr>
            <w:r w:rsidRPr="00100776">
              <w:rPr>
                <w:bCs/>
                <w:lang w:val="en-GB"/>
              </w:rPr>
              <w:t>Study priority</w:t>
            </w:r>
          </w:p>
        </w:tc>
        <w:tc>
          <w:tcPr>
            <w:tcW w:w="2158" w:type="dxa"/>
            <w:tcBorders>
              <w:bottom w:val="single" w:sz="4" w:space="0" w:color="auto"/>
            </w:tcBorders>
          </w:tcPr>
          <w:p w14:paraId="3C2BE32B" w14:textId="4F168A09" w:rsidR="005E1C12" w:rsidRPr="00100776" w:rsidRDefault="00B043F0" w:rsidP="00B043F0">
            <w:pPr>
              <w:pStyle w:val="NoSpacing"/>
              <w:jc w:val="center"/>
              <w:rPr>
                <w:bCs/>
                <w:lang w:val="en-GB"/>
              </w:rPr>
            </w:pPr>
            <w:r w:rsidRPr="00100776">
              <w:rPr>
                <w:bCs/>
                <w:lang w:val="en-GB"/>
              </w:rPr>
              <w:t>Interest</w:t>
            </w:r>
          </w:p>
        </w:tc>
        <w:tc>
          <w:tcPr>
            <w:tcW w:w="2158" w:type="dxa"/>
            <w:tcBorders>
              <w:bottom w:val="single" w:sz="4" w:space="0" w:color="auto"/>
            </w:tcBorders>
          </w:tcPr>
          <w:p w14:paraId="7AB6AAEE" w14:textId="3A7528D1" w:rsidR="005E1C12" w:rsidRPr="00100776" w:rsidRDefault="00B043F0" w:rsidP="00B043F0">
            <w:pPr>
              <w:pStyle w:val="NoSpacing"/>
              <w:jc w:val="center"/>
              <w:rPr>
                <w:bCs/>
                <w:lang w:val="en-GB"/>
              </w:rPr>
            </w:pPr>
            <w:r w:rsidRPr="00100776">
              <w:rPr>
                <w:bCs/>
                <w:lang w:val="en-GB"/>
              </w:rPr>
              <w:t xml:space="preserve">Perceived </w:t>
            </w:r>
            <w:r w:rsidR="003D5A16" w:rsidRPr="00100776">
              <w:rPr>
                <w:bCs/>
                <w:lang w:val="en-GB"/>
              </w:rPr>
              <w:t>D</w:t>
            </w:r>
            <w:r w:rsidRPr="00100776">
              <w:rPr>
                <w:bCs/>
                <w:lang w:val="en-GB"/>
              </w:rPr>
              <w:t>ifficulty</w:t>
            </w:r>
          </w:p>
        </w:tc>
      </w:tr>
      <w:tr w:rsidR="005E1C12" w:rsidRPr="00100776" w14:paraId="3D863545" w14:textId="77777777" w:rsidTr="00B043F0">
        <w:tc>
          <w:tcPr>
            <w:tcW w:w="2157" w:type="dxa"/>
            <w:tcBorders>
              <w:bottom w:val="nil"/>
            </w:tcBorders>
          </w:tcPr>
          <w:p w14:paraId="3E9077DB" w14:textId="5D407359" w:rsidR="005E1C12" w:rsidRPr="00100776" w:rsidRDefault="00B043F0" w:rsidP="0083251F">
            <w:pPr>
              <w:pStyle w:val="NoSpacing"/>
              <w:rPr>
                <w:b/>
                <w:lang w:val="en-GB"/>
              </w:rPr>
            </w:pPr>
            <w:r w:rsidRPr="00100776">
              <w:rPr>
                <w:b/>
                <w:lang w:val="en-GB"/>
              </w:rPr>
              <w:t>Study p</w:t>
            </w:r>
            <w:r w:rsidR="00C7166D" w:rsidRPr="00100776">
              <w:rPr>
                <w:b/>
                <w:lang w:val="en-GB"/>
              </w:rPr>
              <w:t>riority</w:t>
            </w:r>
          </w:p>
        </w:tc>
        <w:tc>
          <w:tcPr>
            <w:tcW w:w="2157" w:type="dxa"/>
            <w:tcBorders>
              <w:bottom w:val="nil"/>
            </w:tcBorders>
          </w:tcPr>
          <w:p w14:paraId="4752D83C" w14:textId="77777777" w:rsidR="005E1C12" w:rsidRPr="00100776" w:rsidRDefault="005E1C12" w:rsidP="00B043F0">
            <w:pPr>
              <w:pStyle w:val="NoSpacing"/>
              <w:jc w:val="center"/>
              <w:rPr>
                <w:bCs/>
                <w:lang w:val="en-GB"/>
              </w:rPr>
            </w:pPr>
          </w:p>
        </w:tc>
        <w:tc>
          <w:tcPr>
            <w:tcW w:w="2158" w:type="dxa"/>
            <w:tcBorders>
              <w:bottom w:val="nil"/>
            </w:tcBorders>
          </w:tcPr>
          <w:p w14:paraId="503E612B" w14:textId="77777777" w:rsidR="005E1C12" w:rsidRPr="00100776" w:rsidRDefault="005E1C12" w:rsidP="00B043F0">
            <w:pPr>
              <w:pStyle w:val="NoSpacing"/>
              <w:jc w:val="center"/>
              <w:rPr>
                <w:bCs/>
                <w:lang w:val="en-GB"/>
              </w:rPr>
            </w:pPr>
          </w:p>
        </w:tc>
        <w:tc>
          <w:tcPr>
            <w:tcW w:w="2158" w:type="dxa"/>
            <w:tcBorders>
              <w:bottom w:val="nil"/>
            </w:tcBorders>
          </w:tcPr>
          <w:p w14:paraId="042293A1" w14:textId="77777777" w:rsidR="005E1C12" w:rsidRPr="00100776" w:rsidRDefault="005E1C12" w:rsidP="00B043F0">
            <w:pPr>
              <w:pStyle w:val="NoSpacing"/>
              <w:jc w:val="center"/>
              <w:rPr>
                <w:bCs/>
                <w:lang w:val="en-GB"/>
              </w:rPr>
            </w:pPr>
          </w:p>
        </w:tc>
      </w:tr>
      <w:tr w:rsidR="005E1C12" w:rsidRPr="00100776" w14:paraId="327412C9" w14:textId="77777777" w:rsidTr="00B043F0">
        <w:tc>
          <w:tcPr>
            <w:tcW w:w="2157" w:type="dxa"/>
            <w:tcBorders>
              <w:top w:val="nil"/>
              <w:bottom w:val="nil"/>
            </w:tcBorders>
          </w:tcPr>
          <w:p w14:paraId="60B6713B" w14:textId="5A3942BF" w:rsidR="005E1C12" w:rsidRPr="00100776" w:rsidRDefault="0090504B" w:rsidP="0083251F">
            <w:pPr>
              <w:pStyle w:val="NoSpacing"/>
              <w:rPr>
                <w:bCs/>
                <w:lang w:val="en-GB"/>
              </w:rPr>
            </w:pPr>
            <w:r w:rsidRPr="00100776">
              <w:rPr>
                <w:bCs/>
                <w:lang w:val="en-GB"/>
              </w:rPr>
              <w:t xml:space="preserve">  </w:t>
            </w:r>
            <w:r w:rsidR="00C7166D" w:rsidRPr="00100776">
              <w:rPr>
                <w:bCs/>
                <w:lang w:val="en-GB"/>
              </w:rPr>
              <w:t>Pearson correlation</w:t>
            </w:r>
          </w:p>
        </w:tc>
        <w:tc>
          <w:tcPr>
            <w:tcW w:w="2157" w:type="dxa"/>
            <w:tcBorders>
              <w:top w:val="nil"/>
              <w:bottom w:val="nil"/>
            </w:tcBorders>
          </w:tcPr>
          <w:p w14:paraId="5222C41E" w14:textId="0EE874D6" w:rsidR="005E1C12" w:rsidRPr="00100776" w:rsidRDefault="00B043F0" w:rsidP="00B043F0">
            <w:pPr>
              <w:pStyle w:val="NoSpacing"/>
              <w:jc w:val="center"/>
              <w:rPr>
                <w:bCs/>
                <w:lang w:val="en-GB"/>
              </w:rPr>
            </w:pPr>
            <w:r w:rsidRPr="00100776">
              <w:rPr>
                <w:bCs/>
                <w:lang w:val="en-GB"/>
              </w:rPr>
              <w:t>1</w:t>
            </w:r>
          </w:p>
        </w:tc>
        <w:tc>
          <w:tcPr>
            <w:tcW w:w="2158" w:type="dxa"/>
            <w:tcBorders>
              <w:top w:val="nil"/>
              <w:bottom w:val="nil"/>
            </w:tcBorders>
          </w:tcPr>
          <w:p w14:paraId="1ACA8B04" w14:textId="345DE456" w:rsidR="005E1C12" w:rsidRPr="00100776" w:rsidRDefault="00B043F0" w:rsidP="00B043F0">
            <w:pPr>
              <w:pStyle w:val="NoSpacing"/>
              <w:jc w:val="center"/>
              <w:rPr>
                <w:bCs/>
                <w:lang w:val="en-GB"/>
              </w:rPr>
            </w:pPr>
            <w:r w:rsidRPr="00100776">
              <w:rPr>
                <w:bCs/>
                <w:lang w:val="en-GB"/>
              </w:rPr>
              <w:t>.473</w:t>
            </w:r>
          </w:p>
        </w:tc>
        <w:tc>
          <w:tcPr>
            <w:tcW w:w="2158" w:type="dxa"/>
            <w:tcBorders>
              <w:top w:val="nil"/>
              <w:bottom w:val="nil"/>
            </w:tcBorders>
          </w:tcPr>
          <w:p w14:paraId="6743E34E" w14:textId="773AA515" w:rsidR="005E1C12" w:rsidRPr="00100776" w:rsidRDefault="00B043F0" w:rsidP="00B043F0">
            <w:pPr>
              <w:pStyle w:val="NoSpacing"/>
              <w:jc w:val="center"/>
              <w:rPr>
                <w:bCs/>
                <w:lang w:val="en-GB"/>
              </w:rPr>
            </w:pPr>
            <w:r w:rsidRPr="00100776">
              <w:rPr>
                <w:bCs/>
                <w:lang w:val="en-GB"/>
              </w:rPr>
              <w:t>-1.26</w:t>
            </w:r>
          </w:p>
        </w:tc>
      </w:tr>
      <w:tr w:rsidR="005E1C12" w:rsidRPr="00100776" w14:paraId="731382AD" w14:textId="77777777" w:rsidTr="00B043F0">
        <w:tc>
          <w:tcPr>
            <w:tcW w:w="2157" w:type="dxa"/>
            <w:tcBorders>
              <w:top w:val="nil"/>
              <w:bottom w:val="nil"/>
            </w:tcBorders>
          </w:tcPr>
          <w:p w14:paraId="2A016EA1" w14:textId="7B808D1A" w:rsidR="005E1C12" w:rsidRPr="00100776" w:rsidRDefault="0090504B" w:rsidP="0083251F">
            <w:pPr>
              <w:pStyle w:val="NoSpacing"/>
              <w:rPr>
                <w:bCs/>
                <w:lang w:val="en-GB"/>
              </w:rPr>
            </w:pPr>
            <w:r w:rsidRPr="00100776">
              <w:rPr>
                <w:bCs/>
                <w:i/>
                <w:iCs/>
                <w:lang w:val="en-GB"/>
              </w:rPr>
              <w:t xml:space="preserve">  </w:t>
            </w:r>
            <w:r w:rsidR="00C7166D" w:rsidRPr="00100776">
              <w:rPr>
                <w:bCs/>
                <w:i/>
                <w:iCs/>
                <w:lang w:val="en-GB"/>
              </w:rPr>
              <w:t>p</w:t>
            </w:r>
            <w:r w:rsidR="00C7166D" w:rsidRPr="00100776">
              <w:rPr>
                <w:bCs/>
                <w:lang w:val="en-GB"/>
              </w:rPr>
              <w:t>-value</w:t>
            </w:r>
          </w:p>
        </w:tc>
        <w:tc>
          <w:tcPr>
            <w:tcW w:w="2157" w:type="dxa"/>
            <w:tcBorders>
              <w:top w:val="nil"/>
              <w:bottom w:val="nil"/>
            </w:tcBorders>
          </w:tcPr>
          <w:p w14:paraId="13FDE684" w14:textId="77777777" w:rsidR="005E1C12" w:rsidRPr="00100776" w:rsidRDefault="005E1C12" w:rsidP="00B043F0">
            <w:pPr>
              <w:pStyle w:val="NoSpacing"/>
              <w:jc w:val="center"/>
              <w:rPr>
                <w:bCs/>
                <w:lang w:val="en-GB"/>
              </w:rPr>
            </w:pPr>
          </w:p>
        </w:tc>
        <w:tc>
          <w:tcPr>
            <w:tcW w:w="2158" w:type="dxa"/>
            <w:tcBorders>
              <w:top w:val="nil"/>
              <w:bottom w:val="nil"/>
            </w:tcBorders>
          </w:tcPr>
          <w:p w14:paraId="0E810922" w14:textId="6FE19339" w:rsidR="005E1C12" w:rsidRPr="00100776" w:rsidRDefault="00B043F0" w:rsidP="00B043F0">
            <w:pPr>
              <w:pStyle w:val="NoSpacing"/>
              <w:jc w:val="center"/>
              <w:rPr>
                <w:bCs/>
                <w:lang w:val="en-GB"/>
              </w:rPr>
            </w:pPr>
            <w:r w:rsidRPr="00100776">
              <w:rPr>
                <w:bCs/>
                <w:lang w:val="en-GB"/>
              </w:rPr>
              <w:t>.000</w:t>
            </w:r>
          </w:p>
        </w:tc>
        <w:tc>
          <w:tcPr>
            <w:tcW w:w="2158" w:type="dxa"/>
            <w:tcBorders>
              <w:top w:val="nil"/>
              <w:bottom w:val="nil"/>
            </w:tcBorders>
          </w:tcPr>
          <w:p w14:paraId="07481327" w14:textId="3EE0C6B9" w:rsidR="005E1C12" w:rsidRPr="00100776" w:rsidRDefault="00B043F0" w:rsidP="00B043F0">
            <w:pPr>
              <w:pStyle w:val="NoSpacing"/>
              <w:jc w:val="center"/>
              <w:rPr>
                <w:bCs/>
                <w:lang w:val="en-GB"/>
              </w:rPr>
            </w:pPr>
            <w:r w:rsidRPr="00100776">
              <w:rPr>
                <w:bCs/>
                <w:lang w:val="en-GB"/>
              </w:rPr>
              <w:t>.210</w:t>
            </w:r>
          </w:p>
        </w:tc>
      </w:tr>
      <w:tr w:rsidR="005E1C12" w:rsidRPr="00100776" w14:paraId="0535F17B" w14:textId="77777777" w:rsidTr="00B043F0">
        <w:tc>
          <w:tcPr>
            <w:tcW w:w="2157" w:type="dxa"/>
            <w:tcBorders>
              <w:top w:val="nil"/>
              <w:bottom w:val="nil"/>
            </w:tcBorders>
          </w:tcPr>
          <w:p w14:paraId="4E8919F0" w14:textId="36D5996D" w:rsidR="005E1C12" w:rsidRPr="00100776" w:rsidRDefault="00485B7D" w:rsidP="0083251F">
            <w:pPr>
              <w:pStyle w:val="NoSpacing"/>
              <w:rPr>
                <w:b/>
                <w:lang w:val="en-GB"/>
              </w:rPr>
            </w:pPr>
            <w:r w:rsidRPr="00100776">
              <w:rPr>
                <w:b/>
                <w:lang w:val="en-GB"/>
              </w:rPr>
              <w:t>Interest</w:t>
            </w:r>
          </w:p>
        </w:tc>
        <w:tc>
          <w:tcPr>
            <w:tcW w:w="2157" w:type="dxa"/>
            <w:tcBorders>
              <w:top w:val="nil"/>
              <w:bottom w:val="nil"/>
            </w:tcBorders>
          </w:tcPr>
          <w:p w14:paraId="7CB4E606" w14:textId="77777777" w:rsidR="005E1C12" w:rsidRPr="00100776" w:rsidRDefault="005E1C12" w:rsidP="00B043F0">
            <w:pPr>
              <w:pStyle w:val="NoSpacing"/>
              <w:jc w:val="center"/>
              <w:rPr>
                <w:bCs/>
                <w:lang w:val="en-GB"/>
              </w:rPr>
            </w:pPr>
          </w:p>
        </w:tc>
        <w:tc>
          <w:tcPr>
            <w:tcW w:w="2158" w:type="dxa"/>
            <w:tcBorders>
              <w:top w:val="nil"/>
              <w:bottom w:val="nil"/>
            </w:tcBorders>
          </w:tcPr>
          <w:p w14:paraId="42E96C37" w14:textId="77777777" w:rsidR="005E1C12" w:rsidRPr="00100776" w:rsidRDefault="005E1C12" w:rsidP="00B043F0">
            <w:pPr>
              <w:pStyle w:val="NoSpacing"/>
              <w:jc w:val="center"/>
              <w:rPr>
                <w:bCs/>
                <w:lang w:val="en-GB"/>
              </w:rPr>
            </w:pPr>
          </w:p>
        </w:tc>
        <w:tc>
          <w:tcPr>
            <w:tcW w:w="2158" w:type="dxa"/>
            <w:tcBorders>
              <w:top w:val="nil"/>
              <w:bottom w:val="nil"/>
            </w:tcBorders>
          </w:tcPr>
          <w:p w14:paraId="0FE95386" w14:textId="77777777" w:rsidR="005E1C12" w:rsidRPr="00100776" w:rsidRDefault="005E1C12" w:rsidP="00B043F0">
            <w:pPr>
              <w:pStyle w:val="NoSpacing"/>
              <w:jc w:val="center"/>
              <w:rPr>
                <w:bCs/>
                <w:lang w:val="en-GB"/>
              </w:rPr>
            </w:pPr>
          </w:p>
        </w:tc>
      </w:tr>
      <w:tr w:rsidR="00485B7D" w:rsidRPr="00100776" w14:paraId="4735A36C" w14:textId="77777777" w:rsidTr="00B043F0">
        <w:tc>
          <w:tcPr>
            <w:tcW w:w="2157" w:type="dxa"/>
            <w:tcBorders>
              <w:top w:val="nil"/>
              <w:bottom w:val="nil"/>
            </w:tcBorders>
          </w:tcPr>
          <w:p w14:paraId="017DBF33" w14:textId="040CA68A" w:rsidR="00485B7D" w:rsidRPr="00100776" w:rsidRDefault="0090504B" w:rsidP="00485B7D">
            <w:pPr>
              <w:pStyle w:val="NoSpacing"/>
              <w:rPr>
                <w:bCs/>
                <w:lang w:val="en-GB"/>
              </w:rPr>
            </w:pPr>
            <w:r w:rsidRPr="00100776">
              <w:rPr>
                <w:bCs/>
                <w:lang w:val="en-GB"/>
              </w:rPr>
              <w:t xml:space="preserve">  </w:t>
            </w:r>
            <w:r w:rsidR="00485B7D" w:rsidRPr="00100776">
              <w:rPr>
                <w:bCs/>
                <w:lang w:val="en-GB"/>
              </w:rPr>
              <w:t>Pearson correlation</w:t>
            </w:r>
          </w:p>
        </w:tc>
        <w:tc>
          <w:tcPr>
            <w:tcW w:w="2157" w:type="dxa"/>
            <w:tcBorders>
              <w:top w:val="nil"/>
              <w:bottom w:val="nil"/>
            </w:tcBorders>
          </w:tcPr>
          <w:p w14:paraId="501CADE4" w14:textId="695EBD24" w:rsidR="00485B7D" w:rsidRPr="00100776" w:rsidRDefault="00B043F0" w:rsidP="00B043F0">
            <w:pPr>
              <w:pStyle w:val="NoSpacing"/>
              <w:jc w:val="center"/>
              <w:rPr>
                <w:bCs/>
                <w:lang w:val="en-GB"/>
              </w:rPr>
            </w:pPr>
            <w:r w:rsidRPr="00100776">
              <w:rPr>
                <w:bCs/>
                <w:lang w:val="en-GB"/>
              </w:rPr>
              <w:t>.473</w:t>
            </w:r>
          </w:p>
        </w:tc>
        <w:tc>
          <w:tcPr>
            <w:tcW w:w="2158" w:type="dxa"/>
            <w:tcBorders>
              <w:top w:val="nil"/>
              <w:bottom w:val="nil"/>
            </w:tcBorders>
          </w:tcPr>
          <w:p w14:paraId="7747DDAA" w14:textId="06D6FFA0" w:rsidR="00485B7D" w:rsidRPr="00100776" w:rsidRDefault="00B043F0" w:rsidP="00B043F0">
            <w:pPr>
              <w:pStyle w:val="NoSpacing"/>
              <w:jc w:val="center"/>
              <w:rPr>
                <w:bCs/>
                <w:lang w:val="en-GB"/>
              </w:rPr>
            </w:pPr>
            <w:r w:rsidRPr="00100776">
              <w:rPr>
                <w:bCs/>
                <w:lang w:val="en-GB"/>
              </w:rPr>
              <w:t>1</w:t>
            </w:r>
          </w:p>
        </w:tc>
        <w:tc>
          <w:tcPr>
            <w:tcW w:w="2158" w:type="dxa"/>
            <w:tcBorders>
              <w:top w:val="nil"/>
              <w:bottom w:val="nil"/>
            </w:tcBorders>
          </w:tcPr>
          <w:p w14:paraId="1B0FC642" w14:textId="60B8323F" w:rsidR="00485B7D" w:rsidRPr="00100776" w:rsidRDefault="00B043F0" w:rsidP="00B043F0">
            <w:pPr>
              <w:pStyle w:val="NoSpacing"/>
              <w:jc w:val="center"/>
              <w:rPr>
                <w:bCs/>
                <w:lang w:val="en-GB"/>
              </w:rPr>
            </w:pPr>
            <w:r w:rsidRPr="00100776">
              <w:rPr>
                <w:bCs/>
                <w:lang w:val="en-GB"/>
              </w:rPr>
              <w:t>-.032</w:t>
            </w:r>
          </w:p>
        </w:tc>
      </w:tr>
      <w:tr w:rsidR="00485B7D" w:rsidRPr="00100776" w14:paraId="56EA80CE" w14:textId="77777777" w:rsidTr="00B043F0">
        <w:tc>
          <w:tcPr>
            <w:tcW w:w="2157" w:type="dxa"/>
            <w:tcBorders>
              <w:top w:val="nil"/>
              <w:bottom w:val="nil"/>
            </w:tcBorders>
          </w:tcPr>
          <w:p w14:paraId="1261C9E6" w14:textId="4A4ED806" w:rsidR="00485B7D" w:rsidRPr="00100776" w:rsidRDefault="0090504B" w:rsidP="00485B7D">
            <w:pPr>
              <w:pStyle w:val="NoSpacing"/>
              <w:rPr>
                <w:bCs/>
                <w:lang w:val="en-GB"/>
              </w:rPr>
            </w:pPr>
            <w:r w:rsidRPr="00100776">
              <w:rPr>
                <w:bCs/>
                <w:i/>
                <w:iCs/>
                <w:lang w:val="en-GB"/>
              </w:rPr>
              <w:t xml:space="preserve">  </w:t>
            </w:r>
            <w:r w:rsidR="00485B7D" w:rsidRPr="00100776">
              <w:rPr>
                <w:bCs/>
                <w:i/>
                <w:iCs/>
                <w:lang w:val="en-GB"/>
              </w:rPr>
              <w:t>p</w:t>
            </w:r>
            <w:r w:rsidR="00485B7D" w:rsidRPr="00100776">
              <w:rPr>
                <w:bCs/>
                <w:lang w:val="en-GB"/>
              </w:rPr>
              <w:t>-value</w:t>
            </w:r>
          </w:p>
        </w:tc>
        <w:tc>
          <w:tcPr>
            <w:tcW w:w="2157" w:type="dxa"/>
            <w:tcBorders>
              <w:top w:val="nil"/>
              <w:bottom w:val="nil"/>
            </w:tcBorders>
          </w:tcPr>
          <w:p w14:paraId="4C8B2BFC" w14:textId="388BD920" w:rsidR="00485B7D" w:rsidRPr="00100776" w:rsidRDefault="00B043F0" w:rsidP="00B043F0">
            <w:pPr>
              <w:pStyle w:val="NoSpacing"/>
              <w:jc w:val="center"/>
              <w:rPr>
                <w:bCs/>
                <w:lang w:val="en-GB"/>
              </w:rPr>
            </w:pPr>
            <w:r w:rsidRPr="00100776">
              <w:rPr>
                <w:bCs/>
                <w:lang w:val="en-GB"/>
              </w:rPr>
              <w:t>.000</w:t>
            </w:r>
          </w:p>
        </w:tc>
        <w:tc>
          <w:tcPr>
            <w:tcW w:w="2158" w:type="dxa"/>
            <w:tcBorders>
              <w:top w:val="nil"/>
              <w:bottom w:val="nil"/>
            </w:tcBorders>
          </w:tcPr>
          <w:p w14:paraId="12233B91" w14:textId="77777777" w:rsidR="00485B7D" w:rsidRPr="00100776" w:rsidRDefault="00485B7D" w:rsidP="00B043F0">
            <w:pPr>
              <w:pStyle w:val="NoSpacing"/>
              <w:jc w:val="center"/>
              <w:rPr>
                <w:bCs/>
                <w:lang w:val="en-GB"/>
              </w:rPr>
            </w:pPr>
          </w:p>
        </w:tc>
        <w:tc>
          <w:tcPr>
            <w:tcW w:w="2158" w:type="dxa"/>
            <w:tcBorders>
              <w:top w:val="nil"/>
              <w:bottom w:val="nil"/>
            </w:tcBorders>
          </w:tcPr>
          <w:p w14:paraId="6CB0D50F" w14:textId="5EBF70F0" w:rsidR="00485B7D" w:rsidRPr="00100776" w:rsidRDefault="00B043F0" w:rsidP="00B043F0">
            <w:pPr>
              <w:pStyle w:val="NoSpacing"/>
              <w:jc w:val="center"/>
              <w:rPr>
                <w:bCs/>
                <w:lang w:val="en-GB"/>
              </w:rPr>
            </w:pPr>
            <w:r w:rsidRPr="00100776">
              <w:rPr>
                <w:bCs/>
                <w:lang w:val="en-GB"/>
              </w:rPr>
              <w:t>.727</w:t>
            </w:r>
          </w:p>
        </w:tc>
      </w:tr>
      <w:tr w:rsidR="00485B7D" w:rsidRPr="00100776" w14:paraId="39796E31" w14:textId="77777777" w:rsidTr="00B043F0">
        <w:tc>
          <w:tcPr>
            <w:tcW w:w="2157" w:type="dxa"/>
            <w:tcBorders>
              <w:top w:val="nil"/>
              <w:bottom w:val="nil"/>
            </w:tcBorders>
          </w:tcPr>
          <w:p w14:paraId="20148150" w14:textId="3EAAD684" w:rsidR="00485B7D" w:rsidRPr="00100776" w:rsidRDefault="00485B7D" w:rsidP="00485B7D">
            <w:pPr>
              <w:pStyle w:val="NoSpacing"/>
              <w:rPr>
                <w:b/>
                <w:lang w:val="en-GB"/>
              </w:rPr>
            </w:pPr>
            <w:r w:rsidRPr="00100776">
              <w:rPr>
                <w:b/>
                <w:lang w:val="en-GB"/>
              </w:rPr>
              <w:t>Perceived difficulty</w:t>
            </w:r>
          </w:p>
        </w:tc>
        <w:tc>
          <w:tcPr>
            <w:tcW w:w="2157" w:type="dxa"/>
            <w:tcBorders>
              <w:top w:val="nil"/>
              <w:bottom w:val="nil"/>
            </w:tcBorders>
          </w:tcPr>
          <w:p w14:paraId="4DB1B09B" w14:textId="77777777" w:rsidR="00485B7D" w:rsidRPr="00100776" w:rsidRDefault="00485B7D" w:rsidP="00B043F0">
            <w:pPr>
              <w:pStyle w:val="NoSpacing"/>
              <w:jc w:val="center"/>
              <w:rPr>
                <w:bCs/>
                <w:lang w:val="en-GB"/>
              </w:rPr>
            </w:pPr>
          </w:p>
        </w:tc>
        <w:tc>
          <w:tcPr>
            <w:tcW w:w="2158" w:type="dxa"/>
            <w:tcBorders>
              <w:top w:val="nil"/>
              <w:bottom w:val="nil"/>
            </w:tcBorders>
          </w:tcPr>
          <w:p w14:paraId="34D0FC48" w14:textId="77777777" w:rsidR="00485B7D" w:rsidRPr="00100776" w:rsidRDefault="00485B7D" w:rsidP="00B043F0">
            <w:pPr>
              <w:pStyle w:val="NoSpacing"/>
              <w:jc w:val="center"/>
              <w:rPr>
                <w:bCs/>
                <w:lang w:val="en-GB"/>
              </w:rPr>
            </w:pPr>
          </w:p>
        </w:tc>
        <w:tc>
          <w:tcPr>
            <w:tcW w:w="2158" w:type="dxa"/>
            <w:tcBorders>
              <w:top w:val="nil"/>
              <w:bottom w:val="nil"/>
            </w:tcBorders>
          </w:tcPr>
          <w:p w14:paraId="506B250E" w14:textId="77777777" w:rsidR="00485B7D" w:rsidRPr="00100776" w:rsidRDefault="00485B7D" w:rsidP="00B043F0">
            <w:pPr>
              <w:pStyle w:val="NoSpacing"/>
              <w:jc w:val="center"/>
              <w:rPr>
                <w:bCs/>
                <w:lang w:val="en-GB"/>
              </w:rPr>
            </w:pPr>
          </w:p>
        </w:tc>
      </w:tr>
      <w:tr w:rsidR="00485B7D" w:rsidRPr="00100776" w14:paraId="4ED0A5DD" w14:textId="77777777" w:rsidTr="00B043F0">
        <w:tc>
          <w:tcPr>
            <w:tcW w:w="2157" w:type="dxa"/>
            <w:tcBorders>
              <w:top w:val="nil"/>
              <w:bottom w:val="nil"/>
            </w:tcBorders>
          </w:tcPr>
          <w:p w14:paraId="6FCB5114" w14:textId="018753FF" w:rsidR="00485B7D" w:rsidRPr="00100776" w:rsidRDefault="0090504B" w:rsidP="00485B7D">
            <w:pPr>
              <w:pStyle w:val="NoSpacing"/>
              <w:rPr>
                <w:bCs/>
                <w:lang w:val="en-GB"/>
              </w:rPr>
            </w:pPr>
            <w:r w:rsidRPr="00100776">
              <w:rPr>
                <w:bCs/>
                <w:lang w:val="en-GB"/>
              </w:rPr>
              <w:t xml:space="preserve">  </w:t>
            </w:r>
            <w:r w:rsidR="00485B7D" w:rsidRPr="00100776">
              <w:rPr>
                <w:bCs/>
                <w:lang w:val="en-GB"/>
              </w:rPr>
              <w:t>Pearson correlation</w:t>
            </w:r>
          </w:p>
        </w:tc>
        <w:tc>
          <w:tcPr>
            <w:tcW w:w="2157" w:type="dxa"/>
            <w:tcBorders>
              <w:top w:val="nil"/>
              <w:bottom w:val="nil"/>
            </w:tcBorders>
          </w:tcPr>
          <w:p w14:paraId="65F26D37" w14:textId="41C46531" w:rsidR="00485B7D" w:rsidRPr="00100776" w:rsidRDefault="00B043F0" w:rsidP="00B043F0">
            <w:pPr>
              <w:pStyle w:val="NoSpacing"/>
              <w:jc w:val="center"/>
              <w:rPr>
                <w:bCs/>
                <w:lang w:val="en-GB"/>
              </w:rPr>
            </w:pPr>
            <w:r w:rsidRPr="00100776">
              <w:rPr>
                <w:bCs/>
                <w:lang w:val="en-GB"/>
              </w:rPr>
              <w:t>-1.26</w:t>
            </w:r>
          </w:p>
        </w:tc>
        <w:tc>
          <w:tcPr>
            <w:tcW w:w="2158" w:type="dxa"/>
            <w:tcBorders>
              <w:top w:val="nil"/>
              <w:bottom w:val="nil"/>
            </w:tcBorders>
          </w:tcPr>
          <w:p w14:paraId="2054C80D" w14:textId="77F3D826" w:rsidR="00485B7D" w:rsidRPr="00100776" w:rsidRDefault="00B043F0" w:rsidP="00B043F0">
            <w:pPr>
              <w:pStyle w:val="NoSpacing"/>
              <w:jc w:val="center"/>
              <w:rPr>
                <w:bCs/>
                <w:lang w:val="en-GB"/>
              </w:rPr>
            </w:pPr>
            <w:r w:rsidRPr="00100776">
              <w:rPr>
                <w:bCs/>
                <w:lang w:val="en-GB"/>
              </w:rPr>
              <w:t>-.032</w:t>
            </w:r>
          </w:p>
        </w:tc>
        <w:tc>
          <w:tcPr>
            <w:tcW w:w="2158" w:type="dxa"/>
            <w:tcBorders>
              <w:top w:val="nil"/>
              <w:bottom w:val="nil"/>
            </w:tcBorders>
          </w:tcPr>
          <w:p w14:paraId="6F8B51DE" w14:textId="0119545A" w:rsidR="00485B7D" w:rsidRPr="00100776" w:rsidRDefault="00B043F0" w:rsidP="00B043F0">
            <w:pPr>
              <w:pStyle w:val="NoSpacing"/>
              <w:jc w:val="center"/>
              <w:rPr>
                <w:bCs/>
                <w:lang w:val="en-GB"/>
              </w:rPr>
            </w:pPr>
            <w:r w:rsidRPr="00100776">
              <w:rPr>
                <w:bCs/>
                <w:lang w:val="en-GB"/>
              </w:rPr>
              <w:t>1</w:t>
            </w:r>
          </w:p>
        </w:tc>
      </w:tr>
      <w:tr w:rsidR="00485B7D" w:rsidRPr="00100776" w14:paraId="1A0FBA2B" w14:textId="77777777" w:rsidTr="00B043F0">
        <w:tc>
          <w:tcPr>
            <w:tcW w:w="2157" w:type="dxa"/>
            <w:tcBorders>
              <w:top w:val="nil"/>
            </w:tcBorders>
          </w:tcPr>
          <w:p w14:paraId="3577DEA3" w14:textId="2E7EAE67" w:rsidR="00485B7D" w:rsidRPr="00100776" w:rsidRDefault="0090504B" w:rsidP="00485B7D">
            <w:pPr>
              <w:pStyle w:val="NoSpacing"/>
              <w:rPr>
                <w:bCs/>
                <w:lang w:val="en-GB"/>
              </w:rPr>
            </w:pPr>
            <w:r w:rsidRPr="00100776">
              <w:rPr>
                <w:bCs/>
                <w:i/>
                <w:iCs/>
                <w:lang w:val="en-GB"/>
              </w:rPr>
              <w:t xml:space="preserve">  </w:t>
            </w:r>
            <w:r w:rsidR="00485B7D" w:rsidRPr="00100776">
              <w:rPr>
                <w:bCs/>
                <w:i/>
                <w:iCs/>
                <w:lang w:val="en-GB"/>
              </w:rPr>
              <w:t>p</w:t>
            </w:r>
            <w:r w:rsidR="00485B7D" w:rsidRPr="00100776">
              <w:rPr>
                <w:bCs/>
                <w:lang w:val="en-GB"/>
              </w:rPr>
              <w:t>-value</w:t>
            </w:r>
          </w:p>
        </w:tc>
        <w:tc>
          <w:tcPr>
            <w:tcW w:w="2157" w:type="dxa"/>
            <w:tcBorders>
              <w:top w:val="nil"/>
            </w:tcBorders>
          </w:tcPr>
          <w:p w14:paraId="52A4D467" w14:textId="402B4C16" w:rsidR="00485B7D" w:rsidRPr="00100776" w:rsidRDefault="00B043F0" w:rsidP="00B043F0">
            <w:pPr>
              <w:pStyle w:val="NoSpacing"/>
              <w:jc w:val="center"/>
              <w:rPr>
                <w:bCs/>
                <w:lang w:val="en-GB"/>
              </w:rPr>
            </w:pPr>
            <w:r w:rsidRPr="00100776">
              <w:rPr>
                <w:bCs/>
                <w:lang w:val="en-GB"/>
              </w:rPr>
              <w:t>.210</w:t>
            </w:r>
          </w:p>
        </w:tc>
        <w:tc>
          <w:tcPr>
            <w:tcW w:w="2158" w:type="dxa"/>
            <w:tcBorders>
              <w:top w:val="nil"/>
            </w:tcBorders>
          </w:tcPr>
          <w:p w14:paraId="18754E4F" w14:textId="7D3E431F" w:rsidR="00485B7D" w:rsidRPr="00100776" w:rsidRDefault="00B043F0" w:rsidP="00B043F0">
            <w:pPr>
              <w:pStyle w:val="NoSpacing"/>
              <w:jc w:val="center"/>
              <w:rPr>
                <w:bCs/>
                <w:lang w:val="en-GB"/>
              </w:rPr>
            </w:pPr>
            <w:r w:rsidRPr="00100776">
              <w:rPr>
                <w:bCs/>
                <w:lang w:val="en-GB"/>
              </w:rPr>
              <w:t>.727</w:t>
            </w:r>
          </w:p>
        </w:tc>
        <w:tc>
          <w:tcPr>
            <w:tcW w:w="2158" w:type="dxa"/>
            <w:tcBorders>
              <w:top w:val="nil"/>
            </w:tcBorders>
          </w:tcPr>
          <w:p w14:paraId="6749ECD6" w14:textId="77777777" w:rsidR="00485B7D" w:rsidRPr="00100776" w:rsidRDefault="00485B7D" w:rsidP="00B043F0">
            <w:pPr>
              <w:pStyle w:val="NoSpacing"/>
              <w:jc w:val="center"/>
              <w:rPr>
                <w:bCs/>
                <w:lang w:val="en-GB"/>
              </w:rPr>
            </w:pPr>
          </w:p>
        </w:tc>
      </w:tr>
    </w:tbl>
    <w:p w14:paraId="57719456" w14:textId="77777777" w:rsidR="000B215B" w:rsidRPr="00100776" w:rsidRDefault="000B215B" w:rsidP="0083251F">
      <w:pPr>
        <w:pStyle w:val="NoSpacing"/>
        <w:rPr>
          <w:b/>
          <w:lang w:val="en-GB"/>
        </w:rPr>
      </w:pPr>
    </w:p>
    <w:p w14:paraId="334D9B49" w14:textId="2BA0A19D" w:rsidR="000B215B" w:rsidRPr="00100776" w:rsidRDefault="00C27C83" w:rsidP="0083251F">
      <w:pPr>
        <w:pStyle w:val="NoSpacing"/>
        <w:rPr>
          <w:bCs/>
          <w:i/>
          <w:iCs/>
          <w:lang w:val="en-GB"/>
        </w:rPr>
      </w:pPr>
      <w:r w:rsidRPr="00100776">
        <w:rPr>
          <w:bCs/>
          <w:i/>
          <w:iCs/>
          <w:lang w:val="en-GB"/>
        </w:rPr>
        <w:t xml:space="preserve">Familiarity and confidence </w:t>
      </w:r>
    </w:p>
    <w:p w14:paraId="4C64DA21" w14:textId="5410F283" w:rsidR="00C27C83" w:rsidRPr="00100776" w:rsidRDefault="00C27C83" w:rsidP="0083251F">
      <w:pPr>
        <w:pStyle w:val="NoSpacing"/>
        <w:rPr>
          <w:bCs/>
          <w:lang w:val="en-GB"/>
        </w:rPr>
      </w:pPr>
    </w:p>
    <w:p w14:paraId="28AA0B79" w14:textId="15D6F152" w:rsidR="00814857" w:rsidRPr="00100776" w:rsidRDefault="00114936" w:rsidP="0083251F">
      <w:pPr>
        <w:pStyle w:val="NoSpacing"/>
        <w:rPr>
          <w:lang w:val="en-GB"/>
        </w:rPr>
      </w:pPr>
      <w:r w:rsidRPr="00100776">
        <w:rPr>
          <w:bCs/>
          <w:lang w:val="en-GB"/>
        </w:rPr>
        <w:t xml:space="preserve">Table </w:t>
      </w:r>
      <w:r w:rsidR="00A730B8" w:rsidRPr="00100776">
        <w:rPr>
          <w:bCs/>
          <w:lang w:val="en-GB"/>
        </w:rPr>
        <w:t>5</w:t>
      </w:r>
      <w:r w:rsidRPr="00100776">
        <w:rPr>
          <w:bCs/>
          <w:lang w:val="en-GB"/>
        </w:rPr>
        <w:t xml:space="preserve"> </w:t>
      </w:r>
      <w:r w:rsidRPr="00100776">
        <w:rPr>
          <w:lang w:val="en-GB"/>
        </w:rPr>
        <w:t>summari</w:t>
      </w:r>
      <w:r w:rsidR="00A50601" w:rsidRPr="00100776">
        <w:rPr>
          <w:lang w:val="en-GB"/>
        </w:rPr>
        <w:t>s</w:t>
      </w:r>
      <w:r w:rsidRPr="00100776">
        <w:rPr>
          <w:lang w:val="en-GB"/>
        </w:rPr>
        <w:t xml:space="preserve">es </w:t>
      </w:r>
      <w:r w:rsidR="00A50601" w:rsidRPr="00100776">
        <w:rPr>
          <w:lang w:val="en-GB"/>
        </w:rPr>
        <w:t xml:space="preserve">the </w:t>
      </w:r>
      <w:r w:rsidRPr="00100776">
        <w:rPr>
          <w:lang w:val="en-GB"/>
        </w:rPr>
        <w:t>participants’</w:t>
      </w:r>
      <w:r w:rsidR="00257E17" w:rsidRPr="00100776">
        <w:rPr>
          <w:lang w:val="en-GB"/>
        </w:rPr>
        <w:t xml:space="preserve"> </w:t>
      </w:r>
      <w:r w:rsidR="00593AB0" w:rsidRPr="00100776">
        <w:rPr>
          <w:lang w:val="en-GB"/>
        </w:rPr>
        <w:t xml:space="preserve">self-assessed familiarity and confidence </w:t>
      </w:r>
      <w:r w:rsidR="00A50601" w:rsidRPr="00100776">
        <w:rPr>
          <w:lang w:val="en-GB"/>
        </w:rPr>
        <w:t xml:space="preserve">in relation to </w:t>
      </w:r>
      <w:r w:rsidR="00593AB0" w:rsidRPr="00100776">
        <w:rPr>
          <w:lang w:val="en-GB"/>
        </w:rPr>
        <w:t xml:space="preserve">different musical cultures that correspond to the components </w:t>
      </w:r>
      <w:r w:rsidR="00A50601" w:rsidRPr="00100776">
        <w:rPr>
          <w:lang w:val="en-GB"/>
        </w:rPr>
        <w:t xml:space="preserve">of </w:t>
      </w:r>
      <w:r w:rsidR="00593AB0" w:rsidRPr="00100776">
        <w:rPr>
          <w:lang w:val="en-GB"/>
        </w:rPr>
        <w:t xml:space="preserve">HKDSE music. </w:t>
      </w:r>
      <w:r w:rsidR="0007387D" w:rsidRPr="00100776">
        <w:rPr>
          <w:lang w:val="en-GB"/>
        </w:rPr>
        <w:t xml:space="preserve">Adopting a </w:t>
      </w:r>
      <w:r w:rsidR="00632FD1" w:rsidRPr="00100776">
        <w:rPr>
          <w:lang w:val="en-GB"/>
        </w:rPr>
        <w:t>5-point Likert scale</w:t>
      </w:r>
      <w:r w:rsidR="0007387D" w:rsidRPr="00100776">
        <w:rPr>
          <w:lang w:val="en-GB"/>
        </w:rPr>
        <w:t xml:space="preserve"> approach,</w:t>
      </w:r>
      <w:r w:rsidR="003D5A16" w:rsidRPr="00100776">
        <w:rPr>
          <w:lang w:val="en-GB"/>
        </w:rPr>
        <w:t xml:space="preserve"> Western classical music rated </w:t>
      </w:r>
      <w:r w:rsidR="00814857" w:rsidRPr="00100776">
        <w:rPr>
          <w:lang w:val="en-GB"/>
        </w:rPr>
        <w:t>highest in both familiarity (M = 3.70, SD = 0.83) and confidence (M = 3.50, SD = 0.92)</w:t>
      </w:r>
      <w:r w:rsidR="00B5582C" w:rsidRPr="00100776">
        <w:rPr>
          <w:lang w:val="en-GB"/>
        </w:rPr>
        <w:t xml:space="preserve">; Cantonese opera rated lowest in terms of familiarity (M = 2.20, SD = 1.06). </w:t>
      </w:r>
      <w:r w:rsidR="00436873" w:rsidRPr="00100776">
        <w:rPr>
          <w:lang w:val="en-GB"/>
        </w:rPr>
        <w:t xml:space="preserve">In general, </w:t>
      </w:r>
      <w:r w:rsidR="000D509B" w:rsidRPr="00100776">
        <w:rPr>
          <w:lang w:val="en-GB"/>
        </w:rPr>
        <w:t xml:space="preserve">the mean rating scores for participants’ confidence in coping with different musical cultures in the curriculum </w:t>
      </w:r>
      <w:r w:rsidR="0007387D" w:rsidRPr="00100776">
        <w:rPr>
          <w:lang w:val="en-GB"/>
        </w:rPr>
        <w:t xml:space="preserve">was </w:t>
      </w:r>
      <w:r w:rsidR="000D509B" w:rsidRPr="00100776">
        <w:rPr>
          <w:lang w:val="en-GB"/>
        </w:rPr>
        <w:t>higher than</w:t>
      </w:r>
      <w:r w:rsidR="001757CD" w:rsidRPr="00100776">
        <w:rPr>
          <w:lang w:val="en-GB"/>
        </w:rPr>
        <w:t xml:space="preserve"> that</w:t>
      </w:r>
      <w:r w:rsidR="000D509B" w:rsidRPr="00100776">
        <w:rPr>
          <w:lang w:val="en-GB"/>
        </w:rPr>
        <w:t xml:space="preserve"> of their self-assessed familiarity, which exhibit</w:t>
      </w:r>
      <w:r w:rsidR="0007387D" w:rsidRPr="00100776">
        <w:rPr>
          <w:lang w:val="en-GB"/>
        </w:rPr>
        <w:t>ed</w:t>
      </w:r>
      <w:r w:rsidR="000D509B" w:rsidRPr="00100776">
        <w:rPr>
          <w:lang w:val="en-GB"/>
        </w:rPr>
        <w:t xml:space="preserve"> a </w:t>
      </w:r>
      <w:r w:rsidR="001757CD" w:rsidRPr="00100776">
        <w:rPr>
          <w:lang w:val="en-GB"/>
        </w:rPr>
        <w:t xml:space="preserve">larger discrepancy. </w:t>
      </w:r>
      <w:r w:rsidR="00021A06" w:rsidRPr="00100776">
        <w:rPr>
          <w:bCs/>
          <w:lang w:val="en-GB"/>
        </w:rPr>
        <w:t xml:space="preserve">However, the </w:t>
      </w:r>
      <w:r w:rsidR="00021A06" w:rsidRPr="00100776">
        <w:rPr>
          <w:lang w:val="en-GB"/>
        </w:rPr>
        <w:t xml:space="preserve">statistics </w:t>
      </w:r>
      <w:r w:rsidR="00021A06" w:rsidRPr="00100776">
        <w:rPr>
          <w:bCs/>
          <w:lang w:val="en-GB"/>
        </w:rPr>
        <w:t xml:space="preserve">also reflected </w:t>
      </w:r>
      <w:r w:rsidR="00A04593" w:rsidRPr="00100776">
        <w:rPr>
          <w:bCs/>
          <w:lang w:val="en-GB"/>
        </w:rPr>
        <w:t>participants’</w:t>
      </w:r>
      <w:r w:rsidR="00021A06" w:rsidRPr="00100776">
        <w:rPr>
          <w:bCs/>
          <w:lang w:val="en-GB"/>
        </w:rPr>
        <w:t xml:space="preserve"> unfamiliarity with </w:t>
      </w:r>
      <w:r w:rsidR="00921EA2" w:rsidRPr="00100776">
        <w:rPr>
          <w:bCs/>
          <w:lang w:val="en-GB"/>
        </w:rPr>
        <w:t>Chinese music and Cantonese opera</w:t>
      </w:r>
      <w:r w:rsidR="00021A06" w:rsidRPr="00100776">
        <w:rPr>
          <w:bCs/>
          <w:lang w:val="en-GB"/>
        </w:rPr>
        <w:t xml:space="preserve">, and the associated (lack of) confidence in coping with the subject matter. </w:t>
      </w:r>
      <w:r w:rsidR="001757CD" w:rsidRPr="00100776">
        <w:rPr>
          <w:lang w:val="en-GB"/>
        </w:rPr>
        <w:t>Pearson correlation</w:t>
      </w:r>
      <w:r w:rsidR="0007387D" w:rsidRPr="00100776">
        <w:rPr>
          <w:lang w:val="en-GB"/>
        </w:rPr>
        <w:t>s</w:t>
      </w:r>
      <w:r w:rsidR="001757CD" w:rsidRPr="00100776">
        <w:rPr>
          <w:lang w:val="en-GB"/>
        </w:rPr>
        <w:t xml:space="preserve"> from bivariate analysis revealed strong</w:t>
      </w:r>
      <w:r w:rsidR="0007387D" w:rsidRPr="00100776">
        <w:rPr>
          <w:lang w:val="en-GB"/>
        </w:rPr>
        <w:t>er</w:t>
      </w:r>
      <w:r w:rsidR="001757CD" w:rsidRPr="00100776">
        <w:rPr>
          <w:lang w:val="en-GB"/>
        </w:rPr>
        <w:t xml:space="preserve"> a</w:t>
      </w:r>
      <w:r w:rsidR="009D4E5C" w:rsidRPr="00100776">
        <w:rPr>
          <w:lang w:val="en-GB"/>
        </w:rPr>
        <w:t xml:space="preserve">nd </w:t>
      </w:r>
      <w:r w:rsidR="0007387D" w:rsidRPr="00100776">
        <w:rPr>
          <w:lang w:val="en-GB"/>
        </w:rPr>
        <w:t xml:space="preserve">more </w:t>
      </w:r>
      <w:r w:rsidR="009D4E5C" w:rsidRPr="00100776">
        <w:rPr>
          <w:lang w:val="en-GB"/>
        </w:rPr>
        <w:t xml:space="preserve">positive relationships between the mean rating scores of participants' self-assessed familiarity and confidence </w:t>
      </w:r>
      <w:r w:rsidR="0007387D" w:rsidRPr="00100776">
        <w:rPr>
          <w:lang w:val="en-GB"/>
        </w:rPr>
        <w:t xml:space="preserve">across </w:t>
      </w:r>
      <w:r w:rsidR="009D4E5C" w:rsidRPr="00100776">
        <w:rPr>
          <w:lang w:val="en-GB"/>
        </w:rPr>
        <w:t xml:space="preserve">all </w:t>
      </w:r>
      <w:r w:rsidR="00921EA2" w:rsidRPr="00100776">
        <w:rPr>
          <w:lang w:val="en-GB"/>
        </w:rPr>
        <w:t>components of HKDSE music</w:t>
      </w:r>
      <w:r w:rsidR="009D4E5C" w:rsidRPr="00100776">
        <w:rPr>
          <w:lang w:val="en-GB"/>
        </w:rPr>
        <w:t xml:space="preserve">. </w:t>
      </w:r>
    </w:p>
    <w:p w14:paraId="3B75941A" w14:textId="77777777" w:rsidR="00814857" w:rsidRPr="00100776" w:rsidRDefault="00814857" w:rsidP="0083251F">
      <w:pPr>
        <w:pStyle w:val="NoSpacing"/>
        <w:rPr>
          <w:lang w:val="en-GB"/>
        </w:rPr>
      </w:pPr>
    </w:p>
    <w:p w14:paraId="0B5B1FA4" w14:textId="2E4105AD" w:rsidR="00587B26" w:rsidRPr="00100776" w:rsidRDefault="003D5A16" w:rsidP="0083251F">
      <w:pPr>
        <w:pStyle w:val="NoSpacing"/>
        <w:rPr>
          <w:lang w:val="en-GB"/>
        </w:rPr>
      </w:pPr>
      <w:r w:rsidRPr="00100776">
        <w:rPr>
          <w:lang w:val="en-GB"/>
        </w:rPr>
        <w:t xml:space="preserve">Table </w:t>
      </w:r>
      <w:r w:rsidR="00A730B8" w:rsidRPr="00100776">
        <w:rPr>
          <w:lang w:val="en-GB"/>
        </w:rPr>
        <w:t>5</w:t>
      </w:r>
      <w:r w:rsidRPr="00100776">
        <w:rPr>
          <w:lang w:val="en-GB"/>
        </w:rPr>
        <w:t>. Summary statistics and Pearson correlations among participants’ self-assessed familiarity and confidence o</w:t>
      </w:r>
      <w:r w:rsidR="0007387D" w:rsidRPr="00100776">
        <w:rPr>
          <w:lang w:val="en-GB"/>
        </w:rPr>
        <w:t>f</w:t>
      </w:r>
      <w:r w:rsidRPr="00100776">
        <w:rPr>
          <w:lang w:val="en-GB"/>
        </w:rPr>
        <w:t xml:space="preserve"> different examination components</w:t>
      </w:r>
    </w:p>
    <w:tbl>
      <w:tblPr>
        <w:tblStyle w:val="TableGrid"/>
        <w:tblW w:w="8642" w:type="dxa"/>
        <w:tblLayout w:type="fixed"/>
        <w:tblLook w:val="04A0" w:firstRow="1" w:lastRow="0" w:firstColumn="1" w:lastColumn="0" w:noHBand="0" w:noVBand="1"/>
      </w:tblPr>
      <w:tblGrid>
        <w:gridCol w:w="2177"/>
        <w:gridCol w:w="937"/>
        <w:gridCol w:w="1090"/>
        <w:gridCol w:w="894"/>
        <w:gridCol w:w="1134"/>
        <w:gridCol w:w="1332"/>
        <w:gridCol w:w="1078"/>
      </w:tblGrid>
      <w:tr w:rsidR="00174FE2" w:rsidRPr="00100776" w14:paraId="0318DC80" w14:textId="77777777" w:rsidTr="000E7AB6">
        <w:tc>
          <w:tcPr>
            <w:tcW w:w="2177" w:type="dxa"/>
            <w:tcBorders>
              <w:left w:val="nil"/>
              <w:bottom w:val="nil"/>
              <w:right w:val="nil"/>
            </w:tcBorders>
          </w:tcPr>
          <w:p w14:paraId="5E1CDE5F" w14:textId="192133EC" w:rsidR="00174FE2" w:rsidRPr="00100776" w:rsidRDefault="00174FE2" w:rsidP="0083251F">
            <w:pPr>
              <w:pStyle w:val="NoSpacing"/>
              <w:rPr>
                <w:bCs/>
                <w:lang w:val="en-GB"/>
              </w:rPr>
            </w:pPr>
          </w:p>
        </w:tc>
        <w:tc>
          <w:tcPr>
            <w:tcW w:w="2027" w:type="dxa"/>
            <w:gridSpan w:val="2"/>
            <w:tcBorders>
              <w:left w:val="nil"/>
              <w:right w:val="nil"/>
            </w:tcBorders>
            <w:vAlign w:val="center"/>
          </w:tcPr>
          <w:p w14:paraId="4FDF7934" w14:textId="0D5EF3B0" w:rsidR="00174FE2" w:rsidRPr="00100776" w:rsidRDefault="00174FE2" w:rsidP="00174FE2">
            <w:pPr>
              <w:pStyle w:val="NoSpacing"/>
              <w:jc w:val="center"/>
              <w:rPr>
                <w:bCs/>
                <w:lang w:val="en-GB"/>
              </w:rPr>
            </w:pPr>
            <w:r w:rsidRPr="00100776">
              <w:rPr>
                <w:bCs/>
                <w:lang w:val="en-GB"/>
              </w:rPr>
              <w:t>Familiarity</w:t>
            </w:r>
          </w:p>
        </w:tc>
        <w:tc>
          <w:tcPr>
            <w:tcW w:w="2028" w:type="dxa"/>
            <w:gridSpan w:val="2"/>
            <w:tcBorders>
              <w:left w:val="nil"/>
              <w:right w:val="nil"/>
            </w:tcBorders>
            <w:vAlign w:val="center"/>
          </w:tcPr>
          <w:p w14:paraId="19739C22" w14:textId="5E0650B5" w:rsidR="00174FE2" w:rsidRPr="00100776" w:rsidRDefault="00174FE2" w:rsidP="00174FE2">
            <w:pPr>
              <w:pStyle w:val="NoSpacing"/>
              <w:jc w:val="center"/>
              <w:rPr>
                <w:bCs/>
                <w:lang w:val="en-GB"/>
              </w:rPr>
            </w:pPr>
            <w:r w:rsidRPr="00100776">
              <w:rPr>
                <w:bCs/>
                <w:lang w:val="en-GB"/>
              </w:rPr>
              <w:t>Confidence</w:t>
            </w:r>
          </w:p>
        </w:tc>
        <w:tc>
          <w:tcPr>
            <w:tcW w:w="1332" w:type="dxa"/>
            <w:vMerge w:val="restart"/>
            <w:tcBorders>
              <w:left w:val="nil"/>
              <w:right w:val="nil"/>
            </w:tcBorders>
            <w:vAlign w:val="center"/>
          </w:tcPr>
          <w:p w14:paraId="4B399A8E" w14:textId="446FBFA2" w:rsidR="00174FE2" w:rsidRPr="00100776" w:rsidRDefault="00174FE2" w:rsidP="00174FE2">
            <w:pPr>
              <w:pStyle w:val="NoSpacing"/>
              <w:jc w:val="center"/>
              <w:rPr>
                <w:bCs/>
                <w:lang w:val="en-GB"/>
              </w:rPr>
            </w:pPr>
            <w:r w:rsidRPr="00100776">
              <w:rPr>
                <w:bCs/>
                <w:lang w:val="en-GB"/>
              </w:rPr>
              <w:t xml:space="preserve">Pearson </w:t>
            </w:r>
            <w:r w:rsidR="003D5A16" w:rsidRPr="00100776">
              <w:rPr>
                <w:bCs/>
                <w:lang w:val="en-GB"/>
              </w:rPr>
              <w:t>C</w:t>
            </w:r>
            <w:r w:rsidRPr="00100776">
              <w:rPr>
                <w:bCs/>
                <w:lang w:val="en-GB"/>
              </w:rPr>
              <w:t>orrelation</w:t>
            </w:r>
          </w:p>
        </w:tc>
        <w:tc>
          <w:tcPr>
            <w:tcW w:w="1078" w:type="dxa"/>
            <w:vMerge w:val="restart"/>
            <w:tcBorders>
              <w:left w:val="nil"/>
              <w:right w:val="nil"/>
            </w:tcBorders>
            <w:vAlign w:val="center"/>
          </w:tcPr>
          <w:p w14:paraId="7BEB0B2E" w14:textId="4D1A7963" w:rsidR="00174FE2" w:rsidRPr="00100776" w:rsidRDefault="00174FE2" w:rsidP="00174FE2">
            <w:pPr>
              <w:pStyle w:val="NoSpacing"/>
              <w:jc w:val="center"/>
              <w:rPr>
                <w:bCs/>
                <w:lang w:val="en-GB"/>
              </w:rPr>
            </w:pPr>
            <w:r w:rsidRPr="00100776">
              <w:rPr>
                <w:bCs/>
                <w:i/>
                <w:iCs/>
                <w:lang w:val="en-GB"/>
              </w:rPr>
              <w:t>p</w:t>
            </w:r>
            <w:r w:rsidRPr="00100776">
              <w:rPr>
                <w:bCs/>
                <w:lang w:val="en-GB"/>
              </w:rPr>
              <w:t>-value</w:t>
            </w:r>
          </w:p>
        </w:tc>
      </w:tr>
      <w:tr w:rsidR="00174FE2" w:rsidRPr="00100776" w14:paraId="4C664305" w14:textId="77777777" w:rsidTr="000E7AB6">
        <w:tc>
          <w:tcPr>
            <w:tcW w:w="2177" w:type="dxa"/>
            <w:tcBorders>
              <w:top w:val="nil"/>
              <w:left w:val="nil"/>
              <w:bottom w:val="single" w:sz="4" w:space="0" w:color="auto"/>
              <w:right w:val="nil"/>
            </w:tcBorders>
          </w:tcPr>
          <w:p w14:paraId="3E6718B8" w14:textId="77777777" w:rsidR="00174FE2" w:rsidRPr="00100776" w:rsidRDefault="00174FE2" w:rsidP="00174FE2">
            <w:pPr>
              <w:pStyle w:val="NoSpacing"/>
              <w:rPr>
                <w:bCs/>
                <w:lang w:val="en-GB"/>
              </w:rPr>
            </w:pPr>
          </w:p>
        </w:tc>
        <w:tc>
          <w:tcPr>
            <w:tcW w:w="937" w:type="dxa"/>
            <w:tcBorders>
              <w:left w:val="nil"/>
              <w:bottom w:val="single" w:sz="4" w:space="0" w:color="auto"/>
              <w:right w:val="nil"/>
            </w:tcBorders>
            <w:vAlign w:val="center"/>
          </w:tcPr>
          <w:p w14:paraId="142C17F3" w14:textId="35F92F62" w:rsidR="00174FE2" w:rsidRPr="00100776" w:rsidRDefault="00174FE2" w:rsidP="00174FE2">
            <w:pPr>
              <w:pStyle w:val="NoSpacing"/>
              <w:jc w:val="center"/>
              <w:rPr>
                <w:bCs/>
                <w:lang w:val="en-GB"/>
              </w:rPr>
            </w:pPr>
            <w:r w:rsidRPr="00100776">
              <w:rPr>
                <w:bCs/>
                <w:lang w:val="en-GB"/>
              </w:rPr>
              <w:t>Mean</w:t>
            </w:r>
          </w:p>
        </w:tc>
        <w:tc>
          <w:tcPr>
            <w:tcW w:w="1090" w:type="dxa"/>
            <w:tcBorders>
              <w:left w:val="nil"/>
              <w:bottom w:val="single" w:sz="4" w:space="0" w:color="auto"/>
              <w:right w:val="nil"/>
            </w:tcBorders>
            <w:vAlign w:val="center"/>
          </w:tcPr>
          <w:p w14:paraId="7A9F753A" w14:textId="374642DA" w:rsidR="00174FE2" w:rsidRPr="00100776" w:rsidRDefault="00174FE2" w:rsidP="00174FE2">
            <w:pPr>
              <w:pStyle w:val="NoSpacing"/>
              <w:jc w:val="center"/>
              <w:rPr>
                <w:bCs/>
                <w:lang w:val="en-GB"/>
              </w:rPr>
            </w:pPr>
            <w:r w:rsidRPr="00100776">
              <w:rPr>
                <w:bCs/>
                <w:lang w:val="en-GB"/>
              </w:rPr>
              <w:t>Standard Deviation</w:t>
            </w:r>
          </w:p>
        </w:tc>
        <w:tc>
          <w:tcPr>
            <w:tcW w:w="894" w:type="dxa"/>
            <w:tcBorders>
              <w:left w:val="nil"/>
              <w:bottom w:val="single" w:sz="4" w:space="0" w:color="auto"/>
              <w:right w:val="nil"/>
            </w:tcBorders>
            <w:vAlign w:val="center"/>
          </w:tcPr>
          <w:p w14:paraId="52613BDD" w14:textId="62D0F4A1" w:rsidR="00174FE2" w:rsidRPr="00100776" w:rsidRDefault="00174FE2" w:rsidP="00174FE2">
            <w:pPr>
              <w:pStyle w:val="NoSpacing"/>
              <w:jc w:val="center"/>
              <w:rPr>
                <w:bCs/>
                <w:lang w:val="en-GB"/>
              </w:rPr>
            </w:pPr>
            <w:r w:rsidRPr="00100776">
              <w:rPr>
                <w:bCs/>
                <w:lang w:val="en-GB"/>
              </w:rPr>
              <w:t>Mean</w:t>
            </w:r>
          </w:p>
        </w:tc>
        <w:tc>
          <w:tcPr>
            <w:tcW w:w="1134" w:type="dxa"/>
            <w:tcBorders>
              <w:left w:val="nil"/>
              <w:bottom w:val="single" w:sz="4" w:space="0" w:color="auto"/>
              <w:right w:val="nil"/>
            </w:tcBorders>
            <w:vAlign w:val="center"/>
          </w:tcPr>
          <w:p w14:paraId="7742689F" w14:textId="0545B3C3" w:rsidR="00174FE2" w:rsidRPr="00100776" w:rsidRDefault="00174FE2" w:rsidP="00174FE2">
            <w:pPr>
              <w:pStyle w:val="NoSpacing"/>
              <w:jc w:val="center"/>
              <w:rPr>
                <w:bCs/>
                <w:lang w:val="en-GB"/>
              </w:rPr>
            </w:pPr>
            <w:r w:rsidRPr="00100776">
              <w:rPr>
                <w:bCs/>
                <w:lang w:val="en-GB"/>
              </w:rPr>
              <w:t>Standard Deviation</w:t>
            </w:r>
          </w:p>
        </w:tc>
        <w:tc>
          <w:tcPr>
            <w:tcW w:w="1332" w:type="dxa"/>
            <w:vMerge/>
            <w:tcBorders>
              <w:left w:val="nil"/>
              <w:bottom w:val="single" w:sz="4" w:space="0" w:color="auto"/>
              <w:right w:val="nil"/>
            </w:tcBorders>
            <w:vAlign w:val="center"/>
          </w:tcPr>
          <w:p w14:paraId="49B485B6" w14:textId="77777777" w:rsidR="00174FE2" w:rsidRPr="00100776" w:rsidRDefault="00174FE2" w:rsidP="00174FE2">
            <w:pPr>
              <w:pStyle w:val="NoSpacing"/>
              <w:jc w:val="center"/>
              <w:rPr>
                <w:bCs/>
                <w:lang w:val="en-GB"/>
              </w:rPr>
            </w:pPr>
          </w:p>
        </w:tc>
        <w:tc>
          <w:tcPr>
            <w:tcW w:w="1078" w:type="dxa"/>
            <w:vMerge/>
            <w:tcBorders>
              <w:left w:val="nil"/>
              <w:bottom w:val="single" w:sz="4" w:space="0" w:color="auto"/>
              <w:right w:val="nil"/>
            </w:tcBorders>
            <w:vAlign w:val="center"/>
          </w:tcPr>
          <w:p w14:paraId="2D7A6AF7" w14:textId="77777777" w:rsidR="00174FE2" w:rsidRPr="00100776" w:rsidRDefault="00174FE2" w:rsidP="00174FE2">
            <w:pPr>
              <w:pStyle w:val="NoSpacing"/>
              <w:jc w:val="center"/>
              <w:rPr>
                <w:bCs/>
                <w:i/>
                <w:iCs/>
                <w:lang w:val="en-GB"/>
              </w:rPr>
            </w:pPr>
          </w:p>
        </w:tc>
      </w:tr>
      <w:tr w:rsidR="000E7AB6" w:rsidRPr="00100776" w14:paraId="71CB9942" w14:textId="77777777" w:rsidTr="000E7AB6">
        <w:trPr>
          <w:trHeight w:val="629"/>
        </w:trPr>
        <w:tc>
          <w:tcPr>
            <w:tcW w:w="2177" w:type="dxa"/>
            <w:tcBorders>
              <w:left w:val="nil"/>
              <w:bottom w:val="nil"/>
              <w:right w:val="nil"/>
            </w:tcBorders>
          </w:tcPr>
          <w:p w14:paraId="6BCFC67B" w14:textId="43D41159" w:rsidR="00587B26" w:rsidRPr="00100776" w:rsidRDefault="00587B26" w:rsidP="0083251F">
            <w:pPr>
              <w:pStyle w:val="NoSpacing"/>
              <w:rPr>
                <w:bCs/>
                <w:lang w:val="en-GB"/>
              </w:rPr>
            </w:pPr>
            <w:r w:rsidRPr="00100776">
              <w:rPr>
                <w:bCs/>
                <w:lang w:val="en-GB"/>
              </w:rPr>
              <w:t xml:space="preserve">Music in the </w:t>
            </w:r>
            <w:r w:rsidR="0007387D" w:rsidRPr="00100776">
              <w:rPr>
                <w:bCs/>
                <w:lang w:val="en-GB"/>
              </w:rPr>
              <w:t>W</w:t>
            </w:r>
            <w:r w:rsidRPr="00100776">
              <w:rPr>
                <w:bCs/>
                <w:lang w:val="en-GB"/>
              </w:rPr>
              <w:t>estern classical tradition</w:t>
            </w:r>
          </w:p>
        </w:tc>
        <w:tc>
          <w:tcPr>
            <w:tcW w:w="937" w:type="dxa"/>
            <w:tcBorders>
              <w:left w:val="nil"/>
              <w:bottom w:val="nil"/>
              <w:right w:val="nil"/>
            </w:tcBorders>
            <w:vAlign w:val="center"/>
          </w:tcPr>
          <w:p w14:paraId="1CFE4E6E" w14:textId="6B13872B" w:rsidR="00587B26" w:rsidRPr="00100776" w:rsidRDefault="00174FE2" w:rsidP="00174FE2">
            <w:pPr>
              <w:pStyle w:val="NoSpacing"/>
              <w:jc w:val="center"/>
              <w:rPr>
                <w:bCs/>
                <w:lang w:val="en-GB"/>
              </w:rPr>
            </w:pPr>
            <w:r w:rsidRPr="00100776">
              <w:rPr>
                <w:bCs/>
                <w:lang w:val="en-GB"/>
              </w:rPr>
              <w:t>3.70</w:t>
            </w:r>
          </w:p>
        </w:tc>
        <w:tc>
          <w:tcPr>
            <w:tcW w:w="1090" w:type="dxa"/>
            <w:tcBorders>
              <w:left w:val="nil"/>
              <w:bottom w:val="nil"/>
              <w:right w:val="nil"/>
            </w:tcBorders>
            <w:vAlign w:val="center"/>
          </w:tcPr>
          <w:p w14:paraId="6313922C" w14:textId="02949658" w:rsidR="00587B26" w:rsidRPr="00100776" w:rsidRDefault="000E7AB6" w:rsidP="00174FE2">
            <w:pPr>
              <w:pStyle w:val="NoSpacing"/>
              <w:jc w:val="center"/>
              <w:rPr>
                <w:bCs/>
                <w:lang w:val="en-GB"/>
              </w:rPr>
            </w:pPr>
            <w:r w:rsidRPr="00100776">
              <w:rPr>
                <w:bCs/>
                <w:lang w:val="en-GB"/>
              </w:rPr>
              <w:t>0.83</w:t>
            </w:r>
          </w:p>
        </w:tc>
        <w:tc>
          <w:tcPr>
            <w:tcW w:w="894" w:type="dxa"/>
            <w:tcBorders>
              <w:left w:val="nil"/>
              <w:bottom w:val="nil"/>
              <w:right w:val="nil"/>
            </w:tcBorders>
            <w:vAlign w:val="center"/>
          </w:tcPr>
          <w:p w14:paraId="4F1466C2" w14:textId="08B943F1" w:rsidR="00587B26" w:rsidRPr="00100776" w:rsidRDefault="00632FD1" w:rsidP="00174FE2">
            <w:pPr>
              <w:pStyle w:val="NoSpacing"/>
              <w:jc w:val="center"/>
              <w:rPr>
                <w:bCs/>
                <w:lang w:val="en-GB"/>
              </w:rPr>
            </w:pPr>
            <w:r w:rsidRPr="00100776">
              <w:rPr>
                <w:bCs/>
                <w:lang w:val="en-GB"/>
              </w:rPr>
              <w:t>3.50</w:t>
            </w:r>
          </w:p>
        </w:tc>
        <w:tc>
          <w:tcPr>
            <w:tcW w:w="1134" w:type="dxa"/>
            <w:tcBorders>
              <w:left w:val="nil"/>
              <w:bottom w:val="nil"/>
              <w:right w:val="nil"/>
            </w:tcBorders>
            <w:vAlign w:val="center"/>
          </w:tcPr>
          <w:p w14:paraId="52688723" w14:textId="4CB6D07C" w:rsidR="00587B26" w:rsidRPr="00100776" w:rsidRDefault="000E7AB6" w:rsidP="00174FE2">
            <w:pPr>
              <w:pStyle w:val="NoSpacing"/>
              <w:jc w:val="center"/>
              <w:rPr>
                <w:bCs/>
                <w:lang w:val="en-GB"/>
              </w:rPr>
            </w:pPr>
            <w:r w:rsidRPr="00100776">
              <w:rPr>
                <w:bCs/>
                <w:lang w:val="en-GB"/>
              </w:rPr>
              <w:t>0.92</w:t>
            </w:r>
          </w:p>
        </w:tc>
        <w:tc>
          <w:tcPr>
            <w:tcW w:w="1332" w:type="dxa"/>
            <w:tcBorders>
              <w:left w:val="nil"/>
              <w:bottom w:val="nil"/>
              <w:right w:val="nil"/>
            </w:tcBorders>
            <w:vAlign w:val="center"/>
          </w:tcPr>
          <w:p w14:paraId="00DB9561" w14:textId="32A7FC0D" w:rsidR="00587B26" w:rsidRPr="00100776" w:rsidRDefault="000E7AB6" w:rsidP="00174FE2">
            <w:pPr>
              <w:pStyle w:val="NoSpacing"/>
              <w:jc w:val="center"/>
              <w:rPr>
                <w:bCs/>
                <w:lang w:val="en-GB"/>
              </w:rPr>
            </w:pPr>
            <w:r w:rsidRPr="00100776">
              <w:rPr>
                <w:bCs/>
                <w:lang w:val="en-GB"/>
              </w:rPr>
              <w:t>.599</w:t>
            </w:r>
          </w:p>
        </w:tc>
        <w:tc>
          <w:tcPr>
            <w:tcW w:w="1078" w:type="dxa"/>
            <w:tcBorders>
              <w:left w:val="nil"/>
              <w:bottom w:val="nil"/>
              <w:right w:val="nil"/>
            </w:tcBorders>
            <w:vAlign w:val="center"/>
          </w:tcPr>
          <w:p w14:paraId="02FE533A" w14:textId="474BA8AF" w:rsidR="00587B26" w:rsidRPr="00100776" w:rsidRDefault="000E7AB6" w:rsidP="00174FE2">
            <w:pPr>
              <w:pStyle w:val="NoSpacing"/>
              <w:jc w:val="center"/>
              <w:rPr>
                <w:bCs/>
                <w:lang w:val="en-GB"/>
              </w:rPr>
            </w:pPr>
            <w:r w:rsidRPr="00100776">
              <w:rPr>
                <w:bCs/>
                <w:lang w:val="en-GB"/>
              </w:rPr>
              <w:t>.000</w:t>
            </w:r>
          </w:p>
        </w:tc>
      </w:tr>
      <w:tr w:rsidR="000E7AB6" w:rsidRPr="00100776" w14:paraId="2F6608BA" w14:textId="77777777" w:rsidTr="000E7AB6">
        <w:trPr>
          <w:trHeight w:val="421"/>
        </w:trPr>
        <w:tc>
          <w:tcPr>
            <w:tcW w:w="2177" w:type="dxa"/>
            <w:tcBorders>
              <w:top w:val="nil"/>
              <w:left w:val="nil"/>
              <w:bottom w:val="nil"/>
              <w:right w:val="nil"/>
            </w:tcBorders>
          </w:tcPr>
          <w:p w14:paraId="2AC35F5E" w14:textId="0F613D7A" w:rsidR="00587B26" w:rsidRPr="00100776" w:rsidRDefault="00587B26" w:rsidP="0083251F">
            <w:pPr>
              <w:pStyle w:val="NoSpacing"/>
              <w:rPr>
                <w:bCs/>
                <w:lang w:val="en-GB"/>
              </w:rPr>
            </w:pPr>
            <w:r w:rsidRPr="00100776">
              <w:rPr>
                <w:bCs/>
                <w:lang w:val="en-GB"/>
              </w:rPr>
              <w:t xml:space="preserve">Chinese </w:t>
            </w:r>
            <w:r w:rsidR="000E7AB6" w:rsidRPr="00100776">
              <w:rPr>
                <w:bCs/>
                <w:lang w:val="en-GB"/>
              </w:rPr>
              <w:t>m</w:t>
            </w:r>
            <w:r w:rsidRPr="00100776">
              <w:rPr>
                <w:bCs/>
                <w:lang w:val="en-GB"/>
              </w:rPr>
              <w:t>usic</w:t>
            </w:r>
          </w:p>
        </w:tc>
        <w:tc>
          <w:tcPr>
            <w:tcW w:w="937" w:type="dxa"/>
            <w:tcBorders>
              <w:top w:val="nil"/>
              <w:left w:val="nil"/>
              <w:bottom w:val="nil"/>
              <w:right w:val="nil"/>
            </w:tcBorders>
            <w:vAlign w:val="center"/>
          </w:tcPr>
          <w:p w14:paraId="242E50F9" w14:textId="15C43E76" w:rsidR="00587B26" w:rsidRPr="00100776" w:rsidRDefault="00632FD1" w:rsidP="00174FE2">
            <w:pPr>
              <w:pStyle w:val="NoSpacing"/>
              <w:jc w:val="center"/>
              <w:rPr>
                <w:bCs/>
                <w:lang w:val="en-GB"/>
              </w:rPr>
            </w:pPr>
            <w:r w:rsidRPr="00100776">
              <w:rPr>
                <w:bCs/>
                <w:lang w:val="en-GB"/>
              </w:rPr>
              <w:t>2.70</w:t>
            </w:r>
          </w:p>
        </w:tc>
        <w:tc>
          <w:tcPr>
            <w:tcW w:w="1090" w:type="dxa"/>
            <w:tcBorders>
              <w:top w:val="nil"/>
              <w:left w:val="nil"/>
              <w:bottom w:val="nil"/>
              <w:right w:val="nil"/>
            </w:tcBorders>
            <w:vAlign w:val="center"/>
          </w:tcPr>
          <w:p w14:paraId="1FE5204C" w14:textId="02768371" w:rsidR="00587B26" w:rsidRPr="00100776" w:rsidRDefault="000E7AB6" w:rsidP="00174FE2">
            <w:pPr>
              <w:pStyle w:val="NoSpacing"/>
              <w:jc w:val="center"/>
              <w:rPr>
                <w:bCs/>
                <w:lang w:val="en-GB"/>
              </w:rPr>
            </w:pPr>
            <w:r w:rsidRPr="00100776">
              <w:rPr>
                <w:bCs/>
                <w:lang w:val="en-GB"/>
              </w:rPr>
              <w:t>1.02</w:t>
            </w:r>
          </w:p>
        </w:tc>
        <w:tc>
          <w:tcPr>
            <w:tcW w:w="894" w:type="dxa"/>
            <w:tcBorders>
              <w:top w:val="nil"/>
              <w:left w:val="nil"/>
              <w:bottom w:val="nil"/>
              <w:right w:val="nil"/>
            </w:tcBorders>
            <w:vAlign w:val="center"/>
          </w:tcPr>
          <w:p w14:paraId="7306E316" w14:textId="37E60CC0" w:rsidR="00587B26" w:rsidRPr="00100776" w:rsidRDefault="00632FD1" w:rsidP="00174FE2">
            <w:pPr>
              <w:pStyle w:val="NoSpacing"/>
              <w:jc w:val="center"/>
              <w:rPr>
                <w:bCs/>
                <w:lang w:val="en-GB"/>
              </w:rPr>
            </w:pPr>
            <w:r w:rsidRPr="00100776">
              <w:rPr>
                <w:bCs/>
                <w:lang w:val="en-GB"/>
              </w:rPr>
              <w:t>3.30</w:t>
            </w:r>
          </w:p>
        </w:tc>
        <w:tc>
          <w:tcPr>
            <w:tcW w:w="1134" w:type="dxa"/>
            <w:tcBorders>
              <w:top w:val="nil"/>
              <w:left w:val="nil"/>
              <w:bottom w:val="nil"/>
              <w:right w:val="nil"/>
            </w:tcBorders>
            <w:vAlign w:val="center"/>
          </w:tcPr>
          <w:p w14:paraId="3CB95C74" w14:textId="1ADE967E" w:rsidR="00587B26" w:rsidRPr="00100776" w:rsidRDefault="000E7AB6" w:rsidP="00174FE2">
            <w:pPr>
              <w:pStyle w:val="NoSpacing"/>
              <w:jc w:val="center"/>
              <w:rPr>
                <w:bCs/>
                <w:lang w:val="en-GB"/>
              </w:rPr>
            </w:pPr>
            <w:r w:rsidRPr="00100776">
              <w:rPr>
                <w:bCs/>
                <w:lang w:val="en-GB"/>
              </w:rPr>
              <w:t>1.02</w:t>
            </w:r>
          </w:p>
        </w:tc>
        <w:tc>
          <w:tcPr>
            <w:tcW w:w="1332" w:type="dxa"/>
            <w:tcBorders>
              <w:top w:val="nil"/>
              <w:left w:val="nil"/>
              <w:bottom w:val="nil"/>
              <w:right w:val="nil"/>
            </w:tcBorders>
            <w:vAlign w:val="center"/>
          </w:tcPr>
          <w:p w14:paraId="3414D429" w14:textId="72C80107" w:rsidR="00587B26" w:rsidRPr="00100776" w:rsidRDefault="000E7AB6" w:rsidP="00174FE2">
            <w:pPr>
              <w:pStyle w:val="NoSpacing"/>
              <w:jc w:val="center"/>
              <w:rPr>
                <w:bCs/>
                <w:lang w:val="en-GB"/>
              </w:rPr>
            </w:pPr>
            <w:r w:rsidRPr="00100776">
              <w:rPr>
                <w:bCs/>
                <w:lang w:val="en-GB"/>
              </w:rPr>
              <w:t>.665</w:t>
            </w:r>
          </w:p>
        </w:tc>
        <w:tc>
          <w:tcPr>
            <w:tcW w:w="1078" w:type="dxa"/>
            <w:tcBorders>
              <w:top w:val="nil"/>
              <w:left w:val="nil"/>
              <w:bottom w:val="nil"/>
              <w:right w:val="nil"/>
            </w:tcBorders>
            <w:vAlign w:val="center"/>
          </w:tcPr>
          <w:p w14:paraId="1E1BE67D" w14:textId="4B6C8FDA" w:rsidR="00587B26" w:rsidRPr="00100776" w:rsidRDefault="000E7AB6" w:rsidP="00174FE2">
            <w:pPr>
              <w:pStyle w:val="NoSpacing"/>
              <w:jc w:val="center"/>
              <w:rPr>
                <w:bCs/>
                <w:lang w:val="en-GB"/>
              </w:rPr>
            </w:pPr>
            <w:r w:rsidRPr="00100776">
              <w:rPr>
                <w:bCs/>
                <w:lang w:val="en-GB"/>
              </w:rPr>
              <w:t>.000</w:t>
            </w:r>
          </w:p>
        </w:tc>
      </w:tr>
      <w:tr w:rsidR="000E7AB6" w:rsidRPr="00100776" w14:paraId="6A4B1305" w14:textId="77777777" w:rsidTr="000E7AB6">
        <w:trPr>
          <w:trHeight w:val="428"/>
        </w:trPr>
        <w:tc>
          <w:tcPr>
            <w:tcW w:w="2177" w:type="dxa"/>
            <w:tcBorders>
              <w:top w:val="nil"/>
              <w:left w:val="nil"/>
              <w:bottom w:val="nil"/>
              <w:right w:val="nil"/>
            </w:tcBorders>
          </w:tcPr>
          <w:p w14:paraId="78698DB3" w14:textId="6D9AC897" w:rsidR="00587B26" w:rsidRPr="00100776" w:rsidRDefault="00587B26" w:rsidP="0083251F">
            <w:pPr>
              <w:pStyle w:val="NoSpacing"/>
              <w:rPr>
                <w:bCs/>
                <w:lang w:val="en-GB"/>
              </w:rPr>
            </w:pPr>
            <w:r w:rsidRPr="00100776">
              <w:rPr>
                <w:bCs/>
                <w:lang w:val="en-GB"/>
              </w:rPr>
              <w:t xml:space="preserve">Cantonese </w:t>
            </w:r>
            <w:r w:rsidR="000E7AB6" w:rsidRPr="00100776">
              <w:rPr>
                <w:bCs/>
                <w:lang w:val="en-GB"/>
              </w:rPr>
              <w:t>o</w:t>
            </w:r>
            <w:r w:rsidRPr="00100776">
              <w:rPr>
                <w:bCs/>
                <w:lang w:val="en-GB"/>
              </w:rPr>
              <w:t>pera</w:t>
            </w:r>
          </w:p>
        </w:tc>
        <w:tc>
          <w:tcPr>
            <w:tcW w:w="937" w:type="dxa"/>
            <w:tcBorders>
              <w:top w:val="nil"/>
              <w:left w:val="nil"/>
              <w:bottom w:val="nil"/>
              <w:right w:val="nil"/>
            </w:tcBorders>
            <w:vAlign w:val="center"/>
          </w:tcPr>
          <w:p w14:paraId="046E0CD5" w14:textId="4B55FCD1" w:rsidR="00587B26" w:rsidRPr="00100776" w:rsidRDefault="00632FD1" w:rsidP="00174FE2">
            <w:pPr>
              <w:pStyle w:val="NoSpacing"/>
              <w:jc w:val="center"/>
              <w:rPr>
                <w:bCs/>
                <w:lang w:val="en-GB"/>
              </w:rPr>
            </w:pPr>
            <w:r w:rsidRPr="00100776">
              <w:rPr>
                <w:bCs/>
                <w:lang w:val="en-GB"/>
              </w:rPr>
              <w:t>2.20</w:t>
            </w:r>
          </w:p>
        </w:tc>
        <w:tc>
          <w:tcPr>
            <w:tcW w:w="1090" w:type="dxa"/>
            <w:tcBorders>
              <w:top w:val="nil"/>
              <w:left w:val="nil"/>
              <w:bottom w:val="nil"/>
              <w:right w:val="nil"/>
            </w:tcBorders>
            <w:vAlign w:val="center"/>
          </w:tcPr>
          <w:p w14:paraId="0CEF0426" w14:textId="47AEC623" w:rsidR="00587B26" w:rsidRPr="00100776" w:rsidRDefault="000E7AB6" w:rsidP="00174FE2">
            <w:pPr>
              <w:pStyle w:val="NoSpacing"/>
              <w:jc w:val="center"/>
              <w:rPr>
                <w:bCs/>
                <w:lang w:val="en-GB"/>
              </w:rPr>
            </w:pPr>
            <w:r w:rsidRPr="00100776">
              <w:rPr>
                <w:bCs/>
                <w:lang w:val="en-GB"/>
              </w:rPr>
              <w:t>1.06</w:t>
            </w:r>
          </w:p>
        </w:tc>
        <w:tc>
          <w:tcPr>
            <w:tcW w:w="894" w:type="dxa"/>
            <w:tcBorders>
              <w:top w:val="nil"/>
              <w:left w:val="nil"/>
              <w:bottom w:val="nil"/>
              <w:right w:val="nil"/>
            </w:tcBorders>
            <w:vAlign w:val="center"/>
          </w:tcPr>
          <w:p w14:paraId="1C501D78" w14:textId="2A80E658" w:rsidR="00587B26" w:rsidRPr="00100776" w:rsidRDefault="00632FD1" w:rsidP="00174FE2">
            <w:pPr>
              <w:pStyle w:val="NoSpacing"/>
              <w:jc w:val="center"/>
              <w:rPr>
                <w:bCs/>
                <w:lang w:val="en-GB"/>
              </w:rPr>
            </w:pPr>
            <w:r w:rsidRPr="00100776">
              <w:rPr>
                <w:bCs/>
                <w:lang w:val="en-GB"/>
              </w:rPr>
              <w:t>2.90</w:t>
            </w:r>
          </w:p>
        </w:tc>
        <w:tc>
          <w:tcPr>
            <w:tcW w:w="1134" w:type="dxa"/>
            <w:tcBorders>
              <w:top w:val="nil"/>
              <w:left w:val="nil"/>
              <w:bottom w:val="nil"/>
              <w:right w:val="nil"/>
            </w:tcBorders>
            <w:vAlign w:val="center"/>
          </w:tcPr>
          <w:p w14:paraId="1D848CED" w14:textId="516493DA" w:rsidR="00587B26" w:rsidRPr="00100776" w:rsidRDefault="000E7AB6" w:rsidP="00174FE2">
            <w:pPr>
              <w:pStyle w:val="NoSpacing"/>
              <w:jc w:val="center"/>
              <w:rPr>
                <w:bCs/>
                <w:lang w:val="en-GB"/>
              </w:rPr>
            </w:pPr>
            <w:r w:rsidRPr="00100776">
              <w:rPr>
                <w:bCs/>
                <w:lang w:val="en-GB"/>
              </w:rPr>
              <w:t>1.05</w:t>
            </w:r>
          </w:p>
        </w:tc>
        <w:tc>
          <w:tcPr>
            <w:tcW w:w="1332" w:type="dxa"/>
            <w:tcBorders>
              <w:top w:val="nil"/>
              <w:left w:val="nil"/>
              <w:bottom w:val="nil"/>
              <w:right w:val="nil"/>
            </w:tcBorders>
            <w:vAlign w:val="center"/>
          </w:tcPr>
          <w:p w14:paraId="487EE532" w14:textId="2778B3E0" w:rsidR="00587B26" w:rsidRPr="00100776" w:rsidRDefault="000E7AB6" w:rsidP="00174FE2">
            <w:pPr>
              <w:pStyle w:val="NoSpacing"/>
              <w:jc w:val="center"/>
              <w:rPr>
                <w:bCs/>
                <w:lang w:val="en-GB"/>
              </w:rPr>
            </w:pPr>
            <w:r w:rsidRPr="00100776">
              <w:rPr>
                <w:bCs/>
                <w:lang w:val="en-GB"/>
              </w:rPr>
              <w:t>.691</w:t>
            </w:r>
          </w:p>
        </w:tc>
        <w:tc>
          <w:tcPr>
            <w:tcW w:w="1078" w:type="dxa"/>
            <w:tcBorders>
              <w:top w:val="nil"/>
              <w:left w:val="nil"/>
              <w:bottom w:val="nil"/>
              <w:right w:val="nil"/>
            </w:tcBorders>
            <w:vAlign w:val="center"/>
          </w:tcPr>
          <w:p w14:paraId="472B7C44" w14:textId="0BF9F50E" w:rsidR="00587B26" w:rsidRPr="00100776" w:rsidRDefault="000E7AB6" w:rsidP="00174FE2">
            <w:pPr>
              <w:pStyle w:val="NoSpacing"/>
              <w:jc w:val="center"/>
              <w:rPr>
                <w:bCs/>
                <w:lang w:val="en-GB"/>
              </w:rPr>
            </w:pPr>
            <w:r w:rsidRPr="00100776">
              <w:rPr>
                <w:bCs/>
                <w:lang w:val="en-GB"/>
              </w:rPr>
              <w:t>.000</w:t>
            </w:r>
          </w:p>
        </w:tc>
      </w:tr>
      <w:tr w:rsidR="000E7AB6" w:rsidRPr="00100776" w14:paraId="70E0E48F" w14:textId="77777777" w:rsidTr="000E7AB6">
        <w:tc>
          <w:tcPr>
            <w:tcW w:w="2177" w:type="dxa"/>
            <w:tcBorders>
              <w:top w:val="nil"/>
              <w:left w:val="nil"/>
              <w:right w:val="nil"/>
            </w:tcBorders>
          </w:tcPr>
          <w:p w14:paraId="5D258A3F" w14:textId="39AA5FDF" w:rsidR="00587B26" w:rsidRPr="00100776" w:rsidRDefault="00587B26" w:rsidP="0083251F">
            <w:pPr>
              <w:pStyle w:val="NoSpacing"/>
              <w:rPr>
                <w:bCs/>
                <w:lang w:val="en-GB"/>
              </w:rPr>
            </w:pPr>
            <w:r w:rsidRPr="00100776">
              <w:rPr>
                <w:bCs/>
                <w:lang w:val="en-GB"/>
              </w:rPr>
              <w:t xml:space="preserve">Local and </w:t>
            </w:r>
            <w:r w:rsidR="0007387D" w:rsidRPr="00100776">
              <w:rPr>
                <w:bCs/>
                <w:lang w:val="en-GB"/>
              </w:rPr>
              <w:t>W</w:t>
            </w:r>
            <w:r w:rsidRPr="00100776">
              <w:rPr>
                <w:bCs/>
                <w:lang w:val="en-GB"/>
              </w:rPr>
              <w:t xml:space="preserve">estern </w:t>
            </w:r>
            <w:r w:rsidR="000E7AB6" w:rsidRPr="00100776">
              <w:rPr>
                <w:bCs/>
                <w:lang w:val="en-GB"/>
              </w:rPr>
              <w:t>p</w:t>
            </w:r>
            <w:r w:rsidRPr="00100776">
              <w:rPr>
                <w:bCs/>
                <w:lang w:val="en-GB"/>
              </w:rPr>
              <w:t xml:space="preserve">opular </w:t>
            </w:r>
            <w:r w:rsidR="000E7AB6" w:rsidRPr="00100776">
              <w:rPr>
                <w:bCs/>
                <w:lang w:val="en-GB"/>
              </w:rPr>
              <w:t>m</w:t>
            </w:r>
            <w:r w:rsidRPr="00100776">
              <w:rPr>
                <w:bCs/>
                <w:lang w:val="en-GB"/>
              </w:rPr>
              <w:t>usic</w:t>
            </w:r>
          </w:p>
        </w:tc>
        <w:tc>
          <w:tcPr>
            <w:tcW w:w="937" w:type="dxa"/>
            <w:tcBorders>
              <w:top w:val="nil"/>
              <w:left w:val="nil"/>
              <w:right w:val="nil"/>
            </w:tcBorders>
            <w:vAlign w:val="center"/>
          </w:tcPr>
          <w:p w14:paraId="04356E27" w14:textId="1377FC94" w:rsidR="00587B26" w:rsidRPr="00100776" w:rsidRDefault="00632FD1" w:rsidP="00174FE2">
            <w:pPr>
              <w:pStyle w:val="NoSpacing"/>
              <w:jc w:val="center"/>
              <w:rPr>
                <w:bCs/>
                <w:lang w:val="en-GB"/>
              </w:rPr>
            </w:pPr>
            <w:r w:rsidRPr="00100776">
              <w:rPr>
                <w:bCs/>
                <w:lang w:val="en-GB"/>
              </w:rPr>
              <w:t>3.20</w:t>
            </w:r>
          </w:p>
        </w:tc>
        <w:tc>
          <w:tcPr>
            <w:tcW w:w="1090" w:type="dxa"/>
            <w:tcBorders>
              <w:top w:val="nil"/>
              <w:left w:val="nil"/>
              <w:right w:val="nil"/>
            </w:tcBorders>
            <w:vAlign w:val="center"/>
          </w:tcPr>
          <w:p w14:paraId="10CF8ACA" w14:textId="544B2987" w:rsidR="00587B26" w:rsidRPr="00100776" w:rsidRDefault="000E7AB6" w:rsidP="00174FE2">
            <w:pPr>
              <w:pStyle w:val="NoSpacing"/>
              <w:jc w:val="center"/>
              <w:rPr>
                <w:bCs/>
                <w:lang w:val="en-GB"/>
              </w:rPr>
            </w:pPr>
            <w:r w:rsidRPr="00100776">
              <w:rPr>
                <w:bCs/>
                <w:lang w:val="en-GB"/>
              </w:rPr>
              <w:t>1.15</w:t>
            </w:r>
          </w:p>
        </w:tc>
        <w:tc>
          <w:tcPr>
            <w:tcW w:w="894" w:type="dxa"/>
            <w:tcBorders>
              <w:top w:val="nil"/>
              <w:left w:val="nil"/>
              <w:right w:val="nil"/>
            </w:tcBorders>
            <w:vAlign w:val="center"/>
          </w:tcPr>
          <w:p w14:paraId="0B054819" w14:textId="7E7F2EB2" w:rsidR="00587B26" w:rsidRPr="00100776" w:rsidRDefault="00632FD1" w:rsidP="00174FE2">
            <w:pPr>
              <w:pStyle w:val="NoSpacing"/>
              <w:jc w:val="center"/>
              <w:rPr>
                <w:bCs/>
                <w:lang w:val="en-GB"/>
              </w:rPr>
            </w:pPr>
            <w:r w:rsidRPr="00100776">
              <w:rPr>
                <w:bCs/>
                <w:lang w:val="en-GB"/>
              </w:rPr>
              <w:t>2.90</w:t>
            </w:r>
          </w:p>
        </w:tc>
        <w:tc>
          <w:tcPr>
            <w:tcW w:w="1134" w:type="dxa"/>
            <w:tcBorders>
              <w:top w:val="nil"/>
              <w:left w:val="nil"/>
              <w:right w:val="nil"/>
            </w:tcBorders>
            <w:vAlign w:val="center"/>
          </w:tcPr>
          <w:p w14:paraId="21A8EFC8" w14:textId="30495E28" w:rsidR="00587B26" w:rsidRPr="00100776" w:rsidRDefault="000E7AB6" w:rsidP="00174FE2">
            <w:pPr>
              <w:pStyle w:val="NoSpacing"/>
              <w:jc w:val="center"/>
              <w:rPr>
                <w:bCs/>
                <w:lang w:val="en-GB"/>
              </w:rPr>
            </w:pPr>
            <w:r w:rsidRPr="00100776">
              <w:rPr>
                <w:bCs/>
                <w:lang w:val="en-GB"/>
              </w:rPr>
              <w:t>0.93</w:t>
            </w:r>
          </w:p>
        </w:tc>
        <w:tc>
          <w:tcPr>
            <w:tcW w:w="1332" w:type="dxa"/>
            <w:tcBorders>
              <w:top w:val="nil"/>
              <w:left w:val="nil"/>
              <w:right w:val="nil"/>
            </w:tcBorders>
            <w:vAlign w:val="center"/>
          </w:tcPr>
          <w:p w14:paraId="050C18D7" w14:textId="2D1A93F5" w:rsidR="00587B26" w:rsidRPr="00100776" w:rsidRDefault="000E7AB6" w:rsidP="00174FE2">
            <w:pPr>
              <w:pStyle w:val="NoSpacing"/>
              <w:jc w:val="center"/>
              <w:rPr>
                <w:bCs/>
                <w:lang w:val="en-GB"/>
              </w:rPr>
            </w:pPr>
            <w:r w:rsidRPr="00100776">
              <w:rPr>
                <w:bCs/>
                <w:lang w:val="en-GB"/>
              </w:rPr>
              <w:t>.529</w:t>
            </w:r>
          </w:p>
        </w:tc>
        <w:tc>
          <w:tcPr>
            <w:tcW w:w="1078" w:type="dxa"/>
            <w:tcBorders>
              <w:top w:val="nil"/>
              <w:left w:val="nil"/>
              <w:right w:val="nil"/>
            </w:tcBorders>
            <w:vAlign w:val="center"/>
          </w:tcPr>
          <w:p w14:paraId="3C219F16" w14:textId="28D85607" w:rsidR="00587B26" w:rsidRPr="00100776" w:rsidRDefault="000E7AB6" w:rsidP="00174FE2">
            <w:pPr>
              <w:pStyle w:val="NoSpacing"/>
              <w:jc w:val="center"/>
              <w:rPr>
                <w:bCs/>
                <w:lang w:val="en-GB"/>
              </w:rPr>
            </w:pPr>
            <w:r w:rsidRPr="00100776">
              <w:rPr>
                <w:bCs/>
                <w:lang w:val="en-GB"/>
              </w:rPr>
              <w:t>.000</w:t>
            </w:r>
          </w:p>
        </w:tc>
      </w:tr>
    </w:tbl>
    <w:p w14:paraId="00C0171F" w14:textId="1D0C2E22" w:rsidR="00593AB0" w:rsidRPr="00100776" w:rsidRDefault="00593AB0" w:rsidP="0083251F">
      <w:pPr>
        <w:pStyle w:val="NoSpacing"/>
        <w:rPr>
          <w:bCs/>
          <w:lang w:val="en-GB"/>
        </w:rPr>
      </w:pPr>
    </w:p>
    <w:p w14:paraId="2516C480" w14:textId="152B1719" w:rsidR="000B215B" w:rsidRPr="00100776" w:rsidRDefault="00033C35" w:rsidP="0083251F">
      <w:pPr>
        <w:pStyle w:val="NoSpacing"/>
        <w:rPr>
          <w:bCs/>
          <w:i/>
          <w:iCs/>
          <w:lang w:val="en-GB"/>
        </w:rPr>
      </w:pPr>
      <w:r w:rsidRPr="00100776">
        <w:rPr>
          <w:bCs/>
          <w:i/>
          <w:iCs/>
          <w:lang w:val="en-GB"/>
        </w:rPr>
        <w:t xml:space="preserve">Curriculum </w:t>
      </w:r>
      <w:r w:rsidR="0084721F" w:rsidRPr="00100776">
        <w:rPr>
          <w:bCs/>
          <w:i/>
          <w:iCs/>
          <w:lang w:val="en-GB"/>
        </w:rPr>
        <w:t>aims and learning targets</w:t>
      </w:r>
    </w:p>
    <w:p w14:paraId="7FC891AD" w14:textId="4C8991CF" w:rsidR="00AC0866" w:rsidRPr="00100776" w:rsidRDefault="00AC0866" w:rsidP="0083251F">
      <w:pPr>
        <w:pStyle w:val="NoSpacing"/>
        <w:rPr>
          <w:bCs/>
          <w:lang w:val="en-GB"/>
        </w:rPr>
      </w:pPr>
    </w:p>
    <w:p w14:paraId="54AB84B2" w14:textId="4242FBF1" w:rsidR="00AC0866" w:rsidRPr="00100776" w:rsidRDefault="00AC0866" w:rsidP="001D6E41">
      <w:pPr>
        <w:pStyle w:val="NoSpacing"/>
        <w:rPr>
          <w:lang w:val="en-GB"/>
        </w:rPr>
      </w:pPr>
      <w:r w:rsidRPr="00100776">
        <w:rPr>
          <w:bCs/>
          <w:lang w:val="en-GB"/>
        </w:rPr>
        <w:t xml:space="preserve">Table </w:t>
      </w:r>
      <w:r w:rsidR="00A730B8" w:rsidRPr="00100776">
        <w:rPr>
          <w:bCs/>
          <w:lang w:val="en-GB"/>
        </w:rPr>
        <w:t>6</w:t>
      </w:r>
      <w:r w:rsidRPr="00100776">
        <w:rPr>
          <w:bCs/>
          <w:lang w:val="en-GB"/>
        </w:rPr>
        <w:t xml:space="preserve"> </w:t>
      </w:r>
      <w:r w:rsidRPr="00100776">
        <w:rPr>
          <w:lang w:val="en-GB"/>
        </w:rPr>
        <w:t>summari</w:t>
      </w:r>
      <w:r w:rsidR="007B2938" w:rsidRPr="00100776">
        <w:rPr>
          <w:lang w:val="en-GB"/>
        </w:rPr>
        <w:t>s</w:t>
      </w:r>
      <w:r w:rsidRPr="00100776">
        <w:rPr>
          <w:lang w:val="en-GB"/>
        </w:rPr>
        <w:t xml:space="preserve">es participants’ </w:t>
      </w:r>
      <w:r w:rsidR="00385C4F" w:rsidRPr="00100776">
        <w:rPr>
          <w:lang w:val="en-GB"/>
        </w:rPr>
        <w:t>perceived achievement</w:t>
      </w:r>
      <w:r w:rsidR="007B2938" w:rsidRPr="00100776">
        <w:rPr>
          <w:lang w:val="en-GB"/>
        </w:rPr>
        <w:t>s</w:t>
      </w:r>
      <w:r w:rsidR="00385C4F" w:rsidRPr="00100776">
        <w:rPr>
          <w:lang w:val="en-GB"/>
        </w:rPr>
        <w:t xml:space="preserve"> </w:t>
      </w:r>
      <w:r w:rsidR="007B2938" w:rsidRPr="00100776">
        <w:rPr>
          <w:lang w:val="en-GB"/>
        </w:rPr>
        <w:t xml:space="preserve">as they pertain to </w:t>
      </w:r>
      <w:r w:rsidR="00385C4F" w:rsidRPr="00100776">
        <w:rPr>
          <w:lang w:val="en-GB"/>
        </w:rPr>
        <w:t>the aims and learning targets prescribed in the curriculum document</w:t>
      </w:r>
      <w:r w:rsidR="007B2938" w:rsidRPr="00100776">
        <w:rPr>
          <w:lang w:val="en-GB"/>
        </w:rPr>
        <w:t>s</w:t>
      </w:r>
      <w:r w:rsidR="007578EE" w:rsidRPr="00100776">
        <w:rPr>
          <w:lang w:val="en-GB"/>
        </w:rPr>
        <w:t xml:space="preserve">. </w:t>
      </w:r>
      <w:r w:rsidR="00D60808" w:rsidRPr="00100776">
        <w:rPr>
          <w:lang w:val="en-GB"/>
        </w:rPr>
        <w:t xml:space="preserve">Further to the </w:t>
      </w:r>
      <w:r w:rsidR="007578EE" w:rsidRPr="00100776">
        <w:rPr>
          <w:lang w:val="en-GB"/>
        </w:rPr>
        <w:t xml:space="preserve">responses </w:t>
      </w:r>
      <w:r w:rsidR="00D60808" w:rsidRPr="00100776">
        <w:rPr>
          <w:lang w:val="en-GB"/>
        </w:rPr>
        <w:t xml:space="preserve">being </w:t>
      </w:r>
      <w:r w:rsidR="007578EE" w:rsidRPr="00100776">
        <w:rPr>
          <w:lang w:val="en-GB"/>
        </w:rPr>
        <w:t>given on a 5-point Likert scale</w:t>
      </w:r>
      <w:r w:rsidR="00D60808" w:rsidRPr="00100776">
        <w:rPr>
          <w:lang w:val="en-GB"/>
        </w:rPr>
        <w:t>,</w:t>
      </w:r>
      <w:r w:rsidR="007578EE" w:rsidRPr="00100776">
        <w:rPr>
          <w:lang w:val="en-GB"/>
        </w:rPr>
        <w:t xml:space="preserve"> </w:t>
      </w:r>
      <w:r w:rsidR="00DD4ECB" w:rsidRPr="00100776">
        <w:rPr>
          <w:lang w:val="en-GB"/>
        </w:rPr>
        <w:t xml:space="preserve">Cronbach’s alpha was used to estimate the reliability of the two </w:t>
      </w:r>
      <w:r w:rsidR="00B549C9" w:rsidRPr="00100776">
        <w:rPr>
          <w:lang w:val="en-GB"/>
        </w:rPr>
        <w:t>sets of data</w:t>
      </w:r>
      <w:r w:rsidR="00DD4ECB" w:rsidRPr="00100776">
        <w:rPr>
          <w:lang w:val="en-GB"/>
        </w:rPr>
        <w:t xml:space="preserve">, </w:t>
      </w:r>
      <w:r w:rsidR="00D60808" w:rsidRPr="00100776">
        <w:rPr>
          <w:lang w:val="en-GB"/>
        </w:rPr>
        <w:t xml:space="preserve">both of </w:t>
      </w:r>
      <w:r w:rsidR="00DD4ECB" w:rsidRPr="00100776">
        <w:rPr>
          <w:lang w:val="en-GB"/>
        </w:rPr>
        <w:t>which contained multiple items that measured the same constructs</w:t>
      </w:r>
      <w:r w:rsidR="00B549C9" w:rsidRPr="00100776">
        <w:rPr>
          <w:lang w:val="en-GB"/>
        </w:rPr>
        <w:t xml:space="preserve"> </w:t>
      </w:r>
      <w:r w:rsidR="00E73847" w:rsidRPr="00100776">
        <w:rPr>
          <w:lang w:val="en-GB"/>
        </w:rPr>
        <w:t>to achieve</w:t>
      </w:r>
      <w:r w:rsidR="00B549C9" w:rsidRPr="00100776">
        <w:rPr>
          <w:lang w:val="en-GB"/>
        </w:rPr>
        <w:t xml:space="preserve"> the learning goals in </w:t>
      </w:r>
      <w:r w:rsidR="00D60808" w:rsidRPr="00100776">
        <w:rPr>
          <w:lang w:val="en-GB"/>
        </w:rPr>
        <w:t xml:space="preserve">the </w:t>
      </w:r>
      <w:r w:rsidR="00B549C9" w:rsidRPr="00100776">
        <w:rPr>
          <w:lang w:val="en-GB"/>
        </w:rPr>
        <w:t>arts education key learning area.</w:t>
      </w:r>
      <w:r w:rsidR="001D6E41" w:rsidRPr="00100776">
        <w:t xml:space="preserve"> </w:t>
      </w:r>
      <w:r w:rsidR="001D6E41" w:rsidRPr="00100776">
        <w:rPr>
          <w:lang w:val="en-GB"/>
        </w:rPr>
        <w:t xml:space="preserve">The alpha coefficients were rated as ‘good’ for the curriculum aims (α = .86) and ‘excellent’ for the learning targets (α = .90) in terms of internal reliability (George &amp; Mallery, 2003). </w:t>
      </w:r>
      <w:r w:rsidR="008451CD" w:rsidRPr="00100776">
        <w:rPr>
          <w:lang w:val="en-GB"/>
        </w:rPr>
        <w:t xml:space="preserve">The </w:t>
      </w:r>
      <w:r w:rsidR="006B280F" w:rsidRPr="00100776">
        <w:rPr>
          <w:lang w:val="en-GB"/>
        </w:rPr>
        <w:t xml:space="preserve">percentage of </w:t>
      </w:r>
      <w:r w:rsidR="008451CD" w:rsidRPr="00100776">
        <w:rPr>
          <w:lang w:val="en-GB"/>
        </w:rPr>
        <w:t xml:space="preserve">mean rating scores for </w:t>
      </w:r>
      <w:r w:rsidR="00D60808" w:rsidRPr="00100776">
        <w:rPr>
          <w:lang w:val="en-GB"/>
        </w:rPr>
        <w:t xml:space="preserve">the </w:t>
      </w:r>
      <w:r w:rsidR="008451CD" w:rsidRPr="00100776">
        <w:rPr>
          <w:lang w:val="en-GB"/>
        </w:rPr>
        <w:lastRenderedPageBreak/>
        <w:t xml:space="preserve">curriculum aims </w:t>
      </w:r>
      <w:r w:rsidR="006B280F" w:rsidRPr="00100776">
        <w:rPr>
          <w:lang w:val="en-GB"/>
        </w:rPr>
        <w:t>range</w:t>
      </w:r>
      <w:r w:rsidR="00D60808" w:rsidRPr="00100776">
        <w:rPr>
          <w:lang w:val="en-GB"/>
        </w:rPr>
        <w:t>d</w:t>
      </w:r>
      <w:r w:rsidR="006B280F" w:rsidRPr="00100776">
        <w:rPr>
          <w:lang w:val="en-GB"/>
        </w:rPr>
        <w:t xml:space="preserve"> from 74.05% to 80.99%</w:t>
      </w:r>
      <w:r w:rsidR="00D60808" w:rsidRPr="00100776">
        <w:rPr>
          <w:lang w:val="en-GB"/>
        </w:rPr>
        <w:t>, while those for</w:t>
      </w:r>
      <w:r w:rsidR="006B280F" w:rsidRPr="00100776">
        <w:rPr>
          <w:lang w:val="en-GB"/>
        </w:rPr>
        <w:t xml:space="preserve"> </w:t>
      </w:r>
      <w:r w:rsidR="003C606C" w:rsidRPr="00100776">
        <w:rPr>
          <w:lang w:val="en-GB"/>
        </w:rPr>
        <w:t xml:space="preserve">the </w:t>
      </w:r>
      <w:r w:rsidR="006B280F" w:rsidRPr="00100776">
        <w:rPr>
          <w:lang w:val="en-GB"/>
        </w:rPr>
        <w:t>learning targets range</w:t>
      </w:r>
      <w:r w:rsidR="00D60808" w:rsidRPr="00100776">
        <w:rPr>
          <w:lang w:val="en-GB"/>
        </w:rPr>
        <w:t>d</w:t>
      </w:r>
      <w:r w:rsidR="006B280F" w:rsidRPr="00100776">
        <w:rPr>
          <w:lang w:val="en-GB"/>
        </w:rPr>
        <w:t xml:space="preserve"> from 72.89% to 79.50%.</w:t>
      </w:r>
    </w:p>
    <w:p w14:paraId="4C524619" w14:textId="0B580B45" w:rsidR="00385C4F" w:rsidRPr="00100776" w:rsidRDefault="00385C4F" w:rsidP="0083251F">
      <w:pPr>
        <w:pStyle w:val="NoSpacing"/>
        <w:rPr>
          <w:lang w:val="en-GB"/>
        </w:rPr>
      </w:pPr>
    </w:p>
    <w:p w14:paraId="4BB515E8" w14:textId="013607D4" w:rsidR="00385C4F" w:rsidRPr="00100776" w:rsidRDefault="00385C4F" w:rsidP="0083251F">
      <w:pPr>
        <w:pStyle w:val="NoSpacing"/>
        <w:rPr>
          <w:bCs/>
          <w:lang w:val="en-GB"/>
        </w:rPr>
      </w:pPr>
      <w:r w:rsidRPr="00100776">
        <w:rPr>
          <w:lang w:val="en-GB"/>
        </w:rPr>
        <w:t xml:space="preserve">Table </w:t>
      </w:r>
      <w:r w:rsidR="00A730B8" w:rsidRPr="00100776">
        <w:rPr>
          <w:lang w:val="en-GB"/>
        </w:rPr>
        <w:t>6</w:t>
      </w:r>
      <w:r w:rsidRPr="00100776">
        <w:rPr>
          <w:lang w:val="en-GB"/>
        </w:rPr>
        <w:t xml:space="preserve">. </w:t>
      </w:r>
      <w:r w:rsidR="00E65A06" w:rsidRPr="00100776">
        <w:rPr>
          <w:lang w:val="en-GB"/>
        </w:rPr>
        <w:t xml:space="preserve">Summary statistics </w:t>
      </w:r>
      <w:r w:rsidR="00C14A8C" w:rsidRPr="00100776">
        <w:rPr>
          <w:lang w:val="en-GB"/>
        </w:rPr>
        <w:t xml:space="preserve">for participants’ self-assessed achievement </w:t>
      </w:r>
      <w:r w:rsidR="00D60808" w:rsidRPr="00100776">
        <w:rPr>
          <w:lang w:val="en-GB"/>
        </w:rPr>
        <w:t>for</w:t>
      </w:r>
      <w:r w:rsidR="00C14A8C" w:rsidRPr="00100776">
        <w:rPr>
          <w:lang w:val="en-GB"/>
        </w:rPr>
        <w:t xml:space="preserve"> curriculum aims and learning targets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5219"/>
        <w:gridCol w:w="735"/>
        <w:gridCol w:w="1417"/>
        <w:gridCol w:w="1269"/>
      </w:tblGrid>
      <w:tr w:rsidR="0007549D" w:rsidRPr="00100776" w14:paraId="4DEE2A76" w14:textId="77777777" w:rsidTr="0007549D">
        <w:tc>
          <w:tcPr>
            <w:tcW w:w="5219" w:type="dxa"/>
            <w:tcBorders>
              <w:bottom w:val="single" w:sz="4" w:space="0" w:color="auto"/>
            </w:tcBorders>
          </w:tcPr>
          <w:p w14:paraId="14E54B25" w14:textId="3D3F3CCA" w:rsidR="0007549D" w:rsidRPr="00100776" w:rsidRDefault="0007549D">
            <w:pPr>
              <w:rPr>
                <w:b/>
                <w:lang w:val="en-GB"/>
              </w:rPr>
            </w:pPr>
          </w:p>
        </w:tc>
        <w:tc>
          <w:tcPr>
            <w:tcW w:w="735" w:type="dxa"/>
            <w:tcBorders>
              <w:bottom w:val="single" w:sz="4" w:space="0" w:color="auto"/>
            </w:tcBorders>
            <w:vAlign w:val="center"/>
          </w:tcPr>
          <w:p w14:paraId="3B809898" w14:textId="69BA08FA" w:rsidR="0007549D" w:rsidRPr="00100776" w:rsidRDefault="0007549D" w:rsidP="0032185C">
            <w:pPr>
              <w:jc w:val="center"/>
              <w:rPr>
                <w:bCs/>
                <w:lang w:val="en-GB"/>
              </w:rPr>
            </w:pPr>
            <w:r w:rsidRPr="00100776">
              <w:rPr>
                <w:bCs/>
                <w:lang w:val="en-GB"/>
              </w:rPr>
              <w:t>Mean</w:t>
            </w:r>
          </w:p>
        </w:tc>
        <w:tc>
          <w:tcPr>
            <w:tcW w:w="1417" w:type="dxa"/>
            <w:tcBorders>
              <w:bottom w:val="single" w:sz="4" w:space="0" w:color="auto"/>
            </w:tcBorders>
            <w:vAlign w:val="center"/>
          </w:tcPr>
          <w:p w14:paraId="14972779" w14:textId="3ADE89AD" w:rsidR="0007549D" w:rsidRPr="00100776" w:rsidRDefault="0007549D" w:rsidP="0032185C">
            <w:pPr>
              <w:jc w:val="center"/>
              <w:rPr>
                <w:bCs/>
                <w:lang w:val="en-GB"/>
              </w:rPr>
            </w:pPr>
            <w:r w:rsidRPr="00100776">
              <w:rPr>
                <w:bCs/>
                <w:lang w:val="en-GB"/>
              </w:rPr>
              <w:t>Percentage</w:t>
            </w:r>
          </w:p>
        </w:tc>
        <w:tc>
          <w:tcPr>
            <w:tcW w:w="1269" w:type="dxa"/>
            <w:tcBorders>
              <w:bottom w:val="single" w:sz="4" w:space="0" w:color="auto"/>
            </w:tcBorders>
          </w:tcPr>
          <w:p w14:paraId="4F6AC401" w14:textId="30890BD1" w:rsidR="0007549D" w:rsidRPr="00100776" w:rsidRDefault="0007549D" w:rsidP="0032185C">
            <w:pPr>
              <w:jc w:val="center"/>
              <w:rPr>
                <w:bCs/>
                <w:lang w:val="en-GB"/>
              </w:rPr>
            </w:pPr>
            <w:r w:rsidRPr="00100776">
              <w:rPr>
                <w:bCs/>
                <w:lang w:val="en-GB"/>
              </w:rPr>
              <w:t>Standard Deviation</w:t>
            </w:r>
          </w:p>
        </w:tc>
      </w:tr>
      <w:tr w:rsidR="0007549D" w:rsidRPr="00100776" w14:paraId="39A07B2F" w14:textId="77777777" w:rsidTr="0007549D">
        <w:tc>
          <w:tcPr>
            <w:tcW w:w="5219" w:type="dxa"/>
            <w:tcBorders>
              <w:bottom w:val="nil"/>
            </w:tcBorders>
          </w:tcPr>
          <w:p w14:paraId="44DFD160" w14:textId="78F5D739" w:rsidR="0007549D" w:rsidRPr="00100776" w:rsidRDefault="0007549D">
            <w:pPr>
              <w:rPr>
                <w:b/>
                <w:lang w:val="en-GB"/>
              </w:rPr>
            </w:pPr>
            <w:r w:rsidRPr="00100776">
              <w:rPr>
                <w:b/>
                <w:lang w:val="en-GB"/>
              </w:rPr>
              <w:t>Curriculum aim</w:t>
            </w:r>
            <w:r w:rsidR="00D60808" w:rsidRPr="00100776">
              <w:rPr>
                <w:b/>
                <w:lang w:val="en-GB"/>
              </w:rPr>
              <w:t>s</w:t>
            </w:r>
          </w:p>
        </w:tc>
        <w:tc>
          <w:tcPr>
            <w:tcW w:w="735" w:type="dxa"/>
            <w:tcBorders>
              <w:bottom w:val="nil"/>
            </w:tcBorders>
          </w:tcPr>
          <w:p w14:paraId="597027EA" w14:textId="156C00D4" w:rsidR="0007549D" w:rsidRPr="00100776" w:rsidRDefault="0007549D" w:rsidP="0032185C">
            <w:pPr>
              <w:jc w:val="center"/>
              <w:rPr>
                <w:bCs/>
                <w:lang w:val="en-GB"/>
              </w:rPr>
            </w:pPr>
          </w:p>
        </w:tc>
        <w:tc>
          <w:tcPr>
            <w:tcW w:w="1417" w:type="dxa"/>
            <w:tcBorders>
              <w:bottom w:val="nil"/>
            </w:tcBorders>
            <w:vAlign w:val="center"/>
          </w:tcPr>
          <w:p w14:paraId="6339A193" w14:textId="5380F60C" w:rsidR="0007549D" w:rsidRPr="00100776" w:rsidRDefault="0007549D" w:rsidP="0032185C">
            <w:pPr>
              <w:jc w:val="center"/>
              <w:rPr>
                <w:bCs/>
                <w:lang w:val="en-GB"/>
              </w:rPr>
            </w:pPr>
          </w:p>
        </w:tc>
        <w:tc>
          <w:tcPr>
            <w:tcW w:w="1269" w:type="dxa"/>
            <w:tcBorders>
              <w:bottom w:val="nil"/>
            </w:tcBorders>
          </w:tcPr>
          <w:p w14:paraId="3EB82642" w14:textId="0789FB79" w:rsidR="0007549D" w:rsidRPr="00100776" w:rsidRDefault="0007549D" w:rsidP="0032185C">
            <w:pPr>
              <w:jc w:val="center"/>
              <w:rPr>
                <w:bCs/>
                <w:lang w:val="en-GB"/>
              </w:rPr>
            </w:pPr>
          </w:p>
        </w:tc>
      </w:tr>
      <w:tr w:rsidR="0007549D" w:rsidRPr="00100776" w14:paraId="7FCCC768" w14:textId="77777777" w:rsidTr="005505BB">
        <w:trPr>
          <w:trHeight w:val="353"/>
        </w:trPr>
        <w:tc>
          <w:tcPr>
            <w:tcW w:w="5219" w:type="dxa"/>
            <w:tcBorders>
              <w:top w:val="nil"/>
              <w:bottom w:val="nil"/>
            </w:tcBorders>
            <w:vAlign w:val="center"/>
          </w:tcPr>
          <w:p w14:paraId="5CA27F4E" w14:textId="07CBE631" w:rsidR="0007549D" w:rsidRPr="00100776" w:rsidRDefault="0007549D" w:rsidP="0007549D">
            <w:pPr>
              <w:rPr>
                <w:bCs/>
                <w:lang w:val="en-GB"/>
              </w:rPr>
            </w:pPr>
            <w:r w:rsidRPr="00100776">
              <w:rPr>
                <w:bCs/>
                <w:lang w:val="en-GB"/>
              </w:rPr>
              <w:t xml:space="preserve">  Develop creativity and nurture aesthetic sensitivity</w:t>
            </w:r>
          </w:p>
        </w:tc>
        <w:tc>
          <w:tcPr>
            <w:tcW w:w="735" w:type="dxa"/>
            <w:tcBorders>
              <w:top w:val="nil"/>
              <w:bottom w:val="nil"/>
            </w:tcBorders>
            <w:vAlign w:val="center"/>
          </w:tcPr>
          <w:p w14:paraId="60FACD3E" w14:textId="4DC77543" w:rsidR="0007549D" w:rsidRPr="00100776" w:rsidRDefault="0007549D" w:rsidP="0007549D">
            <w:pPr>
              <w:jc w:val="center"/>
              <w:rPr>
                <w:bCs/>
                <w:lang w:val="en-GB"/>
              </w:rPr>
            </w:pPr>
            <w:r w:rsidRPr="00100776">
              <w:rPr>
                <w:bCs/>
                <w:lang w:val="en-GB"/>
              </w:rPr>
              <w:t>3.70</w:t>
            </w:r>
          </w:p>
        </w:tc>
        <w:tc>
          <w:tcPr>
            <w:tcW w:w="1417" w:type="dxa"/>
            <w:tcBorders>
              <w:top w:val="nil"/>
              <w:bottom w:val="nil"/>
            </w:tcBorders>
            <w:vAlign w:val="center"/>
          </w:tcPr>
          <w:p w14:paraId="38CE107A" w14:textId="0A5BFCC7" w:rsidR="0007549D" w:rsidRPr="00100776" w:rsidRDefault="0007549D" w:rsidP="0007549D">
            <w:pPr>
              <w:jc w:val="center"/>
              <w:rPr>
                <w:bCs/>
                <w:lang w:val="en-GB"/>
              </w:rPr>
            </w:pPr>
            <w:r w:rsidRPr="00100776">
              <w:rPr>
                <w:bCs/>
                <w:lang w:val="en-GB"/>
              </w:rPr>
              <w:t>74.05%</w:t>
            </w:r>
          </w:p>
        </w:tc>
        <w:tc>
          <w:tcPr>
            <w:tcW w:w="1269" w:type="dxa"/>
            <w:tcBorders>
              <w:top w:val="nil"/>
              <w:bottom w:val="nil"/>
            </w:tcBorders>
            <w:vAlign w:val="center"/>
          </w:tcPr>
          <w:p w14:paraId="10A0B1AC" w14:textId="34F86882" w:rsidR="0007549D" w:rsidRPr="00100776" w:rsidRDefault="0007549D" w:rsidP="0007549D">
            <w:pPr>
              <w:jc w:val="center"/>
              <w:rPr>
                <w:bCs/>
                <w:lang w:val="en-GB"/>
              </w:rPr>
            </w:pPr>
            <w:r w:rsidRPr="00100776">
              <w:rPr>
                <w:bCs/>
                <w:lang w:val="en-GB"/>
              </w:rPr>
              <w:t>0.89</w:t>
            </w:r>
          </w:p>
        </w:tc>
      </w:tr>
      <w:tr w:rsidR="0007549D" w:rsidRPr="00100776" w14:paraId="6C17A39E" w14:textId="77777777" w:rsidTr="005505BB">
        <w:trPr>
          <w:trHeight w:val="372"/>
        </w:trPr>
        <w:tc>
          <w:tcPr>
            <w:tcW w:w="5219" w:type="dxa"/>
            <w:tcBorders>
              <w:top w:val="nil"/>
              <w:bottom w:val="nil"/>
            </w:tcBorders>
            <w:vAlign w:val="center"/>
          </w:tcPr>
          <w:p w14:paraId="6E0ADC43" w14:textId="32AB83B0" w:rsidR="0007549D" w:rsidRPr="00100776" w:rsidRDefault="0007549D" w:rsidP="0007549D">
            <w:pPr>
              <w:rPr>
                <w:bCs/>
                <w:lang w:val="en-GB"/>
              </w:rPr>
            </w:pPr>
            <w:r w:rsidRPr="00100776">
              <w:rPr>
                <w:bCs/>
                <w:lang w:val="en-GB"/>
              </w:rPr>
              <w:t xml:space="preserve">  Develop musical competence</w:t>
            </w:r>
          </w:p>
        </w:tc>
        <w:tc>
          <w:tcPr>
            <w:tcW w:w="735" w:type="dxa"/>
            <w:tcBorders>
              <w:top w:val="nil"/>
              <w:bottom w:val="nil"/>
            </w:tcBorders>
            <w:vAlign w:val="center"/>
          </w:tcPr>
          <w:p w14:paraId="31B0DD5E" w14:textId="77E1D43D" w:rsidR="0007549D" w:rsidRPr="00100776" w:rsidRDefault="0007549D" w:rsidP="0007549D">
            <w:pPr>
              <w:jc w:val="center"/>
              <w:rPr>
                <w:bCs/>
                <w:lang w:val="en-GB"/>
              </w:rPr>
            </w:pPr>
            <w:r w:rsidRPr="00100776">
              <w:rPr>
                <w:bCs/>
                <w:lang w:val="en-GB"/>
              </w:rPr>
              <w:t>3.90</w:t>
            </w:r>
          </w:p>
        </w:tc>
        <w:tc>
          <w:tcPr>
            <w:tcW w:w="1417" w:type="dxa"/>
            <w:tcBorders>
              <w:top w:val="nil"/>
              <w:bottom w:val="nil"/>
            </w:tcBorders>
            <w:vAlign w:val="center"/>
          </w:tcPr>
          <w:p w14:paraId="41986E97" w14:textId="05FD1884" w:rsidR="0007549D" w:rsidRPr="00100776" w:rsidRDefault="0007549D" w:rsidP="0007549D">
            <w:pPr>
              <w:jc w:val="center"/>
              <w:rPr>
                <w:bCs/>
                <w:lang w:val="en-GB"/>
              </w:rPr>
            </w:pPr>
            <w:r w:rsidRPr="00100776">
              <w:rPr>
                <w:bCs/>
                <w:lang w:val="en-GB"/>
              </w:rPr>
              <w:t>78.02%</w:t>
            </w:r>
          </w:p>
        </w:tc>
        <w:tc>
          <w:tcPr>
            <w:tcW w:w="1269" w:type="dxa"/>
            <w:tcBorders>
              <w:top w:val="nil"/>
              <w:bottom w:val="nil"/>
            </w:tcBorders>
            <w:vAlign w:val="center"/>
          </w:tcPr>
          <w:p w14:paraId="69292FB2" w14:textId="545AFC93" w:rsidR="0007549D" w:rsidRPr="00100776" w:rsidRDefault="0007549D" w:rsidP="0007549D">
            <w:pPr>
              <w:jc w:val="center"/>
              <w:rPr>
                <w:bCs/>
                <w:lang w:val="en-GB"/>
              </w:rPr>
            </w:pPr>
            <w:r w:rsidRPr="00100776">
              <w:rPr>
                <w:bCs/>
                <w:lang w:val="en-GB"/>
              </w:rPr>
              <w:t>0.88</w:t>
            </w:r>
          </w:p>
        </w:tc>
      </w:tr>
      <w:tr w:rsidR="0007549D" w:rsidRPr="00100776" w14:paraId="541384B8" w14:textId="77777777" w:rsidTr="005505BB">
        <w:trPr>
          <w:trHeight w:val="673"/>
        </w:trPr>
        <w:tc>
          <w:tcPr>
            <w:tcW w:w="5219" w:type="dxa"/>
            <w:tcBorders>
              <w:top w:val="nil"/>
              <w:bottom w:val="nil"/>
            </w:tcBorders>
            <w:vAlign w:val="center"/>
          </w:tcPr>
          <w:p w14:paraId="61ECCA13" w14:textId="0CB4254D" w:rsidR="0007549D" w:rsidRPr="00100776" w:rsidRDefault="0007549D" w:rsidP="0032185C">
            <w:pPr>
              <w:rPr>
                <w:bCs/>
                <w:lang w:val="en-GB"/>
              </w:rPr>
            </w:pPr>
            <w:r w:rsidRPr="00100776">
              <w:rPr>
                <w:bCs/>
                <w:lang w:val="en-GB"/>
              </w:rPr>
              <w:t xml:space="preserve">  Construct knowledge and understanding of diverse </w:t>
            </w:r>
            <w:r w:rsidRPr="00100776">
              <w:rPr>
                <w:bCs/>
                <w:lang w:val="en-GB"/>
              </w:rPr>
              <w:br/>
              <w:t xml:space="preserve">  music cultures</w:t>
            </w:r>
          </w:p>
        </w:tc>
        <w:tc>
          <w:tcPr>
            <w:tcW w:w="735" w:type="dxa"/>
            <w:tcBorders>
              <w:top w:val="nil"/>
              <w:bottom w:val="nil"/>
            </w:tcBorders>
            <w:vAlign w:val="center"/>
          </w:tcPr>
          <w:p w14:paraId="54112779" w14:textId="41DB4353" w:rsidR="0007549D" w:rsidRPr="00100776" w:rsidRDefault="0007549D" w:rsidP="0032185C">
            <w:pPr>
              <w:jc w:val="center"/>
              <w:rPr>
                <w:bCs/>
                <w:lang w:val="en-GB"/>
              </w:rPr>
            </w:pPr>
            <w:r w:rsidRPr="00100776">
              <w:rPr>
                <w:bCs/>
                <w:lang w:val="en-GB"/>
              </w:rPr>
              <w:t>4.05</w:t>
            </w:r>
          </w:p>
        </w:tc>
        <w:tc>
          <w:tcPr>
            <w:tcW w:w="1417" w:type="dxa"/>
            <w:tcBorders>
              <w:top w:val="nil"/>
              <w:bottom w:val="nil"/>
            </w:tcBorders>
            <w:vAlign w:val="center"/>
          </w:tcPr>
          <w:p w14:paraId="575E8A96" w14:textId="4D2F2C3C" w:rsidR="0007549D" w:rsidRPr="00100776" w:rsidRDefault="008A5C9D" w:rsidP="0032185C">
            <w:pPr>
              <w:jc w:val="center"/>
              <w:rPr>
                <w:bCs/>
                <w:lang w:val="en-GB"/>
              </w:rPr>
            </w:pPr>
            <w:r w:rsidRPr="00100776">
              <w:rPr>
                <w:bCs/>
                <w:lang w:val="en-GB"/>
              </w:rPr>
              <w:t>80.99%</w:t>
            </w:r>
          </w:p>
        </w:tc>
        <w:tc>
          <w:tcPr>
            <w:tcW w:w="1269" w:type="dxa"/>
            <w:tcBorders>
              <w:top w:val="nil"/>
              <w:bottom w:val="nil"/>
            </w:tcBorders>
            <w:vAlign w:val="center"/>
          </w:tcPr>
          <w:p w14:paraId="31242E5D" w14:textId="0FD772DF" w:rsidR="0007549D" w:rsidRPr="00100776" w:rsidRDefault="0007549D" w:rsidP="0032185C">
            <w:pPr>
              <w:jc w:val="center"/>
              <w:rPr>
                <w:bCs/>
                <w:lang w:val="en-GB"/>
              </w:rPr>
            </w:pPr>
            <w:r w:rsidRPr="00100776">
              <w:rPr>
                <w:bCs/>
                <w:lang w:val="en-GB"/>
              </w:rPr>
              <w:t>0.83</w:t>
            </w:r>
          </w:p>
        </w:tc>
      </w:tr>
      <w:tr w:rsidR="0007549D" w:rsidRPr="00100776" w14:paraId="2352156B" w14:textId="77777777" w:rsidTr="005505BB">
        <w:trPr>
          <w:trHeight w:val="709"/>
        </w:trPr>
        <w:tc>
          <w:tcPr>
            <w:tcW w:w="5219" w:type="dxa"/>
            <w:tcBorders>
              <w:top w:val="nil"/>
              <w:bottom w:val="nil"/>
            </w:tcBorders>
            <w:vAlign w:val="center"/>
          </w:tcPr>
          <w:p w14:paraId="0BD76602" w14:textId="371576E5" w:rsidR="0007549D" w:rsidRPr="00100776" w:rsidRDefault="0007549D" w:rsidP="0032185C">
            <w:pPr>
              <w:rPr>
                <w:bCs/>
                <w:lang w:val="en-GB"/>
              </w:rPr>
            </w:pPr>
            <w:r w:rsidRPr="00100776">
              <w:rPr>
                <w:bCs/>
                <w:lang w:val="en-GB"/>
              </w:rPr>
              <w:t xml:space="preserve">  Develop critical responses to music and communicate </w:t>
            </w:r>
            <w:r w:rsidRPr="00100776">
              <w:rPr>
                <w:bCs/>
                <w:lang w:val="en-GB"/>
              </w:rPr>
              <w:br/>
              <w:t xml:space="preserve">  effectively through music</w:t>
            </w:r>
          </w:p>
        </w:tc>
        <w:tc>
          <w:tcPr>
            <w:tcW w:w="735" w:type="dxa"/>
            <w:tcBorders>
              <w:top w:val="nil"/>
              <w:bottom w:val="nil"/>
            </w:tcBorders>
            <w:vAlign w:val="center"/>
          </w:tcPr>
          <w:p w14:paraId="61710210" w14:textId="46EB210A" w:rsidR="0007549D" w:rsidRPr="00100776" w:rsidRDefault="0007549D" w:rsidP="0032185C">
            <w:pPr>
              <w:jc w:val="center"/>
              <w:rPr>
                <w:bCs/>
                <w:lang w:val="en-GB"/>
              </w:rPr>
            </w:pPr>
            <w:r w:rsidRPr="00100776">
              <w:rPr>
                <w:bCs/>
                <w:lang w:val="en-GB"/>
              </w:rPr>
              <w:t>3.82</w:t>
            </w:r>
          </w:p>
        </w:tc>
        <w:tc>
          <w:tcPr>
            <w:tcW w:w="1417" w:type="dxa"/>
            <w:tcBorders>
              <w:top w:val="nil"/>
              <w:bottom w:val="nil"/>
            </w:tcBorders>
            <w:vAlign w:val="center"/>
          </w:tcPr>
          <w:p w14:paraId="0FC894F6" w14:textId="3308A318" w:rsidR="0007549D" w:rsidRPr="00100776" w:rsidRDefault="008A5C9D" w:rsidP="0032185C">
            <w:pPr>
              <w:jc w:val="center"/>
              <w:rPr>
                <w:bCs/>
                <w:lang w:val="en-GB"/>
              </w:rPr>
            </w:pPr>
            <w:r w:rsidRPr="00100776">
              <w:rPr>
                <w:bCs/>
                <w:lang w:val="en-GB"/>
              </w:rPr>
              <w:t>76.36%</w:t>
            </w:r>
          </w:p>
        </w:tc>
        <w:tc>
          <w:tcPr>
            <w:tcW w:w="1269" w:type="dxa"/>
            <w:tcBorders>
              <w:top w:val="nil"/>
              <w:bottom w:val="nil"/>
            </w:tcBorders>
            <w:vAlign w:val="center"/>
          </w:tcPr>
          <w:p w14:paraId="47690783" w14:textId="60F77176" w:rsidR="0007549D" w:rsidRPr="00100776" w:rsidRDefault="0007549D" w:rsidP="0032185C">
            <w:pPr>
              <w:jc w:val="center"/>
              <w:rPr>
                <w:bCs/>
                <w:lang w:val="en-GB"/>
              </w:rPr>
            </w:pPr>
            <w:r w:rsidRPr="00100776">
              <w:rPr>
                <w:bCs/>
                <w:lang w:val="en-GB"/>
              </w:rPr>
              <w:t>0.81</w:t>
            </w:r>
          </w:p>
        </w:tc>
      </w:tr>
      <w:tr w:rsidR="0007549D" w:rsidRPr="00100776" w14:paraId="794A124C" w14:textId="77777777" w:rsidTr="005505BB">
        <w:trPr>
          <w:trHeight w:val="731"/>
        </w:trPr>
        <w:tc>
          <w:tcPr>
            <w:tcW w:w="5219" w:type="dxa"/>
            <w:tcBorders>
              <w:top w:val="nil"/>
              <w:bottom w:val="nil"/>
            </w:tcBorders>
            <w:vAlign w:val="center"/>
          </w:tcPr>
          <w:p w14:paraId="1F0C61C5" w14:textId="1531F60E" w:rsidR="0007549D" w:rsidRPr="00100776" w:rsidRDefault="0007549D" w:rsidP="0090504B">
            <w:pPr>
              <w:rPr>
                <w:bCs/>
                <w:lang w:val="en-GB"/>
              </w:rPr>
            </w:pPr>
            <w:r w:rsidRPr="00100776">
              <w:rPr>
                <w:bCs/>
                <w:lang w:val="en-GB"/>
              </w:rPr>
              <w:t xml:space="preserve">  Build a foundation for purs</w:t>
            </w:r>
            <w:r w:rsidR="00D60808" w:rsidRPr="00100776">
              <w:rPr>
                <w:bCs/>
                <w:lang w:val="en-GB"/>
              </w:rPr>
              <w:t>u</w:t>
            </w:r>
            <w:r w:rsidRPr="00100776">
              <w:rPr>
                <w:bCs/>
                <w:lang w:val="en-GB"/>
              </w:rPr>
              <w:t>ing further studies in music and prepare for careers in music and related areas</w:t>
            </w:r>
          </w:p>
        </w:tc>
        <w:tc>
          <w:tcPr>
            <w:tcW w:w="735" w:type="dxa"/>
            <w:tcBorders>
              <w:top w:val="nil"/>
              <w:bottom w:val="nil"/>
            </w:tcBorders>
            <w:vAlign w:val="center"/>
          </w:tcPr>
          <w:p w14:paraId="390F8960" w14:textId="2E40527C" w:rsidR="0007549D" w:rsidRPr="00100776" w:rsidRDefault="0007549D" w:rsidP="0032185C">
            <w:pPr>
              <w:jc w:val="center"/>
              <w:rPr>
                <w:bCs/>
                <w:lang w:val="en-GB"/>
              </w:rPr>
            </w:pPr>
            <w:r w:rsidRPr="00100776">
              <w:rPr>
                <w:bCs/>
                <w:lang w:val="en-GB"/>
              </w:rPr>
              <w:t>3.79</w:t>
            </w:r>
          </w:p>
        </w:tc>
        <w:tc>
          <w:tcPr>
            <w:tcW w:w="1417" w:type="dxa"/>
            <w:tcBorders>
              <w:top w:val="nil"/>
              <w:bottom w:val="nil"/>
            </w:tcBorders>
            <w:vAlign w:val="center"/>
          </w:tcPr>
          <w:p w14:paraId="3D239615" w14:textId="02E5A469" w:rsidR="0007549D" w:rsidRPr="00100776" w:rsidRDefault="008A5C9D" w:rsidP="0032185C">
            <w:pPr>
              <w:jc w:val="center"/>
              <w:rPr>
                <w:bCs/>
                <w:lang w:val="en-GB"/>
              </w:rPr>
            </w:pPr>
            <w:r w:rsidRPr="00100776">
              <w:rPr>
                <w:bCs/>
                <w:lang w:val="en-GB"/>
              </w:rPr>
              <w:t>75.87%</w:t>
            </w:r>
          </w:p>
        </w:tc>
        <w:tc>
          <w:tcPr>
            <w:tcW w:w="1269" w:type="dxa"/>
            <w:tcBorders>
              <w:top w:val="nil"/>
              <w:bottom w:val="nil"/>
            </w:tcBorders>
            <w:vAlign w:val="center"/>
          </w:tcPr>
          <w:p w14:paraId="2415F44E" w14:textId="1D0753B9" w:rsidR="0007549D" w:rsidRPr="00100776" w:rsidRDefault="0007549D" w:rsidP="0032185C">
            <w:pPr>
              <w:jc w:val="center"/>
              <w:rPr>
                <w:bCs/>
                <w:lang w:val="en-GB"/>
              </w:rPr>
            </w:pPr>
            <w:r w:rsidRPr="00100776">
              <w:rPr>
                <w:bCs/>
                <w:lang w:val="en-GB"/>
              </w:rPr>
              <w:t>0.93</w:t>
            </w:r>
          </w:p>
        </w:tc>
      </w:tr>
      <w:tr w:rsidR="0007549D" w:rsidRPr="00100776" w14:paraId="3FF63B59" w14:textId="77777777" w:rsidTr="005505BB">
        <w:trPr>
          <w:trHeight w:val="475"/>
        </w:trPr>
        <w:tc>
          <w:tcPr>
            <w:tcW w:w="5219" w:type="dxa"/>
            <w:tcBorders>
              <w:top w:val="nil"/>
              <w:bottom w:val="nil"/>
            </w:tcBorders>
            <w:vAlign w:val="center"/>
          </w:tcPr>
          <w:p w14:paraId="6FD1F4D0" w14:textId="35370EC9" w:rsidR="0007549D" w:rsidRPr="00100776" w:rsidRDefault="0007549D" w:rsidP="0090504B">
            <w:pPr>
              <w:rPr>
                <w:bCs/>
                <w:lang w:val="en-GB"/>
              </w:rPr>
            </w:pPr>
            <w:r w:rsidRPr="00100776">
              <w:rPr>
                <w:bCs/>
                <w:lang w:val="en-GB"/>
              </w:rPr>
              <w:t xml:space="preserve">  Cultivate a lifelong interest in music and develop </w:t>
            </w:r>
            <w:r w:rsidRPr="00100776">
              <w:rPr>
                <w:bCs/>
                <w:lang w:val="en-GB"/>
              </w:rPr>
              <w:br/>
              <w:t xml:space="preserve">  positive values and attitudes towards music</w:t>
            </w:r>
          </w:p>
        </w:tc>
        <w:tc>
          <w:tcPr>
            <w:tcW w:w="735" w:type="dxa"/>
            <w:tcBorders>
              <w:top w:val="nil"/>
              <w:bottom w:val="nil"/>
            </w:tcBorders>
            <w:vAlign w:val="center"/>
          </w:tcPr>
          <w:p w14:paraId="64A9D588" w14:textId="15066B77" w:rsidR="0007549D" w:rsidRPr="00100776" w:rsidRDefault="0007549D" w:rsidP="0032185C">
            <w:pPr>
              <w:jc w:val="center"/>
              <w:rPr>
                <w:bCs/>
                <w:lang w:val="en-GB"/>
              </w:rPr>
            </w:pPr>
            <w:r w:rsidRPr="00100776">
              <w:rPr>
                <w:bCs/>
                <w:lang w:val="en-GB"/>
              </w:rPr>
              <w:t>3.94</w:t>
            </w:r>
          </w:p>
        </w:tc>
        <w:tc>
          <w:tcPr>
            <w:tcW w:w="1417" w:type="dxa"/>
            <w:tcBorders>
              <w:top w:val="nil"/>
              <w:bottom w:val="nil"/>
            </w:tcBorders>
            <w:vAlign w:val="center"/>
          </w:tcPr>
          <w:p w14:paraId="7E29F0C6" w14:textId="3047CFD0" w:rsidR="0007549D" w:rsidRPr="00100776" w:rsidRDefault="008A5C9D" w:rsidP="0032185C">
            <w:pPr>
              <w:jc w:val="center"/>
              <w:rPr>
                <w:bCs/>
                <w:lang w:val="en-GB"/>
              </w:rPr>
            </w:pPr>
            <w:r w:rsidRPr="00100776">
              <w:rPr>
                <w:bCs/>
                <w:lang w:val="en-GB"/>
              </w:rPr>
              <w:t>78.84%</w:t>
            </w:r>
          </w:p>
        </w:tc>
        <w:tc>
          <w:tcPr>
            <w:tcW w:w="1269" w:type="dxa"/>
            <w:tcBorders>
              <w:top w:val="nil"/>
              <w:bottom w:val="nil"/>
            </w:tcBorders>
            <w:vAlign w:val="center"/>
          </w:tcPr>
          <w:p w14:paraId="6271B9EA" w14:textId="19416E1C" w:rsidR="0007549D" w:rsidRPr="00100776" w:rsidRDefault="0007549D" w:rsidP="0032185C">
            <w:pPr>
              <w:jc w:val="center"/>
              <w:rPr>
                <w:bCs/>
                <w:lang w:val="en-GB"/>
              </w:rPr>
            </w:pPr>
            <w:r w:rsidRPr="00100776">
              <w:rPr>
                <w:bCs/>
                <w:lang w:val="en-GB"/>
              </w:rPr>
              <w:t>0.92</w:t>
            </w:r>
          </w:p>
        </w:tc>
      </w:tr>
      <w:tr w:rsidR="00FB30C9" w:rsidRPr="00100776" w14:paraId="5683D964" w14:textId="77777777" w:rsidTr="005505BB">
        <w:trPr>
          <w:trHeight w:val="635"/>
        </w:trPr>
        <w:tc>
          <w:tcPr>
            <w:tcW w:w="5219" w:type="dxa"/>
            <w:tcBorders>
              <w:top w:val="nil"/>
              <w:bottom w:val="nil"/>
            </w:tcBorders>
            <w:vAlign w:val="center"/>
          </w:tcPr>
          <w:p w14:paraId="5E37352F" w14:textId="3B81C215" w:rsidR="00FB30C9" w:rsidRPr="00100776" w:rsidRDefault="00FB30C9" w:rsidP="00FB30C9">
            <w:pPr>
              <w:rPr>
                <w:bCs/>
                <w:lang w:val="en-GB"/>
              </w:rPr>
            </w:pPr>
            <w:r w:rsidRPr="00100776">
              <w:rPr>
                <w:bCs/>
                <w:lang w:val="en-GB"/>
              </w:rPr>
              <w:t xml:space="preserve">  Average:</w:t>
            </w:r>
          </w:p>
        </w:tc>
        <w:tc>
          <w:tcPr>
            <w:tcW w:w="735" w:type="dxa"/>
            <w:tcBorders>
              <w:top w:val="nil"/>
              <w:bottom w:val="nil"/>
            </w:tcBorders>
            <w:vAlign w:val="center"/>
          </w:tcPr>
          <w:p w14:paraId="07002BE9" w14:textId="0F19A709" w:rsidR="00FB30C9" w:rsidRPr="00100776" w:rsidRDefault="00FB30C9" w:rsidP="00FB30C9">
            <w:pPr>
              <w:jc w:val="center"/>
              <w:rPr>
                <w:bCs/>
                <w:lang w:val="en-GB"/>
              </w:rPr>
            </w:pPr>
            <w:r w:rsidRPr="00100776">
              <w:rPr>
                <w:bCs/>
                <w:lang w:val="en-GB"/>
              </w:rPr>
              <w:t>3.87</w:t>
            </w:r>
          </w:p>
        </w:tc>
        <w:tc>
          <w:tcPr>
            <w:tcW w:w="1417" w:type="dxa"/>
            <w:tcBorders>
              <w:top w:val="nil"/>
              <w:bottom w:val="nil"/>
            </w:tcBorders>
            <w:vAlign w:val="center"/>
          </w:tcPr>
          <w:p w14:paraId="2CA14956" w14:textId="6629C561" w:rsidR="00FB30C9" w:rsidRPr="00100776" w:rsidRDefault="00FB30C9" w:rsidP="00FB30C9">
            <w:pPr>
              <w:jc w:val="center"/>
              <w:rPr>
                <w:bCs/>
                <w:lang w:val="en-GB"/>
              </w:rPr>
            </w:pPr>
            <w:r w:rsidRPr="00100776">
              <w:rPr>
                <w:bCs/>
                <w:lang w:val="en-GB"/>
              </w:rPr>
              <w:t>77.36%</w:t>
            </w:r>
          </w:p>
        </w:tc>
        <w:tc>
          <w:tcPr>
            <w:tcW w:w="1269" w:type="dxa"/>
            <w:tcBorders>
              <w:top w:val="nil"/>
              <w:bottom w:val="nil"/>
            </w:tcBorders>
            <w:vAlign w:val="center"/>
          </w:tcPr>
          <w:p w14:paraId="42872ADB" w14:textId="6B861485" w:rsidR="00FB30C9" w:rsidRPr="00100776" w:rsidRDefault="00FB30C9" w:rsidP="00FB30C9">
            <w:pPr>
              <w:jc w:val="center"/>
              <w:rPr>
                <w:bCs/>
                <w:lang w:val="en-GB"/>
              </w:rPr>
            </w:pPr>
            <w:r w:rsidRPr="00100776">
              <w:rPr>
                <w:bCs/>
                <w:lang w:val="en-GB"/>
              </w:rPr>
              <w:t>0.88</w:t>
            </w:r>
          </w:p>
        </w:tc>
      </w:tr>
      <w:tr w:rsidR="00FB30C9" w:rsidRPr="00100776" w14:paraId="147AFC4B" w14:textId="77777777" w:rsidTr="0007549D">
        <w:tc>
          <w:tcPr>
            <w:tcW w:w="5219" w:type="dxa"/>
            <w:tcBorders>
              <w:top w:val="nil"/>
              <w:bottom w:val="nil"/>
            </w:tcBorders>
          </w:tcPr>
          <w:p w14:paraId="264F1469" w14:textId="0A4E9E1F" w:rsidR="00FB30C9" w:rsidRPr="00100776" w:rsidRDefault="00FB30C9" w:rsidP="00FB30C9">
            <w:pPr>
              <w:rPr>
                <w:b/>
                <w:lang w:val="en-GB"/>
              </w:rPr>
            </w:pPr>
            <w:r w:rsidRPr="00100776">
              <w:rPr>
                <w:b/>
                <w:lang w:val="en-GB"/>
              </w:rPr>
              <w:t>Learning target</w:t>
            </w:r>
            <w:r w:rsidR="00D60808" w:rsidRPr="00100776">
              <w:rPr>
                <w:b/>
                <w:lang w:val="en-GB"/>
              </w:rPr>
              <w:t>s</w:t>
            </w:r>
          </w:p>
        </w:tc>
        <w:tc>
          <w:tcPr>
            <w:tcW w:w="735" w:type="dxa"/>
            <w:tcBorders>
              <w:top w:val="nil"/>
              <w:bottom w:val="nil"/>
            </w:tcBorders>
            <w:vAlign w:val="center"/>
          </w:tcPr>
          <w:p w14:paraId="42CECBE6" w14:textId="6647DF5F" w:rsidR="00FB30C9" w:rsidRPr="00100776" w:rsidRDefault="00FB30C9" w:rsidP="00FB30C9">
            <w:pPr>
              <w:jc w:val="center"/>
              <w:rPr>
                <w:bCs/>
                <w:lang w:val="en-GB"/>
              </w:rPr>
            </w:pPr>
          </w:p>
        </w:tc>
        <w:tc>
          <w:tcPr>
            <w:tcW w:w="1417" w:type="dxa"/>
            <w:tcBorders>
              <w:top w:val="nil"/>
              <w:bottom w:val="nil"/>
            </w:tcBorders>
            <w:vAlign w:val="center"/>
          </w:tcPr>
          <w:p w14:paraId="64463560" w14:textId="48830AF3" w:rsidR="00FB30C9" w:rsidRPr="00100776" w:rsidRDefault="00FB30C9" w:rsidP="00FB30C9">
            <w:pPr>
              <w:jc w:val="center"/>
              <w:rPr>
                <w:bCs/>
                <w:lang w:val="en-GB"/>
              </w:rPr>
            </w:pPr>
          </w:p>
        </w:tc>
        <w:tc>
          <w:tcPr>
            <w:tcW w:w="1269" w:type="dxa"/>
            <w:tcBorders>
              <w:top w:val="nil"/>
              <w:bottom w:val="nil"/>
            </w:tcBorders>
            <w:vAlign w:val="center"/>
          </w:tcPr>
          <w:p w14:paraId="12710289" w14:textId="643B0D88" w:rsidR="00FB30C9" w:rsidRPr="00100776" w:rsidRDefault="00FB30C9" w:rsidP="00FB30C9">
            <w:pPr>
              <w:jc w:val="center"/>
              <w:rPr>
                <w:bCs/>
                <w:lang w:val="en-GB"/>
              </w:rPr>
            </w:pPr>
          </w:p>
        </w:tc>
      </w:tr>
      <w:tr w:rsidR="00FB30C9" w:rsidRPr="00100776" w14:paraId="3F2EE8DC" w14:textId="77777777" w:rsidTr="005505BB">
        <w:trPr>
          <w:trHeight w:val="356"/>
        </w:trPr>
        <w:tc>
          <w:tcPr>
            <w:tcW w:w="5219" w:type="dxa"/>
            <w:tcBorders>
              <w:top w:val="nil"/>
              <w:bottom w:val="nil"/>
            </w:tcBorders>
            <w:vAlign w:val="center"/>
          </w:tcPr>
          <w:p w14:paraId="6C767B2D" w14:textId="410F8AD0" w:rsidR="00FB30C9" w:rsidRPr="00100776" w:rsidRDefault="00FB30C9" w:rsidP="00FB30C9">
            <w:pPr>
              <w:rPr>
                <w:bCs/>
                <w:lang w:val="en-GB"/>
              </w:rPr>
            </w:pPr>
            <w:r w:rsidRPr="00100776">
              <w:rPr>
                <w:bCs/>
                <w:lang w:val="en-GB"/>
              </w:rPr>
              <w:t xml:space="preserve">  Developing creativity and imagination</w:t>
            </w:r>
          </w:p>
        </w:tc>
        <w:tc>
          <w:tcPr>
            <w:tcW w:w="735" w:type="dxa"/>
            <w:tcBorders>
              <w:top w:val="nil"/>
              <w:bottom w:val="nil"/>
            </w:tcBorders>
            <w:vAlign w:val="center"/>
          </w:tcPr>
          <w:p w14:paraId="186070B3" w14:textId="0AF98E47" w:rsidR="00FB30C9" w:rsidRPr="00100776" w:rsidRDefault="00FB30C9" w:rsidP="00FB30C9">
            <w:pPr>
              <w:jc w:val="center"/>
              <w:rPr>
                <w:bCs/>
                <w:lang w:val="en-GB"/>
              </w:rPr>
            </w:pPr>
            <w:r w:rsidRPr="00100776">
              <w:rPr>
                <w:bCs/>
                <w:lang w:val="en-GB"/>
              </w:rPr>
              <w:t>3.64</w:t>
            </w:r>
          </w:p>
        </w:tc>
        <w:tc>
          <w:tcPr>
            <w:tcW w:w="1417" w:type="dxa"/>
            <w:tcBorders>
              <w:top w:val="nil"/>
              <w:bottom w:val="nil"/>
            </w:tcBorders>
            <w:vAlign w:val="center"/>
          </w:tcPr>
          <w:p w14:paraId="1CCDA948" w14:textId="1754C27B" w:rsidR="00FB30C9" w:rsidRPr="00100776" w:rsidRDefault="00FB30C9" w:rsidP="00FB30C9">
            <w:pPr>
              <w:jc w:val="center"/>
              <w:rPr>
                <w:bCs/>
                <w:lang w:val="en-GB"/>
              </w:rPr>
            </w:pPr>
            <w:r w:rsidRPr="00100776">
              <w:rPr>
                <w:bCs/>
                <w:lang w:val="en-GB"/>
              </w:rPr>
              <w:t>72.89%</w:t>
            </w:r>
          </w:p>
        </w:tc>
        <w:tc>
          <w:tcPr>
            <w:tcW w:w="1269" w:type="dxa"/>
            <w:tcBorders>
              <w:top w:val="nil"/>
              <w:bottom w:val="nil"/>
            </w:tcBorders>
            <w:vAlign w:val="center"/>
          </w:tcPr>
          <w:p w14:paraId="46D0468A" w14:textId="747A8F05" w:rsidR="00FB30C9" w:rsidRPr="00100776" w:rsidRDefault="00FB30C9" w:rsidP="00FB30C9">
            <w:pPr>
              <w:jc w:val="center"/>
              <w:rPr>
                <w:bCs/>
                <w:lang w:val="en-GB"/>
              </w:rPr>
            </w:pPr>
            <w:r w:rsidRPr="00100776">
              <w:rPr>
                <w:bCs/>
                <w:lang w:val="en-GB"/>
              </w:rPr>
              <w:t>1.04</w:t>
            </w:r>
          </w:p>
        </w:tc>
      </w:tr>
      <w:tr w:rsidR="00FB30C9" w:rsidRPr="00100776" w14:paraId="1901670B" w14:textId="77777777" w:rsidTr="005505BB">
        <w:trPr>
          <w:trHeight w:val="417"/>
        </w:trPr>
        <w:tc>
          <w:tcPr>
            <w:tcW w:w="5219" w:type="dxa"/>
            <w:tcBorders>
              <w:top w:val="nil"/>
              <w:bottom w:val="nil"/>
            </w:tcBorders>
            <w:vAlign w:val="center"/>
          </w:tcPr>
          <w:p w14:paraId="013C3A40" w14:textId="3DCFBC38" w:rsidR="00FB30C9" w:rsidRPr="00100776" w:rsidRDefault="00FB30C9" w:rsidP="00FB30C9">
            <w:pPr>
              <w:rPr>
                <w:bCs/>
                <w:lang w:val="en-GB"/>
              </w:rPr>
            </w:pPr>
            <w:r w:rsidRPr="00100776">
              <w:rPr>
                <w:bCs/>
                <w:lang w:val="en-GB"/>
              </w:rPr>
              <w:t xml:space="preserve">  Developing music skills and processes</w:t>
            </w:r>
          </w:p>
        </w:tc>
        <w:tc>
          <w:tcPr>
            <w:tcW w:w="735" w:type="dxa"/>
            <w:tcBorders>
              <w:top w:val="nil"/>
              <w:bottom w:val="nil"/>
            </w:tcBorders>
            <w:vAlign w:val="center"/>
          </w:tcPr>
          <w:p w14:paraId="7E934FFC" w14:textId="7C6546D0" w:rsidR="00FB30C9" w:rsidRPr="00100776" w:rsidRDefault="00FB30C9" w:rsidP="00FB30C9">
            <w:pPr>
              <w:jc w:val="center"/>
              <w:rPr>
                <w:bCs/>
                <w:lang w:val="en-GB"/>
              </w:rPr>
            </w:pPr>
            <w:r w:rsidRPr="00100776">
              <w:rPr>
                <w:bCs/>
                <w:lang w:val="en-GB"/>
              </w:rPr>
              <w:t>3.88</w:t>
            </w:r>
          </w:p>
        </w:tc>
        <w:tc>
          <w:tcPr>
            <w:tcW w:w="1417" w:type="dxa"/>
            <w:tcBorders>
              <w:top w:val="nil"/>
              <w:bottom w:val="nil"/>
            </w:tcBorders>
            <w:vAlign w:val="center"/>
          </w:tcPr>
          <w:p w14:paraId="7A7CE6E1" w14:textId="22D78BB6" w:rsidR="00FB30C9" w:rsidRPr="00100776" w:rsidRDefault="00FB30C9" w:rsidP="00FB30C9">
            <w:pPr>
              <w:jc w:val="center"/>
              <w:rPr>
                <w:bCs/>
                <w:lang w:val="en-GB"/>
              </w:rPr>
            </w:pPr>
            <w:r w:rsidRPr="00100776">
              <w:rPr>
                <w:bCs/>
                <w:lang w:val="en-GB"/>
              </w:rPr>
              <w:t>77.69%</w:t>
            </w:r>
          </w:p>
        </w:tc>
        <w:tc>
          <w:tcPr>
            <w:tcW w:w="1269" w:type="dxa"/>
            <w:tcBorders>
              <w:top w:val="nil"/>
              <w:bottom w:val="nil"/>
            </w:tcBorders>
            <w:vAlign w:val="center"/>
          </w:tcPr>
          <w:p w14:paraId="7470733A" w14:textId="18E3E961" w:rsidR="00FB30C9" w:rsidRPr="00100776" w:rsidRDefault="00FB30C9" w:rsidP="00FB30C9">
            <w:pPr>
              <w:jc w:val="center"/>
              <w:rPr>
                <w:bCs/>
                <w:lang w:val="en-GB"/>
              </w:rPr>
            </w:pPr>
            <w:r w:rsidRPr="00100776">
              <w:rPr>
                <w:bCs/>
                <w:lang w:val="en-GB"/>
              </w:rPr>
              <w:t>0.95</w:t>
            </w:r>
          </w:p>
        </w:tc>
      </w:tr>
      <w:tr w:rsidR="00FB30C9" w:rsidRPr="00100776" w14:paraId="7F351D62" w14:textId="77777777" w:rsidTr="005505BB">
        <w:trPr>
          <w:trHeight w:val="437"/>
        </w:trPr>
        <w:tc>
          <w:tcPr>
            <w:tcW w:w="5219" w:type="dxa"/>
            <w:tcBorders>
              <w:top w:val="nil"/>
              <w:bottom w:val="nil"/>
            </w:tcBorders>
            <w:vAlign w:val="center"/>
          </w:tcPr>
          <w:p w14:paraId="47018E95" w14:textId="62A9A0A5" w:rsidR="00FB30C9" w:rsidRPr="00100776" w:rsidRDefault="00FB30C9" w:rsidP="00FB30C9">
            <w:pPr>
              <w:rPr>
                <w:bCs/>
                <w:lang w:val="en-GB"/>
              </w:rPr>
            </w:pPr>
            <w:r w:rsidRPr="00100776">
              <w:rPr>
                <w:bCs/>
                <w:lang w:val="en-GB"/>
              </w:rPr>
              <w:t xml:space="preserve">  Cultivating critical responses in music</w:t>
            </w:r>
          </w:p>
        </w:tc>
        <w:tc>
          <w:tcPr>
            <w:tcW w:w="735" w:type="dxa"/>
            <w:tcBorders>
              <w:top w:val="nil"/>
              <w:bottom w:val="nil"/>
            </w:tcBorders>
            <w:vAlign w:val="center"/>
          </w:tcPr>
          <w:p w14:paraId="21C7BB34" w14:textId="74CCB988" w:rsidR="00FB30C9" w:rsidRPr="00100776" w:rsidRDefault="00FB30C9" w:rsidP="00FB30C9">
            <w:pPr>
              <w:jc w:val="center"/>
              <w:rPr>
                <w:bCs/>
                <w:lang w:val="en-GB"/>
              </w:rPr>
            </w:pPr>
            <w:r w:rsidRPr="00100776">
              <w:rPr>
                <w:bCs/>
                <w:lang w:val="en-GB"/>
              </w:rPr>
              <w:t>3.98</w:t>
            </w:r>
          </w:p>
        </w:tc>
        <w:tc>
          <w:tcPr>
            <w:tcW w:w="1417" w:type="dxa"/>
            <w:tcBorders>
              <w:top w:val="nil"/>
              <w:bottom w:val="nil"/>
            </w:tcBorders>
            <w:vAlign w:val="center"/>
          </w:tcPr>
          <w:p w14:paraId="68096B16" w14:textId="3BF0DB8D" w:rsidR="00FB30C9" w:rsidRPr="00100776" w:rsidRDefault="00FB30C9" w:rsidP="00FB30C9">
            <w:pPr>
              <w:jc w:val="center"/>
              <w:rPr>
                <w:bCs/>
                <w:lang w:val="en-GB"/>
              </w:rPr>
            </w:pPr>
            <w:r w:rsidRPr="00100776">
              <w:rPr>
                <w:bCs/>
                <w:lang w:val="en-GB"/>
              </w:rPr>
              <w:t>79.50%</w:t>
            </w:r>
          </w:p>
        </w:tc>
        <w:tc>
          <w:tcPr>
            <w:tcW w:w="1269" w:type="dxa"/>
            <w:tcBorders>
              <w:top w:val="nil"/>
              <w:bottom w:val="nil"/>
            </w:tcBorders>
            <w:vAlign w:val="center"/>
          </w:tcPr>
          <w:p w14:paraId="066581E7" w14:textId="24B2523B" w:rsidR="00FB30C9" w:rsidRPr="00100776" w:rsidRDefault="00FB30C9" w:rsidP="00FB30C9">
            <w:pPr>
              <w:jc w:val="center"/>
              <w:rPr>
                <w:bCs/>
                <w:lang w:val="en-GB"/>
              </w:rPr>
            </w:pPr>
            <w:r w:rsidRPr="00100776">
              <w:rPr>
                <w:bCs/>
                <w:lang w:val="en-GB"/>
              </w:rPr>
              <w:t>0.91</w:t>
            </w:r>
          </w:p>
        </w:tc>
      </w:tr>
      <w:tr w:rsidR="00FB30C9" w:rsidRPr="00100776" w14:paraId="4D6BFB1A" w14:textId="77777777" w:rsidTr="005505BB">
        <w:trPr>
          <w:trHeight w:val="513"/>
        </w:trPr>
        <w:tc>
          <w:tcPr>
            <w:tcW w:w="5219" w:type="dxa"/>
            <w:tcBorders>
              <w:top w:val="nil"/>
              <w:bottom w:val="nil"/>
            </w:tcBorders>
            <w:vAlign w:val="center"/>
          </w:tcPr>
          <w:p w14:paraId="29ACF621" w14:textId="4182AF22" w:rsidR="00FB30C9" w:rsidRPr="00100776" w:rsidRDefault="00FB30C9" w:rsidP="00FB30C9">
            <w:pPr>
              <w:rPr>
                <w:bCs/>
                <w:lang w:val="en-GB"/>
              </w:rPr>
            </w:pPr>
            <w:r w:rsidRPr="00100776">
              <w:rPr>
                <w:bCs/>
                <w:lang w:val="en-GB"/>
              </w:rPr>
              <w:t xml:space="preserve">  Understanding music in context</w:t>
            </w:r>
          </w:p>
        </w:tc>
        <w:tc>
          <w:tcPr>
            <w:tcW w:w="735" w:type="dxa"/>
            <w:tcBorders>
              <w:top w:val="nil"/>
              <w:bottom w:val="nil"/>
            </w:tcBorders>
            <w:vAlign w:val="center"/>
          </w:tcPr>
          <w:p w14:paraId="6B6B2807" w14:textId="68769AA7" w:rsidR="00FB30C9" w:rsidRPr="00100776" w:rsidRDefault="00FB30C9" w:rsidP="00FB30C9">
            <w:pPr>
              <w:jc w:val="center"/>
              <w:rPr>
                <w:bCs/>
                <w:lang w:val="en-GB"/>
              </w:rPr>
            </w:pPr>
            <w:r w:rsidRPr="00100776">
              <w:rPr>
                <w:bCs/>
                <w:lang w:val="en-GB"/>
              </w:rPr>
              <w:t>3.74</w:t>
            </w:r>
          </w:p>
        </w:tc>
        <w:tc>
          <w:tcPr>
            <w:tcW w:w="1417" w:type="dxa"/>
            <w:tcBorders>
              <w:top w:val="nil"/>
              <w:bottom w:val="nil"/>
            </w:tcBorders>
            <w:vAlign w:val="center"/>
          </w:tcPr>
          <w:p w14:paraId="5119AC73" w14:textId="15D1E324" w:rsidR="00FB30C9" w:rsidRPr="00100776" w:rsidRDefault="00FB30C9" w:rsidP="00FB30C9">
            <w:pPr>
              <w:jc w:val="center"/>
              <w:rPr>
                <w:bCs/>
                <w:lang w:val="en-GB"/>
              </w:rPr>
            </w:pPr>
            <w:r w:rsidRPr="00100776">
              <w:rPr>
                <w:bCs/>
                <w:lang w:val="en-GB"/>
              </w:rPr>
              <w:t>74.71%</w:t>
            </w:r>
          </w:p>
        </w:tc>
        <w:tc>
          <w:tcPr>
            <w:tcW w:w="1269" w:type="dxa"/>
            <w:tcBorders>
              <w:top w:val="nil"/>
              <w:bottom w:val="nil"/>
            </w:tcBorders>
            <w:vAlign w:val="center"/>
          </w:tcPr>
          <w:p w14:paraId="08EB7ECC" w14:textId="4C5E1A09" w:rsidR="00FB30C9" w:rsidRPr="00100776" w:rsidRDefault="00FB30C9" w:rsidP="00FB30C9">
            <w:pPr>
              <w:jc w:val="center"/>
              <w:rPr>
                <w:bCs/>
                <w:lang w:val="en-GB"/>
              </w:rPr>
            </w:pPr>
            <w:r w:rsidRPr="00100776">
              <w:rPr>
                <w:bCs/>
                <w:lang w:val="en-GB"/>
              </w:rPr>
              <w:t>1.05</w:t>
            </w:r>
          </w:p>
        </w:tc>
      </w:tr>
      <w:tr w:rsidR="005505BB" w:rsidRPr="00100776" w14:paraId="2828B830" w14:textId="77777777" w:rsidTr="005505BB">
        <w:tc>
          <w:tcPr>
            <w:tcW w:w="5219" w:type="dxa"/>
            <w:tcBorders>
              <w:top w:val="nil"/>
            </w:tcBorders>
            <w:vAlign w:val="center"/>
          </w:tcPr>
          <w:p w14:paraId="1921896F" w14:textId="6F3DC29F" w:rsidR="005505BB" w:rsidRPr="00100776" w:rsidRDefault="005505BB" w:rsidP="005505BB">
            <w:pPr>
              <w:rPr>
                <w:bCs/>
                <w:lang w:val="en-GB"/>
              </w:rPr>
            </w:pPr>
            <w:r w:rsidRPr="00100776">
              <w:rPr>
                <w:bCs/>
                <w:lang w:val="en-GB"/>
              </w:rPr>
              <w:t xml:space="preserve">  Average: </w:t>
            </w:r>
          </w:p>
        </w:tc>
        <w:tc>
          <w:tcPr>
            <w:tcW w:w="735" w:type="dxa"/>
            <w:tcBorders>
              <w:top w:val="nil"/>
            </w:tcBorders>
            <w:vAlign w:val="center"/>
          </w:tcPr>
          <w:p w14:paraId="36A21A47" w14:textId="5BA0EB3D" w:rsidR="005505BB" w:rsidRPr="00100776" w:rsidRDefault="005505BB" w:rsidP="005505BB">
            <w:pPr>
              <w:jc w:val="center"/>
              <w:rPr>
                <w:bCs/>
                <w:lang w:val="en-GB"/>
              </w:rPr>
            </w:pPr>
            <w:r w:rsidRPr="00100776">
              <w:rPr>
                <w:bCs/>
                <w:lang w:val="en-GB"/>
              </w:rPr>
              <w:t>3.81</w:t>
            </w:r>
          </w:p>
        </w:tc>
        <w:tc>
          <w:tcPr>
            <w:tcW w:w="1417" w:type="dxa"/>
            <w:tcBorders>
              <w:top w:val="nil"/>
            </w:tcBorders>
            <w:vAlign w:val="center"/>
          </w:tcPr>
          <w:p w14:paraId="03D6DD0E" w14:textId="476D6338" w:rsidR="005505BB" w:rsidRPr="00100776" w:rsidRDefault="005505BB" w:rsidP="005505BB">
            <w:pPr>
              <w:jc w:val="center"/>
              <w:rPr>
                <w:bCs/>
                <w:lang w:val="en-GB"/>
              </w:rPr>
            </w:pPr>
            <w:r w:rsidRPr="00100776">
              <w:rPr>
                <w:bCs/>
                <w:lang w:val="en-GB"/>
              </w:rPr>
              <w:t>76.20%</w:t>
            </w:r>
          </w:p>
        </w:tc>
        <w:tc>
          <w:tcPr>
            <w:tcW w:w="1269" w:type="dxa"/>
            <w:tcBorders>
              <w:top w:val="nil"/>
            </w:tcBorders>
            <w:vAlign w:val="center"/>
          </w:tcPr>
          <w:p w14:paraId="64EB0B98" w14:textId="4A842FF0" w:rsidR="005505BB" w:rsidRPr="00100776" w:rsidRDefault="005505BB" w:rsidP="005505BB">
            <w:pPr>
              <w:jc w:val="center"/>
              <w:rPr>
                <w:bCs/>
                <w:lang w:val="en-GB"/>
              </w:rPr>
            </w:pPr>
            <w:r w:rsidRPr="00100776">
              <w:rPr>
                <w:bCs/>
                <w:lang w:val="en-GB"/>
              </w:rPr>
              <w:t>1.00</w:t>
            </w:r>
          </w:p>
        </w:tc>
      </w:tr>
    </w:tbl>
    <w:p w14:paraId="05B27511" w14:textId="77777777" w:rsidR="00836568" w:rsidRPr="00100776" w:rsidRDefault="00836568">
      <w:pPr>
        <w:rPr>
          <w:b/>
          <w:lang w:val="en-GB"/>
        </w:rPr>
      </w:pPr>
    </w:p>
    <w:p w14:paraId="653943DC" w14:textId="0D79D9FB" w:rsidR="00923795" w:rsidRPr="00100776" w:rsidRDefault="009D31E2" w:rsidP="00392608">
      <w:pPr>
        <w:rPr>
          <w:bCs/>
          <w:lang w:val="en-GB"/>
        </w:rPr>
      </w:pPr>
      <w:r w:rsidRPr="00100776">
        <w:rPr>
          <w:bCs/>
          <w:lang w:val="en-GB"/>
        </w:rPr>
        <w:t xml:space="preserve">Participants’ high rating scores for the items in </w:t>
      </w:r>
      <w:r w:rsidR="009253DB" w:rsidRPr="00100776">
        <w:rPr>
          <w:bCs/>
          <w:lang w:val="en-GB"/>
        </w:rPr>
        <w:t xml:space="preserve">the </w:t>
      </w:r>
      <w:r w:rsidRPr="00100776">
        <w:rPr>
          <w:bCs/>
          <w:lang w:val="en-GB"/>
        </w:rPr>
        <w:t xml:space="preserve">curriculum aims and learning targets confirmed </w:t>
      </w:r>
      <w:r w:rsidR="00A45C15" w:rsidRPr="00100776">
        <w:rPr>
          <w:bCs/>
          <w:lang w:val="en-GB"/>
        </w:rPr>
        <w:t xml:space="preserve">the vertical alignment </w:t>
      </w:r>
      <w:r w:rsidR="002C2DB0" w:rsidRPr="00100776">
        <w:rPr>
          <w:bCs/>
          <w:lang w:val="en-GB"/>
        </w:rPr>
        <w:t xml:space="preserve">of the subject matter with the overall goals of </w:t>
      </w:r>
      <w:r w:rsidR="00A40ADF" w:rsidRPr="00100776">
        <w:rPr>
          <w:bCs/>
          <w:lang w:val="en-GB"/>
        </w:rPr>
        <w:t xml:space="preserve">the </w:t>
      </w:r>
      <w:r w:rsidR="009C18E0" w:rsidRPr="00100776">
        <w:rPr>
          <w:bCs/>
          <w:lang w:val="en-GB"/>
        </w:rPr>
        <w:t xml:space="preserve">music </w:t>
      </w:r>
      <w:r w:rsidR="007C1F33" w:rsidRPr="00100776">
        <w:rPr>
          <w:bCs/>
          <w:lang w:val="en-GB"/>
        </w:rPr>
        <w:t>curriculum</w:t>
      </w:r>
      <w:r w:rsidR="007B19C8" w:rsidRPr="00100776">
        <w:rPr>
          <w:bCs/>
          <w:lang w:val="en-GB"/>
        </w:rPr>
        <w:t xml:space="preserve">, </w:t>
      </w:r>
      <w:r w:rsidR="00A40ADF" w:rsidRPr="00100776">
        <w:rPr>
          <w:bCs/>
          <w:lang w:val="en-GB"/>
        </w:rPr>
        <w:t xml:space="preserve">thereby </w:t>
      </w:r>
      <w:r w:rsidR="00BA7B06" w:rsidRPr="00100776">
        <w:rPr>
          <w:bCs/>
          <w:lang w:val="en-GB"/>
        </w:rPr>
        <w:t>form</w:t>
      </w:r>
      <w:r w:rsidR="00A40ADF" w:rsidRPr="00100776">
        <w:rPr>
          <w:bCs/>
          <w:lang w:val="en-GB"/>
        </w:rPr>
        <w:t>ing</w:t>
      </w:r>
      <w:r w:rsidR="00BA7B06" w:rsidRPr="00100776">
        <w:rPr>
          <w:bCs/>
          <w:lang w:val="en-GB"/>
        </w:rPr>
        <w:t xml:space="preserve"> the backbone </w:t>
      </w:r>
      <w:r w:rsidR="0004113D" w:rsidRPr="00100776">
        <w:rPr>
          <w:bCs/>
          <w:lang w:val="en-GB"/>
        </w:rPr>
        <w:t>facilitating</w:t>
      </w:r>
      <w:r w:rsidR="007C1F33" w:rsidRPr="00100776">
        <w:rPr>
          <w:bCs/>
          <w:lang w:val="en-GB"/>
        </w:rPr>
        <w:t xml:space="preserve"> students’</w:t>
      </w:r>
      <w:r w:rsidR="0004113D" w:rsidRPr="00100776">
        <w:rPr>
          <w:bCs/>
          <w:lang w:val="en-GB"/>
        </w:rPr>
        <w:t xml:space="preserve"> </w:t>
      </w:r>
      <w:r w:rsidR="00A40ADF" w:rsidRPr="00100776">
        <w:rPr>
          <w:bCs/>
          <w:lang w:val="en-GB"/>
        </w:rPr>
        <w:t>achievement of</w:t>
      </w:r>
      <w:r w:rsidR="0004113D" w:rsidRPr="00100776">
        <w:rPr>
          <w:bCs/>
          <w:lang w:val="en-GB"/>
        </w:rPr>
        <w:t xml:space="preserve"> excellence in</w:t>
      </w:r>
      <w:r w:rsidR="007C1F33" w:rsidRPr="00100776">
        <w:rPr>
          <w:bCs/>
          <w:lang w:val="en-GB"/>
        </w:rPr>
        <w:t xml:space="preserve"> all-round music learning. </w:t>
      </w:r>
      <w:r w:rsidR="00A40ADF" w:rsidRPr="00100776">
        <w:rPr>
          <w:bCs/>
          <w:lang w:val="en-GB"/>
        </w:rPr>
        <w:t>Scores for the construction of</w:t>
      </w:r>
      <w:r w:rsidR="00A153A1" w:rsidRPr="00100776">
        <w:rPr>
          <w:bCs/>
          <w:lang w:val="en-GB"/>
        </w:rPr>
        <w:t xml:space="preserve"> students</w:t>
      </w:r>
      <w:r w:rsidR="00D855E2" w:rsidRPr="00100776">
        <w:rPr>
          <w:bCs/>
          <w:lang w:val="en-GB"/>
        </w:rPr>
        <w:t>’</w:t>
      </w:r>
      <w:r w:rsidR="00A153A1" w:rsidRPr="00100776">
        <w:rPr>
          <w:bCs/>
          <w:lang w:val="en-GB"/>
        </w:rPr>
        <w:t xml:space="preserve"> </w:t>
      </w:r>
      <w:r w:rsidR="00D855E2" w:rsidRPr="00100776">
        <w:rPr>
          <w:bCs/>
          <w:lang w:val="en-GB"/>
        </w:rPr>
        <w:t>knowledge and understanding of diverse music cultures</w:t>
      </w:r>
      <w:r w:rsidR="006B018E" w:rsidRPr="00100776">
        <w:rPr>
          <w:bCs/>
          <w:lang w:val="en-GB"/>
        </w:rPr>
        <w:t xml:space="preserve"> (</w:t>
      </w:r>
      <w:r w:rsidR="006B018E" w:rsidRPr="00100776">
        <w:rPr>
          <w:lang w:val="en-GB"/>
        </w:rPr>
        <w:t>M = 3.50, SD = 0.92</w:t>
      </w:r>
      <w:r w:rsidR="006B018E" w:rsidRPr="00100776">
        <w:rPr>
          <w:bCs/>
          <w:lang w:val="en-GB"/>
        </w:rPr>
        <w:t>)</w:t>
      </w:r>
      <w:r w:rsidR="00A40ADF" w:rsidRPr="00100776">
        <w:rPr>
          <w:bCs/>
          <w:lang w:val="en-GB"/>
        </w:rPr>
        <w:t xml:space="preserve"> were</w:t>
      </w:r>
      <w:r w:rsidR="00D855E2" w:rsidRPr="00100776">
        <w:rPr>
          <w:bCs/>
          <w:lang w:val="en-GB"/>
        </w:rPr>
        <w:t xml:space="preserve"> </w:t>
      </w:r>
      <w:r w:rsidR="0047579C" w:rsidRPr="00100776">
        <w:rPr>
          <w:bCs/>
          <w:lang w:val="en-GB"/>
        </w:rPr>
        <w:t xml:space="preserve">the </w:t>
      </w:r>
      <w:r w:rsidR="00D855E2" w:rsidRPr="00100776">
        <w:rPr>
          <w:bCs/>
          <w:lang w:val="en-GB"/>
        </w:rPr>
        <w:t>high</w:t>
      </w:r>
      <w:r w:rsidR="00820C90" w:rsidRPr="00100776">
        <w:rPr>
          <w:bCs/>
          <w:lang w:val="en-GB"/>
        </w:rPr>
        <w:t xml:space="preserve">est, </w:t>
      </w:r>
      <w:r w:rsidR="0036456E" w:rsidRPr="00100776">
        <w:rPr>
          <w:bCs/>
          <w:lang w:val="en-GB"/>
        </w:rPr>
        <w:t>indicating a recognition</w:t>
      </w:r>
      <w:r w:rsidR="00176AF3" w:rsidRPr="00100776">
        <w:rPr>
          <w:bCs/>
          <w:lang w:val="en-GB"/>
        </w:rPr>
        <w:t xml:space="preserve"> </w:t>
      </w:r>
      <w:r w:rsidR="00A40ADF" w:rsidRPr="00100776">
        <w:rPr>
          <w:bCs/>
          <w:lang w:val="en-GB"/>
        </w:rPr>
        <w:t>of</w:t>
      </w:r>
      <w:r w:rsidR="006864E6" w:rsidRPr="00100776">
        <w:rPr>
          <w:bCs/>
          <w:lang w:val="en-GB"/>
        </w:rPr>
        <w:t xml:space="preserve"> their</w:t>
      </w:r>
      <w:r w:rsidR="00176AF3" w:rsidRPr="00100776">
        <w:rPr>
          <w:bCs/>
          <w:lang w:val="en-GB"/>
        </w:rPr>
        <w:t xml:space="preserve"> learning achievement</w:t>
      </w:r>
      <w:r w:rsidR="00A40ADF" w:rsidRPr="00100776">
        <w:rPr>
          <w:bCs/>
          <w:lang w:val="en-GB"/>
        </w:rPr>
        <w:t>s</w:t>
      </w:r>
      <w:r w:rsidR="00176AF3" w:rsidRPr="00100776">
        <w:rPr>
          <w:bCs/>
          <w:lang w:val="en-GB"/>
        </w:rPr>
        <w:t xml:space="preserve"> and the effort</w:t>
      </w:r>
      <w:r w:rsidR="00A40ADF" w:rsidRPr="00100776">
        <w:rPr>
          <w:bCs/>
          <w:lang w:val="en-GB"/>
        </w:rPr>
        <w:t>s being undertaken</w:t>
      </w:r>
      <w:r w:rsidR="00176AF3" w:rsidRPr="00100776">
        <w:rPr>
          <w:bCs/>
          <w:lang w:val="en-GB"/>
        </w:rPr>
        <w:t xml:space="preserve"> to address local cultures beyond the </w:t>
      </w:r>
      <w:r w:rsidR="00A40ADF" w:rsidRPr="00100776">
        <w:rPr>
          <w:bCs/>
          <w:lang w:val="en-GB"/>
        </w:rPr>
        <w:t>W</w:t>
      </w:r>
      <w:r w:rsidR="00176AF3" w:rsidRPr="00100776">
        <w:rPr>
          <w:bCs/>
          <w:lang w:val="en-GB"/>
        </w:rPr>
        <w:t xml:space="preserve">estern canon. </w:t>
      </w:r>
    </w:p>
    <w:p w14:paraId="742FB5C5" w14:textId="77777777" w:rsidR="00923795" w:rsidRPr="00100776" w:rsidRDefault="00923795" w:rsidP="00851DF4">
      <w:pPr>
        <w:pStyle w:val="Heading1"/>
      </w:pPr>
      <w:r w:rsidRPr="00100776">
        <w:t>Discussion</w:t>
      </w:r>
    </w:p>
    <w:p w14:paraId="08DF28DF" w14:textId="65303937" w:rsidR="00923795" w:rsidRPr="00100776" w:rsidRDefault="00BE5593" w:rsidP="00392608">
      <w:pPr>
        <w:rPr>
          <w:bCs/>
          <w:lang w:val="en-GB"/>
        </w:rPr>
      </w:pPr>
      <w:r w:rsidRPr="00100776">
        <w:rPr>
          <w:bCs/>
          <w:lang w:val="en-GB"/>
        </w:rPr>
        <w:t xml:space="preserve">The findings </w:t>
      </w:r>
      <w:r w:rsidR="003E6CDF" w:rsidRPr="00100776">
        <w:rPr>
          <w:bCs/>
          <w:lang w:val="en-GB"/>
        </w:rPr>
        <w:t xml:space="preserve">of this study </w:t>
      </w:r>
      <w:r w:rsidR="009E0218" w:rsidRPr="00100776">
        <w:rPr>
          <w:bCs/>
          <w:lang w:val="en-GB"/>
        </w:rPr>
        <w:t xml:space="preserve">provide </w:t>
      </w:r>
      <w:r w:rsidR="004A7A2A" w:rsidRPr="00100776">
        <w:rPr>
          <w:bCs/>
          <w:lang w:val="en-GB"/>
        </w:rPr>
        <w:t>insights</w:t>
      </w:r>
      <w:r w:rsidR="009E0218" w:rsidRPr="00100776">
        <w:rPr>
          <w:bCs/>
          <w:lang w:val="en-GB"/>
        </w:rPr>
        <w:t xml:space="preserve"> for the </w:t>
      </w:r>
      <w:r w:rsidR="00A04593" w:rsidRPr="00100776">
        <w:rPr>
          <w:bCs/>
          <w:lang w:val="en-GB"/>
        </w:rPr>
        <w:t>low enrolment</w:t>
      </w:r>
      <w:r w:rsidR="003B09AE" w:rsidRPr="00100776">
        <w:rPr>
          <w:bCs/>
          <w:lang w:val="en-GB"/>
        </w:rPr>
        <w:t xml:space="preserve"> of music as </w:t>
      </w:r>
      <w:r w:rsidR="003B09AE" w:rsidRPr="00100776">
        <w:rPr>
          <w:lang w:val="en-GB"/>
        </w:rPr>
        <w:t>a public examination subject in Hong Kong senior secondary levels</w:t>
      </w:r>
      <w:r w:rsidR="006E2D1F" w:rsidRPr="00100776">
        <w:rPr>
          <w:lang w:val="en-GB"/>
        </w:rPr>
        <w:t>, which reveal the relationships among students’ prior music experience, their</w:t>
      </w:r>
      <w:r w:rsidR="00A04593" w:rsidRPr="00100776">
        <w:rPr>
          <w:lang w:val="en-GB"/>
        </w:rPr>
        <w:t xml:space="preserve"> interest and perceived difficulty </w:t>
      </w:r>
      <w:r w:rsidR="006E2D1F" w:rsidRPr="00100776">
        <w:rPr>
          <w:lang w:val="en-GB"/>
        </w:rPr>
        <w:t xml:space="preserve">in </w:t>
      </w:r>
      <w:r w:rsidR="00A04593" w:rsidRPr="00100776">
        <w:rPr>
          <w:lang w:val="en-GB"/>
        </w:rPr>
        <w:t>different</w:t>
      </w:r>
      <w:r w:rsidR="006E2D1F" w:rsidRPr="00100776">
        <w:rPr>
          <w:lang w:val="en-GB"/>
        </w:rPr>
        <w:t xml:space="preserve"> subject matters</w:t>
      </w:r>
      <w:r w:rsidR="00271D62" w:rsidRPr="00100776">
        <w:rPr>
          <w:lang w:val="en-GB"/>
        </w:rPr>
        <w:t xml:space="preserve">. </w:t>
      </w:r>
      <w:proofErr w:type="gramStart"/>
      <w:r w:rsidR="00271D62" w:rsidRPr="00100776">
        <w:rPr>
          <w:bCs/>
          <w:lang w:val="en-GB"/>
        </w:rPr>
        <w:t>A number of</w:t>
      </w:r>
      <w:proofErr w:type="gramEnd"/>
      <w:r w:rsidR="00271D62" w:rsidRPr="00100776">
        <w:rPr>
          <w:bCs/>
          <w:lang w:val="en-GB"/>
        </w:rPr>
        <w:t xml:space="preserve"> potential explanations for the </w:t>
      </w:r>
      <w:r w:rsidR="00A04593" w:rsidRPr="00100776">
        <w:rPr>
          <w:bCs/>
          <w:lang w:val="en-GB"/>
        </w:rPr>
        <w:t>unpopularity</w:t>
      </w:r>
      <w:r w:rsidR="00271D62" w:rsidRPr="00100776">
        <w:rPr>
          <w:bCs/>
          <w:lang w:val="en-GB"/>
        </w:rPr>
        <w:t xml:space="preserve"> </w:t>
      </w:r>
      <w:r w:rsidR="00E85B1F" w:rsidRPr="00100776">
        <w:rPr>
          <w:bCs/>
          <w:lang w:val="en-GB"/>
        </w:rPr>
        <w:t xml:space="preserve">of the music subject </w:t>
      </w:r>
      <w:r w:rsidR="00271D62" w:rsidRPr="00100776">
        <w:rPr>
          <w:bCs/>
          <w:lang w:val="en-GB"/>
        </w:rPr>
        <w:t>emerge:</w:t>
      </w:r>
    </w:p>
    <w:p w14:paraId="71ACFDE8" w14:textId="3E0BD19B" w:rsidR="003E6CDF" w:rsidRPr="00100776" w:rsidRDefault="007B7DF4" w:rsidP="00392608">
      <w:pPr>
        <w:rPr>
          <w:bCs/>
          <w:i/>
          <w:iCs/>
          <w:lang w:val="en-GB"/>
        </w:rPr>
      </w:pPr>
      <w:r w:rsidRPr="00100776">
        <w:rPr>
          <w:bCs/>
          <w:i/>
          <w:iCs/>
          <w:lang w:val="en-GB"/>
        </w:rPr>
        <w:lastRenderedPageBreak/>
        <w:t>Prior instrumental and ensemble experience</w:t>
      </w:r>
    </w:p>
    <w:p w14:paraId="09D7FA8D" w14:textId="6938136A" w:rsidR="006D73A1" w:rsidRPr="00100776" w:rsidRDefault="00271D62" w:rsidP="00392608">
      <w:pPr>
        <w:rPr>
          <w:bCs/>
          <w:lang w:val="en-GB"/>
        </w:rPr>
      </w:pPr>
      <w:r w:rsidRPr="00100776">
        <w:rPr>
          <w:bCs/>
          <w:lang w:val="en-GB"/>
        </w:rPr>
        <w:t>A</w:t>
      </w:r>
      <w:r w:rsidR="009253DB" w:rsidRPr="00100776">
        <w:rPr>
          <w:bCs/>
          <w:lang w:val="en-GB"/>
        </w:rPr>
        <w:t>part from</w:t>
      </w:r>
      <w:r w:rsidR="000B446E" w:rsidRPr="00100776">
        <w:rPr>
          <w:bCs/>
          <w:lang w:val="en-GB"/>
        </w:rPr>
        <w:t xml:space="preserve"> the curriculum design</w:t>
      </w:r>
      <w:r w:rsidR="001E6ADC" w:rsidRPr="00100776">
        <w:rPr>
          <w:bCs/>
          <w:lang w:val="en-GB"/>
        </w:rPr>
        <w:t>, which</w:t>
      </w:r>
      <w:r w:rsidR="000B446E" w:rsidRPr="00100776">
        <w:rPr>
          <w:bCs/>
          <w:lang w:val="en-GB"/>
        </w:rPr>
        <w:t xml:space="preserve"> places </w:t>
      </w:r>
      <w:r w:rsidR="009335A6" w:rsidRPr="00100776">
        <w:rPr>
          <w:bCs/>
          <w:lang w:val="en-GB"/>
        </w:rPr>
        <w:t xml:space="preserve">more emphasis on </w:t>
      </w:r>
      <w:r w:rsidR="0036456E" w:rsidRPr="00100776">
        <w:rPr>
          <w:bCs/>
          <w:lang w:val="en-GB"/>
        </w:rPr>
        <w:t>Western classical music</w:t>
      </w:r>
      <w:r w:rsidR="009335A6" w:rsidRPr="00100776">
        <w:rPr>
          <w:bCs/>
          <w:lang w:val="en-GB"/>
        </w:rPr>
        <w:t>, students’ prior instrumental experience is a major contributing factor</w:t>
      </w:r>
      <w:r w:rsidR="00E31AD8" w:rsidRPr="00100776">
        <w:rPr>
          <w:bCs/>
          <w:lang w:val="en-GB"/>
        </w:rPr>
        <w:t xml:space="preserve">. </w:t>
      </w:r>
      <w:r w:rsidR="009253DB" w:rsidRPr="00100776">
        <w:rPr>
          <w:bCs/>
          <w:lang w:val="en-GB"/>
        </w:rPr>
        <w:t>L</w:t>
      </w:r>
      <w:r w:rsidR="00C01554" w:rsidRPr="00100776">
        <w:rPr>
          <w:bCs/>
          <w:lang w:val="en-GB"/>
        </w:rPr>
        <w:t xml:space="preserve">earning </w:t>
      </w:r>
      <w:r w:rsidR="001E6ADC" w:rsidRPr="00100776">
        <w:rPr>
          <w:bCs/>
          <w:lang w:val="en-GB"/>
        </w:rPr>
        <w:t xml:space="preserve">a </w:t>
      </w:r>
      <w:r w:rsidR="00C01554" w:rsidRPr="00100776">
        <w:rPr>
          <w:bCs/>
          <w:lang w:val="en-GB"/>
        </w:rPr>
        <w:t>music</w:t>
      </w:r>
      <w:r w:rsidR="008C0C76" w:rsidRPr="00100776">
        <w:rPr>
          <w:bCs/>
          <w:lang w:val="en-GB"/>
        </w:rPr>
        <w:t>al</w:t>
      </w:r>
      <w:r w:rsidR="00C01554" w:rsidRPr="00100776">
        <w:rPr>
          <w:bCs/>
          <w:lang w:val="en-GB"/>
        </w:rPr>
        <w:t xml:space="preserve"> instrument</w:t>
      </w:r>
      <w:r w:rsidR="00782CAC" w:rsidRPr="00100776">
        <w:rPr>
          <w:bCs/>
          <w:lang w:val="en-GB"/>
        </w:rPr>
        <w:t xml:space="preserve"> </w:t>
      </w:r>
      <w:r w:rsidR="002C6DA7" w:rsidRPr="00100776">
        <w:rPr>
          <w:bCs/>
          <w:lang w:val="en-GB"/>
        </w:rPr>
        <w:t xml:space="preserve">is </w:t>
      </w:r>
      <w:r w:rsidR="00782CAC" w:rsidRPr="00100776">
        <w:rPr>
          <w:bCs/>
          <w:lang w:val="en-GB"/>
        </w:rPr>
        <w:t xml:space="preserve">one of the most straightforward </w:t>
      </w:r>
      <w:r w:rsidR="00D402E6" w:rsidRPr="00100776">
        <w:rPr>
          <w:bCs/>
          <w:lang w:val="en-GB"/>
        </w:rPr>
        <w:t>ways</w:t>
      </w:r>
      <w:r w:rsidR="00782CAC" w:rsidRPr="00100776">
        <w:rPr>
          <w:bCs/>
          <w:lang w:val="en-GB"/>
        </w:rPr>
        <w:t xml:space="preserve"> </w:t>
      </w:r>
      <w:r w:rsidR="005833A7" w:rsidRPr="00100776">
        <w:rPr>
          <w:bCs/>
          <w:lang w:val="en-GB"/>
        </w:rPr>
        <w:t xml:space="preserve">for students </w:t>
      </w:r>
      <w:r w:rsidR="00782CAC" w:rsidRPr="00100776">
        <w:rPr>
          <w:bCs/>
          <w:lang w:val="en-GB"/>
        </w:rPr>
        <w:t>to develop music</w:t>
      </w:r>
      <w:r w:rsidR="001E6ADC" w:rsidRPr="00100776">
        <w:rPr>
          <w:bCs/>
          <w:lang w:val="en-GB"/>
        </w:rPr>
        <w:t>al</w:t>
      </w:r>
      <w:r w:rsidR="00782CAC" w:rsidRPr="00100776">
        <w:rPr>
          <w:bCs/>
          <w:lang w:val="en-GB"/>
        </w:rPr>
        <w:t xml:space="preserve"> knowledge and skills</w:t>
      </w:r>
      <w:r w:rsidR="002C6DA7" w:rsidRPr="00100776">
        <w:rPr>
          <w:bCs/>
          <w:lang w:val="en-GB"/>
        </w:rPr>
        <w:t xml:space="preserve">, </w:t>
      </w:r>
      <w:r w:rsidR="0036456E" w:rsidRPr="00100776">
        <w:rPr>
          <w:bCs/>
          <w:lang w:val="en-GB"/>
        </w:rPr>
        <w:t>while</w:t>
      </w:r>
      <w:r w:rsidR="002C6DA7" w:rsidRPr="00100776">
        <w:rPr>
          <w:bCs/>
          <w:lang w:val="en-GB"/>
        </w:rPr>
        <w:t xml:space="preserve"> understanding of a particular musical culture </w:t>
      </w:r>
      <w:r w:rsidR="001E6ADC" w:rsidRPr="00100776">
        <w:rPr>
          <w:bCs/>
          <w:lang w:val="en-GB"/>
        </w:rPr>
        <w:t xml:space="preserve">can </w:t>
      </w:r>
      <w:r w:rsidR="002C6DA7" w:rsidRPr="00100776">
        <w:rPr>
          <w:bCs/>
          <w:lang w:val="en-GB"/>
        </w:rPr>
        <w:t>also</w:t>
      </w:r>
      <w:r w:rsidR="0036456E" w:rsidRPr="00100776">
        <w:rPr>
          <w:bCs/>
          <w:lang w:val="en-GB"/>
        </w:rPr>
        <w:t xml:space="preserve"> be</w:t>
      </w:r>
      <w:r w:rsidR="002C6DA7" w:rsidRPr="00100776">
        <w:rPr>
          <w:bCs/>
          <w:lang w:val="en-GB"/>
        </w:rPr>
        <w:t xml:space="preserve"> cultivated through</w:t>
      </w:r>
      <w:r w:rsidR="005833A7" w:rsidRPr="00100776">
        <w:rPr>
          <w:bCs/>
          <w:lang w:val="en-GB"/>
        </w:rPr>
        <w:t xml:space="preserve"> the musical process </w:t>
      </w:r>
      <w:r w:rsidR="001E6ADC" w:rsidRPr="00100776">
        <w:rPr>
          <w:bCs/>
          <w:lang w:val="en-GB"/>
        </w:rPr>
        <w:t xml:space="preserve">of </w:t>
      </w:r>
      <w:r w:rsidR="002C6DA7" w:rsidRPr="00100776">
        <w:rPr>
          <w:bCs/>
          <w:lang w:val="en-GB"/>
        </w:rPr>
        <w:t xml:space="preserve">instrumental training. </w:t>
      </w:r>
      <w:r w:rsidR="003746B3" w:rsidRPr="00100776">
        <w:rPr>
          <w:bCs/>
          <w:lang w:val="en-GB"/>
        </w:rPr>
        <w:t xml:space="preserve">Although this study </w:t>
      </w:r>
      <w:r w:rsidR="001E6ADC" w:rsidRPr="00100776">
        <w:rPr>
          <w:bCs/>
          <w:lang w:val="en-GB"/>
        </w:rPr>
        <w:t>was unable to</w:t>
      </w:r>
      <w:r w:rsidR="003746B3" w:rsidRPr="00100776">
        <w:rPr>
          <w:bCs/>
          <w:lang w:val="en-GB"/>
        </w:rPr>
        <w:t xml:space="preserve"> draw any </w:t>
      </w:r>
      <w:r w:rsidR="001E6ADC" w:rsidRPr="00100776">
        <w:rPr>
          <w:bCs/>
          <w:lang w:val="en-GB"/>
        </w:rPr>
        <w:t xml:space="preserve">conclusions concerning the </w:t>
      </w:r>
      <w:r w:rsidR="003746B3" w:rsidRPr="00100776">
        <w:rPr>
          <w:bCs/>
          <w:lang w:val="en-GB"/>
        </w:rPr>
        <w:t>relationship based on</w:t>
      </w:r>
      <w:r w:rsidR="001E6ADC" w:rsidRPr="00100776">
        <w:rPr>
          <w:bCs/>
          <w:lang w:val="en-GB"/>
        </w:rPr>
        <w:t xml:space="preserve"> students’</w:t>
      </w:r>
      <w:r w:rsidR="003746B3" w:rsidRPr="00100776">
        <w:rPr>
          <w:bCs/>
          <w:lang w:val="en-GB"/>
        </w:rPr>
        <w:t xml:space="preserve"> instrumental and ensemble experience</w:t>
      </w:r>
      <w:r w:rsidR="009253DB" w:rsidRPr="00100776">
        <w:rPr>
          <w:bCs/>
          <w:lang w:val="en-GB"/>
        </w:rPr>
        <w:t>s</w:t>
      </w:r>
      <w:r w:rsidR="003746B3" w:rsidRPr="00100776">
        <w:rPr>
          <w:bCs/>
          <w:lang w:val="en-GB"/>
        </w:rPr>
        <w:t xml:space="preserve"> because of </w:t>
      </w:r>
      <w:r w:rsidR="009D582A" w:rsidRPr="00100776">
        <w:rPr>
          <w:bCs/>
          <w:lang w:val="en-GB"/>
        </w:rPr>
        <w:t xml:space="preserve">a lack of variability, it </w:t>
      </w:r>
      <w:r w:rsidR="001E6ADC" w:rsidRPr="00100776">
        <w:rPr>
          <w:bCs/>
          <w:lang w:val="en-GB"/>
        </w:rPr>
        <w:t xml:space="preserve">did </w:t>
      </w:r>
      <w:r w:rsidR="00CE6AAD" w:rsidRPr="00100776">
        <w:rPr>
          <w:bCs/>
          <w:lang w:val="en-GB"/>
        </w:rPr>
        <w:t>reveal</w:t>
      </w:r>
      <w:r w:rsidR="009D582A" w:rsidRPr="00100776">
        <w:rPr>
          <w:bCs/>
          <w:lang w:val="en-GB"/>
        </w:rPr>
        <w:t xml:space="preserve"> </w:t>
      </w:r>
      <w:r w:rsidR="0036456E" w:rsidRPr="00100776">
        <w:rPr>
          <w:bCs/>
          <w:lang w:val="en-GB"/>
        </w:rPr>
        <w:t>that</w:t>
      </w:r>
      <w:r w:rsidR="00392608" w:rsidRPr="00100776">
        <w:rPr>
          <w:bCs/>
          <w:lang w:val="en-GB"/>
        </w:rPr>
        <w:t xml:space="preserve"> </w:t>
      </w:r>
      <w:r w:rsidR="0036456E" w:rsidRPr="00100776">
        <w:rPr>
          <w:bCs/>
          <w:lang w:val="en-GB"/>
        </w:rPr>
        <w:t>there are far</w:t>
      </w:r>
      <w:r w:rsidR="00392608" w:rsidRPr="00100776">
        <w:rPr>
          <w:bCs/>
          <w:lang w:val="en-GB"/>
        </w:rPr>
        <w:t xml:space="preserve"> more participants</w:t>
      </w:r>
      <w:r w:rsidR="00266531" w:rsidRPr="00100776">
        <w:rPr>
          <w:bCs/>
          <w:lang w:val="en-GB"/>
        </w:rPr>
        <w:t xml:space="preserve"> learn</w:t>
      </w:r>
      <w:r w:rsidR="001E6ADC" w:rsidRPr="00100776">
        <w:rPr>
          <w:bCs/>
          <w:lang w:val="en-GB"/>
        </w:rPr>
        <w:t>ing</w:t>
      </w:r>
      <w:r w:rsidR="00266531" w:rsidRPr="00100776">
        <w:rPr>
          <w:bCs/>
          <w:lang w:val="en-GB"/>
        </w:rPr>
        <w:t xml:space="preserve"> Western musical instruments than Chinese musical instruments</w:t>
      </w:r>
      <w:r w:rsidR="00392608" w:rsidRPr="00100776">
        <w:rPr>
          <w:bCs/>
          <w:lang w:val="en-GB"/>
        </w:rPr>
        <w:t xml:space="preserve">. </w:t>
      </w:r>
      <w:r w:rsidR="00266531" w:rsidRPr="00100776">
        <w:rPr>
          <w:bCs/>
          <w:lang w:val="en-GB"/>
        </w:rPr>
        <w:t xml:space="preserve">This is consistent </w:t>
      </w:r>
      <w:r w:rsidR="001E6ADC" w:rsidRPr="00100776">
        <w:rPr>
          <w:bCs/>
          <w:lang w:val="en-GB"/>
        </w:rPr>
        <w:t>with</w:t>
      </w:r>
      <w:r w:rsidR="00266531" w:rsidRPr="00100776">
        <w:rPr>
          <w:bCs/>
          <w:lang w:val="en-GB"/>
        </w:rPr>
        <w:t xml:space="preserve"> </w:t>
      </w:r>
      <w:r w:rsidR="000B446E" w:rsidRPr="00100776">
        <w:rPr>
          <w:bCs/>
          <w:lang w:val="en-GB"/>
        </w:rPr>
        <w:t>findings by Ho (2003a) and Leung</w:t>
      </w:r>
      <w:r w:rsidR="00D90962" w:rsidRPr="00100776">
        <w:rPr>
          <w:bCs/>
          <w:lang w:val="en-GB"/>
        </w:rPr>
        <w:t xml:space="preserve">, So and Lee </w:t>
      </w:r>
      <w:r w:rsidR="000B446E" w:rsidRPr="00100776">
        <w:rPr>
          <w:bCs/>
          <w:lang w:val="en-GB"/>
        </w:rPr>
        <w:t>(2008), mea</w:t>
      </w:r>
      <w:r w:rsidR="0036456E" w:rsidRPr="00100776">
        <w:rPr>
          <w:bCs/>
          <w:lang w:val="en-GB"/>
        </w:rPr>
        <w:t>ning</w:t>
      </w:r>
      <w:r w:rsidR="000B446E" w:rsidRPr="00100776">
        <w:rPr>
          <w:bCs/>
          <w:lang w:val="en-GB"/>
        </w:rPr>
        <w:t xml:space="preserve"> that the situation has not changed </w:t>
      </w:r>
      <w:r w:rsidR="0036456E" w:rsidRPr="00100776">
        <w:rPr>
          <w:bCs/>
          <w:lang w:val="en-GB"/>
        </w:rPr>
        <w:t>over</w:t>
      </w:r>
      <w:r w:rsidR="000B446E" w:rsidRPr="00100776">
        <w:rPr>
          <w:bCs/>
          <w:lang w:val="en-GB"/>
        </w:rPr>
        <w:t xml:space="preserve"> </w:t>
      </w:r>
      <w:r w:rsidR="002062C0" w:rsidRPr="00100776">
        <w:rPr>
          <w:bCs/>
          <w:lang w:val="en-GB"/>
        </w:rPr>
        <w:t xml:space="preserve">the course of </w:t>
      </w:r>
      <w:r w:rsidR="005E2B11" w:rsidRPr="00100776">
        <w:rPr>
          <w:bCs/>
          <w:lang w:val="en-GB"/>
        </w:rPr>
        <w:t xml:space="preserve">almost </w:t>
      </w:r>
      <w:r w:rsidR="000B446E" w:rsidRPr="00100776">
        <w:rPr>
          <w:bCs/>
          <w:lang w:val="en-GB"/>
        </w:rPr>
        <w:t xml:space="preserve">two decades. </w:t>
      </w:r>
    </w:p>
    <w:p w14:paraId="3243DA45" w14:textId="0AB51DA5" w:rsidR="007B7DF4" w:rsidRPr="00100776" w:rsidRDefault="00D37793" w:rsidP="00392608">
      <w:pPr>
        <w:rPr>
          <w:bCs/>
          <w:i/>
          <w:iCs/>
          <w:lang w:val="en-GB"/>
        </w:rPr>
      </w:pPr>
      <w:r w:rsidRPr="00100776">
        <w:rPr>
          <w:bCs/>
          <w:i/>
          <w:iCs/>
          <w:lang w:val="en-GB"/>
        </w:rPr>
        <w:t>Unfamiliarity with</w:t>
      </w:r>
      <w:r w:rsidR="0031298F" w:rsidRPr="00100776">
        <w:rPr>
          <w:bCs/>
          <w:i/>
          <w:iCs/>
          <w:lang w:val="en-GB"/>
        </w:rPr>
        <w:t xml:space="preserve"> </w:t>
      </w:r>
      <w:r w:rsidR="00024487" w:rsidRPr="00100776">
        <w:rPr>
          <w:bCs/>
          <w:i/>
          <w:iCs/>
          <w:lang w:val="en-GB"/>
        </w:rPr>
        <w:t>Chinese music and Cantonese opera</w:t>
      </w:r>
    </w:p>
    <w:p w14:paraId="31040B5E" w14:textId="4A13DC60" w:rsidR="00B41A9D" w:rsidRPr="00100776" w:rsidRDefault="00F248DB" w:rsidP="00B41A9D">
      <w:pPr>
        <w:rPr>
          <w:bCs/>
          <w:lang w:val="en-GB"/>
        </w:rPr>
      </w:pPr>
      <w:r w:rsidRPr="00100776">
        <w:rPr>
          <w:bCs/>
          <w:lang w:val="en-GB"/>
        </w:rPr>
        <w:t>Low rating scores were found for both Chinese music and Cantonese opera</w:t>
      </w:r>
      <w:r w:rsidR="00F9691E" w:rsidRPr="00100776">
        <w:rPr>
          <w:bCs/>
          <w:lang w:val="en-GB"/>
        </w:rPr>
        <w:t xml:space="preserve"> in this study</w:t>
      </w:r>
      <w:r w:rsidRPr="00100776">
        <w:rPr>
          <w:bCs/>
          <w:lang w:val="en-GB"/>
        </w:rPr>
        <w:t xml:space="preserve">. Previous scholarly works have suggested </w:t>
      </w:r>
      <w:proofErr w:type="gramStart"/>
      <w:r w:rsidRPr="00100776">
        <w:rPr>
          <w:bCs/>
          <w:lang w:val="en-GB"/>
        </w:rPr>
        <w:t>a number of</w:t>
      </w:r>
      <w:proofErr w:type="gramEnd"/>
      <w:r w:rsidRPr="00100776">
        <w:rPr>
          <w:bCs/>
          <w:lang w:val="en-GB"/>
        </w:rPr>
        <w:t xml:space="preserve"> reasons for </w:t>
      </w:r>
      <w:r w:rsidR="00BC60C8" w:rsidRPr="00100776">
        <w:rPr>
          <w:bCs/>
          <w:lang w:val="en-GB"/>
        </w:rPr>
        <w:t>the</w:t>
      </w:r>
      <w:r w:rsidRPr="00100776">
        <w:rPr>
          <w:bCs/>
          <w:lang w:val="en-GB"/>
        </w:rPr>
        <w:t xml:space="preserve"> disinclination</w:t>
      </w:r>
      <w:r w:rsidR="00BC60C8" w:rsidRPr="00100776">
        <w:rPr>
          <w:bCs/>
          <w:lang w:val="en-GB"/>
        </w:rPr>
        <w:t xml:space="preserve"> of Chinese musical cultures</w:t>
      </w:r>
      <w:r w:rsidRPr="00100776">
        <w:rPr>
          <w:bCs/>
          <w:lang w:val="en-GB"/>
        </w:rPr>
        <w:t xml:space="preserve">, including students’ lack of exposure to non-Western classical music styles, insufficient support for Chinese music in Hong Kong, an absence of teacher training in Chinese classical music, and young people’s negative perceptions (Ho, 1999, 2003a; Leung, 2017). </w:t>
      </w:r>
      <w:r w:rsidR="00C01F19" w:rsidRPr="00100776">
        <w:rPr>
          <w:bCs/>
          <w:lang w:val="en-GB"/>
        </w:rPr>
        <w:t>S</w:t>
      </w:r>
      <w:r w:rsidR="00E560E4" w:rsidRPr="00100776">
        <w:rPr>
          <w:bCs/>
          <w:lang w:val="en-GB"/>
        </w:rPr>
        <w:t xml:space="preserve">ome of </w:t>
      </w:r>
      <w:r w:rsidR="002F6C1A" w:rsidRPr="00100776">
        <w:rPr>
          <w:bCs/>
          <w:lang w:val="en-GB"/>
        </w:rPr>
        <w:t>these</w:t>
      </w:r>
      <w:r w:rsidR="00C01F19" w:rsidRPr="00100776">
        <w:rPr>
          <w:bCs/>
          <w:lang w:val="en-GB"/>
        </w:rPr>
        <w:t xml:space="preserve"> factors</w:t>
      </w:r>
      <w:r w:rsidR="005E2B11" w:rsidRPr="00100776">
        <w:rPr>
          <w:bCs/>
          <w:lang w:val="en-GB"/>
        </w:rPr>
        <w:t xml:space="preserve"> are also applicable</w:t>
      </w:r>
      <w:r w:rsidR="002F6C1A" w:rsidRPr="00100776">
        <w:rPr>
          <w:bCs/>
          <w:lang w:val="en-GB"/>
        </w:rPr>
        <w:t xml:space="preserve"> to</w:t>
      </w:r>
      <w:r w:rsidR="006E510E" w:rsidRPr="00100776">
        <w:rPr>
          <w:bCs/>
          <w:lang w:val="en-GB"/>
        </w:rPr>
        <w:t xml:space="preserve"> </w:t>
      </w:r>
      <w:r w:rsidR="00024487" w:rsidRPr="00100776">
        <w:rPr>
          <w:bCs/>
          <w:lang w:val="en-GB"/>
        </w:rPr>
        <w:t>Cantonese opera</w:t>
      </w:r>
      <w:r w:rsidR="00C01F19" w:rsidRPr="00100776">
        <w:rPr>
          <w:bCs/>
          <w:lang w:val="en-GB"/>
        </w:rPr>
        <w:t>, which</w:t>
      </w:r>
      <w:r w:rsidR="006E510E" w:rsidRPr="00100776">
        <w:rPr>
          <w:bCs/>
          <w:lang w:val="en-GB"/>
        </w:rPr>
        <w:t xml:space="preserve"> </w:t>
      </w:r>
      <w:r w:rsidR="00C01F19" w:rsidRPr="00100776">
        <w:rPr>
          <w:bCs/>
          <w:lang w:val="en-GB"/>
        </w:rPr>
        <w:t>has an advantage for its r</w:t>
      </w:r>
      <w:r w:rsidR="003A02E7" w:rsidRPr="00100776">
        <w:rPr>
          <w:bCs/>
          <w:lang w:val="en-GB"/>
        </w:rPr>
        <w:t>elevan</w:t>
      </w:r>
      <w:r w:rsidR="00C01F19" w:rsidRPr="00100776">
        <w:rPr>
          <w:bCs/>
          <w:lang w:val="en-GB"/>
        </w:rPr>
        <w:t>ce</w:t>
      </w:r>
      <w:r w:rsidR="006E510E" w:rsidRPr="00100776">
        <w:rPr>
          <w:bCs/>
          <w:lang w:val="en-GB"/>
        </w:rPr>
        <w:t xml:space="preserve"> to </w:t>
      </w:r>
      <w:r w:rsidR="00FC38ED" w:rsidRPr="00100776">
        <w:rPr>
          <w:bCs/>
          <w:lang w:val="en-GB"/>
        </w:rPr>
        <w:t xml:space="preserve">students’ </w:t>
      </w:r>
      <w:r w:rsidR="003A02E7" w:rsidRPr="00100776">
        <w:rPr>
          <w:bCs/>
          <w:lang w:val="en-GB"/>
        </w:rPr>
        <w:t xml:space="preserve">local culture </w:t>
      </w:r>
      <w:r w:rsidR="007D5169" w:rsidRPr="00100776">
        <w:rPr>
          <w:bCs/>
          <w:lang w:val="en-GB"/>
        </w:rPr>
        <w:t xml:space="preserve">because </w:t>
      </w:r>
      <w:r w:rsidR="003E3D6A" w:rsidRPr="00100776">
        <w:rPr>
          <w:bCs/>
          <w:lang w:val="en-GB"/>
        </w:rPr>
        <w:t xml:space="preserve">it </w:t>
      </w:r>
      <w:r w:rsidR="008E1862" w:rsidRPr="00100776">
        <w:rPr>
          <w:bCs/>
          <w:lang w:val="en-GB"/>
        </w:rPr>
        <w:t>shares the same</w:t>
      </w:r>
      <w:r w:rsidR="007D5169" w:rsidRPr="00100776">
        <w:rPr>
          <w:bCs/>
          <w:lang w:val="en-GB"/>
        </w:rPr>
        <w:t xml:space="preserve"> root</w:t>
      </w:r>
      <w:r w:rsidR="0044065B" w:rsidRPr="00100776">
        <w:rPr>
          <w:bCs/>
          <w:lang w:val="en-GB"/>
        </w:rPr>
        <w:t>s, including the Hong Kong dialect</w:t>
      </w:r>
      <w:r w:rsidR="007D5169" w:rsidRPr="00100776">
        <w:rPr>
          <w:bCs/>
          <w:lang w:val="en-GB"/>
        </w:rPr>
        <w:t xml:space="preserve"> (Ng, 2015). </w:t>
      </w:r>
      <w:r w:rsidR="00C26408" w:rsidRPr="00100776">
        <w:rPr>
          <w:bCs/>
          <w:lang w:val="en-GB"/>
        </w:rPr>
        <w:t xml:space="preserve">The inclusion </w:t>
      </w:r>
      <w:r w:rsidR="0044065B" w:rsidRPr="00100776">
        <w:rPr>
          <w:bCs/>
          <w:lang w:val="en-GB"/>
        </w:rPr>
        <w:t xml:space="preserve">of Cantonese opera </w:t>
      </w:r>
      <w:r w:rsidR="00C26408" w:rsidRPr="00100776">
        <w:rPr>
          <w:bCs/>
          <w:lang w:val="en-GB"/>
        </w:rPr>
        <w:t xml:space="preserve">as a standalone component </w:t>
      </w:r>
      <w:r w:rsidR="0044065B" w:rsidRPr="00100776">
        <w:rPr>
          <w:bCs/>
          <w:lang w:val="en-GB"/>
        </w:rPr>
        <w:t>with</w:t>
      </w:r>
      <w:r w:rsidR="001222D9" w:rsidRPr="00100776">
        <w:rPr>
          <w:bCs/>
          <w:lang w:val="en-GB"/>
        </w:rPr>
        <w:t>in the HKDSE syllabus</w:t>
      </w:r>
      <w:r w:rsidR="0044065B" w:rsidRPr="00100776">
        <w:rPr>
          <w:bCs/>
          <w:lang w:val="en-GB"/>
        </w:rPr>
        <w:t>, while</w:t>
      </w:r>
      <w:r w:rsidR="001222D9" w:rsidRPr="00100776">
        <w:rPr>
          <w:bCs/>
          <w:lang w:val="en-GB"/>
        </w:rPr>
        <w:t xml:space="preserve"> address</w:t>
      </w:r>
      <w:r w:rsidR="0044065B" w:rsidRPr="00100776">
        <w:rPr>
          <w:bCs/>
          <w:lang w:val="en-GB"/>
        </w:rPr>
        <w:t>ing</w:t>
      </w:r>
      <w:r w:rsidR="001222D9" w:rsidRPr="00100776">
        <w:rPr>
          <w:bCs/>
          <w:lang w:val="en-GB"/>
        </w:rPr>
        <w:t xml:space="preserve"> the need</w:t>
      </w:r>
      <w:r w:rsidR="00C26408" w:rsidRPr="00100776">
        <w:rPr>
          <w:bCs/>
          <w:lang w:val="en-GB"/>
        </w:rPr>
        <w:t xml:space="preserve"> for </w:t>
      </w:r>
      <w:r w:rsidR="001222D9" w:rsidRPr="00100776">
        <w:rPr>
          <w:bCs/>
          <w:lang w:val="en-GB"/>
        </w:rPr>
        <w:t>the</w:t>
      </w:r>
      <w:r w:rsidR="0044065B" w:rsidRPr="00100776">
        <w:rPr>
          <w:bCs/>
          <w:lang w:val="en-GB"/>
        </w:rPr>
        <w:t xml:space="preserve"> preservation,</w:t>
      </w:r>
      <w:r w:rsidR="001222D9" w:rsidRPr="00100776">
        <w:rPr>
          <w:bCs/>
          <w:lang w:val="en-GB"/>
        </w:rPr>
        <w:t xml:space="preserve"> </w:t>
      </w:r>
      <w:r w:rsidR="00C26408" w:rsidRPr="00100776">
        <w:rPr>
          <w:bCs/>
          <w:lang w:val="en-GB"/>
        </w:rPr>
        <w:t>sustainability and transmission of th</w:t>
      </w:r>
      <w:r w:rsidR="0044065B" w:rsidRPr="00100776">
        <w:rPr>
          <w:bCs/>
          <w:lang w:val="en-GB"/>
        </w:rPr>
        <w:t>e</w:t>
      </w:r>
      <w:r w:rsidR="00C26408" w:rsidRPr="00100776">
        <w:rPr>
          <w:bCs/>
          <w:lang w:val="en-GB"/>
        </w:rPr>
        <w:t xml:space="preserve"> genre </w:t>
      </w:r>
      <w:r w:rsidR="001222D9" w:rsidRPr="00100776">
        <w:rPr>
          <w:bCs/>
          <w:lang w:val="en-GB"/>
        </w:rPr>
        <w:t>as an Intangible Cultural Heritage (ICH)</w:t>
      </w:r>
      <w:r w:rsidR="008664C1" w:rsidRPr="00100776">
        <w:rPr>
          <w:bCs/>
          <w:lang w:val="en-GB"/>
        </w:rPr>
        <w:t xml:space="preserve">, </w:t>
      </w:r>
      <w:r w:rsidR="0044065B" w:rsidRPr="00100776">
        <w:rPr>
          <w:bCs/>
          <w:lang w:val="en-GB"/>
        </w:rPr>
        <w:t xml:space="preserve">has still to overcome a reputation for being </w:t>
      </w:r>
      <w:r w:rsidR="00B45E7A" w:rsidRPr="00100776">
        <w:rPr>
          <w:bCs/>
          <w:lang w:val="en-GB"/>
        </w:rPr>
        <w:t>outdated and old-fashioned (Leung &amp; Leung, 2010)</w:t>
      </w:r>
      <w:r w:rsidR="00B41A9D" w:rsidRPr="00100776">
        <w:rPr>
          <w:bCs/>
          <w:lang w:val="en-GB"/>
        </w:rPr>
        <w:t xml:space="preserve">. </w:t>
      </w:r>
      <w:r w:rsidR="00C01F19" w:rsidRPr="00100776">
        <w:rPr>
          <w:bCs/>
          <w:lang w:val="en-GB"/>
        </w:rPr>
        <w:t xml:space="preserve">Socio-cultural influences are undoubtedly needed to reconcile </w:t>
      </w:r>
      <w:r w:rsidR="006A57C5" w:rsidRPr="00100776">
        <w:rPr>
          <w:bCs/>
          <w:lang w:val="en-GB"/>
        </w:rPr>
        <w:t xml:space="preserve">these </w:t>
      </w:r>
      <w:r w:rsidR="00C01F19" w:rsidRPr="00100776">
        <w:rPr>
          <w:bCs/>
          <w:lang w:val="en-GB"/>
        </w:rPr>
        <w:t>misconceptions</w:t>
      </w:r>
      <w:r w:rsidR="00F9691E" w:rsidRPr="00100776">
        <w:rPr>
          <w:bCs/>
          <w:lang w:val="en-GB"/>
        </w:rPr>
        <w:t xml:space="preserve"> on Chinese music and Cantonese opera</w:t>
      </w:r>
      <w:r w:rsidR="00C01F19" w:rsidRPr="00100776">
        <w:rPr>
          <w:bCs/>
          <w:lang w:val="en-GB"/>
        </w:rPr>
        <w:t>. Efforts could be made to recognise local musical cultures as a means of decolonising school music education and shaping it to become more diversified</w:t>
      </w:r>
      <w:r w:rsidR="007C4A3D" w:rsidRPr="00100776">
        <w:rPr>
          <w:bCs/>
          <w:lang w:val="en-GB"/>
        </w:rPr>
        <w:t>; o</w:t>
      </w:r>
      <w:r w:rsidR="009F7ABD" w:rsidRPr="00100776">
        <w:rPr>
          <w:bCs/>
          <w:lang w:val="en-GB"/>
        </w:rPr>
        <w:t xml:space="preserve">ther </w:t>
      </w:r>
      <w:r w:rsidR="00F9691E" w:rsidRPr="00100776">
        <w:rPr>
          <w:bCs/>
          <w:lang w:val="en-GB"/>
        </w:rPr>
        <w:t>approaches</w:t>
      </w:r>
      <w:r w:rsidR="009F7ABD" w:rsidRPr="00100776">
        <w:rPr>
          <w:bCs/>
          <w:lang w:val="en-GB"/>
        </w:rPr>
        <w:t xml:space="preserve"> to engage students with this genre</w:t>
      </w:r>
      <w:r w:rsidR="006A57C5" w:rsidRPr="00100776">
        <w:rPr>
          <w:bCs/>
          <w:lang w:val="en-GB"/>
        </w:rPr>
        <w:t xml:space="preserve"> </w:t>
      </w:r>
      <w:r w:rsidR="007C4A3D" w:rsidRPr="00100776">
        <w:rPr>
          <w:bCs/>
          <w:lang w:val="en-GB"/>
        </w:rPr>
        <w:t>could also include</w:t>
      </w:r>
      <w:r w:rsidR="009F7ABD" w:rsidRPr="00100776">
        <w:rPr>
          <w:bCs/>
          <w:lang w:val="en-GB"/>
        </w:rPr>
        <w:t xml:space="preserve"> school partnership schemes and technological integration </w:t>
      </w:r>
      <w:r w:rsidR="00784935" w:rsidRPr="00100776">
        <w:rPr>
          <w:bCs/>
          <w:lang w:val="en-GB"/>
        </w:rPr>
        <w:t>(</w:t>
      </w:r>
      <w:r w:rsidR="001D38D8" w:rsidRPr="00100776">
        <w:rPr>
          <w:bCs/>
          <w:lang w:val="en-GB"/>
        </w:rPr>
        <w:t>Cheng</w:t>
      </w:r>
      <w:r w:rsidR="00784935" w:rsidRPr="00100776">
        <w:rPr>
          <w:bCs/>
          <w:lang w:val="en-GB"/>
        </w:rPr>
        <w:t xml:space="preserve"> &amp; </w:t>
      </w:r>
      <w:r w:rsidR="001D38D8" w:rsidRPr="00100776">
        <w:rPr>
          <w:bCs/>
          <w:lang w:val="en-GB"/>
        </w:rPr>
        <w:t>Leung</w:t>
      </w:r>
      <w:r w:rsidR="00784935" w:rsidRPr="00100776">
        <w:rPr>
          <w:bCs/>
          <w:lang w:val="en-GB"/>
        </w:rPr>
        <w:t xml:space="preserve">, 2020; Leung, 2014). </w:t>
      </w:r>
      <w:r w:rsidR="007C4A3D" w:rsidRPr="00100776">
        <w:rPr>
          <w:bCs/>
          <w:lang w:val="en-GB"/>
        </w:rPr>
        <w:t>On the other hand, a</w:t>
      </w:r>
      <w:r w:rsidR="007012CC" w:rsidRPr="00100776">
        <w:rPr>
          <w:bCs/>
          <w:lang w:val="en-GB"/>
        </w:rPr>
        <w:t xml:space="preserve">rtists and </w:t>
      </w:r>
      <w:r w:rsidR="00F9691E" w:rsidRPr="00100776">
        <w:rPr>
          <w:bCs/>
          <w:lang w:val="en-GB"/>
        </w:rPr>
        <w:t>p</w:t>
      </w:r>
      <w:r w:rsidR="00C410A3" w:rsidRPr="00100776">
        <w:rPr>
          <w:bCs/>
          <w:lang w:val="en-GB"/>
        </w:rPr>
        <w:t>ractitioners in</w:t>
      </w:r>
      <w:r w:rsidR="007012CC" w:rsidRPr="00100776">
        <w:rPr>
          <w:bCs/>
          <w:lang w:val="en-GB"/>
        </w:rPr>
        <w:t xml:space="preserve"> the field are striv</w:t>
      </w:r>
      <w:r w:rsidR="002246DB" w:rsidRPr="00100776">
        <w:rPr>
          <w:bCs/>
          <w:lang w:val="en-GB"/>
        </w:rPr>
        <w:t>ing</w:t>
      </w:r>
      <w:r w:rsidR="007012CC" w:rsidRPr="00100776">
        <w:rPr>
          <w:bCs/>
          <w:lang w:val="en-GB"/>
        </w:rPr>
        <w:t xml:space="preserve"> </w:t>
      </w:r>
      <w:r w:rsidR="00BC60C8" w:rsidRPr="00100776">
        <w:rPr>
          <w:bCs/>
          <w:lang w:val="en-GB"/>
        </w:rPr>
        <w:t xml:space="preserve">hard </w:t>
      </w:r>
      <w:r w:rsidR="007012CC" w:rsidRPr="00100776">
        <w:rPr>
          <w:bCs/>
          <w:lang w:val="en-GB"/>
        </w:rPr>
        <w:t xml:space="preserve">to </w:t>
      </w:r>
      <w:r w:rsidR="002246DB" w:rsidRPr="00100776">
        <w:rPr>
          <w:bCs/>
          <w:lang w:val="en-GB"/>
        </w:rPr>
        <w:t>modernise</w:t>
      </w:r>
      <w:r w:rsidR="007012CC" w:rsidRPr="00100776">
        <w:rPr>
          <w:bCs/>
          <w:lang w:val="en-GB"/>
        </w:rPr>
        <w:t xml:space="preserve"> </w:t>
      </w:r>
      <w:r w:rsidR="001B071D" w:rsidRPr="00100776">
        <w:rPr>
          <w:bCs/>
          <w:lang w:val="en-GB"/>
        </w:rPr>
        <w:t>Cantonese opera</w:t>
      </w:r>
      <w:r w:rsidR="007012CC" w:rsidRPr="00100776">
        <w:rPr>
          <w:bCs/>
          <w:lang w:val="en-GB"/>
        </w:rPr>
        <w:t xml:space="preserve"> </w:t>
      </w:r>
      <w:proofErr w:type="gramStart"/>
      <w:r w:rsidR="002246DB" w:rsidRPr="00100776">
        <w:rPr>
          <w:bCs/>
          <w:lang w:val="en-GB"/>
        </w:rPr>
        <w:t>as a mean</w:t>
      </w:r>
      <w:r w:rsidR="00DB12DB" w:rsidRPr="00100776">
        <w:rPr>
          <w:bCs/>
          <w:lang w:val="en-GB"/>
        </w:rPr>
        <w:t>s</w:t>
      </w:r>
      <w:r w:rsidR="002246DB" w:rsidRPr="00100776">
        <w:rPr>
          <w:bCs/>
          <w:lang w:val="en-GB"/>
        </w:rPr>
        <w:t xml:space="preserve"> to</w:t>
      </w:r>
      <w:proofErr w:type="gramEnd"/>
      <w:r w:rsidR="002246DB" w:rsidRPr="00100776">
        <w:rPr>
          <w:bCs/>
          <w:lang w:val="en-GB"/>
        </w:rPr>
        <w:t xml:space="preserve"> attract younger audience</w:t>
      </w:r>
      <w:r w:rsidR="0062115E" w:rsidRPr="00100776">
        <w:rPr>
          <w:bCs/>
          <w:lang w:val="en-GB"/>
        </w:rPr>
        <w:t xml:space="preserve">s </w:t>
      </w:r>
      <w:r w:rsidR="003B26FF" w:rsidRPr="00100776">
        <w:rPr>
          <w:bCs/>
          <w:lang w:val="en-GB"/>
        </w:rPr>
        <w:t>and eliminate the negative perception</w:t>
      </w:r>
      <w:r w:rsidR="001B071D" w:rsidRPr="00100776">
        <w:rPr>
          <w:bCs/>
          <w:lang w:val="en-GB"/>
        </w:rPr>
        <w:t xml:space="preserve"> of this genre</w:t>
      </w:r>
      <w:r w:rsidR="002246DB" w:rsidRPr="00100776">
        <w:rPr>
          <w:bCs/>
          <w:lang w:val="en-GB"/>
        </w:rPr>
        <w:t xml:space="preserve"> </w:t>
      </w:r>
      <w:r w:rsidR="007012CC" w:rsidRPr="00100776">
        <w:rPr>
          <w:bCs/>
          <w:lang w:val="en-GB"/>
        </w:rPr>
        <w:t>(Leung &amp; Fung, 2022)</w:t>
      </w:r>
      <w:r w:rsidR="002246DB" w:rsidRPr="00100776">
        <w:rPr>
          <w:bCs/>
          <w:lang w:val="en-GB"/>
        </w:rPr>
        <w:t xml:space="preserve">. </w:t>
      </w:r>
    </w:p>
    <w:p w14:paraId="7E5AB69B" w14:textId="59E9ECCF" w:rsidR="002275FA" w:rsidRPr="00100776" w:rsidRDefault="003D2839" w:rsidP="002275FA">
      <w:pPr>
        <w:rPr>
          <w:bCs/>
          <w:lang w:val="en-GB"/>
        </w:rPr>
      </w:pPr>
      <w:r w:rsidRPr="00100776">
        <w:rPr>
          <w:bCs/>
          <w:lang w:val="en-GB"/>
        </w:rPr>
        <w:t xml:space="preserve">While socio-cultural efforts </w:t>
      </w:r>
      <w:r w:rsidR="00502522" w:rsidRPr="00100776">
        <w:rPr>
          <w:bCs/>
          <w:lang w:val="en-GB"/>
        </w:rPr>
        <w:t xml:space="preserve">take longer time </w:t>
      </w:r>
      <w:r w:rsidR="00F9691E" w:rsidRPr="00100776">
        <w:rPr>
          <w:bCs/>
          <w:lang w:val="en-GB"/>
        </w:rPr>
        <w:t xml:space="preserve">to </w:t>
      </w:r>
      <w:r w:rsidR="002275FA" w:rsidRPr="00100776">
        <w:rPr>
          <w:bCs/>
          <w:lang w:val="en-GB"/>
        </w:rPr>
        <w:t xml:space="preserve">yield the desired outcomes, short-term planning could be formulated in terms of curricular intervention and teacher training. A well-planned </w:t>
      </w:r>
      <w:r w:rsidR="00A914A3" w:rsidRPr="00100776">
        <w:rPr>
          <w:bCs/>
          <w:lang w:val="en-GB"/>
        </w:rPr>
        <w:t xml:space="preserve">music </w:t>
      </w:r>
      <w:r w:rsidR="002275FA" w:rsidRPr="00100776">
        <w:rPr>
          <w:bCs/>
          <w:lang w:val="en-GB"/>
        </w:rPr>
        <w:t xml:space="preserve">curriculum </w:t>
      </w:r>
      <w:r w:rsidR="00A914A3" w:rsidRPr="00100776">
        <w:rPr>
          <w:bCs/>
          <w:lang w:val="en-GB"/>
        </w:rPr>
        <w:t xml:space="preserve">could cultivate students’ interest and develop their </w:t>
      </w:r>
      <w:r w:rsidR="00345AA6" w:rsidRPr="00100776">
        <w:rPr>
          <w:bCs/>
          <w:lang w:val="en-GB"/>
        </w:rPr>
        <w:t>competence</w:t>
      </w:r>
      <w:r w:rsidR="00A914A3" w:rsidRPr="00100776">
        <w:rPr>
          <w:bCs/>
          <w:lang w:val="en-GB"/>
        </w:rPr>
        <w:t xml:space="preserve"> in</w:t>
      </w:r>
      <w:r w:rsidR="008521C5" w:rsidRPr="00100776">
        <w:rPr>
          <w:bCs/>
          <w:lang w:val="en-GB"/>
        </w:rPr>
        <w:t xml:space="preserve"> appreciating</w:t>
      </w:r>
      <w:r w:rsidR="00A914A3" w:rsidRPr="00100776">
        <w:rPr>
          <w:bCs/>
          <w:lang w:val="en-GB"/>
        </w:rPr>
        <w:t xml:space="preserve"> Chinese music and Cantonese opera from a young age</w:t>
      </w:r>
      <w:r w:rsidR="008521C5" w:rsidRPr="00100776">
        <w:rPr>
          <w:bCs/>
          <w:lang w:val="en-GB"/>
        </w:rPr>
        <w:t xml:space="preserve"> (Leung &amp; Fung, 2022)</w:t>
      </w:r>
      <w:r w:rsidR="00A914A3" w:rsidRPr="00100776">
        <w:rPr>
          <w:bCs/>
          <w:lang w:val="en-GB"/>
        </w:rPr>
        <w:t xml:space="preserve">, </w:t>
      </w:r>
      <w:r w:rsidR="00345AA6" w:rsidRPr="00100776">
        <w:rPr>
          <w:bCs/>
          <w:lang w:val="en-GB"/>
        </w:rPr>
        <w:t xml:space="preserve">which could help build up a smooth learning curve transiting </w:t>
      </w:r>
      <w:r w:rsidR="00F9691E" w:rsidRPr="00100776">
        <w:rPr>
          <w:bCs/>
          <w:lang w:val="en-GB"/>
        </w:rPr>
        <w:t xml:space="preserve">their learning </w:t>
      </w:r>
      <w:r w:rsidR="00345AA6" w:rsidRPr="00100776">
        <w:rPr>
          <w:bCs/>
          <w:lang w:val="en-GB"/>
        </w:rPr>
        <w:t xml:space="preserve">to secondary school and higher education levels of learning. </w:t>
      </w:r>
      <w:r w:rsidR="008521C5" w:rsidRPr="00100776">
        <w:rPr>
          <w:bCs/>
          <w:lang w:val="en-GB"/>
        </w:rPr>
        <w:t xml:space="preserve">Pre-service teacher training and in-service </w:t>
      </w:r>
      <w:r w:rsidR="00652C09" w:rsidRPr="00100776">
        <w:rPr>
          <w:bCs/>
          <w:lang w:val="en-GB"/>
        </w:rPr>
        <w:t xml:space="preserve">teacher professional development programmes could allocate more curriculum time and resources to equip music teachers with the necessary knowledge and skills. </w:t>
      </w:r>
      <w:r w:rsidR="00F905A7" w:rsidRPr="00100776">
        <w:rPr>
          <w:bCs/>
          <w:lang w:val="en-GB"/>
        </w:rPr>
        <w:t>As a role model for the members of the young generation in schools</w:t>
      </w:r>
      <w:r w:rsidR="00F9691E" w:rsidRPr="00100776">
        <w:rPr>
          <w:bCs/>
          <w:lang w:val="en-GB"/>
        </w:rPr>
        <w:t xml:space="preserve"> and the fact that music teachers have a great influence on students’ music learning</w:t>
      </w:r>
      <w:r w:rsidR="00614667" w:rsidRPr="00100776">
        <w:rPr>
          <w:bCs/>
          <w:lang w:val="en-GB"/>
        </w:rPr>
        <w:t xml:space="preserve"> (Law &amp; Ho, 2006)</w:t>
      </w:r>
      <w:r w:rsidR="00F905A7" w:rsidRPr="00100776">
        <w:rPr>
          <w:bCs/>
          <w:lang w:val="en-GB"/>
        </w:rPr>
        <w:t xml:space="preserve">, </w:t>
      </w:r>
      <w:r w:rsidR="00942341" w:rsidRPr="00100776">
        <w:rPr>
          <w:bCs/>
          <w:lang w:val="en-GB"/>
        </w:rPr>
        <w:t>the</w:t>
      </w:r>
      <w:r w:rsidR="00F905A7" w:rsidRPr="00100776">
        <w:rPr>
          <w:bCs/>
          <w:lang w:val="en-GB"/>
        </w:rPr>
        <w:t xml:space="preserve"> preparedness and confidence</w:t>
      </w:r>
      <w:r w:rsidR="00942341" w:rsidRPr="00100776">
        <w:rPr>
          <w:bCs/>
          <w:lang w:val="en-GB"/>
        </w:rPr>
        <w:t xml:space="preserve"> of music teachers</w:t>
      </w:r>
      <w:r w:rsidR="00F905A7" w:rsidRPr="00100776">
        <w:rPr>
          <w:bCs/>
          <w:lang w:val="en-GB"/>
        </w:rPr>
        <w:t xml:space="preserve"> could shape students’ perception </w:t>
      </w:r>
      <w:r w:rsidR="00614667" w:rsidRPr="00100776">
        <w:rPr>
          <w:bCs/>
          <w:lang w:val="en-GB"/>
        </w:rPr>
        <w:t xml:space="preserve">of </w:t>
      </w:r>
      <w:r w:rsidR="00F905A7" w:rsidRPr="00100776">
        <w:rPr>
          <w:bCs/>
          <w:lang w:val="en-GB"/>
        </w:rPr>
        <w:t>and stimula</w:t>
      </w:r>
      <w:r w:rsidR="00614667" w:rsidRPr="00100776">
        <w:rPr>
          <w:bCs/>
          <w:lang w:val="en-GB"/>
        </w:rPr>
        <w:t>te</w:t>
      </w:r>
      <w:r w:rsidR="00F905A7" w:rsidRPr="00100776">
        <w:rPr>
          <w:bCs/>
          <w:lang w:val="en-GB"/>
        </w:rPr>
        <w:t xml:space="preserve"> their </w:t>
      </w:r>
      <w:r w:rsidR="00942341" w:rsidRPr="00100776">
        <w:rPr>
          <w:bCs/>
          <w:lang w:val="en-GB"/>
        </w:rPr>
        <w:t xml:space="preserve">learning motivation in </w:t>
      </w:r>
      <w:r w:rsidR="00614667" w:rsidRPr="00100776">
        <w:rPr>
          <w:bCs/>
          <w:lang w:val="en-GB"/>
        </w:rPr>
        <w:t>unfamiliar subject matters, such as Chinese music and Cantonese opera</w:t>
      </w:r>
      <w:r w:rsidR="00942341" w:rsidRPr="00100776">
        <w:rPr>
          <w:bCs/>
          <w:lang w:val="en-GB"/>
        </w:rPr>
        <w:t>.</w:t>
      </w:r>
    </w:p>
    <w:p w14:paraId="5C05B326" w14:textId="5E069DA2" w:rsidR="00D37793" w:rsidRPr="00100776" w:rsidRDefault="00D37793" w:rsidP="00D5176B">
      <w:pPr>
        <w:rPr>
          <w:bCs/>
          <w:i/>
          <w:iCs/>
          <w:lang w:val="en-HK" w:eastAsia="zh-TW"/>
        </w:rPr>
      </w:pPr>
      <w:r w:rsidRPr="00100776">
        <w:rPr>
          <w:bCs/>
          <w:i/>
          <w:iCs/>
          <w:lang w:val="en-HK" w:eastAsia="zh-TW"/>
        </w:rPr>
        <w:lastRenderedPageBreak/>
        <w:t>Elitist perceptions of the music subject</w:t>
      </w:r>
    </w:p>
    <w:p w14:paraId="1F013218" w14:textId="6737A018" w:rsidR="00447FA6" w:rsidRPr="00100776" w:rsidRDefault="009A0D35" w:rsidP="00D5176B">
      <w:pPr>
        <w:rPr>
          <w:bCs/>
          <w:lang w:val="en-HK" w:eastAsia="zh-TW"/>
        </w:rPr>
      </w:pPr>
      <w:r w:rsidRPr="00100776">
        <w:rPr>
          <w:bCs/>
          <w:lang w:val="en-GB"/>
        </w:rPr>
        <w:t xml:space="preserve">In addition to </w:t>
      </w:r>
      <w:r w:rsidR="009004E4" w:rsidRPr="00100776">
        <w:rPr>
          <w:bCs/>
          <w:lang w:val="en-GB"/>
        </w:rPr>
        <w:t>the impact o</w:t>
      </w:r>
      <w:r w:rsidR="00474AF3" w:rsidRPr="00100776">
        <w:rPr>
          <w:bCs/>
          <w:lang w:val="en-GB"/>
        </w:rPr>
        <w:t>f</w:t>
      </w:r>
      <w:r w:rsidR="009004E4" w:rsidRPr="00100776">
        <w:rPr>
          <w:bCs/>
          <w:lang w:val="en-GB"/>
        </w:rPr>
        <w:t xml:space="preserve"> </w:t>
      </w:r>
      <w:r w:rsidRPr="00100776">
        <w:rPr>
          <w:bCs/>
          <w:lang w:val="en-GB"/>
        </w:rPr>
        <w:t xml:space="preserve">the </w:t>
      </w:r>
      <w:r w:rsidR="00925E45" w:rsidRPr="00100776">
        <w:rPr>
          <w:bCs/>
          <w:lang w:val="en-GB"/>
        </w:rPr>
        <w:t>subject matter, participants’ instrumental experience</w:t>
      </w:r>
      <w:r w:rsidR="009253DB" w:rsidRPr="00100776">
        <w:rPr>
          <w:bCs/>
          <w:lang w:val="en-GB"/>
        </w:rPr>
        <w:t>s</w:t>
      </w:r>
      <w:r w:rsidR="00925E45" w:rsidRPr="00100776">
        <w:rPr>
          <w:bCs/>
          <w:lang w:val="en-GB"/>
        </w:rPr>
        <w:t xml:space="preserve"> echo the </w:t>
      </w:r>
      <w:r w:rsidR="0060153C" w:rsidRPr="00100776">
        <w:rPr>
          <w:bCs/>
          <w:lang w:val="en-GB"/>
        </w:rPr>
        <w:t xml:space="preserve">idea of music as an </w:t>
      </w:r>
      <w:r w:rsidR="00925E45" w:rsidRPr="00100776">
        <w:rPr>
          <w:bCs/>
          <w:lang w:val="en-GB"/>
        </w:rPr>
        <w:t xml:space="preserve">‘elite code’ </w:t>
      </w:r>
      <w:r w:rsidR="00475CF8" w:rsidRPr="00100776">
        <w:rPr>
          <w:bCs/>
          <w:lang w:val="en-GB"/>
        </w:rPr>
        <w:t>highlighted</w:t>
      </w:r>
      <w:r w:rsidR="00D0087B" w:rsidRPr="00100776">
        <w:rPr>
          <w:bCs/>
          <w:lang w:val="en-GB"/>
        </w:rPr>
        <w:t xml:space="preserve"> by other scholars (Lamont &amp; </w:t>
      </w:r>
      <w:proofErr w:type="spellStart"/>
      <w:r w:rsidR="00D0087B" w:rsidRPr="00100776">
        <w:rPr>
          <w:bCs/>
          <w:lang w:val="en-GB"/>
        </w:rPr>
        <w:t>Maton</w:t>
      </w:r>
      <w:proofErr w:type="spellEnd"/>
      <w:r w:rsidR="00D0087B" w:rsidRPr="00100776">
        <w:rPr>
          <w:bCs/>
          <w:lang w:val="en-GB"/>
        </w:rPr>
        <w:t>, 2008</w:t>
      </w:r>
      <w:r w:rsidR="003E3D6A" w:rsidRPr="00100776">
        <w:rPr>
          <w:bCs/>
          <w:lang w:val="en-GB"/>
        </w:rPr>
        <w:t>; Wright, 2002</w:t>
      </w:r>
      <w:r w:rsidR="00D0087B" w:rsidRPr="00100776">
        <w:rPr>
          <w:bCs/>
          <w:lang w:val="en-GB"/>
        </w:rPr>
        <w:t xml:space="preserve">). </w:t>
      </w:r>
      <w:r w:rsidR="005E2066" w:rsidRPr="00100776">
        <w:rPr>
          <w:bCs/>
          <w:lang w:val="en-GB"/>
        </w:rPr>
        <w:t xml:space="preserve">Since </w:t>
      </w:r>
      <w:r w:rsidR="00571CEE" w:rsidRPr="00100776">
        <w:rPr>
          <w:bCs/>
          <w:lang w:val="en-GB"/>
        </w:rPr>
        <w:t>t</w:t>
      </w:r>
      <w:r w:rsidR="00E0145C" w:rsidRPr="00100776">
        <w:rPr>
          <w:bCs/>
          <w:lang w:val="en-GB"/>
        </w:rPr>
        <w:t xml:space="preserve">he curriculum reform </w:t>
      </w:r>
      <w:r w:rsidR="003E3D6A" w:rsidRPr="00100776">
        <w:rPr>
          <w:bCs/>
          <w:lang w:val="en-GB"/>
        </w:rPr>
        <w:t>included</w:t>
      </w:r>
      <w:r w:rsidR="00E0145C" w:rsidRPr="00100776">
        <w:rPr>
          <w:bCs/>
          <w:lang w:val="en-GB"/>
        </w:rPr>
        <w:t xml:space="preserve"> </w:t>
      </w:r>
      <w:r w:rsidR="00B05C44" w:rsidRPr="00100776">
        <w:rPr>
          <w:bCs/>
          <w:lang w:val="en-GB"/>
        </w:rPr>
        <w:t xml:space="preserve">performance as one of the assessment tasks, </w:t>
      </w:r>
      <w:r w:rsidR="00475CF8" w:rsidRPr="00100776">
        <w:rPr>
          <w:bCs/>
          <w:lang w:val="en-GB"/>
        </w:rPr>
        <w:t xml:space="preserve">higher scores can be achieved if </w:t>
      </w:r>
      <w:r w:rsidR="00B05C44" w:rsidRPr="00100776">
        <w:rPr>
          <w:bCs/>
          <w:lang w:val="en-GB"/>
        </w:rPr>
        <w:t xml:space="preserve">students </w:t>
      </w:r>
      <w:r w:rsidR="00571CEE" w:rsidRPr="00100776">
        <w:rPr>
          <w:bCs/>
          <w:lang w:val="en-GB"/>
        </w:rPr>
        <w:t xml:space="preserve">are </w:t>
      </w:r>
      <w:r w:rsidR="00475CF8" w:rsidRPr="00100776">
        <w:rPr>
          <w:bCs/>
          <w:lang w:val="en-GB"/>
        </w:rPr>
        <w:t xml:space="preserve">able </w:t>
      </w:r>
      <w:r w:rsidR="00571CEE" w:rsidRPr="00100776">
        <w:rPr>
          <w:bCs/>
          <w:lang w:val="en-GB"/>
        </w:rPr>
        <w:t>to</w:t>
      </w:r>
      <w:r w:rsidR="00B05C44" w:rsidRPr="00100776">
        <w:rPr>
          <w:bCs/>
          <w:lang w:val="en-GB"/>
        </w:rPr>
        <w:t xml:space="preserve"> </w:t>
      </w:r>
      <w:r w:rsidR="00571CEE" w:rsidRPr="00100776">
        <w:rPr>
          <w:bCs/>
          <w:lang w:val="en-GB"/>
        </w:rPr>
        <w:t>demonstrate high level</w:t>
      </w:r>
      <w:r w:rsidR="00475CF8" w:rsidRPr="00100776">
        <w:rPr>
          <w:bCs/>
          <w:lang w:val="en-GB"/>
        </w:rPr>
        <w:t>s</w:t>
      </w:r>
      <w:r w:rsidR="00571CEE" w:rsidRPr="00100776">
        <w:rPr>
          <w:bCs/>
          <w:lang w:val="en-GB"/>
        </w:rPr>
        <w:t xml:space="preserve"> of musicianship and</w:t>
      </w:r>
      <w:r w:rsidR="00B05C44" w:rsidRPr="00100776">
        <w:rPr>
          <w:bCs/>
          <w:lang w:val="en-GB"/>
        </w:rPr>
        <w:t xml:space="preserve"> instrumental skills</w:t>
      </w:r>
      <w:r w:rsidR="00F52FA3" w:rsidRPr="00100776">
        <w:rPr>
          <w:bCs/>
          <w:lang w:val="en-GB"/>
        </w:rPr>
        <w:t>.</w:t>
      </w:r>
      <w:r w:rsidR="00571CEE" w:rsidRPr="00100776">
        <w:rPr>
          <w:bCs/>
          <w:lang w:val="en-GB"/>
        </w:rPr>
        <w:t xml:space="preserve"> </w:t>
      </w:r>
      <w:r w:rsidR="00475CF8" w:rsidRPr="00100776">
        <w:rPr>
          <w:bCs/>
          <w:lang w:val="en-GB"/>
        </w:rPr>
        <w:t xml:space="preserve">Given that </w:t>
      </w:r>
      <w:r w:rsidR="00571CEE" w:rsidRPr="00100776">
        <w:rPr>
          <w:bCs/>
          <w:lang w:val="en-GB"/>
        </w:rPr>
        <w:t>m</w:t>
      </w:r>
      <w:r w:rsidR="00F52FA3" w:rsidRPr="00100776">
        <w:rPr>
          <w:bCs/>
          <w:lang w:val="en-GB"/>
        </w:rPr>
        <w:t>usicianship training requires long</w:t>
      </w:r>
      <w:r w:rsidR="00475CF8" w:rsidRPr="00100776">
        <w:rPr>
          <w:bCs/>
          <w:lang w:val="en-GB"/>
        </w:rPr>
        <w:t xml:space="preserve">-term </w:t>
      </w:r>
      <w:r w:rsidR="00F52FA3" w:rsidRPr="00100776">
        <w:rPr>
          <w:bCs/>
          <w:lang w:val="en-GB"/>
        </w:rPr>
        <w:t>commitment</w:t>
      </w:r>
      <w:r w:rsidR="00475CF8" w:rsidRPr="00100776">
        <w:rPr>
          <w:bCs/>
          <w:lang w:val="en-GB"/>
        </w:rPr>
        <w:t>,</w:t>
      </w:r>
      <w:r w:rsidR="0048555A" w:rsidRPr="00100776">
        <w:rPr>
          <w:bCs/>
          <w:lang w:val="en-GB"/>
        </w:rPr>
        <w:t xml:space="preserve"> and </w:t>
      </w:r>
      <w:r w:rsidR="003E3D6A" w:rsidRPr="00100776">
        <w:rPr>
          <w:bCs/>
          <w:lang w:val="en-GB"/>
        </w:rPr>
        <w:t xml:space="preserve">the fact that </w:t>
      </w:r>
      <w:r w:rsidR="0048555A" w:rsidRPr="00100776">
        <w:rPr>
          <w:bCs/>
          <w:lang w:val="en-GB"/>
        </w:rPr>
        <w:t>instrument</w:t>
      </w:r>
      <w:r w:rsidR="00475CF8" w:rsidRPr="00100776">
        <w:rPr>
          <w:bCs/>
          <w:lang w:val="en-GB"/>
        </w:rPr>
        <w:t>-</w:t>
      </w:r>
      <w:r w:rsidR="00A730B8" w:rsidRPr="00100776">
        <w:rPr>
          <w:bCs/>
          <w:lang w:val="en-GB"/>
        </w:rPr>
        <w:t>l</w:t>
      </w:r>
      <w:r w:rsidR="0048555A" w:rsidRPr="00100776">
        <w:rPr>
          <w:bCs/>
          <w:lang w:val="en-GB"/>
        </w:rPr>
        <w:t>earning students consider music an easier subject than their non-</w:t>
      </w:r>
      <w:r w:rsidR="00475CF8" w:rsidRPr="00100776">
        <w:rPr>
          <w:bCs/>
          <w:lang w:val="en-GB"/>
        </w:rPr>
        <w:t>instrumental</w:t>
      </w:r>
      <w:r w:rsidR="0048555A" w:rsidRPr="00100776">
        <w:rPr>
          <w:bCs/>
          <w:lang w:val="en-GB"/>
        </w:rPr>
        <w:t xml:space="preserve"> peers (</w:t>
      </w:r>
      <w:r w:rsidR="0048555A" w:rsidRPr="00100776">
        <w:rPr>
          <w:lang w:val="en-GB"/>
        </w:rPr>
        <w:t>McPherson &amp; O’Neill, 2010</w:t>
      </w:r>
      <w:r w:rsidR="0048555A" w:rsidRPr="00100776">
        <w:rPr>
          <w:bCs/>
          <w:lang w:val="en-GB"/>
        </w:rPr>
        <w:t>),</w:t>
      </w:r>
      <w:r w:rsidR="00F52FA3" w:rsidRPr="00100776">
        <w:rPr>
          <w:bCs/>
          <w:lang w:val="en-GB"/>
        </w:rPr>
        <w:t xml:space="preserve"> </w:t>
      </w:r>
      <w:r w:rsidR="00475CF8" w:rsidRPr="00100776">
        <w:rPr>
          <w:bCs/>
          <w:lang w:val="en-GB"/>
        </w:rPr>
        <w:t xml:space="preserve">the latter are </w:t>
      </w:r>
      <w:r w:rsidR="00B20C2F" w:rsidRPr="00100776">
        <w:rPr>
          <w:bCs/>
          <w:lang w:val="en-GB"/>
        </w:rPr>
        <w:t xml:space="preserve">therefore </w:t>
      </w:r>
      <w:r w:rsidR="00475CF8" w:rsidRPr="00100776">
        <w:rPr>
          <w:bCs/>
          <w:lang w:val="en-GB"/>
        </w:rPr>
        <w:t xml:space="preserve">unlikely to </w:t>
      </w:r>
      <w:r w:rsidR="00110119" w:rsidRPr="00100776">
        <w:rPr>
          <w:bCs/>
          <w:lang w:val="en-GB"/>
        </w:rPr>
        <w:t xml:space="preserve">select music as one of their elective subjects. </w:t>
      </w:r>
      <w:r w:rsidR="00B20C2F" w:rsidRPr="00100776">
        <w:rPr>
          <w:bCs/>
          <w:lang w:val="en-GB"/>
        </w:rPr>
        <w:t xml:space="preserve">This argument is supported by the findings in this study, in which all participants </w:t>
      </w:r>
      <w:r w:rsidR="00475CF8" w:rsidRPr="00100776">
        <w:rPr>
          <w:bCs/>
          <w:lang w:val="en-GB"/>
        </w:rPr>
        <w:t xml:space="preserve">had </w:t>
      </w:r>
      <w:r w:rsidR="00CA7218" w:rsidRPr="00100776">
        <w:rPr>
          <w:bCs/>
          <w:lang w:val="en-GB"/>
        </w:rPr>
        <w:t xml:space="preserve">already acquired graded instrumental examination qualifications before the assessment. While </w:t>
      </w:r>
      <w:r w:rsidR="00447FA6" w:rsidRPr="00100776">
        <w:rPr>
          <w:bCs/>
          <w:lang w:val="en-GB"/>
        </w:rPr>
        <w:t xml:space="preserve">efforts such as </w:t>
      </w:r>
      <w:r w:rsidR="00BC1007" w:rsidRPr="00100776">
        <w:rPr>
          <w:bCs/>
          <w:lang w:val="en-GB"/>
        </w:rPr>
        <w:t xml:space="preserve">subsidised </w:t>
      </w:r>
      <w:r w:rsidR="00FF1079" w:rsidRPr="00100776">
        <w:rPr>
          <w:bCs/>
          <w:lang w:val="en-GB"/>
        </w:rPr>
        <w:t xml:space="preserve">school </w:t>
      </w:r>
      <w:r w:rsidR="00447FA6" w:rsidRPr="00100776">
        <w:rPr>
          <w:bCs/>
          <w:lang w:val="en-GB"/>
        </w:rPr>
        <w:t xml:space="preserve">schemes </w:t>
      </w:r>
      <w:r w:rsidR="00BC1007" w:rsidRPr="00100776">
        <w:rPr>
          <w:bCs/>
          <w:lang w:val="en-GB"/>
        </w:rPr>
        <w:t xml:space="preserve">have made </w:t>
      </w:r>
      <w:r w:rsidR="00FF1079" w:rsidRPr="00100776">
        <w:rPr>
          <w:bCs/>
          <w:lang w:val="en-GB"/>
        </w:rPr>
        <w:t xml:space="preserve">group </w:t>
      </w:r>
      <w:r w:rsidR="00BC1007" w:rsidRPr="00100776">
        <w:rPr>
          <w:bCs/>
          <w:lang w:val="en-GB"/>
        </w:rPr>
        <w:t xml:space="preserve">instrumental learning more accessible </w:t>
      </w:r>
      <w:r w:rsidR="00447FA6" w:rsidRPr="00100776">
        <w:rPr>
          <w:bCs/>
          <w:lang w:val="en-GB"/>
        </w:rPr>
        <w:t>(Leung, 2003)</w:t>
      </w:r>
      <w:r w:rsidR="00BC1007" w:rsidRPr="00100776">
        <w:rPr>
          <w:bCs/>
          <w:lang w:val="en-GB"/>
        </w:rPr>
        <w:t xml:space="preserve">, </w:t>
      </w:r>
      <w:r w:rsidR="00FF1079" w:rsidRPr="00100776">
        <w:rPr>
          <w:bCs/>
          <w:lang w:val="en-GB"/>
        </w:rPr>
        <w:t xml:space="preserve">the same kind of tuition is more likely to take place outside such institutions when an individual reaches a more advanced level </w:t>
      </w:r>
      <w:r w:rsidR="002108F6" w:rsidRPr="00100776">
        <w:rPr>
          <w:bCs/>
          <w:lang w:val="en-GB"/>
        </w:rPr>
        <w:t xml:space="preserve">(Leung </w:t>
      </w:r>
      <w:r w:rsidR="00D5176B" w:rsidRPr="00100776">
        <w:rPr>
          <w:bCs/>
          <w:lang w:val="en-GB"/>
        </w:rPr>
        <w:t>&amp;</w:t>
      </w:r>
      <w:r w:rsidR="002108F6" w:rsidRPr="00100776">
        <w:rPr>
          <w:bCs/>
          <w:lang w:val="en-GB"/>
        </w:rPr>
        <w:t xml:space="preserve"> McPherson, 2010), </w:t>
      </w:r>
      <w:r w:rsidR="00D5176B" w:rsidRPr="00100776">
        <w:rPr>
          <w:bCs/>
          <w:lang w:val="en-GB"/>
        </w:rPr>
        <w:t xml:space="preserve">which </w:t>
      </w:r>
      <w:r w:rsidR="00FF1079" w:rsidRPr="00100776">
        <w:rPr>
          <w:bCs/>
          <w:lang w:val="en-GB"/>
        </w:rPr>
        <w:t xml:space="preserve">in turn requires </w:t>
      </w:r>
      <w:r w:rsidR="00281A19" w:rsidRPr="00100776">
        <w:rPr>
          <w:bCs/>
          <w:lang w:val="en-GB"/>
        </w:rPr>
        <w:t xml:space="preserve">family </w:t>
      </w:r>
      <w:r w:rsidR="00D5176B" w:rsidRPr="00100776">
        <w:rPr>
          <w:bCs/>
          <w:lang w:val="en-GB"/>
        </w:rPr>
        <w:t>financial support</w:t>
      </w:r>
      <w:r w:rsidR="00BC1007" w:rsidRPr="00100776">
        <w:rPr>
          <w:bCs/>
          <w:lang w:val="en-GB"/>
        </w:rPr>
        <w:t xml:space="preserve"> (Ho, 2011)</w:t>
      </w:r>
      <w:r w:rsidR="00D5176B" w:rsidRPr="00100776">
        <w:rPr>
          <w:bCs/>
          <w:lang w:val="en-GB"/>
        </w:rPr>
        <w:t>.</w:t>
      </w:r>
      <w:r w:rsidR="00D5176B" w:rsidRPr="00100776">
        <w:rPr>
          <w:rFonts w:hint="eastAsia"/>
          <w:bCs/>
          <w:lang w:val="en-GB" w:eastAsia="zh-TW"/>
        </w:rPr>
        <w:t xml:space="preserve"> </w:t>
      </w:r>
      <w:r w:rsidR="00D5176B" w:rsidRPr="00100776">
        <w:rPr>
          <w:bCs/>
          <w:lang w:val="en-GB" w:eastAsia="zh-TW"/>
        </w:rPr>
        <w:t xml:space="preserve">All these causal relationships </w:t>
      </w:r>
      <w:r w:rsidR="00D5176B" w:rsidRPr="00100776">
        <w:rPr>
          <w:bCs/>
          <w:lang w:val="en-HK" w:eastAsia="zh-TW"/>
        </w:rPr>
        <w:t xml:space="preserve">contribute to </w:t>
      </w:r>
      <w:r w:rsidR="00AD2F7A" w:rsidRPr="00100776">
        <w:rPr>
          <w:bCs/>
          <w:lang w:val="en-HK" w:eastAsia="zh-TW"/>
        </w:rPr>
        <w:t>students’ elitist perception</w:t>
      </w:r>
      <w:r w:rsidR="00FF1079" w:rsidRPr="00100776">
        <w:rPr>
          <w:bCs/>
          <w:lang w:val="en-HK" w:eastAsia="zh-TW"/>
        </w:rPr>
        <w:t>s</w:t>
      </w:r>
      <w:r w:rsidR="00AD2F7A" w:rsidRPr="00100776">
        <w:rPr>
          <w:bCs/>
          <w:lang w:val="en-HK" w:eastAsia="zh-TW"/>
        </w:rPr>
        <w:t xml:space="preserve"> </w:t>
      </w:r>
      <w:r w:rsidR="00304500" w:rsidRPr="00100776">
        <w:rPr>
          <w:bCs/>
          <w:lang w:val="en-HK" w:eastAsia="zh-TW"/>
        </w:rPr>
        <w:t>and discourage those from lower social class</w:t>
      </w:r>
      <w:r w:rsidR="00FF1079" w:rsidRPr="00100776">
        <w:rPr>
          <w:bCs/>
          <w:lang w:val="en-HK" w:eastAsia="zh-TW"/>
        </w:rPr>
        <w:t>es from</w:t>
      </w:r>
      <w:r w:rsidR="00304500" w:rsidRPr="00100776">
        <w:rPr>
          <w:bCs/>
          <w:lang w:val="en-HK" w:eastAsia="zh-TW"/>
        </w:rPr>
        <w:t xml:space="preserve"> pursu</w:t>
      </w:r>
      <w:r w:rsidR="00FF1079" w:rsidRPr="00100776">
        <w:rPr>
          <w:bCs/>
          <w:lang w:val="en-HK" w:eastAsia="zh-TW"/>
        </w:rPr>
        <w:t>ing</w:t>
      </w:r>
      <w:r w:rsidR="00304500" w:rsidRPr="00100776">
        <w:rPr>
          <w:bCs/>
          <w:lang w:val="en-HK" w:eastAsia="zh-TW"/>
        </w:rPr>
        <w:t xml:space="preserve"> </w:t>
      </w:r>
      <w:r w:rsidR="00FF1079" w:rsidRPr="00100776">
        <w:rPr>
          <w:bCs/>
          <w:lang w:val="en-HK" w:eastAsia="zh-TW"/>
        </w:rPr>
        <w:t xml:space="preserve">music at the </w:t>
      </w:r>
      <w:r w:rsidR="00304500" w:rsidRPr="00100776">
        <w:rPr>
          <w:bCs/>
          <w:lang w:val="en-HK" w:eastAsia="zh-TW"/>
        </w:rPr>
        <w:t xml:space="preserve">senior secondary </w:t>
      </w:r>
      <w:r w:rsidR="00FF1079" w:rsidRPr="00100776">
        <w:rPr>
          <w:bCs/>
          <w:lang w:val="en-HK" w:eastAsia="zh-TW"/>
        </w:rPr>
        <w:t>level</w:t>
      </w:r>
      <w:r w:rsidR="00AD2F7A" w:rsidRPr="00100776">
        <w:rPr>
          <w:bCs/>
          <w:lang w:val="en-HK" w:eastAsia="zh-TW"/>
        </w:rPr>
        <w:t>.</w:t>
      </w:r>
    </w:p>
    <w:p w14:paraId="59C20520" w14:textId="024F52EF" w:rsidR="002233D0" w:rsidRPr="00100776" w:rsidRDefault="002233D0" w:rsidP="005B5E62">
      <w:pPr>
        <w:rPr>
          <w:bCs/>
          <w:i/>
          <w:iCs/>
          <w:lang w:val="en-HK" w:eastAsia="zh-TW"/>
        </w:rPr>
      </w:pPr>
      <w:r w:rsidRPr="00100776">
        <w:rPr>
          <w:bCs/>
          <w:i/>
          <w:iCs/>
          <w:lang w:val="en-HK" w:eastAsia="zh-TW"/>
        </w:rPr>
        <w:t>Marginalisation of music subject</w:t>
      </w:r>
    </w:p>
    <w:p w14:paraId="09CA776E" w14:textId="5ED2D854" w:rsidR="00291B21" w:rsidRPr="00100776" w:rsidRDefault="00323378" w:rsidP="005B5E62">
      <w:pPr>
        <w:rPr>
          <w:bCs/>
          <w:lang w:val="en-GB"/>
        </w:rPr>
      </w:pPr>
      <w:r w:rsidRPr="00100776">
        <w:rPr>
          <w:bCs/>
          <w:lang w:val="en-HK" w:eastAsia="zh-TW"/>
        </w:rPr>
        <w:t xml:space="preserve">The lower priority </w:t>
      </w:r>
      <w:r w:rsidR="009253DB" w:rsidRPr="00100776">
        <w:rPr>
          <w:bCs/>
          <w:lang w:val="en-HK" w:eastAsia="zh-TW"/>
        </w:rPr>
        <w:t xml:space="preserve">ranking </w:t>
      </w:r>
      <w:r w:rsidRPr="00100776">
        <w:rPr>
          <w:bCs/>
          <w:lang w:val="en-HK" w:eastAsia="zh-TW"/>
        </w:rPr>
        <w:t xml:space="preserve">by the participants </w:t>
      </w:r>
      <w:r w:rsidR="00281A19" w:rsidRPr="00100776">
        <w:rPr>
          <w:bCs/>
          <w:lang w:val="en-HK" w:eastAsia="zh-TW"/>
        </w:rPr>
        <w:t xml:space="preserve">towards studying music </w:t>
      </w:r>
      <w:r w:rsidR="009253DB" w:rsidRPr="00100776">
        <w:rPr>
          <w:bCs/>
          <w:lang w:val="en-HK" w:eastAsia="zh-TW"/>
        </w:rPr>
        <w:t>is</w:t>
      </w:r>
      <w:r w:rsidR="00281A19" w:rsidRPr="00100776">
        <w:rPr>
          <w:bCs/>
          <w:lang w:val="en-HK" w:eastAsia="zh-TW"/>
        </w:rPr>
        <w:t xml:space="preserve"> in keeping with its </w:t>
      </w:r>
      <w:r w:rsidR="00CF6029" w:rsidRPr="00100776">
        <w:rPr>
          <w:bCs/>
          <w:lang w:val="en-HK" w:eastAsia="zh-TW"/>
        </w:rPr>
        <w:t>marginalisation in schools</w:t>
      </w:r>
      <w:r w:rsidR="00281A19" w:rsidRPr="00100776">
        <w:rPr>
          <w:bCs/>
          <w:lang w:val="en-HK" w:eastAsia="zh-TW"/>
        </w:rPr>
        <w:t xml:space="preserve"> globally </w:t>
      </w:r>
      <w:r w:rsidR="00B12AF1" w:rsidRPr="00100776">
        <w:rPr>
          <w:bCs/>
          <w:lang w:val="en-HK" w:eastAsia="zh-TW"/>
        </w:rPr>
        <w:t>(</w:t>
      </w:r>
      <w:proofErr w:type="spellStart"/>
      <w:r w:rsidR="00BA4A4F" w:rsidRPr="00100776">
        <w:rPr>
          <w:bCs/>
          <w:lang w:val="en-HK" w:eastAsia="zh-TW"/>
        </w:rPr>
        <w:t>Aróstegui</w:t>
      </w:r>
      <w:proofErr w:type="spellEnd"/>
      <w:r w:rsidR="00BA4A4F" w:rsidRPr="00100776">
        <w:rPr>
          <w:bCs/>
          <w:lang w:val="en-HK" w:eastAsia="zh-TW"/>
        </w:rPr>
        <w:t>, 2016</w:t>
      </w:r>
      <w:r w:rsidR="00B12AF1" w:rsidRPr="00100776">
        <w:rPr>
          <w:bCs/>
          <w:lang w:val="en-HK" w:eastAsia="zh-TW"/>
        </w:rPr>
        <w:t>)</w:t>
      </w:r>
      <w:r w:rsidR="002F4B30" w:rsidRPr="00100776">
        <w:rPr>
          <w:bCs/>
          <w:lang w:val="en-HK" w:eastAsia="zh-TW"/>
        </w:rPr>
        <w:t xml:space="preserve">. </w:t>
      </w:r>
      <w:r w:rsidR="00EF1002" w:rsidRPr="00100776">
        <w:rPr>
          <w:bCs/>
          <w:lang w:val="en-HK" w:eastAsia="zh-TW"/>
        </w:rPr>
        <w:t xml:space="preserve">The study by Leung and </w:t>
      </w:r>
      <w:r w:rsidR="00EF1002" w:rsidRPr="00100776">
        <w:rPr>
          <w:bCs/>
          <w:lang w:val="en-GB"/>
        </w:rPr>
        <w:t xml:space="preserve">McPherson (2010) yielded </w:t>
      </w:r>
      <w:r w:rsidR="00CE3BEF" w:rsidRPr="00100776">
        <w:rPr>
          <w:bCs/>
          <w:lang w:val="en-GB"/>
        </w:rPr>
        <w:t>similar results</w:t>
      </w:r>
      <w:r w:rsidR="001B60C8" w:rsidRPr="00100776">
        <w:rPr>
          <w:bCs/>
          <w:lang w:val="en-GB"/>
        </w:rPr>
        <w:t>,</w:t>
      </w:r>
      <w:r w:rsidR="00CE3BEF" w:rsidRPr="00100776">
        <w:rPr>
          <w:bCs/>
          <w:lang w:val="en-GB"/>
        </w:rPr>
        <w:t xml:space="preserve"> </w:t>
      </w:r>
      <w:r w:rsidR="00281A19" w:rsidRPr="00100776">
        <w:rPr>
          <w:bCs/>
          <w:lang w:val="en-GB"/>
        </w:rPr>
        <w:t>whereby</w:t>
      </w:r>
      <w:r w:rsidR="00CE3BEF" w:rsidRPr="00100776">
        <w:rPr>
          <w:bCs/>
          <w:lang w:val="en-GB"/>
        </w:rPr>
        <w:t xml:space="preserve"> students ranked </w:t>
      </w:r>
      <w:r w:rsidR="00EC7AEC" w:rsidRPr="00100776">
        <w:rPr>
          <w:bCs/>
          <w:lang w:val="en-GB"/>
        </w:rPr>
        <w:t xml:space="preserve">music the lowest in terms of perceived value among five ‘academic’ and ‘cultural’ subjects. While the </w:t>
      </w:r>
      <w:r w:rsidR="00941CAB" w:rsidRPr="00100776">
        <w:rPr>
          <w:bCs/>
          <w:lang w:val="en-GB"/>
        </w:rPr>
        <w:t xml:space="preserve">priority </w:t>
      </w:r>
      <w:r w:rsidR="009253DB" w:rsidRPr="00100776">
        <w:rPr>
          <w:bCs/>
          <w:lang w:val="en-GB"/>
        </w:rPr>
        <w:t xml:space="preserve">ranking of music </w:t>
      </w:r>
      <w:r w:rsidR="00941CAB" w:rsidRPr="00100776">
        <w:rPr>
          <w:bCs/>
          <w:lang w:val="en-GB"/>
        </w:rPr>
        <w:t xml:space="preserve">in this study </w:t>
      </w:r>
      <w:r w:rsidR="00281A19" w:rsidRPr="00100776">
        <w:rPr>
          <w:bCs/>
          <w:lang w:val="en-GB"/>
        </w:rPr>
        <w:t xml:space="preserve">would appear to be </w:t>
      </w:r>
      <w:r w:rsidR="00941CAB" w:rsidRPr="00100776">
        <w:rPr>
          <w:bCs/>
          <w:lang w:val="en-GB"/>
        </w:rPr>
        <w:t xml:space="preserve">higher than </w:t>
      </w:r>
      <w:r w:rsidR="00337C9F" w:rsidRPr="00100776">
        <w:rPr>
          <w:bCs/>
          <w:lang w:val="en-GB"/>
        </w:rPr>
        <w:t>other</w:t>
      </w:r>
      <w:r w:rsidR="00281A19" w:rsidRPr="00100776">
        <w:rPr>
          <w:bCs/>
          <w:lang w:val="en-GB"/>
        </w:rPr>
        <w:t>, similar</w:t>
      </w:r>
      <w:r w:rsidR="00337C9F" w:rsidRPr="00100776">
        <w:rPr>
          <w:bCs/>
          <w:lang w:val="en-GB"/>
        </w:rPr>
        <w:t xml:space="preserve"> elective subjects,</w:t>
      </w:r>
      <w:r w:rsidR="00281A19" w:rsidRPr="00100776">
        <w:rPr>
          <w:bCs/>
          <w:lang w:val="en-GB"/>
        </w:rPr>
        <w:t xml:space="preserve"> it should be</w:t>
      </w:r>
      <w:r w:rsidR="00337C9F" w:rsidRPr="00100776">
        <w:rPr>
          <w:bCs/>
          <w:lang w:val="en-GB"/>
        </w:rPr>
        <w:t xml:space="preserve"> note</w:t>
      </w:r>
      <w:r w:rsidR="00281A19" w:rsidRPr="00100776">
        <w:rPr>
          <w:bCs/>
          <w:lang w:val="en-GB"/>
        </w:rPr>
        <w:t>d</w:t>
      </w:r>
      <w:r w:rsidR="00337C9F" w:rsidRPr="00100776">
        <w:rPr>
          <w:bCs/>
          <w:lang w:val="en-GB"/>
        </w:rPr>
        <w:t xml:space="preserve"> </w:t>
      </w:r>
      <w:r w:rsidR="00281A19" w:rsidRPr="00100776">
        <w:rPr>
          <w:bCs/>
          <w:lang w:val="en-GB"/>
        </w:rPr>
        <w:t xml:space="preserve">that the </w:t>
      </w:r>
      <w:r w:rsidR="00337C9F" w:rsidRPr="00100776">
        <w:rPr>
          <w:bCs/>
          <w:lang w:val="en-GB"/>
        </w:rPr>
        <w:t xml:space="preserve">participants in </w:t>
      </w:r>
      <w:r w:rsidR="007304D5" w:rsidRPr="00100776">
        <w:rPr>
          <w:bCs/>
          <w:lang w:val="en-GB"/>
        </w:rPr>
        <w:t>this study</w:t>
      </w:r>
      <w:r w:rsidR="00337C9F" w:rsidRPr="00100776">
        <w:rPr>
          <w:bCs/>
          <w:lang w:val="en-GB"/>
        </w:rPr>
        <w:t xml:space="preserve"> </w:t>
      </w:r>
      <w:r w:rsidR="00F501B6" w:rsidRPr="00100776">
        <w:rPr>
          <w:bCs/>
          <w:lang w:val="en-GB"/>
        </w:rPr>
        <w:t xml:space="preserve">were those already </w:t>
      </w:r>
      <w:r w:rsidR="007304D5" w:rsidRPr="00100776">
        <w:rPr>
          <w:bCs/>
          <w:lang w:val="en-GB"/>
        </w:rPr>
        <w:t>studying</w:t>
      </w:r>
      <w:r w:rsidR="00F501B6" w:rsidRPr="00100776">
        <w:rPr>
          <w:bCs/>
          <w:lang w:val="en-GB"/>
        </w:rPr>
        <w:t xml:space="preserve"> music </w:t>
      </w:r>
      <w:r w:rsidR="007304D5" w:rsidRPr="00100776">
        <w:rPr>
          <w:bCs/>
          <w:lang w:val="en-GB"/>
        </w:rPr>
        <w:t>for their HKDSE</w:t>
      </w:r>
      <w:r w:rsidR="00281A19" w:rsidRPr="00100776">
        <w:rPr>
          <w:bCs/>
          <w:lang w:val="en-GB"/>
        </w:rPr>
        <w:t>. They formed</w:t>
      </w:r>
      <w:r w:rsidR="00F501B6" w:rsidRPr="00100776">
        <w:rPr>
          <w:bCs/>
          <w:lang w:val="en-GB"/>
        </w:rPr>
        <w:t xml:space="preserve"> </w:t>
      </w:r>
      <w:r w:rsidR="00281A19" w:rsidRPr="00100776">
        <w:rPr>
          <w:bCs/>
          <w:lang w:val="en-GB"/>
        </w:rPr>
        <w:t>a</w:t>
      </w:r>
      <w:r w:rsidR="00F501B6" w:rsidRPr="00100776">
        <w:rPr>
          <w:bCs/>
          <w:lang w:val="en-GB"/>
        </w:rPr>
        <w:t xml:space="preserve"> very small group of students who </w:t>
      </w:r>
      <w:r w:rsidR="007304D5" w:rsidRPr="00100776">
        <w:rPr>
          <w:bCs/>
          <w:lang w:val="en-GB"/>
        </w:rPr>
        <w:t>ha</w:t>
      </w:r>
      <w:r w:rsidR="00281A19" w:rsidRPr="00100776">
        <w:rPr>
          <w:bCs/>
          <w:lang w:val="en-GB"/>
        </w:rPr>
        <w:t>d</w:t>
      </w:r>
      <w:r w:rsidR="007304D5" w:rsidRPr="00100776">
        <w:rPr>
          <w:bCs/>
          <w:lang w:val="en-GB"/>
        </w:rPr>
        <w:t xml:space="preserve"> a deep interest in music, </w:t>
      </w:r>
      <w:r w:rsidR="00281A19" w:rsidRPr="00100776">
        <w:rPr>
          <w:bCs/>
          <w:lang w:val="en-GB"/>
        </w:rPr>
        <w:t xml:space="preserve">who had the </w:t>
      </w:r>
      <w:r w:rsidR="007304D5" w:rsidRPr="00100776">
        <w:rPr>
          <w:bCs/>
          <w:lang w:val="en-GB"/>
        </w:rPr>
        <w:t xml:space="preserve">courage </w:t>
      </w:r>
      <w:r w:rsidR="00281A19" w:rsidRPr="00100776">
        <w:rPr>
          <w:bCs/>
          <w:lang w:val="en-GB"/>
        </w:rPr>
        <w:t xml:space="preserve">to ‘go against the grain’, and who </w:t>
      </w:r>
      <w:r w:rsidR="007304D5" w:rsidRPr="00100776">
        <w:rPr>
          <w:bCs/>
          <w:lang w:val="en-GB"/>
        </w:rPr>
        <w:t xml:space="preserve">perhaps </w:t>
      </w:r>
      <w:r w:rsidR="00281A19" w:rsidRPr="00100776">
        <w:rPr>
          <w:bCs/>
          <w:lang w:val="en-GB"/>
        </w:rPr>
        <w:t>would also choose</w:t>
      </w:r>
      <w:r w:rsidR="007304D5" w:rsidRPr="00100776">
        <w:rPr>
          <w:bCs/>
          <w:lang w:val="en-GB"/>
        </w:rPr>
        <w:t xml:space="preserve"> </w:t>
      </w:r>
      <w:r w:rsidR="00281A19" w:rsidRPr="00100776">
        <w:rPr>
          <w:bCs/>
          <w:lang w:val="en-GB"/>
        </w:rPr>
        <w:t xml:space="preserve">to </w:t>
      </w:r>
      <w:r w:rsidR="007304D5" w:rsidRPr="00100776">
        <w:rPr>
          <w:bCs/>
          <w:lang w:val="en-GB"/>
        </w:rPr>
        <w:t xml:space="preserve">continue </w:t>
      </w:r>
      <w:r w:rsidR="00281A19" w:rsidRPr="00100776">
        <w:rPr>
          <w:bCs/>
          <w:lang w:val="en-GB"/>
        </w:rPr>
        <w:t>their pursuit of</w:t>
      </w:r>
      <w:r w:rsidR="007304D5" w:rsidRPr="00100776">
        <w:rPr>
          <w:bCs/>
          <w:lang w:val="en-GB"/>
        </w:rPr>
        <w:t xml:space="preserve"> music </w:t>
      </w:r>
      <w:r w:rsidR="00DF0DDC" w:rsidRPr="00100776">
        <w:rPr>
          <w:bCs/>
          <w:lang w:val="en-GB"/>
        </w:rPr>
        <w:t>as part of their future studies and / or career</w:t>
      </w:r>
      <w:r w:rsidR="007304D5" w:rsidRPr="00100776">
        <w:rPr>
          <w:bCs/>
          <w:lang w:val="en-GB"/>
        </w:rPr>
        <w:t xml:space="preserve">. </w:t>
      </w:r>
      <w:r w:rsidR="00DC60C3" w:rsidRPr="00100776">
        <w:rPr>
          <w:bCs/>
          <w:lang w:val="en-GB"/>
        </w:rPr>
        <w:t xml:space="preserve">Their </w:t>
      </w:r>
      <w:r w:rsidR="00AF684C" w:rsidRPr="00100776">
        <w:rPr>
          <w:bCs/>
          <w:lang w:val="en-GB"/>
        </w:rPr>
        <w:t xml:space="preserve">feelings </w:t>
      </w:r>
      <w:r w:rsidR="001B60C8" w:rsidRPr="00100776">
        <w:rPr>
          <w:bCs/>
          <w:lang w:val="en-GB"/>
        </w:rPr>
        <w:t xml:space="preserve">can also </w:t>
      </w:r>
      <w:r w:rsidR="00DC60C3" w:rsidRPr="00100776">
        <w:rPr>
          <w:bCs/>
          <w:lang w:val="en-GB"/>
        </w:rPr>
        <w:t xml:space="preserve">be explained by the </w:t>
      </w:r>
      <w:r w:rsidR="00561C8C" w:rsidRPr="00100776">
        <w:rPr>
          <w:bCs/>
          <w:lang w:val="en-GB"/>
        </w:rPr>
        <w:t>grading</w:t>
      </w:r>
      <w:r w:rsidR="001E6E16" w:rsidRPr="00100776">
        <w:rPr>
          <w:bCs/>
          <w:lang w:val="en-GB"/>
        </w:rPr>
        <w:t xml:space="preserve"> </w:t>
      </w:r>
      <w:r w:rsidR="00561C8C" w:rsidRPr="00100776">
        <w:rPr>
          <w:bCs/>
          <w:lang w:val="en-GB"/>
        </w:rPr>
        <w:t>requirement</w:t>
      </w:r>
      <w:r w:rsidR="00AF684C" w:rsidRPr="00100776">
        <w:rPr>
          <w:bCs/>
          <w:lang w:val="en-GB"/>
        </w:rPr>
        <w:t>s</w:t>
      </w:r>
      <w:r w:rsidR="001E6E16" w:rsidRPr="00100776">
        <w:rPr>
          <w:bCs/>
          <w:lang w:val="en-GB"/>
        </w:rPr>
        <w:t xml:space="preserve"> of </w:t>
      </w:r>
      <w:r w:rsidR="00AF684C" w:rsidRPr="00100776">
        <w:rPr>
          <w:bCs/>
          <w:lang w:val="en-GB"/>
        </w:rPr>
        <w:t xml:space="preserve">the </w:t>
      </w:r>
      <w:r w:rsidR="001E6E16" w:rsidRPr="00100776">
        <w:rPr>
          <w:bCs/>
          <w:lang w:val="en-GB"/>
        </w:rPr>
        <w:t xml:space="preserve">HKDSE and the corresponding strategy for </w:t>
      </w:r>
      <w:r w:rsidR="00AF684C" w:rsidRPr="00100776">
        <w:rPr>
          <w:bCs/>
          <w:lang w:val="en-GB"/>
        </w:rPr>
        <w:t xml:space="preserve">successful </w:t>
      </w:r>
      <w:r w:rsidR="001E6E16" w:rsidRPr="00100776">
        <w:rPr>
          <w:bCs/>
          <w:lang w:val="en-GB"/>
        </w:rPr>
        <w:t xml:space="preserve">university entrance. </w:t>
      </w:r>
      <w:r w:rsidR="00561C8C" w:rsidRPr="00100776">
        <w:rPr>
          <w:bCs/>
          <w:lang w:val="en-GB"/>
        </w:rPr>
        <w:t xml:space="preserve">In order to </w:t>
      </w:r>
      <w:r w:rsidR="00D849F7" w:rsidRPr="00100776">
        <w:rPr>
          <w:bCs/>
          <w:lang w:val="en-GB"/>
        </w:rPr>
        <w:t xml:space="preserve">meet the minimum </w:t>
      </w:r>
      <w:r w:rsidR="00AF684C" w:rsidRPr="00100776">
        <w:rPr>
          <w:bCs/>
          <w:lang w:val="en-GB"/>
        </w:rPr>
        <w:t xml:space="preserve">entry </w:t>
      </w:r>
      <w:r w:rsidR="00D849F7" w:rsidRPr="00100776">
        <w:rPr>
          <w:bCs/>
          <w:lang w:val="en-GB"/>
        </w:rPr>
        <w:t>requirement</w:t>
      </w:r>
      <w:r w:rsidR="00AF684C" w:rsidRPr="00100776">
        <w:rPr>
          <w:bCs/>
          <w:lang w:val="en-GB"/>
        </w:rPr>
        <w:t>s</w:t>
      </w:r>
      <w:r w:rsidR="00D849F7" w:rsidRPr="00100776">
        <w:rPr>
          <w:bCs/>
          <w:lang w:val="en-GB"/>
        </w:rPr>
        <w:t>, candidate</w:t>
      </w:r>
      <w:r w:rsidR="00AF684C" w:rsidRPr="00100776">
        <w:rPr>
          <w:bCs/>
          <w:lang w:val="en-GB"/>
        </w:rPr>
        <w:t>s</w:t>
      </w:r>
      <w:r w:rsidR="00D849F7" w:rsidRPr="00100776">
        <w:rPr>
          <w:bCs/>
          <w:lang w:val="en-GB"/>
        </w:rPr>
        <w:t xml:space="preserve"> must attain a minimum of level 3 </w:t>
      </w:r>
      <w:r w:rsidR="00AF684C" w:rsidRPr="00100776">
        <w:rPr>
          <w:bCs/>
          <w:lang w:val="en-GB"/>
        </w:rPr>
        <w:t xml:space="preserve">in </w:t>
      </w:r>
      <w:r w:rsidR="00D849F7" w:rsidRPr="00100776">
        <w:rPr>
          <w:bCs/>
          <w:lang w:val="en-GB"/>
        </w:rPr>
        <w:t xml:space="preserve">two language subjects and level 2 </w:t>
      </w:r>
      <w:r w:rsidR="00AF684C" w:rsidRPr="00100776">
        <w:rPr>
          <w:bCs/>
          <w:lang w:val="en-GB"/>
        </w:rPr>
        <w:t xml:space="preserve">in </w:t>
      </w:r>
      <w:r w:rsidR="00D849F7" w:rsidRPr="00100776">
        <w:rPr>
          <w:bCs/>
          <w:lang w:val="en-GB"/>
        </w:rPr>
        <w:t xml:space="preserve">Mathematics and Liberal Studies (i.e., '3322'). Many local universities </w:t>
      </w:r>
      <w:r w:rsidR="002B4890" w:rsidRPr="00100776">
        <w:rPr>
          <w:bCs/>
          <w:lang w:val="en-GB"/>
        </w:rPr>
        <w:t xml:space="preserve">and individual programmes </w:t>
      </w:r>
      <w:r w:rsidR="00D849F7" w:rsidRPr="00100776">
        <w:rPr>
          <w:bCs/>
          <w:lang w:val="en-GB"/>
        </w:rPr>
        <w:t xml:space="preserve">also </w:t>
      </w:r>
      <w:r w:rsidR="00AF684C" w:rsidRPr="00100776">
        <w:rPr>
          <w:bCs/>
          <w:lang w:val="en-GB"/>
        </w:rPr>
        <w:t xml:space="preserve">accord a </w:t>
      </w:r>
      <w:r w:rsidR="00AD2F7A" w:rsidRPr="00100776">
        <w:rPr>
          <w:bCs/>
          <w:lang w:val="en-GB"/>
        </w:rPr>
        <w:t>higher</w:t>
      </w:r>
      <w:r w:rsidR="00D849F7" w:rsidRPr="00100776">
        <w:rPr>
          <w:bCs/>
          <w:lang w:val="en-GB"/>
        </w:rPr>
        <w:t xml:space="preserve"> weighting </w:t>
      </w:r>
      <w:r w:rsidR="00AF684C" w:rsidRPr="00100776">
        <w:rPr>
          <w:bCs/>
          <w:lang w:val="en-GB"/>
        </w:rPr>
        <w:t>to</w:t>
      </w:r>
      <w:r w:rsidR="00D849F7" w:rsidRPr="00100776">
        <w:rPr>
          <w:bCs/>
          <w:lang w:val="en-GB"/>
        </w:rPr>
        <w:t xml:space="preserve"> language and mathematic</w:t>
      </w:r>
      <w:r w:rsidR="00AF684C" w:rsidRPr="00100776">
        <w:rPr>
          <w:bCs/>
          <w:lang w:val="en-GB"/>
        </w:rPr>
        <w:t>s</w:t>
      </w:r>
      <w:r w:rsidR="00D849F7" w:rsidRPr="00100776">
        <w:rPr>
          <w:bCs/>
          <w:lang w:val="en-GB"/>
        </w:rPr>
        <w:t xml:space="preserve"> when </w:t>
      </w:r>
      <w:r w:rsidR="002B4890" w:rsidRPr="00100776">
        <w:rPr>
          <w:bCs/>
          <w:lang w:val="en-GB"/>
        </w:rPr>
        <w:t>screening applicants</w:t>
      </w:r>
      <w:r w:rsidR="00AF684C" w:rsidRPr="00100776">
        <w:rPr>
          <w:bCs/>
          <w:lang w:val="en-GB"/>
        </w:rPr>
        <w:t>, which means that</w:t>
      </w:r>
      <w:r w:rsidR="002B4890" w:rsidRPr="00100776">
        <w:rPr>
          <w:bCs/>
          <w:lang w:val="en-GB"/>
        </w:rPr>
        <w:t xml:space="preserve"> </w:t>
      </w:r>
      <w:r w:rsidR="00AF684C" w:rsidRPr="00100776">
        <w:rPr>
          <w:bCs/>
          <w:lang w:val="en-GB"/>
        </w:rPr>
        <w:t xml:space="preserve">despite the advantages </w:t>
      </w:r>
      <w:r w:rsidR="002E3453" w:rsidRPr="00100776">
        <w:rPr>
          <w:bCs/>
          <w:lang w:val="en-GB"/>
        </w:rPr>
        <w:t>for those who ha</w:t>
      </w:r>
      <w:r w:rsidR="00AF684C" w:rsidRPr="00100776">
        <w:rPr>
          <w:bCs/>
          <w:lang w:val="en-GB"/>
        </w:rPr>
        <w:t>ve</w:t>
      </w:r>
      <w:r w:rsidR="002E3453" w:rsidRPr="00100776">
        <w:rPr>
          <w:bCs/>
          <w:lang w:val="en-GB"/>
        </w:rPr>
        <w:t xml:space="preserve"> chosen </w:t>
      </w:r>
      <w:r w:rsidR="00AF684C" w:rsidRPr="00100776">
        <w:rPr>
          <w:bCs/>
          <w:lang w:val="en-GB"/>
        </w:rPr>
        <w:t>music</w:t>
      </w:r>
      <w:r w:rsidR="002E3453" w:rsidRPr="00100776">
        <w:rPr>
          <w:bCs/>
          <w:lang w:val="en-GB"/>
        </w:rPr>
        <w:t xml:space="preserve"> as their elective subject, the overall effect is often not as attractive as putting more effort </w:t>
      </w:r>
      <w:r w:rsidR="00AF684C" w:rsidRPr="00100776">
        <w:rPr>
          <w:bCs/>
          <w:lang w:val="en-GB"/>
        </w:rPr>
        <w:t>into</w:t>
      </w:r>
      <w:r w:rsidR="002E3453" w:rsidRPr="00100776">
        <w:rPr>
          <w:bCs/>
          <w:lang w:val="en-GB"/>
        </w:rPr>
        <w:t xml:space="preserve"> core or other subjects. </w:t>
      </w:r>
      <w:r w:rsidR="00EA442E" w:rsidRPr="00100776">
        <w:rPr>
          <w:bCs/>
          <w:lang w:val="en-HK" w:eastAsia="zh-TW"/>
        </w:rPr>
        <w:t xml:space="preserve">While the literature has extensively discussed </w:t>
      </w:r>
      <w:r w:rsidR="003E1E0B" w:rsidRPr="00100776">
        <w:rPr>
          <w:bCs/>
          <w:lang w:val="en-HK" w:eastAsia="zh-TW"/>
        </w:rPr>
        <w:t xml:space="preserve">the </w:t>
      </w:r>
      <w:r w:rsidR="003E182E" w:rsidRPr="00100776">
        <w:rPr>
          <w:bCs/>
          <w:lang w:val="en-HK" w:eastAsia="zh-TW"/>
        </w:rPr>
        <w:t>marginalisation</w:t>
      </w:r>
      <w:r w:rsidR="003E1E0B" w:rsidRPr="00100776">
        <w:rPr>
          <w:bCs/>
          <w:lang w:val="en-HK" w:eastAsia="zh-TW"/>
        </w:rPr>
        <w:t xml:space="preserve"> of music </w:t>
      </w:r>
      <w:r w:rsidR="00AF684C" w:rsidRPr="00100776">
        <w:rPr>
          <w:bCs/>
          <w:lang w:val="en-HK" w:eastAsia="zh-TW"/>
        </w:rPr>
        <w:t xml:space="preserve">within the context of </w:t>
      </w:r>
      <w:r w:rsidR="002927B7" w:rsidRPr="00100776">
        <w:rPr>
          <w:bCs/>
          <w:lang w:val="en-HK" w:eastAsia="zh-TW"/>
        </w:rPr>
        <w:t>broader</w:t>
      </w:r>
      <w:r w:rsidR="003E1E0B" w:rsidRPr="00100776">
        <w:rPr>
          <w:bCs/>
          <w:lang w:val="en-HK" w:eastAsia="zh-TW"/>
        </w:rPr>
        <w:t xml:space="preserve"> </w:t>
      </w:r>
      <w:r w:rsidR="00A541C9" w:rsidRPr="00100776">
        <w:rPr>
          <w:bCs/>
          <w:lang w:val="en-HK" w:eastAsia="zh-TW"/>
        </w:rPr>
        <w:t>themes</w:t>
      </w:r>
      <w:r w:rsidR="00AF684C" w:rsidRPr="00100776">
        <w:rPr>
          <w:bCs/>
          <w:lang w:val="en-HK" w:eastAsia="zh-TW"/>
        </w:rPr>
        <w:t>,</w:t>
      </w:r>
      <w:r w:rsidR="003E1E0B" w:rsidRPr="00100776">
        <w:rPr>
          <w:bCs/>
          <w:lang w:val="en-HK" w:eastAsia="zh-TW"/>
        </w:rPr>
        <w:t xml:space="preserve"> </w:t>
      </w:r>
      <w:r w:rsidR="002927B7" w:rsidRPr="00100776">
        <w:rPr>
          <w:bCs/>
          <w:lang w:val="en-HK" w:eastAsia="zh-TW"/>
        </w:rPr>
        <w:t>such as career aspiration</w:t>
      </w:r>
      <w:r w:rsidR="00AF684C" w:rsidRPr="00100776">
        <w:rPr>
          <w:bCs/>
          <w:lang w:val="en-HK" w:eastAsia="zh-TW"/>
        </w:rPr>
        <w:t>s</w:t>
      </w:r>
      <w:r w:rsidR="002927B7" w:rsidRPr="00100776">
        <w:rPr>
          <w:bCs/>
          <w:lang w:val="en-HK" w:eastAsia="zh-TW"/>
        </w:rPr>
        <w:t xml:space="preserve"> and school management</w:t>
      </w:r>
      <w:r w:rsidR="00646D0D" w:rsidRPr="00100776">
        <w:rPr>
          <w:bCs/>
          <w:lang w:val="en-HK" w:eastAsia="zh-TW"/>
        </w:rPr>
        <w:t xml:space="preserve">, </w:t>
      </w:r>
      <w:r w:rsidR="00D1702A" w:rsidRPr="00100776">
        <w:rPr>
          <w:bCs/>
          <w:lang w:val="en-HK" w:eastAsia="zh-TW"/>
        </w:rPr>
        <w:t xml:space="preserve">a case for </w:t>
      </w:r>
      <w:r w:rsidR="00646D0D" w:rsidRPr="00100776">
        <w:rPr>
          <w:bCs/>
          <w:lang w:val="en-HK" w:eastAsia="zh-TW"/>
        </w:rPr>
        <w:t xml:space="preserve">the </w:t>
      </w:r>
      <w:r w:rsidR="00D1702A" w:rsidRPr="00100776">
        <w:rPr>
          <w:bCs/>
          <w:lang w:val="en-HK" w:eastAsia="zh-TW"/>
        </w:rPr>
        <w:t>immaterial nature</w:t>
      </w:r>
      <w:r w:rsidR="00EE79C4" w:rsidRPr="00100776">
        <w:rPr>
          <w:bCs/>
          <w:lang w:val="en-HK" w:eastAsia="zh-TW"/>
        </w:rPr>
        <w:t xml:space="preserve"> </w:t>
      </w:r>
      <w:r w:rsidR="00646D0D" w:rsidRPr="00100776">
        <w:rPr>
          <w:bCs/>
          <w:lang w:val="en-HK" w:eastAsia="zh-TW"/>
        </w:rPr>
        <w:t xml:space="preserve">of music </w:t>
      </w:r>
      <w:r w:rsidR="00EC519E" w:rsidRPr="00100776">
        <w:rPr>
          <w:bCs/>
          <w:lang w:val="en-HK" w:eastAsia="zh-TW"/>
        </w:rPr>
        <w:t>as a subject</w:t>
      </w:r>
      <w:r w:rsidR="00646D0D" w:rsidRPr="00100776">
        <w:rPr>
          <w:bCs/>
          <w:lang w:val="en-HK" w:eastAsia="zh-TW"/>
        </w:rPr>
        <w:t xml:space="preserve"> </w:t>
      </w:r>
      <w:r w:rsidR="001B60C8" w:rsidRPr="00100776">
        <w:rPr>
          <w:bCs/>
          <w:lang w:val="en-HK" w:eastAsia="zh-TW"/>
        </w:rPr>
        <w:t xml:space="preserve">can </w:t>
      </w:r>
      <w:r w:rsidR="00A541C9" w:rsidRPr="00100776">
        <w:rPr>
          <w:bCs/>
          <w:lang w:val="en-HK" w:eastAsia="zh-TW"/>
        </w:rPr>
        <w:t>also be found in the examination-oriented context</w:t>
      </w:r>
      <w:r w:rsidR="00D1702A" w:rsidRPr="00100776">
        <w:rPr>
          <w:bCs/>
          <w:lang w:val="en-HK" w:eastAsia="zh-TW"/>
        </w:rPr>
        <w:t xml:space="preserve"> contained with</w:t>
      </w:r>
      <w:r w:rsidR="00A8341C" w:rsidRPr="00100776">
        <w:rPr>
          <w:bCs/>
          <w:lang w:val="en-HK" w:eastAsia="zh-TW"/>
        </w:rPr>
        <w:t>in this study</w:t>
      </w:r>
      <w:r w:rsidR="00A541C9" w:rsidRPr="00100776">
        <w:rPr>
          <w:bCs/>
          <w:lang w:val="en-HK" w:eastAsia="zh-TW"/>
        </w:rPr>
        <w:t>.</w:t>
      </w:r>
      <w:r w:rsidR="00A8341C" w:rsidRPr="00100776">
        <w:rPr>
          <w:bCs/>
          <w:lang w:val="en-HK" w:eastAsia="zh-TW"/>
        </w:rPr>
        <w:t xml:space="preserve"> </w:t>
      </w:r>
      <w:r w:rsidR="00621968" w:rsidRPr="00100776">
        <w:rPr>
          <w:bCs/>
          <w:lang w:val="en-HK" w:eastAsia="zh-TW"/>
        </w:rPr>
        <w:t xml:space="preserve">Although there </w:t>
      </w:r>
      <w:r w:rsidR="00EE79C4" w:rsidRPr="00100776">
        <w:rPr>
          <w:bCs/>
          <w:lang w:val="en-HK" w:eastAsia="zh-TW"/>
        </w:rPr>
        <w:t>is</w:t>
      </w:r>
      <w:r w:rsidR="00621968" w:rsidRPr="00100776">
        <w:rPr>
          <w:bCs/>
          <w:lang w:val="en-HK" w:eastAsia="zh-TW"/>
        </w:rPr>
        <w:t xml:space="preserve"> </w:t>
      </w:r>
      <w:r w:rsidR="00EE79C4" w:rsidRPr="00100776">
        <w:rPr>
          <w:bCs/>
          <w:lang w:val="en-HK" w:eastAsia="zh-TW"/>
        </w:rPr>
        <w:t xml:space="preserve">generally </w:t>
      </w:r>
      <w:r w:rsidR="00621968" w:rsidRPr="00100776">
        <w:rPr>
          <w:bCs/>
          <w:lang w:val="en-HK" w:eastAsia="zh-TW"/>
        </w:rPr>
        <w:t xml:space="preserve">no </w:t>
      </w:r>
      <w:r w:rsidR="00EE79C4" w:rsidRPr="00100776">
        <w:rPr>
          <w:bCs/>
          <w:lang w:val="en-HK" w:eastAsia="zh-TW"/>
        </w:rPr>
        <w:t xml:space="preserve">entry </w:t>
      </w:r>
      <w:r w:rsidR="00621968" w:rsidRPr="00100776">
        <w:rPr>
          <w:bCs/>
          <w:lang w:val="en-HK" w:eastAsia="zh-TW"/>
        </w:rPr>
        <w:t xml:space="preserve">requirement </w:t>
      </w:r>
      <w:r w:rsidR="00EE79C4" w:rsidRPr="00100776">
        <w:rPr>
          <w:bCs/>
          <w:lang w:val="en-HK" w:eastAsia="zh-TW"/>
        </w:rPr>
        <w:t>for students opting to study music in the senior secondary curriculum, the perceived utilitarian value of the subject</w:t>
      </w:r>
      <w:r w:rsidR="00CB16CE" w:rsidRPr="00100776">
        <w:rPr>
          <w:bCs/>
          <w:lang w:val="en-HK" w:eastAsia="zh-TW"/>
        </w:rPr>
        <w:t xml:space="preserve"> may discourage </w:t>
      </w:r>
      <w:r w:rsidR="00D1702A" w:rsidRPr="00100776">
        <w:rPr>
          <w:bCs/>
          <w:lang w:val="en-HK" w:eastAsia="zh-TW"/>
        </w:rPr>
        <w:t xml:space="preserve">them </w:t>
      </w:r>
      <w:r w:rsidR="00CB16CE" w:rsidRPr="00100776">
        <w:rPr>
          <w:bCs/>
          <w:lang w:val="en-HK" w:eastAsia="zh-TW"/>
        </w:rPr>
        <w:t>from pursing their music</w:t>
      </w:r>
      <w:r w:rsidR="00F51373" w:rsidRPr="00100776">
        <w:rPr>
          <w:bCs/>
          <w:lang w:val="en-HK" w:eastAsia="zh-TW"/>
        </w:rPr>
        <w:t>al</w:t>
      </w:r>
      <w:r w:rsidR="00CB16CE" w:rsidRPr="00100776">
        <w:rPr>
          <w:bCs/>
          <w:lang w:val="en-HK" w:eastAsia="zh-TW"/>
        </w:rPr>
        <w:t xml:space="preserve"> stud</w:t>
      </w:r>
      <w:r w:rsidR="00F51373" w:rsidRPr="00100776">
        <w:rPr>
          <w:bCs/>
          <w:lang w:val="en-HK" w:eastAsia="zh-TW"/>
        </w:rPr>
        <w:t>ies</w:t>
      </w:r>
      <w:r w:rsidR="00874B47" w:rsidRPr="00100776">
        <w:rPr>
          <w:bCs/>
          <w:lang w:val="en-HK" w:eastAsia="zh-TW"/>
        </w:rPr>
        <w:t>,</w:t>
      </w:r>
      <w:r w:rsidR="00CB16CE" w:rsidRPr="00100776">
        <w:rPr>
          <w:bCs/>
          <w:lang w:val="en-HK" w:eastAsia="zh-TW"/>
        </w:rPr>
        <w:t xml:space="preserve"> especially those from </w:t>
      </w:r>
      <w:r w:rsidR="005F65F2" w:rsidRPr="00100776">
        <w:rPr>
          <w:bCs/>
          <w:lang w:val="en-HK" w:eastAsia="zh-TW"/>
        </w:rPr>
        <w:t xml:space="preserve">underprivileged </w:t>
      </w:r>
      <w:r w:rsidR="00CB16CE" w:rsidRPr="00100776">
        <w:rPr>
          <w:bCs/>
          <w:lang w:val="en-HK" w:eastAsia="zh-TW"/>
        </w:rPr>
        <w:t>background</w:t>
      </w:r>
      <w:r w:rsidR="00274040" w:rsidRPr="00100776">
        <w:rPr>
          <w:bCs/>
          <w:lang w:val="en-HK" w:eastAsia="zh-TW"/>
        </w:rPr>
        <w:t>s</w:t>
      </w:r>
      <w:r w:rsidR="00CB16CE" w:rsidRPr="00100776">
        <w:rPr>
          <w:bCs/>
          <w:lang w:val="en-HK" w:eastAsia="zh-TW"/>
        </w:rPr>
        <w:t>.</w:t>
      </w:r>
      <w:r w:rsidR="00291B21" w:rsidRPr="00100776">
        <w:rPr>
          <w:bCs/>
          <w:lang w:val="en-HK" w:eastAsia="zh-TW"/>
        </w:rPr>
        <w:t xml:space="preserve"> </w:t>
      </w:r>
    </w:p>
    <w:p w14:paraId="3FE9B19F" w14:textId="6E43778C" w:rsidR="005E2066" w:rsidRPr="00100776" w:rsidRDefault="005E2066" w:rsidP="00851DF4">
      <w:pPr>
        <w:pStyle w:val="Heading1"/>
      </w:pPr>
      <w:r w:rsidRPr="00100776">
        <w:t>Concluding remarks</w:t>
      </w:r>
    </w:p>
    <w:p w14:paraId="1E9BC4A6" w14:textId="212A3AAA" w:rsidR="00D77159" w:rsidRPr="00100776" w:rsidRDefault="005B5E62">
      <w:pPr>
        <w:rPr>
          <w:lang w:val="en-GB"/>
        </w:rPr>
      </w:pPr>
      <w:r w:rsidRPr="00100776">
        <w:rPr>
          <w:bCs/>
          <w:lang w:val="en-GB"/>
        </w:rPr>
        <w:t xml:space="preserve">The present study </w:t>
      </w:r>
      <w:r w:rsidR="00BC65AF" w:rsidRPr="00100776">
        <w:rPr>
          <w:bCs/>
          <w:lang w:val="en-GB"/>
        </w:rPr>
        <w:t>examined the</w:t>
      </w:r>
      <w:r w:rsidR="00E80DA6" w:rsidRPr="00100776">
        <w:rPr>
          <w:bCs/>
          <w:lang w:val="en-GB"/>
        </w:rPr>
        <w:t xml:space="preserve"> reasons for the low </w:t>
      </w:r>
      <w:r w:rsidR="000C39F5" w:rsidRPr="00100776">
        <w:rPr>
          <w:bCs/>
          <w:lang w:val="en-GB"/>
        </w:rPr>
        <w:t xml:space="preserve">enrolment </w:t>
      </w:r>
      <w:r w:rsidR="00E80DA6" w:rsidRPr="00100776">
        <w:rPr>
          <w:bCs/>
          <w:lang w:val="en-GB"/>
        </w:rPr>
        <w:t xml:space="preserve">of music as an examination subject </w:t>
      </w:r>
      <w:r w:rsidR="00854309" w:rsidRPr="00100776">
        <w:rPr>
          <w:bCs/>
          <w:lang w:val="en-GB"/>
        </w:rPr>
        <w:t>at the</w:t>
      </w:r>
      <w:r w:rsidR="00E80DA6" w:rsidRPr="00100776">
        <w:rPr>
          <w:bCs/>
          <w:lang w:val="en-GB"/>
        </w:rPr>
        <w:t xml:space="preserve"> Hong Kong senior secondary level. </w:t>
      </w:r>
      <w:r w:rsidR="000438BE" w:rsidRPr="00100776">
        <w:rPr>
          <w:bCs/>
          <w:lang w:val="en-GB"/>
        </w:rPr>
        <w:t xml:space="preserve">While global, national and local agenda have </w:t>
      </w:r>
      <w:r w:rsidR="000438BE" w:rsidRPr="00100776">
        <w:rPr>
          <w:bCs/>
          <w:lang w:val="en-GB"/>
        </w:rPr>
        <w:lastRenderedPageBreak/>
        <w:t>been incorporated in</w:t>
      </w:r>
      <w:r w:rsidR="00854309" w:rsidRPr="00100776">
        <w:rPr>
          <w:bCs/>
          <w:lang w:val="en-GB"/>
        </w:rPr>
        <w:t>to</w:t>
      </w:r>
      <w:r w:rsidR="000438BE" w:rsidRPr="00100776">
        <w:rPr>
          <w:bCs/>
          <w:lang w:val="en-GB"/>
        </w:rPr>
        <w:t xml:space="preserve"> the educational reform</w:t>
      </w:r>
      <w:r w:rsidR="00E2070C" w:rsidRPr="00100776">
        <w:rPr>
          <w:bCs/>
          <w:lang w:val="en-GB"/>
        </w:rPr>
        <w:t>s</w:t>
      </w:r>
      <w:r w:rsidR="00854309" w:rsidRPr="00100776">
        <w:rPr>
          <w:bCs/>
          <w:lang w:val="en-GB"/>
        </w:rPr>
        <w:t xml:space="preserve"> in ways</w:t>
      </w:r>
      <w:r w:rsidR="000438BE" w:rsidRPr="00100776">
        <w:rPr>
          <w:bCs/>
          <w:lang w:val="en-GB"/>
        </w:rPr>
        <w:t xml:space="preserve"> that</w:t>
      </w:r>
      <w:r w:rsidR="00854309" w:rsidRPr="00100776">
        <w:rPr>
          <w:bCs/>
          <w:lang w:val="en-GB"/>
        </w:rPr>
        <w:t xml:space="preserve"> have</w:t>
      </w:r>
      <w:r w:rsidR="000438BE" w:rsidRPr="00100776">
        <w:rPr>
          <w:bCs/>
          <w:lang w:val="en-GB"/>
        </w:rPr>
        <w:t xml:space="preserve"> shaped the subject to become more diversified and </w:t>
      </w:r>
      <w:r w:rsidR="00993395" w:rsidRPr="00100776">
        <w:rPr>
          <w:bCs/>
          <w:lang w:val="en-GB"/>
        </w:rPr>
        <w:t xml:space="preserve">thus </w:t>
      </w:r>
      <w:r w:rsidR="000438BE" w:rsidRPr="00100776">
        <w:rPr>
          <w:bCs/>
          <w:lang w:val="en-GB"/>
        </w:rPr>
        <w:t xml:space="preserve">meet the learning </w:t>
      </w:r>
      <w:r w:rsidR="00D054B4" w:rsidRPr="00100776">
        <w:rPr>
          <w:bCs/>
          <w:lang w:val="en-GB"/>
        </w:rPr>
        <w:t>needs</w:t>
      </w:r>
      <w:r w:rsidR="000438BE" w:rsidRPr="00100776">
        <w:rPr>
          <w:bCs/>
          <w:lang w:val="en-GB"/>
        </w:rPr>
        <w:t xml:space="preserve"> </w:t>
      </w:r>
      <w:r w:rsidR="00854309" w:rsidRPr="00100776">
        <w:rPr>
          <w:bCs/>
          <w:lang w:val="en-GB"/>
        </w:rPr>
        <w:t>of</w:t>
      </w:r>
      <w:r w:rsidR="000438BE" w:rsidRPr="00100776">
        <w:rPr>
          <w:bCs/>
          <w:lang w:val="en-GB"/>
        </w:rPr>
        <w:t xml:space="preserve"> the 21st century</w:t>
      </w:r>
      <w:r w:rsidR="003C35FC" w:rsidRPr="00100776">
        <w:rPr>
          <w:bCs/>
          <w:lang w:val="en-GB"/>
        </w:rPr>
        <w:t>, struggle</w:t>
      </w:r>
      <w:r w:rsidR="00854309" w:rsidRPr="00100776">
        <w:rPr>
          <w:bCs/>
          <w:lang w:val="en-GB"/>
        </w:rPr>
        <w:t>s remain</w:t>
      </w:r>
      <w:r w:rsidR="003C35FC" w:rsidRPr="00100776">
        <w:rPr>
          <w:bCs/>
          <w:lang w:val="en-GB"/>
        </w:rPr>
        <w:t xml:space="preserve"> </w:t>
      </w:r>
      <w:r w:rsidR="007E3094" w:rsidRPr="00100776">
        <w:rPr>
          <w:bCs/>
          <w:lang w:val="en-GB"/>
        </w:rPr>
        <w:t xml:space="preserve">for </w:t>
      </w:r>
      <w:r w:rsidR="00854309" w:rsidRPr="00100776">
        <w:rPr>
          <w:bCs/>
          <w:lang w:val="en-GB"/>
        </w:rPr>
        <w:t>those</w:t>
      </w:r>
      <w:r w:rsidR="007E3094" w:rsidRPr="00100776">
        <w:rPr>
          <w:bCs/>
          <w:lang w:val="en-GB"/>
        </w:rPr>
        <w:t xml:space="preserve"> </w:t>
      </w:r>
      <w:r w:rsidR="008573BD" w:rsidRPr="00100776">
        <w:rPr>
          <w:bCs/>
          <w:lang w:val="en-GB"/>
        </w:rPr>
        <w:t xml:space="preserve">music </w:t>
      </w:r>
      <w:r w:rsidR="007E3094" w:rsidRPr="00100776">
        <w:rPr>
          <w:bCs/>
          <w:lang w:val="en-GB"/>
        </w:rPr>
        <w:t xml:space="preserve">teachers and students </w:t>
      </w:r>
      <w:r w:rsidR="008573BD" w:rsidRPr="00100776">
        <w:rPr>
          <w:bCs/>
          <w:lang w:val="en-GB"/>
        </w:rPr>
        <w:t xml:space="preserve">trained in the </w:t>
      </w:r>
      <w:r w:rsidR="00854309" w:rsidRPr="00100776">
        <w:rPr>
          <w:bCs/>
          <w:lang w:val="en-GB"/>
        </w:rPr>
        <w:t>W</w:t>
      </w:r>
      <w:r w:rsidR="008573BD" w:rsidRPr="00100776">
        <w:rPr>
          <w:bCs/>
          <w:lang w:val="en-GB"/>
        </w:rPr>
        <w:t>estern classical tradition but</w:t>
      </w:r>
      <w:r w:rsidR="00854309" w:rsidRPr="00100776">
        <w:rPr>
          <w:bCs/>
          <w:lang w:val="en-GB"/>
        </w:rPr>
        <w:t xml:space="preserve"> who have</w:t>
      </w:r>
      <w:r w:rsidR="008573BD" w:rsidRPr="00100776">
        <w:rPr>
          <w:bCs/>
          <w:lang w:val="en-GB"/>
        </w:rPr>
        <w:t xml:space="preserve"> otherwise </w:t>
      </w:r>
      <w:r w:rsidR="00854309" w:rsidRPr="00100776">
        <w:rPr>
          <w:bCs/>
          <w:lang w:val="en-GB"/>
        </w:rPr>
        <w:t>yet to adapt to</w:t>
      </w:r>
      <w:r w:rsidR="007E3094" w:rsidRPr="00100776">
        <w:rPr>
          <w:bCs/>
          <w:lang w:val="en-GB"/>
        </w:rPr>
        <w:t xml:space="preserve"> the </w:t>
      </w:r>
      <w:r w:rsidR="00802C45" w:rsidRPr="00100776">
        <w:rPr>
          <w:bCs/>
          <w:lang w:val="en-GB"/>
        </w:rPr>
        <w:t>latest</w:t>
      </w:r>
      <w:r w:rsidR="00854309" w:rsidRPr="00100776">
        <w:rPr>
          <w:bCs/>
          <w:lang w:val="en-GB"/>
        </w:rPr>
        <w:t xml:space="preserve">, </w:t>
      </w:r>
      <w:r w:rsidR="001F01BE" w:rsidRPr="00100776">
        <w:rPr>
          <w:bCs/>
          <w:lang w:val="en-GB"/>
        </w:rPr>
        <w:t>national and local cultural</w:t>
      </w:r>
      <w:r w:rsidR="00854309" w:rsidRPr="00100776">
        <w:rPr>
          <w:bCs/>
          <w:lang w:val="en-GB"/>
        </w:rPr>
        <w:t xml:space="preserve"> elements of the</w:t>
      </w:r>
      <w:r w:rsidR="00802C45" w:rsidRPr="00100776">
        <w:rPr>
          <w:bCs/>
          <w:lang w:val="en-GB"/>
        </w:rPr>
        <w:t xml:space="preserve"> curriculum</w:t>
      </w:r>
      <w:r w:rsidR="00925432" w:rsidRPr="00100776">
        <w:rPr>
          <w:bCs/>
          <w:lang w:val="en-GB"/>
        </w:rPr>
        <w:t xml:space="preserve">. </w:t>
      </w:r>
      <w:r w:rsidR="00BA3E2E" w:rsidRPr="00100776">
        <w:rPr>
          <w:bCs/>
          <w:lang w:val="en-GB"/>
        </w:rPr>
        <w:t xml:space="preserve">The study also </w:t>
      </w:r>
      <w:r w:rsidR="00090039" w:rsidRPr="00100776">
        <w:rPr>
          <w:bCs/>
          <w:lang w:val="en-GB"/>
        </w:rPr>
        <w:t xml:space="preserve">highlighted the </w:t>
      </w:r>
      <w:r w:rsidR="004A7633" w:rsidRPr="00100776">
        <w:rPr>
          <w:bCs/>
          <w:lang w:val="en-GB"/>
        </w:rPr>
        <w:t>issue</w:t>
      </w:r>
      <w:r w:rsidR="00C74E16" w:rsidRPr="00100776">
        <w:rPr>
          <w:bCs/>
          <w:lang w:val="en-GB"/>
        </w:rPr>
        <w:t xml:space="preserve"> </w:t>
      </w:r>
      <w:r w:rsidR="00090039" w:rsidRPr="00100776">
        <w:rPr>
          <w:bCs/>
          <w:lang w:val="en-GB"/>
        </w:rPr>
        <w:t xml:space="preserve">of inequality </w:t>
      </w:r>
      <w:r w:rsidR="00C74E16" w:rsidRPr="00100776">
        <w:rPr>
          <w:bCs/>
          <w:lang w:val="en-GB"/>
        </w:rPr>
        <w:t>in the examination</w:t>
      </w:r>
      <w:r w:rsidR="00461A4E" w:rsidRPr="00100776">
        <w:rPr>
          <w:bCs/>
          <w:lang w:val="en-GB"/>
        </w:rPr>
        <w:t xml:space="preserve"> syllabus</w:t>
      </w:r>
      <w:r w:rsidR="00C74E16" w:rsidRPr="00100776">
        <w:rPr>
          <w:bCs/>
          <w:lang w:val="en-GB"/>
        </w:rPr>
        <w:t>,</w:t>
      </w:r>
      <w:r w:rsidR="00461A4E" w:rsidRPr="00100776">
        <w:rPr>
          <w:bCs/>
          <w:lang w:val="en-GB"/>
        </w:rPr>
        <w:t xml:space="preserve"> </w:t>
      </w:r>
      <w:r w:rsidR="00090039" w:rsidRPr="00100776">
        <w:rPr>
          <w:bCs/>
          <w:lang w:val="en-GB"/>
        </w:rPr>
        <w:t>whereby</w:t>
      </w:r>
      <w:r w:rsidR="00461A4E" w:rsidRPr="00100776">
        <w:rPr>
          <w:bCs/>
          <w:lang w:val="en-GB"/>
        </w:rPr>
        <w:t xml:space="preserve"> students without prior instrumental experience</w:t>
      </w:r>
      <w:r w:rsidR="00090039" w:rsidRPr="00100776">
        <w:rPr>
          <w:bCs/>
          <w:lang w:val="en-GB"/>
        </w:rPr>
        <w:t xml:space="preserve"> fe</w:t>
      </w:r>
      <w:r w:rsidR="00874B47" w:rsidRPr="00100776">
        <w:rPr>
          <w:bCs/>
          <w:lang w:val="en-GB"/>
        </w:rPr>
        <w:t>el</w:t>
      </w:r>
      <w:r w:rsidR="00461A4E" w:rsidRPr="00100776">
        <w:rPr>
          <w:bCs/>
          <w:lang w:val="en-GB"/>
        </w:rPr>
        <w:t xml:space="preserve"> disadvantaged and less likely to opt </w:t>
      </w:r>
      <w:r w:rsidR="00090039" w:rsidRPr="00100776">
        <w:rPr>
          <w:bCs/>
          <w:lang w:val="en-GB"/>
        </w:rPr>
        <w:t xml:space="preserve">to study </w:t>
      </w:r>
      <w:r w:rsidR="00461A4E" w:rsidRPr="00100776">
        <w:rPr>
          <w:bCs/>
          <w:lang w:val="en-GB"/>
        </w:rPr>
        <w:t xml:space="preserve">music. </w:t>
      </w:r>
      <w:r w:rsidR="009A0D35" w:rsidRPr="00100776">
        <w:rPr>
          <w:bCs/>
          <w:lang w:val="en-GB"/>
        </w:rPr>
        <w:t>Tensions</w:t>
      </w:r>
      <w:r w:rsidR="007509C3" w:rsidRPr="00100776">
        <w:rPr>
          <w:bCs/>
          <w:lang w:val="en-GB"/>
        </w:rPr>
        <w:t xml:space="preserve"> between </w:t>
      </w:r>
      <w:r w:rsidR="00090039" w:rsidRPr="00100776">
        <w:rPr>
          <w:bCs/>
          <w:lang w:val="en-GB"/>
        </w:rPr>
        <w:t xml:space="preserve">priority, </w:t>
      </w:r>
      <w:r w:rsidR="007509C3" w:rsidRPr="00100776">
        <w:rPr>
          <w:bCs/>
          <w:lang w:val="en-GB"/>
        </w:rPr>
        <w:t xml:space="preserve">interest and </w:t>
      </w:r>
      <w:r w:rsidR="00D77159" w:rsidRPr="00100776">
        <w:rPr>
          <w:bCs/>
          <w:lang w:val="en-GB"/>
        </w:rPr>
        <w:t xml:space="preserve">pressure from the </w:t>
      </w:r>
      <w:r w:rsidR="007509C3" w:rsidRPr="00100776">
        <w:rPr>
          <w:lang w:val="en-GB"/>
        </w:rPr>
        <w:t>meritocratic</w:t>
      </w:r>
      <w:r w:rsidR="00D77159" w:rsidRPr="00100776">
        <w:rPr>
          <w:lang w:val="en-GB"/>
        </w:rPr>
        <w:t xml:space="preserve"> learning environment</w:t>
      </w:r>
      <w:r w:rsidR="00090039" w:rsidRPr="00100776">
        <w:rPr>
          <w:lang w:val="en-GB"/>
        </w:rPr>
        <w:t xml:space="preserve"> ha</w:t>
      </w:r>
      <w:r w:rsidR="009A0D35" w:rsidRPr="00100776">
        <w:rPr>
          <w:lang w:val="en-GB"/>
        </w:rPr>
        <w:t>ve</w:t>
      </w:r>
      <w:r w:rsidR="00090039" w:rsidRPr="00100776">
        <w:rPr>
          <w:lang w:val="en-GB"/>
        </w:rPr>
        <w:t xml:space="preserve"> resulted in </w:t>
      </w:r>
      <w:r w:rsidR="00D77159" w:rsidRPr="00100776">
        <w:rPr>
          <w:lang w:val="en-GB"/>
        </w:rPr>
        <w:t xml:space="preserve">music </w:t>
      </w:r>
      <w:r w:rsidR="00090039" w:rsidRPr="00100776">
        <w:rPr>
          <w:lang w:val="en-GB"/>
        </w:rPr>
        <w:t xml:space="preserve">as a </w:t>
      </w:r>
      <w:r w:rsidR="00D77159" w:rsidRPr="00100776">
        <w:rPr>
          <w:lang w:val="en-GB"/>
        </w:rPr>
        <w:t xml:space="preserve">subject </w:t>
      </w:r>
      <w:r w:rsidR="00090039" w:rsidRPr="00100776">
        <w:rPr>
          <w:lang w:val="en-GB"/>
        </w:rPr>
        <w:t>being</w:t>
      </w:r>
      <w:r w:rsidR="00D77159" w:rsidRPr="00100776">
        <w:rPr>
          <w:lang w:val="en-GB"/>
        </w:rPr>
        <w:t xml:space="preserve"> weighed </w:t>
      </w:r>
      <w:r w:rsidR="00090039" w:rsidRPr="00100776">
        <w:rPr>
          <w:lang w:val="en-GB"/>
        </w:rPr>
        <w:t xml:space="preserve">on </w:t>
      </w:r>
      <w:r w:rsidR="00D77159" w:rsidRPr="00100776">
        <w:rPr>
          <w:lang w:val="en-GB"/>
        </w:rPr>
        <w:t>its perceived utilitarian</w:t>
      </w:r>
      <w:r w:rsidR="00090039" w:rsidRPr="00100776">
        <w:rPr>
          <w:lang w:val="en-GB"/>
        </w:rPr>
        <w:t>,</w:t>
      </w:r>
      <w:r w:rsidR="00D77159" w:rsidRPr="00100776">
        <w:rPr>
          <w:lang w:val="en-GB"/>
        </w:rPr>
        <w:t xml:space="preserve"> rather than its educational</w:t>
      </w:r>
      <w:r w:rsidR="00090039" w:rsidRPr="00100776">
        <w:rPr>
          <w:lang w:val="en-GB"/>
        </w:rPr>
        <w:t>,</w:t>
      </w:r>
      <w:r w:rsidR="00D77159" w:rsidRPr="00100776">
        <w:rPr>
          <w:lang w:val="en-GB"/>
        </w:rPr>
        <w:t xml:space="preserve"> value. </w:t>
      </w:r>
      <w:r w:rsidR="00FA09E4" w:rsidRPr="00100776">
        <w:t xml:space="preserve">How music education </w:t>
      </w:r>
      <w:r w:rsidR="00090039" w:rsidRPr="00100776">
        <w:t xml:space="preserve">can </w:t>
      </w:r>
      <w:r w:rsidR="00FA09E4" w:rsidRPr="00100776">
        <w:t>be made more equal</w:t>
      </w:r>
      <w:r w:rsidR="00874B47" w:rsidRPr="00100776">
        <w:t xml:space="preserve">, </w:t>
      </w:r>
      <w:r w:rsidR="00FA09E4" w:rsidRPr="00100776">
        <w:t xml:space="preserve">accessible and </w:t>
      </w:r>
      <w:r w:rsidR="00090039" w:rsidRPr="00100776">
        <w:t xml:space="preserve">flexible to meet </w:t>
      </w:r>
      <w:r w:rsidR="00FA09E4" w:rsidRPr="00100776">
        <w:t xml:space="preserve">students’ learning needs, </w:t>
      </w:r>
      <w:r w:rsidR="00090039" w:rsidRPr="00100776">
        <w:t xml:space="preserve">as well as </w:t>
      </w:r>
      <w:r w:rsidR="00FA09E4" w:rsidRPr="00100776">
        <w:t xml:space="preserve">how to strike a balance between </w:t>
      </w:r>
      <w:r w:rsidR="00090039" w:rsidRPr="00100776">
        <w:t>these elements</w:t>
      </w:r>
      <w:r w:rsidR="00FA09E4" w:rsidRPr="00100776">
        <w:t xml:space="preserve"> </w:t>
      </w:r>
      <w:r w:rsidR="00090039" w:rsidRPr="00100776">
        <w:t>and students’</w:t>
      </w:r>
      <w:r w:rsidR="00FA09E4" w:rsidRPr="00100776">
        <w:t xml:space="preserve"> interest</w:t>
      </w:r>
      <w:r w:rsidR="00090039" w:rsidRPr="00100776">
        <w:t>s</w:t>
      </w:r>
      <w:r w:rsidR="00FA09E4" w:rsidRPr="00100776">
        <w:t>, abilit</w:t>
      </w:r>
      <w:r w:rsidR="00090039" w:rsidRPr="00100776">
        <w:t>ies</w:t>
      </w:r>
      <w:r w:rsidR="00FA09E4" w:rsidRPr="00100776">
        <w:t>, perception</w:t>
      </w:r>
      <w:r w:rsidR="00090039" w:rsidRPr="00100776">
        <w:t>s</w:t>
      </w:r>
      <w:r w:rsidR="00FA09E4" w:rsidRPr="00100776">
        <w:t xml:space="preserve"> and intention</w:t>
      </w:r>
      <w:r w:rsidR="00090039" w:rsidRPr="00100776">
        <w:t>s</w:t>
      </w:r>
      <w:r w:rsidR="00874B47" w:rsidRPr="00100776">
        <w:t>,</w:t>
      </w:r>
      <w:r w:rsidR="00FA09E4" w:rsidRPr="00100776">
        <w:t xml:space="preserve"> are </w:t>
      </w:r>
      <w:r w:rsidR="00090039" w:rsidRPr="00100776">
        <w:t>all</w:t>
      </w:r>
      <w:r w:rsidR="00FA09E4" w:rsidRPr="00100776">
        <w:t xml:space="preserve"> challenges </w:t>
      </w:r>
      <w:r w:rsidR="00090039" w:rsidRPr="00100776">
        <w:t xml:space="preserve">currently </w:t>
      </w:r>
      <w:r w:rsidR="00FA09E4" w:rsidRPr="00100776">
        <w:t>faced by the subject</w:t>
      </w:r>
      <w:r w:rsidR="001B60C8" w:rsidRPr="00100776">
        <w:t xml:space="preserve">. </w:t>
      </w:r>
    </w:p>
    <w:p w14:paraId="2EBE3B73" w14:textId="4021F540" w:rsidR="00860432" w:rsidRPr="00100776" w:rsidRDefault="001B60C8">
      <w:pPr>
        <w:rPr>
          <w:bCs/>
          <w:lang w:val="en-GB"/>
        </w:rPr>
      </w:pPr>
      <w:r w:rsidRPr="00100776">
        <w:rPr>
          <w:bCs/>
          <w:lang w:val="en-GB"/>
        </w:rPr>
        <w:t xml:space="preserve">Just as importantly, these are challenges which require socio-cultural interventions beyond simple curriculum reform. </w:t>
      </w:r>
      <w:r w:rsidR="00FD7614" w:rsidRPr="00100776">
        <w:rPr>
          <w:bCs/>
          <w:lang w:val="en-GB"/>
        </w:rPr>
        <w:t>In the short term, effort</w:t>
      </w:r>
      <w:r w:rsidR="00E2070C" w:rsidRPr="00100776">
        <w:rPr>
          <w:bCs/>
          <w:lang w:val="en-GB"/>
        </w:rPr>
        <w:t>s</w:t>
      </w:r>
      <w:r w:rsidR="00FD7614" w:rsidRPr="00100776">
        <w:rPr>
          <w:bCs/>
          <w:lang w:val="en-GB"/>
        </w:rPr>
        <w:t xml:space="preserve"> </w:t>
      </w:r>
      <w:r w:rsidR="00E2070C" w:rsidRPr="00100776">
        <w:rPr>
          <w:bCs/>
          <w:lang w:val="en-GB"/>
        </w:rPr>
        <w:t>should be made to optimise</w:t>
      </w:r>
      <w:r w:rsidR="00425527" w:rsidRPr="00100776">
        <w:rPr>
          <w:bCs/>
          <w:lang w:val="en-GB"/>
        </w:rPr>
        <w:t xml:space="preserve"> music teacher training and professional development programmes </w:t>
      </w:r>
      <w:r w:rsidR="00681A26" w:rsidRPr="00100776">
        <w:rPr>
          <w:bCs/>
          <w:lang w:val="en-GB"/>
        </w:rPr>
        <w:t xml:space="preserve">in order </w:t>
      </w:r>
      <w:r w:rsidR="00425527" w:rsidRPr="00100776">
        <w:rPr>
          <w:bCs/>
          <w:lang w:val="en-GB"/>
        </w:rPr>
        <w:t xml:space="preserve">to incorporate </w:t>
      </w:r>
      <w:r w:rsidR="00935D12" w:rsidRPr="00100776">
        <w:rPr>
          <w:bCs/>
          <w:lang w:val="en-GB"/>
        </w:rPr>
        <w:t xml:space="preserve">more </w:t>
      </w:r>
      <w:r w:rsidR="00425527" w:rsidRPr="00100776">
        <w:rPr>
          <w:bCs/>
          <w:lang w:val="en-GB"/>
        </w:rPr>
        <w:t xml:space="preserve">teaching content and skills </w:t>
      </w:r>
      <w:r w:rsidR="00681A26" w:rsidRPr="00100776">
        <w:rPr>
          <w:bCs/>
          <w:lang w:val="en-GB"/>
        </w:rPr>
        <w:t xml:space="preserve">that cater to </w:t>
      </w:r>
      <w:r w:rsidR="001F01BE" w:rsidRPr="00100776">
        <w:rPr>
          <w:bCs/>
          <w:lang w:val="en-GB"/>
        </w:rPr>
        <w:t>the increasingly diversified curriculum</w:t>
      </w:r>
      <w:r w:rsidR="00425527" w:rsidRPr="00100776">
        <w:rPr>
          <w:bCs/>
          <w:lang w:val="en-GB"/>
        </w:rPr>
        <w:t xml:space="preserve">. </w:t>
      </w:r>
      <w:r w:rsidR="00935D12" w:rsidRPr="00100776">
        <w:rPr>
          <w:bCs/>
          <w:lang w:val="en-GB"/>
        </w:rPr>
        <w:t xml:space="preserve">Equipping teachers with sufficient content knowledge and pedagogical skills </w:t>
      </w:r>
      <w:r w:rsidR="00636B67" w:rsidRPr="00100776">
        <w:rPr>
          <w:bCs/>
          <w:lang w:val="en-GB"/>
        </w:rPr>
        <w:t>would improve the readiness</w:t>
      </w:r>
      <w:r w:rsidR="00681A26" w:rsidRPr="00100776">
        <w:rPr>
          <w:bCs/>
          <w:lang w:val="en-GB"/>
        </w:rPr>
        <w:t xml:space="preserve">, along with building the confidence, of both </w:t>
      </w:r>
      <w:r w:rsidR="00636B67" w:rsidRPr="00100776">
        <w:rPr>
          <w:bCs/>
          <w:lang w:val="en-GB"/>
        </w:rPr>
        <w:t xml:space="preserve">teachers and students </w:t>
      </w:r>
      <w:r w:rsidR="00681A26" w:rsidRPr="00100776">
        <w:rPr>
          <w:bCs/>
          <w:lang w:val="en-GB"/>
        </w:rPr>
        <w:t xml:space="preserve">in order </w:t>
      </w:r>
      <w:r w:rsidR="00636B67" w:rsidRPr="00100776">
        <w:rPr>
          <w:bCs/>
          <w:lang w:val="en-GB"/>
        </w:rPr>
        <w:t>to cope with the challenge</w:t>
      </w:r>
      <w:r w:rsidR="00681A26" w:rsidRPr="00100776">
        <w:rPr>
          <w:bCs/>
          <w:lang w:val="en-GB"/>
        </w:rPr>
        <w:t>s</w:t>
      </w:r>
      <w:r w:rsidR="00636B67" w:rsidRPr="00100776">
        <w:rPr>
          <w:bCs/>
          <w:lang w:val="en-GB"/>
        </w:rPr>
        <w:t xml:space="preserve">. </w:t>
      </w:r>
      <w:r w:rsidR="00373A34" w:rsidRPr="00100776">
        <w:rPr>
          <w:bCs/>
          <w:lang w:val="en-GB"/>
        </w:rPr>
        <w:t>Another viable suggestion</w:t>
      </w:r>
      <w:r w:rsidR="005555C3" w:rsidRPr="00100776">
        <w:rPr>
          <w:bCs/>
          <w:lang w:val="en-GB"/>
        </w:rPr>
        <w:t xml:space="preserve"> based on the findings of this study</w:t>
      </w:r>
      <w:r w:rsidR="00373A34" w:rsidRPr="00100776">
        <w:rPr>
          <w:bCs/>
          <w:lang w:val="en-GB"/>
        </w:rPr>
        <w:t xml:space="preserve"> would be</w:t>
      </w:r>
      <w:r w:rsidR="005555C3" w:rsidRPr="00100776">
        <w:rPr>
          <w:bCs/>
          <w:lang w:val="en-GB"/>
        </w:rPr>
        <w:t xml:space="preserve"> to stimulate students’ interest in music, thereby increasing </w:t>
      </w:r>
      <w:r w:rsidR="00681A26" w:rsidRPr="00100776">
        <w:rPr>
          <w:bCs/>
          <w:lang w:val="en-GB"/>
        </w:rPr>
        <w:t xml:space="preserve">the likelihood of </w:t>
      </w:r>
      <w:r w:rsidR="00C42EEB" w:rsidRPr="00100776">
        <w:rPr>
          <w:bCs/>
          <w:lang w:val="en-GB"/>
        </w:rPr>
        <w:t>prioritising the</w:t>
      </w:r>
      <w:r w:rsidR="00681A26" w:rsidRPr="00100776">
        <w:rPr>
          <w:bCs/>
          <w:lang w:val="en-GB"/>
        </w:rPr>
        <w:t xml:space="preserve"> subject for study</w:t>
      </w:r>
      <w:r w:rsidR="005555C3" w:rsidRPr="00100776">
        <w:rPr>
          <w:bCs/>
          <w:lang w:val="en-GB"/>
        </w:rPr>
        <w:t xml:space="preserve">. However, long-term </w:t>
      </w:r>
      <w:r w:rsidR="00F07497" w:rsidRPr="00100776">
        <w:rPr>
          <w:bCs/>
          <w:lang w:val="en-GB"/>
        </w:rPr>
        <w:t>commitment</w:t>
      </w:r>
      <w:r w:rsidR="005555C3" w:rsidRPr="00100776">
        <w:rPr>
          <w:bCs/>
          <w:lang w:val="en-GB"/>
        </w:rPr>
        <w:t xml:space="preserve"> is still needed to </w:t>
      </w:r>
      <w:r w:rsidR="004B719E" w:rsidRPr="00100776">
        <w:rPr>
          <w:bCs/>
          <w:lang w:val="en-GB"/>
        </w:rPr>
        <w:t xml:space="preserve">make music education more </w:t>
      </w:r>
      <w:r w:rsidR="00874B47" w:rsidRPr="00100776">
        <w:rPr>
          <w:bCs/>
          <w:lang w:val="en-GB"/>
        </w:rPr>
        <w:t xml:space="preserve">equitable by removing the barriers for </w:t>
      </w:r>
      <w:r w:rsidR="00681A26" w:rsidRPr="00100776">
        <w:rPr>
          <w:bCs/>
          <w:lang w:val="en-GB"/>
        </w:rPr>
        <w:t xml:space="preserve">future </w:t>
      </w:r>
      <w:r w:rsidR="00265944" w:rsidRPr="00100776">
        <w:rPr>
          <w:bCs/>
          <w:lang w:val="en-GB"/>
        </w:rPr>
        <w:t>generation</w:t>
      </w:r>
      <w:r w:rsidR="00681A26" w:rsidRPr="00100776">
        <w:rPr>
          <w:bCs/>
          <w:lang w:val="en-GB"/>
        </w:rPr>
        <w:t>s</w:t>
      </w:r>
      <w:r w:rsidR="00265944" w:rsidRPr="00100776">
        <w:rPr>
          <w:bCs/>
          <w:lang w:val="en-GB"/>
        </w:rPr>
        <w:t xml:space="preserve">. Advocacy </w:t>
      </w:r>
      <w:r w:rsidR="00681A26" w:rsidRPr="00100776">
        <w:rPr>
          <w:bCs/>
          <w:lang w:val="en-GB"/>
        </w:rPr>
        <w:t xml:space="preserve">and value recognition, both delivered with a view to recognising its importance and </w:t>
      </w:r>
      <w:r w:rsidR="00802DE8" w:rsidRPr="00100776">
        <w:rPr>
          <w:bCs/>
          <w:lang w:val="en-GB"/>
        </w:rPr>
        <w:t>rais</w:t>
      </w:r>
      <w:r w:rsidR="00874B47" w:rsidRPr="00100776">
        <w:rPr>
          <w:bCs/>
          <w:lang w:val="en-GB"/>
        </w:rPr>
        <w:t>ing</w:t>
      </w:r>
      <w:r w:rsidR="00802DE8" w:rsidRPr="00100776">
        <w:rPr>
          <w:bCs/>
          <w:lang w:val="en-GB"/>
        </w:rPr>
        <w:t xml:space="preserve"> people’s awareness o</w:t>
      </w:r>
      <w:r w:rsidR="00874B47" w:rsidRPr="00100776">
        <w:rPr>
          <w:bCs/>
          <w:lang w:val="en-GB"/>
        </w:rPr>
        <w:t>f</w:t>
      </w:r>
      <w:r w:rsidR="00802DE8" w:rsidRPr="00100776">
        <w:rPr>
          <w:bCs/>
          <w:lang w:val="en-GB"/>
        </w:rPr>
        <w:t xml:space="preserve"> the </w:t>
      </w:r>
      <w:r w:rsidR="00681A26" w:rsidRPr="00100776">
        <w:rPr>
          <w:bCs/>
          <w:lang w:val="en-GB"/>
        </w:rPr>
        <w:t xml:space="preserve">empowering nature </w:t>
      </w:r>
      <w:r w:rsidR="00802DE8" w:rsidRPr="00100776">
        <w:rPr>
          <w:bCs/>
          <w:lang w:val="en-GB"/>
        </w:rPr>
        <w:t xml:space="preserve">of music, </w:t>
      </w:r>
      <w:r w:rsidR="00681A26" w:rsidRPr="00100776">
        <w:rPr>
          <w:bCs/>
          <w:lang w:val="en-GB"/>
        </w:rPr>
        <w:t xml:space="preserve">can </w:t>
      </w:r>
      <w:r w:rsidR="009A0D35" w:rsidRPr="00100776">
        <w:rPr>
          <w:bCs/>
          <w:lang w:val="en-GB"/>
        </w:rPr>
        <w:t xml:space="preserve">together </w:t>
      </w:r>
      <w:r w:rsidR="00681A26" w:rsidRPr="00100776">
        <w:rPr>
          <w:bCs/>
          <w:lang w:val="en-GB"/>
        </w:rPr>
        <w:t xml:space="preserve">serve to </w:t>
      </w:r>
      <w:r w:rsidR="003E5EA9" w:rsidRPr="00100776">
        <w:rPr>
          <w:bCs/>
          <w:lang w:val="en-GB"/>
        </w:rPr>
        <w:t xml:space="preserve">pave the way for music education to flourish. </w:t>
      </w:r>
    </w:p>
    <w:p w14:paraId="24AA139C" w14:textId="77777777" w:rsidR="00860432" w:rsidRPr="00100776" w:rsidRDefault="00860432">
      <w:pPr>
        <w:rPr>
          <w:b/>
          <w:lang w:val="en-GB"/>
        </w:rPr>
      </w:pPr>
      <w:r w:rsidRPr="00100776">
        <w:rPr>
          <w:b/>
          <w:lang w:val="en-GB"/>
        </w:rPr>
        <w:t>Declaration of conflicting interests</w:t>
      </w:r>
    </w:p>
    <w:p w14:paraId="40222428" w14:textId="77777777" w:rsidR="00860432" w:rsidRPr="00100776" w:rsidRDefault="00860432">
      <w:pPr>
        <w:rPr>
          <w:bCs/>
          <w:lang w:val="en-GB"/>
        </w:rPr>
      </w:pPr>
      <w:r w:rsidRPr="00100776">
        <w:rPr>
          <w:bCs/>
          <w:lang w:val="en-GB"/>
        </w:rPr>
        <w:t>The author(s) declared no potential conflicts of interest with respect to the research, authorship, and/or publication of this article.</w:t>
      </w:r>
    </w:p>
    <w:p w14:paraId="0ADAE80B" w14:textId="77777777" w:rsidR="00860432" w:rsidRPr="00100776" w:rsidRDefault="00860432">
      <w:pPr>
        <w:rPr>
          <w:b/>
          <w:lang w:val="en-GB"/>
        </w:rPr>
      </w:pPr>
      <w:r w:rsidRPr="00100776">
        <w:rPr>
          <w:b/>
          <w:lang w:val="en-GB"/>
        </w:rPr>
        <w:t>Funding</w:t>
      </w:r>
    </w:p>
    <w:p w14:paraId="4A8355E9" w14:textId="1ADED4FB" w:rsidR="004B0A06" w:rsidRPr="00100776" w:rsidRDefault="00860432">
      <w:pPr>
        <w:rPr>
          <w:bCs/>
          <w:lang w:val="en-GB"/>
        </w:rPr>
      </w:pPr>
      <w:r w:rsidRPr="00100776">
        <w:rPr>
          <w:bCs/>
          <w:lang w:val="en-GB"/>
        </w:rPr>
        <w:t>The author(s) received no financial support for the research, authorship, and/or publication of this article.</w:t>
      </w:r>
      <w:r w:rsidR="004B0A06" w:rsidRPr="00100776">
        <w:rPr>
          <w:bCs/>
          <w:lang w:val="en-GB"/>
        </w:rPr>
        <w:br w:type="page"/>
      </w:r>
    </w:p>
    <w:p w14:paraId="2E6043FF" w14:textId="24180274" w:rsidR="00FA1987" w:rsidRPr="00100776" w:rsidRDefault="00FA1987" w:rsidP="00851DF4">
      <w:pPr>
        <w:pStyle w:val="Heading1"/>
      </w:pPr>
      <w:r w:rsidRPr="00100776">
        <w:lastRenderedPageBreak/>
        <w:t>References</w:t>
      </w:r>
    </w:p>
    <w:p w14:paraId="7C927442" w14:textId="58520EDF" w:rsidR="00BA4A4F" w:rsidRPr="00100776" w:rsidRDefault="00BA4A4F" w:rsidP="00627A60">
      <w:pPr>
        <w:spacing w:after="0"/>
        <w:ind w:left="720" w:hanging="720"/>
        <w:rPr>
          <w:lang w:val="en-GB"/>
        </w:rPr>
      </w:pPr>
      <w:proofErr w:type="spellStart"/>
      <w:r w:rsidRPr="00100776">
        <w:rPr>
          <w:lang w:val="en-GB"/>
        </w:rPr>
        <w:t>Aróstegui</w:t>
      </w:r>
      <w:proofErr w:type="spellEnd"/>
      <w:r w:rsidRPr="00100776">
        <w:rPr>
          <w:lang w:val="en-GB"/>
        </w:rPr>
        <w:t xml:space="preserve">, J. L. (2016). Exploring the global decline of music education. </w:t>
      </w:r>
      <w:r w:rsidRPr="00100776">
        <w:rPr>
          <w:i/>
          <w:iCs/>
          <w:lang w:val="en-GB"/>
        </w:rPr>
        <w:t>Arts Education Policy Review</w:t>
      </w:r>
      <w:r w:rsidRPr="00100776">
        <w:rPr>
          <w:iCs/>
          <w:lang w:val="en-GB"/>
        </w:rPr>
        <w:t xml:space="preserve">, </w:t>
      </w:r>
      <w:r w:rsidRPr="00100776">
        <w:rPr>
          <w:i/>
          <w:iCs/>
          <w:lang w:val="en-GB"/>
        </w:rPr>
        <w:t>117</w:t>
      </w:r>
      <w:r w:rsidRPr="00100776">
        <w:rPr>
          <w:lang w:val="en-GB"/>
        </w:rPr>
        <w:t>(2), 96</w:t>
      </w:r>
      <w:r w:rsidR="002C42F4" w:rsidRPr="00100776">
        <w:rPr>
          <w:color w:val="000000" w:themeColor="text1"/>
          <w:lang w:val="en-GB"/>
        </w:rPr>
        <w:t>–</w:t>
      </w:r>
      <w:r w:rsidRPr="00100776">
        <w:rPr>
          <w:lang w:val="en-GB"/>
        </w:rPr>
        <w:t>103.</w:t>
      </w:r>
      <w:r w:rsidRPr="00100776">
        <w:t xml:space="preserve"> </w:t>
      </w:r>
      <w:r w:rsidRPr="00100776">
        <w:rPr>
          <w:lang w:val="en-GB"/>
        </w:rPr>
        <w:t>https://doi.org/10.1080/10632913.2015.1007406</w:t>
      </w:r>
    </w:p>
    <w:p w14:paraId="58A3FE0A" w14:textId="4EC87DE4" w:rsidR="00B5541E" w:rsidRPr="00100776" w:rsidRDefault="00B5541E" w:rsidP="00627A60">
      <w:pPr>
        <w:spacing w:after="0"/>
        <w:ind w:left="720" w:hanging="720"/>
        <w:rPr>
          <w:lang w:val="en-GB"/>
        </w:rPr>
      </w:pPr>
      <w:r w:rsidRPr="00100776">
        <w:rPr>
          <w:lang w:val="en-GB"/>
        </w:rPr>
        <w:t xml:space="preserve">Baker, G. (2014). </w:t>
      </w:r>
      <w:r w:rsidRPr="00100776">
        <w:rPr>
          <w:i/>
          <w:iCs/>
          <w:lang w:val="en-GB"/>
        </w:rPr>
        <w:t>El Sistema: Orchestrating Venezuela's youth</w:t>
      </w:r>
      <w:r w:rsidRPr="00100776">
        <w:rPr>
          <w:lang w:val="en-GB"/>
        </w:rPr>
        <w:t>. Oxford University Press.</w:t>
      </w:r>
    </w:p>
    <w:p w14:paraId="3825299B" w14:textId="3ACE0CBA" w:rsidR="00A7412A" w:rsidRPr="00100776" w:rsidRDefault="00A7412A" w:rsidP="00627A60">
      <w:pPr>
        <w:spacing w:after="0"/>
        <w:ind w:left="720" w:hanging="720"/>
        <w:rPr>
          <w:lang w:val="en-GB"/>
        </w:rPr>
      </w:pPr>
      <w:r w:rsidRPr="00100776">
        <w:rPr>
          <w:lang w:val="en-GB"/>
        </w:rPr>
        <w:t xml:space="preserve">Bray, D. (2000). An examination of GCSE music </w:t>
      </w:r>
      <w:r w:rsidR="008228B7" w:rsidRPr="00100776">
        <w:rPr>
          <w:lang w:val="en-GB"/>
        </w:rPr>
        <w:t>uptake</w:t>
      </w:r>
      <w:r w:rsidRPr="00100776">
        <w:rPr>
          <w:lang w:val="en-GB"/>
        </w:rPr>
        <w:t xml:space="preserve"> rates. </w:t>
      </w:r>
      <w:r w:rsidRPr="00100776">
        <w:rPr>
          <w:i/>
          <w:iCs/>
          <w:lang w:val="en-GB"/>
        </w:rPr>
        <w:t>British Journal of Music Education</w:t>
      </w:r>
      <w:r w:rsidRPr="00100776">
        <w:rPr>
          <w:iCs/>
          <w:lang w:val="en-GB"/>
        </w:rPr>
        <w:t xml:space="preserve">, </w:t>
      </w:r>
      <w:r w:rsidRPr="00100776">
        <w:rPr>
          <w:i/>
          <w:iCs/>
          <w:lang w:val="en-GB"/>
        </w:rPr>
        <w:t>17</w:t>
      </w:r>
      <w:r w:rsidRPr="00100776">
        <w:rPr>
          <w:lang w:val="en-GB"/>
        </w:rPr>
        <w:t>(1), 79</w:t>
      </w:r>
      <w:r w:rsidR="002C42F4" w:rsidRPr="00100776">
        <w:rPr>
          <w:color w:val="000000" w:themeColor="text1"/>
          <w:lang w:val="en-GB"/>
        </w:rPr>
        <w:t>–</w:t>
      </w:r>
      <w:r w:rsidRPr="00100776">
        <w:rPr>
          <w:lang w:val="en-GB"/>
        </w:rPr>
        <w:t>89. https://doi.org/10.1017/S0265051700000176</w:t>
      </w:r>
    </w:p>
    <w:p w14:paraId="46003B77" w14:textId="40DF0763" w:rsidR="00072793" w:rsidRPr="00100776" w:rsidRDefault="00072793" w:rsidP="00627A60">
      <w:pPr>
        <w:spacing w:after="0"/>
        <w:ind w:left="720" w:hanging="720"/>
        <w:rPr>
          <w:lang w:val="en-GB"/>
        </w:rPr>
      </w:pPr>
      <w:r w:rsidRPr="00100776">
        <w:rPr>
          <w:lang w:val="en-GB"/>
        </w:rPr>
        <w:t xml:space="preserve">Chan, K. O. W., Ng, M. K. W., So, J. C. H., &amp; Chan, V. C. W. (2021). Evaluation of generic competencies among secondary school leavers from the new academic structure for senior secondary education in Hong Kong. </w:t>
      </w:r>
      <w:r w:rsidRPr="00100776">
        <w:rPr>
          <w:i/>
          <w:iCs/>
          <w:lang w:val="en-GB"/>
        </w:rPr>
        <w:t>Public Administration and Policy: An Asia-Pacific Journal, 24</w:t>
      </w:r>
      <w:r w:rsidRPr="00100776">
        <w:rPr>
          <w:lang w:val="en-GB"/>
        </w:rPr>
        <w:t xml:space="preserve">(2), </w:t>
      </w:r>
      <w:r w:rsidR="00DB37EB" w:rsidRPr="00100776">
        <w:rPr>
          <w:lang w:val="en-GB"/>
        </w:rPr>
        <w:t>182</w:t>
      </w:r>
      <w:r w:rsidR="002C42F4" w:rsidRPr="00100776">
        <w:rPr>
          <w:color w:val="000000" w:themeColor="text1"/>
          <w:lang w:val="en-GB"/>
        </w:rPr>
        <w:t>–</w:t>
      </w:r>
      <w:r w:rsidR="00DB37EB" w:rsidRPr="00100776">
        <w:rPr>
          <w:lang w:val="en-GB"/>
        </w:rPr>
        <w:t>194. https://doi.org/10.1108/PAP-07-2020-0033</w:t>
      </w:r>
    </w:p>
    <w:p w14:paraId="58A4B7B7" w14:textId="04AE1E29" w:rsidR="00B92A62" w:rsidRPr="00100776" w:rsidRDefault="00B92A62" w:rsidP="00627A60">
      <w:pPr>
        <w:spacing w:after="0"/>
        <w:ind w:left="720" w:hanging="720"/>
        <w:rPr>
          <w:lang w:val="en-GB"/>
        </w:rPr>
      </w:pPr>
      <w:r w:rsidRPr="00100776">
        <w:rPr>
          <w:lang w:val="en-GB"/>
        </w:rPr>
        <w:t xml:space="preserve">Chen, C. W. J., &amp; Lo, K. M. J. (2019). From teacher-designer to student-researcher: A study of attitude change regarding creativity in STEAM education by using </w:t>
      </w:r>
      <w:proofErr w:type="spellStart"/>
      <w:r w:rsidRPr="00100776">
        <w:rPr>
          <w:i/>
          <w:iCs/>
          <w:lang w:val="en-GB"/>
        </w:rPr>
        <w:t>Makey</w:t>
      </w:r>
      <w:proofErr w:type="spellEnd"/>
      <w:r w:rsidRPr="00100776">
        <w:rPr>
          <w:i/>
          <w:iCs/>
          <w:lang w:val="en-GB"/>
        </w:rPr>
        <w:t xml:space="preserve"> </w:t>
      </w:r>
      <w:proofErr w:type="spellStart"/>
      <w:r w:rsidRPr="00100776">
        <w:rPr>
          <w:i/>
          <w:iCs/>
          <w:lang w:val="en-GB"/>
        </w:rPr>
        <w:t>Makey</w:t>
      </w:r>
      <w:proofErr w:type="spellEnd"/>
      <w:r w:rsidRPr="00100776">
        <w:rPr>
          <w:lang w:val="en-GB"/>
        </w:rPr>
        <w:t xml:space="preserve"> as a platform for human-centred design instrument. </w:t>
      </w:r>
      <w:r w:rsidRPr="00100776">
        <w:rPr>
          <w:i/>
          <w:iCs/>
          <w:lang w:val="en-GB"/>
        </w:rPr>
        <w:t>Journal for STEM Education Research, 2</w:t>
      </w:r>
      <w:r w:rsidRPr="00100776">
        <w:rPr>
          <w:lang w:val="en-GB"/>
        </w:rPr>
        <w:t>, 75–91. https://doi.org/10.1007/s41979-018-0010-6</w:t>
      </w:r>
    </w:p>
    <w:p w14:paraId="0F165315" w14:textId="23A56C6D" w:rsidR="001D38D8" w:rsidRPr="00100776" w:rsidRDefault="001D38D8" w:rsidP="001D38D8">
      <w:pPr>
        <w:spacing w:after="0"/>
        <w:ind w:left="720" w:hanging="720"/>
        <w:rPr>
          <w:lang w:val="en-GB"/>
        </w:rPr>
      </w:pPr>
      <w:r w:rsidRPr="00100776">
        <w:rPr>
          <w:lang w:val="en-GB"/>
        </w:rPr>
        <w:t xml:space="preserve">Cheng, L. (2020). Music classroom as the shifting ground for patriotism: National Anthem Law in Hong Kong. In C. E. Aguilar, C. P. Lagos, A. </w:t>
      </w:r>
      <w:proofErr w:type="spellStart"/>
      <w:r w:rsidRPr="00100776">
        <w:rPr>
          <w:lang w:val="en-GB"/>
        </w:rPr>
        <w:t>Prest</w:t>
      </w:r>
      <w:proofErr w:type="spellEnd"/>
      <w:r w:rsidRPr="00100776">
        <w:rPr>
          <w:lang w:val="en-GB"/>
        </w:rPr>
        <w:t xml:space="preserve"> &amp; L. P. </w:t>
      </w:r>
      <w:proofErr w:type="spellStart"/>
      <w:r w:rsidRPr="00100776">
        <w:rPr>
          <w:lang w:val="en-GB"/>
        </w:rPr>
        <w:t>Richerme</w:t>
      </w:r>
      <w:proofErr w:type="spellEnd"/>
      <w:r w:rsidRPr="00100776">
        <w:rPr>
          <w:lang w:val="en-GB"/>
        </w:rPr>
        <w:t xml:space="preserve"> (Eds.), </w:t>
      </w:r>
      <w:r w:rsidRPr="00100776">
        <w:rPr>
          <w:i/>
          <w:iCs/>
          <w:lang w:val="en-GB"/>
        </w:rPr>
        <w:t>Proceedings of the 20th international seminar of the ISME commission on music policy: Culture, education and media</w:t>
      </w:r>
      <w:r w:rsidRPr="00100776">
        <w:rPr>
          <w:lang w:val="en-GB"/>
        </w:rPr>
        <w:t xml:space="preserve"> (pp. 65–72). International Society for Music Education.</w:t>
      </w:r>
    </w:p>
    <w:p w14:paraId="0A69A266" w14:textId="1C3D49B9" w:rsidR="001D38D8" w:rsidRPr="00100776" w:rsidRDefault="001D38D8" w:rsidP="001D38D8">
      <w:pPr>
        <w:spacing w:after="0"/>
        <w:ind w:left="720" w:hanging="720"/>
        <w:rPr>
          <w:lang w:val="en-GB"/>
        </w:rPr>
      </w:pPr>
      <w:r w:rsidRPr="00100776">
        <w:rPr>
          <w:lang w:val="en-GB"/>
        </w:rPr>
        <w:t xml:space="preserve">Cheng, L., &amp; Lam, C. Y. (2021). The worst is yet to come: The psychological impact of COVID-19 on Hong Kong music teachers. </w:t>
      </w:r>
      <w:r w:rsidRPr="00100776">
        <w:rPr>
          <w:i/>
          <w:iCs/>
          <w:lang w:val="en-GB"/>
        </w:rPr>
        <w:t>Music Education Research, 23</w:t>
      </w:r>
      <w:r w:rsidRPr="00100776">
        <w:rPr>
          <w:lang w:val="en-GB"/>
        </w:rPr>
        <w:t>(2), 211–224. https://doi.org/10.1080/14613808.2021.1906215</w:t>
      </w:r>
    </w:p>
    <w:p w14:paraId="5B297503" w14:textId="77777777" w:rsidR="001D38D8" w:rsidRPr="00100776" w:rsidRDefault="001D38D8" w:rsidP="001D38D8">
      <w:pPr>
        <w:spacing w:after="0"/>
        <w:ind w:left="720" w:hanging="720"/>
        <w:rPr>
          <w:lang w:val="en-GB"/>
        </w:rPr>
      </w:pPr>
      <w:r w:rsidRPr="00100776">
        <w:rPr>
          <w:lang w:val="en-GB"/>
        </w:rPr>
        <w:t xml:space="preserve">Cheng, L., &amp; Leung, B. W. (2020). Motivational effects of immersive media on adolescents’ engagement in Cantonese opera. In W. W. Ma, K. Tong &amp; W. B. A. Tso (Eds.), </w:t>
      </w:r>
      <w:r w:rsidRPr="00100776">
        <w:rPr>
          <w:i/>
          <w:iCs/>
          <w:lang w:val="en-GB"/>
        </w:rPr>
        <w:t>Learning environment and design: Current and future impacts</w:t>
      </w:r>
      <w:r w:rsidRPr="00100776">
        <w:rPr>
          <w:lang w:val="en-GB"/>
        </w:rPr>
        <w:t xml:space="preserve"> (pp. 213–226). Springer. https://doi.org/10.1007/978-981-15-8167-0_13</w:t>
      </w:r>
    </w:p>
    <w:p w14:paraId="4972465D" w14:textId="7641F38E" w:rsidR="00FA1987" w:rsidRPr="00100776" w:rsidRDefault="00FA1987" w:rsidP="001D38D8">
      <w:pPr>
        <w:spacing w:after="0"/>
        <w:ind w:left="720" w:hanging="720"/>
        <w:rPr>
          <w:lang w:val="en-GB"/>
        </w:rPr>
      </w:pPr>
      <w:r w:rsidRPr="00100776">
        <w:rPr>
          <w:lang w:val="en-GB"/>
        </w:rPr>
        <w:t xml:space="preserve">Cheung, J. (2004). Mapping music education research in Hong Kong. </w:t>
      </w:r>
      <w:r w:rsidRPr="00100776">
        <w:rPr>
          <w:i/>
          <w:lang w:val="en-GB"/>
        </w:rPr>
        <w:t>Psychology of Music</w:t>
      </w:r>
      <w:r w:rsidRPr="00100776">
        <w:rPr>
          <w:lang w:val="en-GB"/>
        </w:rPr>
        <w:t>,</w:t>
      </w:r>
      <w:r w:rsidRPr="00100776">
        <w:rPr>
          <w:i/>
          <w:lang w:val="en-GB"/>
        </w:rPr>
        <w:t xml:space="preserve"> 32</w:t>
      </w:r>
      <w:r w:rsidRPr="00100776">
        <w:rPr>
          <w:lang w:val="en-GB"/>
        </w:rPr>
        <w:t>(3), 343</w:t>
      </w:r>
      <w:r w:rsidR="002C42F4" w:rsidRPr="00100776">
        <w:rPr>
          <w:color w:val="000000" w:themeColor="text1"/>
          <w:lang w:val="en-GB"/>
        </w:rPr>
        <w:t>–</w:t>
      </w:r>
      <w:r w:rsidRPr="00100776">
        <w:rPr>
          <w:lang w:val="en-GB"/>
        </w:rPr>
        <w:t>356.</w:t>
      </w:r>
      <w:r w:rsidR="00A7412A" w:rsidRPr="00100776">
        <w:rPr>
          <w:lang w:val="en-GB"/>
        </w:rPr>
        <w:t xml:space="preserve"> https://doi.org/10.1177/0305735604043265</w:t>
      </w:r>
    </w:p>
    <w:p w14:paraId="65BFBCB6" w14:textId="540D6263" w:rsidR="00FA1987" w:rsidRPr="00100776" w:rsidRDefault="00FA1987" w:rsidP="00627A60">
      <w:pPr>
        <w:spacing w:after="0"/>
        <w:ind w:left="720" w:hanging="720"/>
        <w:rPr>
          <w:lang w:val="en-GB"/>
        </w:rPr>
      </w:pPr>
      <w:r w:rsidRPr="00100776">
        <w:rPr>
          <w:lang w:val="en-GB"/>
        </w:rPr>
        <w:t>Curriculum Development Council. (</w:t>
      </w:r>
      <w:r w:rsidR="00E97F4C" w:rsidRPr="00100776">
        <w:rPr>
          <w:lang w:val="en-GB"/>
        </w:rPr>
        <w:t>2015</w:t>
      </w:r>
      <w:r w:rsidRPr="00100776">
        <w:rPr>
          <w:lang w:val="en-GB"/>
        </w:rPr>
        <w:t xml:space="preserve">). </w:t>
      </w:r>
      <w:r w:rsidRPr="00100776">
        <w:rPr>
          <w:i/>
          <w:lang w:val="en-GB"/>
        </w:rPr>
        <w:t>Arts education key learning area: Music (curriculum and assessment guide) (Secondary 4-6)</w:t>
      </w:r>
      <w:r w:rsidRPr="00100776">
        <w:rPr>
          <w:lang w:val="en-GB"/>
        </w:rPr>
        <w:t>. Hong Kong Government Printer.</w:t>
      </w:r>
    </w:p>
    <w:p w14:paraId="07B7728E" w14:textId="7D0FD215" w:rsidR="00FA1987" w:rsidRPr="00100776" w:rsidRDefault="00FA1987" w:rsidP="00627A60">
      <w:pPr>
        <w:spacing w:after="0"/>
        <w:ind w:left="720" w:hanging="720"/>
        <w:rPr>
          <w:lang w:val="en-GB"/>
        </w:rPr>
      </w:pPr>
      <w:r w:rsidRPr="00100776">
        <w:rPr>
          <w:lang w:val="en-GB"/>
        </w:rPr>
        <w:t xml:space="preserve">Curriculum Development Council. (2017). </w:t>
      </w:r>
      <w:r w:rsidRPr="00100776">
        <w:rPr>
          <w:i/>
          <w:lang w:val="en-GB"/>
        </w:rPr>
        <w:t xml:space="preserve">Arts </w:t>
      </w:r>
      <w:r w:rsidR="006A3E42" w:rsidRPr="00100776">
        <w:rPr>
          <w:i/>
          <w:lang w:val="en-GB"/>
        </w:rPr>
        <w:t>e</w:t>
      </w:r>
      <w:r w:rsidRPr="00100776">
        <w:rPr>
          <w:i/>
          <w:lang w:val="en-GB"/>
        </w:rPr>
        <w:t xml:space="preserve">ducation </w:t>
      </w:r>
      <w:r w:rsidR="006A3E42" w:rsidRPr="00100776">
        <w:rPr>
          <w:i/>
          <w:lang w:val="en-GB"/>
        </w:rPr>
        <w:t>k</w:t>
      </w:r>
      <w:r w:rsidRPr="00100776">
        <w:rPr>
          <w:i/>
          <w:lang w:val="en-GB"/>
        </w:rPr>
        <w:t xml:space="preserve">ey </w:t>
      </w:r>
      <w:r w:rsidR="006A3E42" w:rsidRPr="00100776">
        <w:rPr>
          <w:i/>
          <w:lang w:val="en-GB"/>
        </w:rPr>
        <w:t>l</w:t>
      </w:r>
      <w:r w:rsidRPr="00100776">
        <w:rPr>
          <w:i/>
          <w:lang w:val="en-GB"/>
        </w:rPr>
        <w:t xml:space="preserve">earning </w:t>
      </w:r>
      <w:r w:rsidR="006A3E42" w:rsidRPr="00100776">
        <w:rPr>
          <w:i/>
          <w:lang w:val="en-GB"/>
        </w:rPr>
        <w:t>a</w:t>
      </w:r>
      <w:r w:rsidRPr="00100776">
        <w:rPr>
          <w:i/>
          <w:lang w:val="en-GB"/>
        </w:rPr>
        <w:t xml:space="preserve">rea </w:t>
      </w:r>
      <w:r w:rsidR="006A3E42" w:rsidRPr="00100776">
        <w:rPr>
          <w:i/>
          <w:lang w:val="en-GB"/>
        </w:rPr>
        <w:t>c</w:t>
      </w:r>
      <w:r w:rsidRPr="00100776">
        <w:rPr>
          <w:i/>
          <w:lang w:val="en-GB"/>
        </w:rPr>
        <w:t xml:space="preserve">urriculum </w:t>
      </w:r>
      <w:r w:rsidR="006A3E42" w:rsidRPr="00100776">
        <w:rPr>
          <w:i/>
          <w:lang w:val="en-GB"/>
        </w:rPr>
        <w:t>g</w:t>
      </w:r>
      <w:r w:rsidRPr="00100776">
        <w:rPr>
          <w:i/>
          <w:lang w:val="en-GB"/>
        </w:rPr>
        <w:t>uide (Primary 1 - Secondary 6).</w:t>
      </w:r>
      <w:r w:rsidRPr="00100776">
        <w:rPr>
          <w:lang w:val="en-GB"/>
        </w:rPr>
        <w:t xml:space="preserve"> Hong Kong Government Printer.</w:t>
      </w:r>
    </w:p>
    <w:p w14:paraId="23B25C4C" w14:textId="0FF8DF87" w:rsidR="00FA1987" w:rsidRPr="00100776" w:rsidRDefault="00FA1987" w:rsidP="00627A60">
      <w:pPr>
        <w:spacing w:after="0"/>
        <w:ind w:left="720" w:hanging="720"/>
        <w:rPr>
          <w:lang w:val="en-GB"/>
        </w:rPr>
      </w:pPr>
      <w:proofErr w:type="spellStart"/>
      <w:r w:rsidRPr="00100776">
        <w:rPr>
          <w:lang w:val="en-GB"/>
        </w:rPr>
        <w:t>Fok</w:t>
      </w:r>
      <w:proofErr w:type="spellEnd"/>
      <w:r w:rsidRPr="00100776">
        <w:rPr>
          <w:lang w:val="en-GB"/>
        </w:rPr>
        <w:t xml:space="preserve">, S. C. (1997). Political change in Hong Kong and its implications for civic education. </w:t>
      </w:r>
      <w:r w:rsidRPr="00100776">
        <w:rPr>
          <w:i/>
          <w:lang w:val="en-GB"/>
        </w:rPr>
        <w:t>Journal of Moral Education</w:t>
      </w:r>
      <w:r w:rsidRPr="00100776">
        <w:rPr>
          <w:lang w:val="en-GB"/>
        </w:rPr>
        <w:t xml:space="preserve">, </w:t>
      </w:r>
      <w:r w:rsidRPr="00100776">
        <w:rPr>
          <w:i/>
          <w:lang w:val="en-GB"/>
        </w:rPr>
        <w:t>26</w:t>
      </w:r>
      <w:r w:rsidRPr="00100776">
        <w:rPr>
          <w:lang w:val="en-GB"/>
        </w:rPr>
        <w:t>(1), 85</w:t>
      </w:r>
      <w:r w:rsidR="002C42F4" w:rsidRPr="00100776">
        <w:rPr>
          <w:color w:val="000000" w:themeColor="text1"/>
          <w:lang w:val="en-GB"/>
        </w:rPr>
        <w:t>–</w:t>
      </w:r>
      <w:r w:rsidRPr="00100776">
        <w:rPr>
          <w:lang w:val="en-GB"/>
        </w:rPr>
        <w:t>99.</w:t>
      </w:r>
      <w:r w:rsidR="00457650" w:rsidRPr="00100776">
        <w:rPr>
          <w:lang w:val="en-GB"/>
        </w:rPr>
        <w:t xml:space="preserve"> https://doi.org/10.1080/0305724970260106</w:t>
      </w:r>
    </w:p>
    <w:p w14:paraId="0C8B979E" w14:textId="34BE9A70" w:rsidR="00FA1987" w:rsidRPr="00100776" w:rsidRDefault="00FA1987" w:rsidP="00627A60">
      <w:pPr>
        <w:spacing w:after="0"/>
        <w:ind w:left="720" w:hanging="720"/>
        <w:rPr>
          <w:lang w:val="en-GB"/>
        </w:rPr>
      </w:pPr>
      <w:r w:rsidRPr="00100776">
        <w:rPr>
          <w:lang w:val="en-GB"/>
        </w:rPr>
        <w:t>Fung, C. V. (1997). A content analysis of the HKCEE and HKALE music syllabi (1983-1997). In E. Choi &amp; M.</w:t>
      </w:r>
      <w:r w:rsidR="00585A38" w:rsidRPr="00100776">
        <w:rPr>
          <w:lang w:val="en-GB"/>
        </w:rPr>
        <w:t xml:space="preserve"> </w:t>
      </w:r>
      <w:r w:rsidRPr="00100776">
        <w:rPr>
          <w:lang w:val="en-GB"/>
        </w:rPr>
        <w:t xml:space="preserve">S. </w:t>
      </w:r>
      <w:proofErr w:type="spellStart"/>
      <w:r w:rsidRPr="00100776">
        <w:rPr>
          <w:lang w:val="en-GB"/>
        </w:rPr>
        <w:t>Auh</w:t>
      </w:r>
      <w:proofErr w:type="spellEnd"/>
      <w:r w:rsidRPr="00100776">
        <w:rPr>
          <w:lang w:val="en-GB"/>
        </w:rPr>
        <w:t xml:space="preserve"> (Eds.), </w:t>
      </w:r>
      <w:r w:rsidRPr="00100776">
        <w:rPr>
          <w:i/>
          <w:lang w:val="en-GB"/>
        </w:rPr>
        <w:t xml:space="preserve">Proceedings of </w:t>
      </w:r>
      <w:r w:rsidR="00054DC0" w:rsidRPr="00100776">
        <w:rPr>
          <w:i/>
          <w:lang w:val="en-GB"/>
        </w:rPr>
        <w:t>t</w:t>
      </w:r>
      <w:r w:rsidRPr="00100776">
        <w:rPr>
          <w:i/>
          <w:lang w:val="en-GB"/>
        </w:rPr>
        <w:t xml:space="preserve">he 1st Asia-Pacific Symposium on Music Education Research </w:t>
      </w:r>
      <w:r w:rsidRPr="00100776">
        <w:rPr>
          <w:lang w:val="en-GB"/>
        </w:rPr>
        <w:t>(pp. 213</w:t>
      </w:r>
      <w:r w:rsidR="002C42F4" w:rsidRPr="00100776">
        <w:rPr>
          <w:color w:val="000000" w:themeColor="text1"/>
          <w:lang w:val="en-GB"/>
        </w:rPr>
        <w:t>–</w:t>
      </w:r>
      <w:r w:rsidRPr="00100776">
        <w:rPr>
          <w:lang w:val="en-GB"/>
        </w:rPr>
        <w:t>235). Korean Music Education Society.</w:t>
      </w:r>
    </w:p>
    <w:p w14:paraId="264A330A" w14:textId="62FB7BD1" w:rsidR="001D6E41" w:rsidRPr="00100776" w:rsidRDefault="001D6E41" w:rsidP="00CB7B5E">
      <w:pPr>
        <w:spacing w:after="0"/>
        <w:ind w:left="720" w:hanging="720"/>
        <w:rPr>
          <w:lang w:val="en-GB"/>
        </w:rPr>
      </w:pPr>
      <w:r w:rsidRPr="00100776">
        <w:rPr>
          <w:lang w:val="en-GB"/>
        </w:rPr>
        <w:t xml:space="preserve">George, D., </w:t>
      </w:r>
      <w:r w:rsidR="006A3E42" w:rsidRPr="00100776">
        <w:rPr>
          <w:lang w:val="en-GB"/>
        </w:rPr>
        <w:t>&amp;</w:t>
      </w:r>
      <w:r w:rsidRPr="00100776">
        <w:rPr>
          <w:lang w:val="en-GB"/>
        </w:rPr>
        <w:t xml:space="preserve"> Mallery, P. (2003). </w:t>
      </w:r>
      <w:r w:rsidRPr="00100776">
        <w:rPr>
          <w:i/>
          <w:iCs/>
          <w:lang w:val="en-GB"/>
        </w:rPr>
        <w:t>SPSS for Windows step by step: A simple guide and reference</w:t>
      </w:r>
      <w:r w:rsidRPr="00100776">
        <w:rPr>
          <w:lang w:val="en-GB"/>
        </w:rPr>
        <w:t xml:space="preserve"> (4th ed.)</w:t>
      </w:r>
      <w:r w:rsidR="004E767A" w:rsidRPr="00100776">
        <w:rPr>
          <w:lang w:val="en-GB"/>
        </w:rPr>
        <w:t>.</w:t>
      </w:r>
      <w:r w:rsidRPr="00100776">
        <w:rPr>
          <w:lang w:val="en-GB"/>
        </w:rPr>
        <w:t xml:space="preserve"> </w:t>
      </w:r>
      <w:proofErr w:type="spellStart"/>
      <w:r w:rsidRPr="00100776">
        <w:rPr>
          <w:lang w:val="en-GB"/>
        </w:rPr>
        <w:t>Allyn</w:t>
      </w:r>
      <w:proofErr w:type="spellEnd"/>
      <w:r w:rsidRPr="00100776">
        <w:rPr>
          <w:lang w:val="en-GB"/>
        </w:rPr>
        <w:t xml:space="preserve"> &amp; Bacon. </w:t>
      </w:r>
    </w:p>
    <w:p w14:paraId="5D59DD25" w14:textId="268F7A5B" w:rsidR="00B5541E" w:rsidRPr="00100776" w:rsidRDefault="00B5541E" w:rsidP="00CB7B5E">
      <w:pPr>
        <w:spacing w:after="0"/>
        <w:ind w:left="720" w:hanging="720"/>
        <w:rPr>
          <w:lang w:val="en-GB"/>
        </w:rPr>
      </w:pPr>
      <w:r w:rsidRPr="00100776">
        <w:rPr>
          <w:lang w:val="en-GB"/>
        </w:rPr>
        <w:t xml:space="preserve">Hallam, S. (2010). The power of music: Its impact on the intellectual, social and personal development of children and young people. </w:t>
      </w:r>
      <w:r w:rsidRPr="00100776">
        <w:rPr>
          <w:i/>
          <w:iCs/>
          <w:lang w:val="en-GB"/>
        </w:rPr>
        <w:t>International Journal of Music Education</w:t>
      </w:r>
      <w:r w:rsidRPr="00100776">
        <w:rPr>
          <w:lang w:val="en-GB"/>
        </w:rPr>
        <w:t xml:space="preserve">, </w:t>
      </w:r>
      <w:r w:rsidRPr="00100776">
        <w:rPr>
          <w:i/>
          <w:iCs/>
          <w:lang w:val="en-GB"/>
        </w:rPr>
        <w:t>28</w:t>
      </w:r>
      <w:r w:rsidRPr="00100776">
        <w:rPr>
          <w:lang w:val="en-GB"/>
        </w:rPr>
        <w:t>(3), 269</w:t>
      </w:r>
      <w:r w:rsidR="00881B9D" w:rsidRPr="00100776">
        <w:rPr>
          <w:color w:val="000000" w:themeColor="text1"/>
          <w:lang w:val="en-GB"/>
        </w:rPr>
        <w:t>–</w:t>
      </w:r>
      <w:r w:rsidRPr="00100776">
        <w:rPr>
          <w:lang w:val="en-GB"/>
        </w:rPr>
        <w:t>289. https://doi.org/10.1177/0255761410370658</w:t>
      </w:r>
    </w:p>
    <w:p w14:paraId="1B35D47B" w14:textId="615E1B51" w:rsidR="00FA1987" w:rsidRPr="00100776" w:rsidRDefault="00FA1987" w:rsidP="00CB7B5E">
      <w:pPr>
        <w:spacing w:after="0"/>
        <w:ind w:left="720" w:hanging="720"/>
        <w:rPr>
          <w:color w:val="000000" w:themeColor="text1"/>
          <w:lang w:val="en-GB"/>
        </w:rPr>
      </w:pPr>
      <w:r w:rsidRPr="00100776">
        <w:rPr>
          <w:lang w:val="en-GB"/>
        </w:rPr>
        <w:t>Ho, W. C. (1997). Political impact on Hong Kong secondary music education. In E. Choi &amp; M.</w:t>
      </w:r>
      <w:r w:rsidR="004E767A" w:rsidRPr="00100776">
        <w:rPr>
          <w:lang w:val="en-GB"/>
        </w:rPr>
        <w:t xml:space="preserve"> </w:t>
      </w:r>
      <w:r w:rsidRPr="00100776">
        <w:rPr>
          <w:lang w:val="en-GB"/>
        </w:rPr>
        <w:t xml:space="preserve">S. </w:t>
      </w:r>
      <w:proofErr w:type="spellStart"/>
      <w:r w:rsidRPr="00100776">
        <w:rPr>
          <w:lang w:val="en-GB"/>
        </w:rPr>
        <w:t>Auh</w:t>
      </w:r>
      <w:proofErr w:type="spellEnd"/>
      <w:r w:rsidRPr="00100776">
        <w:rPr>
          <w:lang w:val="en-GB"/>
        </w:rPr>
        <w:t xml:space="preserve"> (Eds.), </w:t>
      </w:r>
      <w:r w:rsidRPr="00100776">
        <w:rPr>
          <w:i/>
          <w:color w:val="000000" w:themeColor="text1"/>
          <w:lang w:val="en-GB"/>
        </w:rPr>
        <w:t xml:space="preserve">Proceedings of </w:t>
      </w:r>
      <w:r w:rsidR="00054DC0" w:rsidRPr="00100776">
        <w:rPr>
          <w:i/>
          <w:color w:val="000000" w:themeColor="text1"/>
          <w:lang w:val="en-GB"/>
        </w:rPr>
        <w:t>t</w:t>
      </w:r>
      <w:r w:rsidRPr="00100776">
        <w:rPr>
          <w:i/>
          <w:color w:val="000000" w:themeColor="text1"/>
          <w:lang w:val="en-GB"/>
        </w:rPr>
        <w:t>he 1st Asia-Pacific Symposium on Music Education Research</w:t>
      </w:r>
      <w:r w:rsidRPr="00100776">
        <w:rPr>
          <w:color w:val="000000" w:themeColor="text1"/>
          <w:lang w:val="en-GB"/>
        </w:rPr>
        <w:t xml:space="preserve"> (pp. 113</w:t>
      </w:r>
      <w:r w:rsidR="00881B9D" w:rsidRPr="00100776">
        <w:rPr>
          <w:color w:val="000000" w:themeColor="text1"/>
          <w:lang w:val="en-GB"/>
        </w:rPr>
        <w:t>–</w:t>
      </w:r>
      <w:r w:rsidRPr="00100776">
        <w:rPr>
          <w:color w:val="000000" w:themeColor="text1"/>
          <w:lang w:val="en-GB"/>
        </w:rPr>
        <w:t>121). Korean Music Education Society.</w:t>
      </w:r>
    </w:p>
    <w:p w14:paraId="566389FF" w14:textId="26AFFE18" w:rsidR="00B41DE7" w:rsidRPr="00100776" w:rsidRDefault="00B41DE7" w:rsidP="00CB7B5E">
      <w:pPr>
        <w:spacing w:after="0"/>
        <w:ind w:left="720" w:hanging="720"/>
        <w:rPr>
          <w:color w:val="000000" w:themeColor="text1"/>
          <w:lang w:val="en-GB"/>
        </w:rPr>
      </w:pPr>
      <w:r w:rsidRPr="00100776">
        <w:rPr>
          <w:color w:val="000000" w:themeColor="text1"/>
          <w:lang w:val="en-GB"/>
        </w:rPr>
        <w:lastRenderedPageBreak/>
        <w:t xml:space="preserve">Ho, W. C. (1999). The </w:t>
      </w:r>
      <w:proofErr w:type="spellStart"/>
      <w:r w:rsidRPr="00100776">
        <w:rPr>
          <w:color w:val="000000" w:themeColor="text1"/>
          <w:lang w:val="en-GB"/>
        </w:rPr>
        <w:t>sociopolitical</w:t>
      </w:r>
      <w:proofErr w:type="spellEnd"/>
      <w:r w:rsidRPr="00100776">
        <w:rPr>
          <w:color w:val="000000" w:themeColor="text1"/>
          <w:lang w:val="en-GB"/>
        </w:rPr>
        <w:t xml:space="preserve"> transformations and Hong Kong secondary music education: Politicization, culturalization, and marketization. </w:t>
      </w:r>
      <w:r w:rsidRPr="00100776">
        <w:rPr>
          <w:i/>
          <w:iCs/>
          <w:color w:val="000000" w:themeColor="text1"/>
          <w:lang w:val="en-GB"/>
        </w:rPr>
        <w:t>Bulletin of the Council for Research in Music Education, 140</w:t>
      </w:r>
      <w:r w:rsidRPr="00100776">
        <w:rPr>
          <w:color w:val="000000" w:themeColor="text1"/>
          <w:lang w:val="en-GB"/>
        </w:rPr>
        <w:t>, 41</w:t>
      </w:r>
      <w:r w:rsidR="00881B9D" w:rsidRPr="00100776">
        <w:rPr>
          <w:color w:val="000000" w:themeColor="text1"/>
          <w:lang w:val="en-GB"/>
        </w:rPr>
        <w:t>–</w:t>
      </w:r>
      <w:r w:rsidRPr="00100776">
        <w:rPr>
          <w:color w:val="000000" w:themeColor="text1"/>
          <w:lang w:val="en-GB"/>
        </w:rPr>
        <w:t xml:space="preserve">56. </w:t>
      </w:r>
    </w:p>
    <w:p w14:paraId="4D7BE92E" w14:textId="77777777" w:rsidR="00881B9D" w:rsidRPr="00100776" w:rsidRDefault="00881B9D" w:rsidP="00881B9D">
      <w:pPr>
        <w:spacing w:after="0"/>
        <w:ind w:left="720" w:hanging="720"/>
        <w:rPr>
          <w:color w:val="000000" w:themeColor="text1"/>
          <w:lang w:val="en-GB"/>
        </w:rPr>
      </w:pPr>
      <w:r w:rsidRPr="00100776">
        <w:rPr>
          <w:color w:val="000000" w:themeColor="text1"/>
          <w:lang w:val="en-GB"/>
        </w:rPr>
        <w:t xml:space="preserve">Ho, W. C. (2003a). Musical </w:t>
      </w:r>
      <w:proofErr w:type="spellStart"/>
      <w:r w:rsidRPr="00100776">
        <w:rPr>
          <w:color w:val="000000" w:themeColor="text1"/>
          <w:lang w:val="en-GB"/>
        </w:rPr>
        <w:t>behavior</w:t>
      </w:r>
      <w:proofErr w:type="spellEnd"/>
      <w:r w:rsidRPr="00100776">
        <w:rPr>
          <w:color w:val="000000" w:themeColor="text1"/>
          <w:lang w:val="en-GB"/>
        </w:rPr>
        <w:t xml:space="preserve"> of young Hong Kong students. </w:t>
      </w:r>
      <w:r w:rsidRPr="00100776">
        <w:rPr>
          <w:i/>
          <w:color w:val="000000" w:themeColor="text1"/>
          <w:lang w:val="en-GB"/>
        </w:rPr>
        <w:t>Educational Research Journal</w:t>
      </w:r>
      <w:r w:rsidRPr="00100776">
        <w:rPr>
          <w:color w:val="000000" w:themeColor="text1"/>
          <w:lang w:val="en-GB"/>
        </w:rPr>
        <w:t>,</w:t>
      </w:r>
      <w:r w:rsidRPr="00100776">
        <w:rPr>
          <w:i/>
          <w:color w:val="000000" w:themeColor="text1"/>
          <w:lang w:val="en-GB"/>
        </w:rPr>
        <w:t xml:space="preserve"> 13</w:t>
      </w:r>
      <w:r w:rsidRPr="00100776">
        <w:rPr>
          <w:color w:val="000000" w:themeColor="text1"/>
          <w:lang w:val="en-GB"/>
        </w:rPr>
        <w:t>(3), 339–360.</w:t>
      </w:r>
    </w:p>
    <w:p w14:paraId="25AD6713" w14:textId="77777777" w:rsidR="00881B9D" w:rsidRPr="00100776" w:rsidRDefault="00881B9D" w:rsidP="00881B9D">
      <w:pPr>
        <w:spacing w:after="0"/>
        <w:ind w:left="720" w:hanging="720"/>
        <w:rPr>
          <w:color w:val="000000" w:themeColor="text1"/>
          <w:lang w:val="en-GB"/>
        </w:rPr>
      </w:pPr>
      <w:r w:rsidRPr="00100776">
        <w:rPr>
          <w:color w:val="000000" w:themeColor="text1"/>
          <w:lang w:val="en-GB"/>
        </w:rPr>
        <w:t xml:space="preserve">Ho, W. C. (2003b). Gender differences in instrumental learning, preferences for musical activities and musical genres: A comparative study on Hong Kong, Shanghai and Taipei. </w:t>
      </w:r>
      <w:r w:rsidRPr="00100776">
        <w:rPr>
          <w:i/>
          <w:color w:val="000000" w:themeColor="text1"/>
          <w:lang w:val="en-GB"/>
        </w:rPr>
        <w:t>Research Studies in Music Education</w:t>
      </w:r>
      <w:r w:rsidRPr="00100776">
        <w:rPr>
          <w:color w:val="000000" w:themeColor="text1"/>
          <w:lang w:val="en-GB"/>
        </w:rPr>
        <w:t xml:space="preserve">, </w:t>
      </w:r>
      <w:r w:rsidRPr="00100776">
        <w:rPr>
          <w:i/>
          <w:color w:val="000000" w:themeColor="text1"/>
          <w:lang w:val="en-GB"/>
        </w:rPr>
        <w:t>20,</w:t>
      </w:r>
      <w:r w:rsidRPr="00100776">
        <w:rPr>
          <w:color w:val="000000" w:themeColor="text1"/>
          <w:lang w:val="en-GB"/>
        </w:rPr>
        <w:t xml:space="preserve"> 71–90.</w:t>
      </w:r>
      <w:r w:rsidRPr="00100776">
        <w:t xml:space="preserve"> </w:t>
      </w:r>
      <w:r w:rsidRPr="00100776">
        <w:rPr>
          <w:color w:val="000000" w:themeColor="text1"/>
          <w:lang w:val="en-GB"/>
        </w:rPr>
        <w:t>https://doi.org/10.1177/1321103X030200010401</w:t>
      </w:r>
    </w:p>
    <w:p w14:paraId="6E91C67E" w14:textId="013FF7A6" w:rsidR="00FA1987" w:rsidRPr="00100776" w:rsidRDefault="00FA1987" w:rsidP="00CB7B5E">
      <w:pPr>
        <w:spacing w:after="0"/>
        <w:ind w:left="720" w:hanging="720"/>
        <w:rPr>
          <w:color w:val="000000" w:themeColor="text1"/>
          <w:lang w:val="en-GB"/>
        </w:rPr>
      </w:pPr>
      <w:r w:rsidRPr="00100776">
        <w:rPr>
          <w:color w:val="000000" w:themeColor="text1"/>
          <w:lang w:val="en-GB"/>
        </w:rPr>
        <w:t>Ho, W. C. (2007</w:t>
      </w:r>
      <w:r w:rsidR="00CE4A1B" w:rsidRPr="00100776">
        <w:rPr>
          <w:color w:val="000000" w:themeColor="text1"/>
          <w:lang w:val="en-GB"/>
        </w:rPr>
        <w:t>a</w:t>
      </w:r>
      <w:r w:rsidRPr="00100776">
        <w:rPr>
          <w:color w:val="000000" w:themeColor="text1"/>
          <w:lang w:val="en-GB"/>
        </w:rPr>
        <w:t xml:space="preserve">). Politics, culture and school curriculum: The struggle in Hong Kong. </w:t>
      </w:r>
      <w:r w:rsidRPr="00100776">
        <w:rPr>
          <w:i/>
          <w:color w:val="000000" w:themeColor="text1"/>
          <w:lang w:val="en-GB"/>
        </w:rPr>
        <w:t>Discourse: Studies in the Cultural Politics of Education</w:t>
      </w:r>
      <w:r w:rsidRPr="00100776">
        <w:rPr>
          <w:color w:val="000000" w:themeColor="text1"/>
          <w:lang w:val="en-GB"/>
        </w:rPr>
        <w:t>,</w:t>
      </w:r>
      <w:r w:rsidRPr="00100776">
        <w:rPr>
          <w:i/>
          <w:color w:val="000000" w:themeColor="text1"/>
          <w:lang w:val="en-GB"/>
        </w:rPr>
        <w:t xml:space="preserve"> 28</w:t>
      </w:r>
      <w:r w:rsidRPr="00100776">
        <w:rPr>
          <w:color w:val="000000" w:themeColor="text1"/>
          <w:lang w:val="en-GB"/>
        </w:rPr>
        <w:t>(2), 139</w:t>
      </w:r>
      <w:r w:rsidR="00881B9D" w:rsidRPr="00100776">
        <w:rPr>
          <w:color w:val="000000" w:themeColor="text1"/>
          <w:lang w:val="en-GB"/>
        </w:rPr>
        <w:t>–</w:t>
      </w:r>
      <w:r w:rsidRPr="00100776">
        <w:rPr>
          <w:color w:val="000000" w:themeColor="text1"/>
          <w:lang w:val="en-GB"/>
        </w:rPr>
        <w:t>157.</w:t>
      </w:r>
      <w:r w:rsidR="00E20A25" w:rsidRPr="00100776">
        <w:rPr>
          <w:color w:val="000000" w:themeColor="text1"/>
          <w:lang w:val="en-GB"/>
        </w:rPr>
        <w:t xml:space="preserve"> https://doi.org/10.1080/01596300701289045</w:t>
      </w:r>
    </w:p>
    <w:p w14:paraId="6978B4D9" w14:textId="4C534D0C" w:rsidR="00FA1987" w:rsidRPr="00100776" w:rsidRDefault="00FA1987" w:rsidP="00CB7B5E">
      <w:pPr>
        <w:spacing w:after="0"/>
        <w:ind w:left="720" w:hanging="720"/>
        <w:rPr>
          <w:color w:val="000000" w:themeColor="text1"/>
          <w:lang w:val="en-GB"/>
        </w:rPr>
      </w:pPr>
      <w:r w:rsidRPr="00100776">
        <w:rPr>
          <w:color w:val="000000" w:themeColor="text1"/>
          <w:lang w:val="en-GB"/>
        </w:rPr>
        <w:t>Ho, W. C. (2007</w:t>
      </w:r>
      <w:r w:rsidR="00CE4A1B" w:rsidRPr="00100776">
        <w:rPr>
          <w:color w:val="000000" w:themeColor="text1"/>
          <w:lang w:val="en-GB"/>
        </w:rPr>
        <w:t>b</w:t>
      </w:r>
      <w:r w:rsidRPr="00100776">
        <w:rPr>
          <w:color w:val="000000" w:themeColor="text1"/>
          <w:lang w:val="en-GB"/>
        </w:rPr>
        <w:t xml:space="preserve">). Students’ experience of music learning in Hong Kong’s secondary schools. </w:t>
      </w:r>
      <w:r w:rsidRPr="00100776">
        <w:rPr>
          <w:i/>
          <w:color w:val="000000" w:themeColor="text1"/>
          <w:lang w:val="en-GB"/>
        </w:rPr>
        <w:t>International Journal of Music Education</w:t>
      </w:r>
      <w:r w:rsidRPr="00100776">
        <w:rPr>
          <w:color w:val="000000" w:themeColor="text1"/>
          <w:lang w:val="en-GB"/>
        </w:rPr>
        <w:t>,</w:t>
      </w:r>
      <w:r w:rsidRPr="00100776">
        <w:rPr>
          <w:i/>
          <w:color w:val="000000" w:themeColor="text1"/>
          <w:lang w:val="en-GB"/>
        </w:rPr>
        <w:t xml:space="preserve"> 25</w:t>
      </w:r>
      <w:r w:rsidRPr="00100776">
        <w:rPr>
          <w:color w:val="000000" w:themeColor="text1"/>
          <w:lang w:val="en-GB"/>
        </w:rPr>
        <w:t>(1), 31</w:t>
      </w:r>
      <w:r w:rsidR="00881B9D" w:rsidRPr="00100776">
        <w:rPr>
          <w:color w:val="000000" w:themeColor="text1"/>
          <w:lang w:val="en-GB"/>
        </w:rPr>
        <w:t>–</w:t>
      </w:r>
      <w:r w:rsidRPr="00100776">
        <w:rPr>
          <w:color w:val="000000" w:themeColor="text1"/>
          <w:lang w:val="en-GB"/>
        </w:rPr>
        <w:t>48.</w:t>
      </w:r>
      <w:r w:rsidR="00E20A25" w:rsidRPr="00100776">
        <w:rPr>
          <w:color w:val="000000" w:themeColor="text1"/>
          <w:lang w:val="en-GB"/>
        </w:rPr>
        <w:t xml:space="preserve"> https://doi.org/10.1177/0255761407074890</w:t>
      </w:r>
    </w:p>
    <w:p w14:paraId="33974071" w14:textId="71A35094" w:rsidR="00881B9D" w:rsidRPr="00100776" w:rsidRDefault="00881B9D" w:rsidP="00881B9D">
      <w:pPr>
        <w:spacing w:after="0"/>
        <w:ind w:left="720" w:hanging="720"/>
        <w:rPr>
          <w:color w:val="000000" w:themeColor="text1"/>
          <w:lang w:val="en-GB"/>
        </w:rPr>
      </w:pPr>
      <w:r w:rsidRPr="00100776">
        <w:rPr>
          <w:color w:val="000000" w:themeColor="text1"/>
          <w:lang w:val="en-GB"/>
        </w:rPr>
        <w:t xml:space="preserve">Ho, W. C. (2011). Parental support and student learning of musical instruments in Hong Kong. </w:t>
      </w:r>
      <w:r w:rsidRPr="00100776">
        <w:rPr>
          <w:i/>
          <w:iCs/>
          <w:color w:val="000000" w:themeColor="text1"/>
          <w:lang w:val="en-GB"/>
        </w:rPr>
        <w:t>Visions of Research in Music Education, 19</w:t>
      </w:r>
      <w:r w:rsidRPr="00100776">
        <w:rPr>
          <w:color w:val="000000" w:themeColor="text1"/>
          <w:lang w:val="en-GB"/>
        </w:rPr>
        <w:t xml:space="preserve">, 5. </w:t>
      </w:r>
      <w:r w:rsidR="001D38D8" w:rsidRPr="00100776">
        <w:rPr>
          <w:color w:val="000000" w:themeColor="text1"/>
          <w:lang w:val="en-GB"/>
        </w:rPr>
        <w:t>http://www-usr.rider.edu/~vrme/v19n1/visions/HoRevised</w:t>
      </w:r>
    </w:p>
    <w:p w14:paraId="14F54BAC" w14:textId="786D264E" w:rsidR="009306C7" w:rsidRPr="00100776" w:rsidRDefault="00FA1987" w:rsidP="00165E83">
      <w:pPr>
        <w:spacing w:after="0"/>
        <w:ind w:left="720" w:hanging="720"/>
        <w:rPr>
          <w:color w:val="000000" w:themeColor="text1"/>
          <w:lang w:val="en-GB"/>
        </w:rPr>
      </w:pPr>
      <w:r w:rsidRPr="00100776">
        <w:rPr>
          <w:color w:val="000000" w:themeColor="text1"/>
          <w:lang w:val="en-GB"/>
        </w:rPr>
        <w:t>Ho, W. C., &amp; Law, W. W. (200</w:t>
      </w:r>
      <w:r w:rsidR="00CB7B5E" w:rsidRPr="00100776">
        <w:rPr>
          <w:color w:val="000000" w:themeColor="text1"/>
          <w:lang w:val="en-GB"/>
        </w:rPr>
        <w:t>9</w:t>
      </w:r>
      <w:r w:rsidRPr="00100776">
        <w:rPr>
          <w:color w:val="000000" w:themeColor="text1"/>
          <w:lang w:val="en-GB"/>
        </w:rPr>
        <w:t xml:space="preserve">).  The struggle between globalisation, nationalism and music education in Hong Kong. </w:t>
      </w:r>
      <w:r w:rsidRPr="00100776">
        <w:rPr>
          <w:i/>
          <w:color w:val="000000" w:themeColor="text1"/>
          <w:lang w:val="en-GB"/>
        </w:rPr>
        <w:t>Music Education Research</w:t>
      </w:r>
      <w:r w:rsidRPr="00100776">
        <w:rPr>
          <w:color w:val="000000" w:themeColor="text1"/>
          <w:lang w:val="en-GB"/>
        </w:rPr>
        <w:t>,</w:t>
      </w:r>
      <w:r w:rsidRPr="00100776">
        <w:rPr>
          <w:i/>
          <w:color w:val="000000" w:themeColor="text1"/>
          <w:lang w:val="en-GB"/>
        </w:rPr>
        <w:t xml:space="preserve"> 11</w:t>
      </w:r>
      <w:r w:rsidRPr="00100776">
        <w:rPr>
          <w:color w:val="000000" w:themeColor="text1"/>
          <w:lang w:val="en-GB"/>
        </w:rPr>
        <w:t>(4), 439–456.</w:t>
      </w:r>
      <w:r w:rsidR="00E20A25" w:rsidRPr="00100776">
        <w:rPr>
          <w:color w:val="000000" w:themeColor="text1"/>
          <w:lang w:val="en-GB"/>
        </w:rPr>
        <w:t xml:space="preserve"> https://doi.org/10.1080/14613800903390741</w:t>
      </w:r>
    </w:p>
    <w:p w14:paraId="3F441133" w14:textId="3B471D1F" w:rsidR="002A3D4C" w:rsidRPr="00100776" w:rsidRDefault="002A3D4C" w:rsidP="002A3D4C">
      <w:pPr>
        <w:spacing w:after="0"/>
        <w:ind w:left="720" w:hanging="720"/>
        <w:rPr>
          <w:lang w:val="en-GB"/>
        </w:rPr>
      </w:pPr>
      <w:r w:rsidRPr="00100776">
        <w:rPr>
          <w:lang w:val="en-GB"/>
        </w:rPr>
        <w:t>Hong Kong Examinations and Assessment Authority. (202</w:t>
      </w:r>
      <w:r w:rsidR="00EE28D2" w:rsidRPr="00100776">
        <w:rPr>
          <w:lang w:val="en-GB"/>
        </w:rPr>
        <w:t>1</w:t>
      </w:r>
      <w:r w:rsidRPr="00100776">
        <w:rPr>
          <w:lang w:val="en-GB"/>
        </w:rPr>
        <w:t xml:space="preserve">). </w:t>
      </w:r>
      <w:r w:rsidRPr="00100776">
        <w:rPr>
          <w:i/>
          <w:iCs/>
          <w:lang w:val="en-GB"/>
        </w:rPr>
        <w:t>202</w:t>
      </w:r>
      <w:r w:rsidR="00EE28D2" w:rsidRPr="00100776">
        <w:rPr>
          <w:i/>
          <w:iCs/>
          <w:lang w:val="en-GB"/>
        </w:rPr>
        <w:t>1</w:t>
      </w:r>
      <w:r w:rsidRPr="00100776">
        <w:rPr>
          <w:i/>
          <w:iCs/>
          <w:lang w:val="en-GB"/>
        </w:rPr>
        <w:t xml:space="preserve"> HKDSE Analysis of results of candidates in each subject.</w:t>
      </w:r>
      <w:r w:rsidR="00EE28D2" w:rsidRPr="00100776">
        <w:rPr>
          <w:lang w:val="en-GB"/>
        </w:rPr>
        <w:t xml:space="preserve"> https://www.hkeaa.edu.hk/en/hkdse/assessment/exam_reports/</w:t>
      </w:r>
    </w:p>
    <w:p w14:paraId="02ED4410" w14:textId="77777777" w:rsidR="006D5028" w:rsidRPr="00100776" w:rsidRDefault="006D5028" w:rsidP="00CB7B5E">
      <w:pPr>
        <w:spacing w:after="0"/>
        <w:ind w:left="720" w:hanging="720"/>
        <w:rPr>
          <w:color w:val="000000" w:themeColor="text1"/>
          <w:lang w:val="en-GB"/>
        </w:rPr>
      </w:pPr>
      <w:proofErr w:type="spellStart"/>
      <w:r w:rsidRPr="00100776">
        <w:rPr>
          <w:color w:val="000000" w:themeColor="text1"/>
          <w:lang w:val="en-GB"/>
        </w:rPr>
        <w:t>Kertz-Welzel</w:t>
      </w:r>
      <w:proofErr w:type="spellEnd"/>
      <w:r w:rsidRPr="00100776">
        <w:rPr>
          <w:color w:val="000000" w:themeColor="text1"/>
          <w:lang w:val="en-GB"/>
        </w:rPr>
        <w:t xml:space="preserve">, A. (2018). </w:t>
      </w:r>
      <w:r w:rsidRPr="00100776">
        <w:rPr>
          <w:i/>
          <w:iCs/>
          <w:color w:val="000000" w:themeColor="text1"/>
          <w:lang w:val="en-GB"/>
        </w:rPr>
        <w:t>Globalizing music education: A framework</w:t>
      </w:r>
      <w:r w:rsidRPr="00100776">
        <w:rPr>
          <w:color w:val="000000" w:themeColor="text1"/>
          <w:lang w:val="en-GB"/>
        </w:rPr>
        <w:t>. Indiana University Press. https://doi.org/10.2307/j.ctt2204p3c</w:t>
      </w:r>
    </w:p>
    <w:p w14:paraId="3D8C0B9B" w14:textId="70F2682E" w:rsidR="00B5541E" w:rsidRPr="00100776" w:rsidRDefault="00B5541E" w:rsidP="00CB7B5E">
      <w:pPr>
        <w:spacing w:after="0"/>
        <w:ind w:left="720" w:hanging="720"/>
        <w:rPr>
          <w:color w:val="000000" w:themeColor="text1"/>
          <w:lang w:val="en-GB"/>
        </w:rPr>
      </w:pPr>
      <w:r w:rsidRPr="00100776">
        <w:rPr>
          <w:color w:val="000000" w:themeColor="text1"/>
          <w:lang w:val="en-GB"/>
        </w:rPr>
        <w:t>Krupp-</w:t>
      </w:r>
      <w:proofErr w:type="spellStart"/>
      <w:r w:rsidRPr="00100776">
        <w:rPr>
          <w:color w:val="000000" w:themeColor="text1"/>
          <w:lang w:val="en-GB"/>
        </w:rPr>
        <w:t>Schleußner</w:t>
      </w:r>
      <w:proofErr w:type="spellEnd"/>
      <w:r w:rsidRPr="00100776">
        <w:rPr>
          <w:color w:val="000000" w:themeColor="text1"/>
          <w:lang w:val="en-GB"/>
        </w:rPr>
        <w:t>, V., &amp; Lehmann-</w:t>
      </w:r>
      <w:proofErr w:type="spellStart"/>
      <w:r w:rsidRPr="00100776">
        <w:rPr>
          <w:color w:val="000000" w:themeColor="text1"/>
          <w:lang w:val="en-GB"/>
        </w:rPr>
        <w:t>Wermser</w:t>
      </w:r>
      <w:proofErr w:type="spellEnd"/>
      <w:r w:rsidRPr="00100776">
        <w:rPr>
          <w:color w:val="000000" w:themeColor="text1"/>
          <w:lang w:val="en-GB"/>
        </w:rPr>
        <w:t>, A. (2018). An instrument for every child: a study on long-term effects of extended music education in German primary schools</w:t>
      </w:r>
      <w:r w:rsidRPr="00100776">
        <w:rPr>
          <w:i/>
          <w:iCs/>
          <w:color w:val="000000" w:themeColor="text1"/>
          <w:lang w:val="en-GB"/>
        </w:rPr>
        <w:t>. Music Education Research</w:t>
      </w:r>
      <w:r w:rsidRPr="00100776">
        <w:rPr>
          <w:iCs/>
          <w:color w:val="000000" w:themeColor="text1"/>
          <w:lang w:val="en-GB"/>
        </w:rPr>
        <w:t>,</w:t>
      </w:r>
      <w:r w:rsidRPr="00100776">
        <w:rPr>
          <w:i/>
          <w:iCs/>
          <w:color w:val="000000" w:themeColor="text1"/>
          <w:lang w:val="en-GB"/>
        </w:rPr>
        <w:t xml:space="preserve"> 20</w:t>
      </w:r>
      <w:r w:rsidRPr="00100776">
        <w:rPr>
          <w:color w:val="000000" w:themeColor="text1"/>
          <w:lang w:val="en-GB"/>
        </w:rPr>
        <w:t>(1), 44</w:t>
      </w:r>
      <w:r w:rsidR="00881B9D" w:rsidRPr="00100776">
        <w:rPr>
          <w:color w:val="000000" w:themeColor="text1"/>
          <w:lang w:val="en-GB"/>
        </w:rPr>
        <w:t>–</w:t>
      </w:r>
      <w:r w:rsidRPr="00100776">
        <w:rPr>
          <w:color w:val="000000" w:themeColor="text1"/>
          <w:lang w:val="en-GB"/>
        </w:rPr>
        <w:t>58. https://doi.org/10.1080/14613808.2016.1249361</w:t>
      </w:r>
    </w:p>
    <w:p w14:paraId="526D4772" w14:textId="22859CF2" w:rsidR="00B5541E" w:rsidRPr="00100776" w:rsidRDefault="00B5541E" w:rsidP="00CB7B5E">
      <w:pPr>
        <w:spacing w:after="0"/>
        <w:ind w:left="720" w:hanging="720"/>
        <w:rPr>
          <w:color w:val="000000" w:themeColor="text1"/>
          <w:lang w:val="en-GB"/>
        </w:rPr>
      </w:pPr>
      <w:r w:rsidRPr="00100776">
        <w:rPr>
          <w:color w:val="000000" w:themeColor="text1"/>
          <w:lang w:val="en-GB"/>
        </w:rPr>
        <w:t xml:space="preserve">Lamont, A., &amp; </w:t>
      </w:r>
      <w:proofErr w:type="spellStart"/>
      <w:r w:rsidRPr="00100776">
        <w:rPr>
          <w:color w:val="000000" w:themeColor="text1"/>
          <w:lang w:val="en-GB"/>
        </w:rPr>
        <w:t>Maton</w:t>
      </w:r>
      <w:proofErr w:type="spellEnd"/>
      <w:r w:rsidRPr="00100776">
        <w:rPr>
          <w:color w:val="000000" w:themeColor="text1"/>
          <w:lang w:val="en-GB"/>
        </w:rPr>
        <w:t xml:space="preserve">, K. (2008). Choosing music: Exploratory studies into the low uptake of music GCSE. </w:t>
      </w:r>
      <w:r w:rsidRPr="00100776">
        <w:rPr>
          <w:i/>
          <w:iCs/>
          <w:color w:val="000000" w:themeColor="text1"/>
          <w:lang w:val="en-GB"/>
        </w:rPr>
        <w:t>British Journal of Music Education</w:t>
      </w:r>
      <w:r w:rsidRPr="00100776">
        <w:rPr>
          <w:iCs/>
          <w:color w:val="000000" w:themeColor="text1"/>
          <w:lang w:val="en-GB"/>
        </w:rPr>
        <w:t>,</w:t>
      </w:r>
      <w:r w:rsidRPr="00100776">
        <w:rPr>
          <w:i/>
          <w:iCs/>
          <w:color w:val="000000" w:themeColor="text1"/>
          <w:lang w:val="en-GB"/>
        </w:rPr>
        <w:t xml:space="preserve"> 25</w:t>
      </w:r>
      <w:r w:rsidRPr="00100776">
        <w:rPr>
          <w:color w:val="000000" w:themeColor="text1"/>
          <w:lang w:val="en-GB"/>
        </w:rPr>
        <w:t>(3), 267</w:t>
      </w:r>
      <w:r w:rsidR="00881B9D" w:rsidRPr="00100776">
        <w:rPr>
          <w:color w:val="000000" w:themeColor="text1"/>
          <w:lang w:val="en-GB"/>
        </w:rPr>
        <w:t>–</w:t>
      </w:r>
      <w:r w:rsidRPr="00100776">
        <w:rPr>
          <w:color w:val="000000" w:themeColor="text1"/>
          <w:lang w:val="en-GB"/>
        </w:rPr>
        <w:t>282. https://doi.org/10.1017/S0265051708008103</w:t>
      </w:r>
    </w:p>
    <w:p w14:paraId="13C3D7E4" w14:textId="677738E6" w:rsidR="00541D33" w:rsidRPr="00100776" w:rsidRDefault="00541D33" w:rsidP="00CB7B5E">
      <w:pPr>
        <w:spacing w:after="0"/>
        <w:ind w:left="720" w:hanging="720"/>
        <w:rPr>
          <w:color w:val="000000" w:themeColor="text1"/>
          <w:lang w:val="en-GB"/>
        </w:rPr>
      </w:pPr>
      <w:r w:rsidRPr="00100776">
        <w:rPr>
          <w:color w:val="000000" w:themeColor="text1"/>
          <w:lang w:val="en-GB"/>
        </w:rPr>
        <w:t xml:space="preserve">Law, W. W., &amp; Ho, W. C. (2004). </w:t>
      </w:r>
      <w:r w:rsidR="00566D1A" w:rsidRPr="00100776">
        <w:rPr>
          <w:color w:val="000000" w:themeColor="text1"/>
          <w:lang w:val="en-GB"/>
        </w:rPr>
        <w:t xml:space="preserve">Values education in Hong Kong school music education: A sociological critique. </w:t>
      </w:r>
      <w:r w:rsidR="00566D1A" w:rsidRPr="00100776">
        <w:rPr>
          <w:i/>
          <w:color w:val="000000" w:themeColor="text1"/>
          <w:lang w:val="en-GB"/>
        </w:rPr>
        <w:t>British Journal of Music Education</w:t>
      </w:r>
      <w:r w:rsidR="00566D1A" w:rsidRPr="00100776">
        <w:rPr>
          <w:color w:val="000000" w:themeColor="text1"/>
          <w:lang w:val="en-GB"/>
        </w:rPr>
        <w:t>,</w:t>
      </w:r>
      <w:r w:rsidR="00566D1A" w:rsidRPr="00100776">
        <w:rPr>
          <w:i/>
          <w:color w:val="000000" w:themeColor="text1"/>
          <w:lang w:val="en-GB"/>
        </w:rPr>
        <w:t xml:space="preserve"> 52</w:t>
      </w:r>
      <w:r w:rsidR="00566D1A" w:rsidRPr="00100776">
        <w:rPr>
          <w:color w:val="000000" w:themeColor="text1"/>
          <w:lang w:val="en-GB"/>
        </w:rPr>
        <w:t>(1), 65</w:t>
      </w:r>
      <w:r w:rsidR="00881B9D" w:rsidRPr="00100776">
        <w:rPr>
          <w:color w:val="000000" w:themeColor="text1"/>
          <w:lang w:val="en-GB"/>
        </w:rPr>
        <w:t>–</w:t>
      </w:r>
      <w:r w:rsidR="00566D1A" w:rsidRPr="00100776">
        <w:rPr>
          <w:color w:val="000000" w:themeColor="text1"/>
          <w:lang w:val="en-GB"/>
        </w:rPr>
        <w:t>82.</w:t>
      </w:r>
      <w:r w:rsidR="00457650" w:rsidRPr="00100776">
        <w:rPr>
          <w:lang w:val="en-GB"/>
        </w:rPr>
        <w:t xml:space="preserve"> </w:t>
      </w:r>
      <w:r w:rsidR="00457650" w:rsidRPr="00100776">
        <w:rPr>
          <w:color w:val="000000" w:themeColor="text1"/>
          <w:lang w:val="en-GB"/>
        </w:rPr>
        <w:t>https://doi.org/10.1111/j.1467-8527.2004.00255.x</w:t>
      </w:r>
    </w:p>
    <w:p w14:paraId="40276502" w14:textId="117B4A31" w:rsidR="00FC4B5A" w:rsidRPr="00100776" w:rsidRDefault="00FC4B5A" w:rsidP="00CB7B5E">
      <w:pPr>
        <w:spacing w:after="0"/>
        <w:ind w:left="720" w:hanging="720"/>
        <w:rPr>
          <w:color w:val="000000" w:themeColor="text1"/>
          <w:lang w:val="en-GB"/>
        </w:rPr>
      </w:pPr>
      <w:r w:rsidRPr="00100776">
        <w:rPr>
          <w:color w:val="000000" w:themeColor="text1"/>
          <w:lang w:val="en-GB"/>
        </w:rPr>
        <w:t xml:space="preserve">Law, W. W., &amp; Ho, W. C. (2006). Culture, music education and the state in Hong Kong and Taiwan in a global age. </w:t>
      </w:r>
      <w:r w:rsidRPr="00100776">
        <w:rPr>
          <w:i/>
          <w:iCs/>
          <w:color w:val="000000" w:themeColor="text1"/>
          <w:lang w:val="en-GB"/>
        </w:rPr>
        <w:t>Bulletin of the Council for Research in Music Education, 169</w:t>
      </w:r>
      <w:r w:rsidRPr="00100776">
        <w:rPr>
          <w:color w:val="000000" w:themeColor="text1"/>
          <w:lang w:val="en-GB"/>
        </w:rPr>
        <w:t>, 63–77.</w:t>
      </w:r>
    </w:p>
    <w:p w14:paraId="69898C00" w14:textId="0B2C5E39" w:rsidR="00E121D5" w:rsidRPr="00100776" w:rsidRDefault="00E121D5" w:rsidP="00CB7B5E">
      <w:pPr>
        <w:spacing w:after="0"/>
        <w:ind w:left="720" w:hanging="720"/>
        <w:rPr>
          <w:color w:val="000000" w:themeColor="text1"/>
          <w:lang w:val="en-GB"/>
        </w:rPr>
      </w:pPr>
      <w:r w:rsidRPr="00100776">
        <w:rPr>
          <w:color w:val="000000" w:themeColor="text1"/>
          <w:lang w:val="en-GB"/>
        </w:rPr>
        <w:t xml:space="preserve">Lee, C. K. C., &amp; Leung, B. W. (2020). Factors in the motivations of studio-based musical instrument learners in Hong Kong: An in-depth interview study. </w:t>
      </w:r>
      <w:r w:rsidRPr="00100776">
        <w:rPr>
          <w:i/>
          <w:iCs/>
          <w:color w:val="000000" w:themeColor="text1"/>
          <w:lang w:val="en-GB"/>
        </w:rPr>
        <w:t>International Journal of Music Education</w:t>
      </w:r>
      <w:r w:rsidRPr="00100776">
        <w:rPr>
          <w:iCs/>
          <w:color w:val="000000" w:themeColor="text1"/>
          <w:lang w:val="en-GB"/>
        </w:rPr>
        <w:t xml:space="preserve">, </w:t>
      </w:r>
      <w:r w:rsidRPr="00100776">
        <w:rPr>
          <w:i/>
          <w:iCs/>
          <w:color w:val="000000" w:themeColor="text1"/>
          <w:lang w:val="en-GB"/>
        </w:rPr>
        <w:t>38</w:t>
      </w:r>
      <w:r w:rsidRPr="00100776">
        <w:rPr>
          <w:color w:val="000000" w:themeColor="text1"/>
          <w:lang w:val="en-GB"/>
        </w:rPr>
        <w:t>(3), 400</w:t>
      </w:r>
      <w:r w:rsidR="00881B9D" w:rsidRPr="00100776">
        <w:rPr>
          <w:color w:val="000000" w:themeColor="text1"/>
          <w:lang w:val="en-GB"/>
        </w:rPr>
        <w:t>–</w:t>
      </w:r>
      <w:r w:rsidRPr="00100776">
        <w:rPr>
          <w:color w:val="000000" w:themeColor="text1"/>
          <w:lang w:val="en-GB"/>
        </w:rPr>
        <w:t>414. https://doi.org/10.1177/0255761420926663</w:t>
      </w:r>
    </w:p>
    <w:p w14:paraId="62B95FED" w14:textId="531D5437" w:rsidR="004958CE" w:rsidRPr="00100776" w:rsidRDefault="004958CE" w:rsidP="00CB7B5E">
      <w:pPr>
        <w:spacing w:after="0"/>
        <w:ind w:left="720" w:hanging="720"/>
        <w:rPr>
          <w:color w:val="000000" w:themeColor="text1"/>
          <w:lang w:val="en-GB"/>
        </w:rPr>
      </w:pPr>
      <w:r w:rsidRPr="00100776">
        <w:rPr>
          <w:color w:val="000000" w:themeColor="text1"/>
          <w:lang w:val="en-GB"/>
        </w:rPr>
        <w:t xml:space="preserve">Leong, S., &amp; Cheng, L. (2014). Effects of real-time visual feedback on pre-service teachers’ singing. </w:t>
      </w:r>
      <w:r w:rsidRPr="00100776">
        <w:rPr>
          <w:i/>
          <w:iCs/>
          <w:color w:val="000000" w:themeColor="text1"/>
          <w:lang w:val="en-GB"/>
        </w:rPr>
        <w:t>Journal of Computer Assisted Learning, 30</w:t>
      </w:r>
      <w:r w:rsidRPr="00100776">
        <w:rPr>
          <w:color w:val="000000" w:themeColor="text1"/>
          <w:lang w:val="en-GB"/>
        </w:rPr>
        <w:t>(3), 285–296. https://doi.org/10.1111/jcal.12046</w:t>
      </w:r>
    </w:p>
    <w:p w14:paraId="0400BA2A" w14:textId="77B7D6D3" w:rsidR="00FA1987" w:rsidRPr="00100776" w:rsidRDefault="00FA1987" w:rsidP="00CB7B5E">
      <w:pPr>
        <w:spacing w:after="0"/>
        <w:ind w:left="720" w:hanging="720"/>
        <w:rPr>
          <w:color w:val="000000" w:themeColor="text1"/>
          <w:lang w:val="en-GB"/>
        </w:rPr>
      </w:pPr>
      <w:r w:rsidRPr="00100776">
        <w:rPr>
          <w:color w:val="000000" w:themeColor="text1"/>
          <w:lang w:val="en-GB"/>
        </w:rPr>
        <w:lastRenderedPageBreak/>
        <w:t xml:space="preserve">Leung, B. W. (1997). Creative music-making in Hong Kong secondary schools: The present situation and the development of a model for future practice. In E. Choi &amp; M.S. </w:t>
      </w:r>
      <w:proofErr w:type="spellStart"/>
      <w:r w:rsidRPr="00100776">
        <w:rPr>
          <w:color w:val="000000" w:themeColor="text1"/>
          <w:lang w:val="en-GB"/>
        </w:rPr>
        <w:t>Auh</w:t>
      </w:r>
      <w:proofErr w:type="spellEnd"/>
      <w:r w:rsidRPr="00100776">
        <w:rPr>
          <w:color w:val="000000" w:themeColor="text1"/>
          <w:lang w:val="en-GB"/>
        </w:rPr>
        <w:t xml:space="preserve"> (Eds.), </w:t>
      </w:r>
      <w:r w:rsidRPr="00100776">
        <w:rPr>
          <w:i/>
          <w:color w:val="000000" w:themeColor="text1"/>
          <w:lang w:val="en-GB"/>
        </w:rPr>
        <w:t xml:space="preserve">Proceedings of </w:t>
      </w:r>
      <w:r w:rsidR="00B427D4" w:rsidRPr="00100776">
        <w:rPr>
          <w:i/>
          <w:color w:val="000000" w:themeColor="text1"/>
          <w:lang w:val="en-GB"/>
        </w:rPr>
        <w:t>the</w:t>
      </w:r>
      <w:r w:rsidRPr="00100776">
        <w:rPr>
          <w:i/>
          <w:color w:val="000000" w:themeColor="text1"/>
          <w:lang w:val="en-GB"/>
        </w:rPr>
        <w:t xml:space="preserve"> 1st Asia-Pacific Symposium on Music Education Research</w:t>
      </w:r>
      <w:r w:rsidRPr="00100776">
        <w:rPr>
          <w:color w:val="000000" w:themeColor="text1"/>
          <w:lang w:val="en-GB"/>
        </w:rPr>
        <w:t xml:space="preserve"> (pp. 387</w:t>
      </w:r>
      <w:r w:rsidR="00881B9D" w:rsidRPr="00100776">
        <w:rPr>
          <w:color w:val="000000" w:themeColor="text1"/>
          <w:lang w:val="en-GB"/>
        </w:rPr>
        <w:t>–</w:t>
      </w:r>
      <w:r w:rsidRPr="00100776">
        <w:rPr>
          <w:color w:val="000000" w:themeColor="text1"/>
          <w:lang w:val="en-GB"/>
        </w:rPr>
        <w:t>397). Korean Music Education Society.</w:t>
      </w:r>
    </w:p>
    <w:p w14:paraId="2AF2905D" w14:textId="2AF9301B" w:rsidR="00FA1987" w:rsidRPr="00100776" w:rsidRDefault="00FA1987" w:rsidP="00CB7B5E">
      <w:pPr>
        <w:spacing w:after="0"/>
        <w:ind w:left="720" w:hanging="720"/>
        <w:rPr>
          <w:color w:val="000000" w:themeColor="text1"/>
          <w:lang w:val="en-GB"/>
        </w:rPr>
      </w:pPr>
      <w:r w:rsidRPr="00100776">
        <w:rPr>
          <w:color w:val="000000" w:themeColor="text1"/>
          <w:lang w:val="en-GB"/>
        </w:rPr>
        <w:t xml:space="preserve">Leung, B. W. (2001). Sequential teaching for creative music making in Hong Kong secondary schools: A proposed model. In T. T. </w:t>
      </w:r>
      <w:proofErr w:type="spellStart"/>
      <w:r w:rsidRPr="00100776">
        <w:rPr>
          <w:color w:val="000000" w:themeColor="text1"/>
          <w:lang w:val="en-GB"/>
        </w:rPr>
        <w:t>Murao</w:t>
      </w:r>
      <w:proofErr w:type="spellEnd"/>
      <w:r w:rsidRPr="00100776">
        <w:rPr>
          <w:color w:val="000000" w:themeColor="text1"/>
          <w:lang w:val="en-GB"/>
        </w:rPr>
        <w:t xml:space="preserve">, Y. Minami &amp; M. </w:t>
      </w:r>
      <w:proofErr w:type="spellStart"/>
      <w:r w:rsidRPr="00100776">
        <w:rPr>
          <w:color w:val="000000" w:themeColor="text1"/>
          <w:lang w:val="en-GB"/>
        </w:rPr>
        <w:t>Shinzanoh</w:t>
      </w:r>
      <w:proofErr w:type="spellEnd"/>
      <w:r w:rsidRPr="00100776">
        <w:rPr>
          <w:color w:val="000000" w:themeColor="text1"/>
          <w:lang w:val="en-GB"/>
        </w:rPr>
        <w:t xml:space="preserve"> (Eds.), </w:t>
      </w:r>
      <w:r w:rsidRPr="00100776">
        <w:rPr>
          <w:i/>
          <w:color w:val="000000" w:themeColor="text1"/>
          <w:lang w:val="en-GB"/>
        </w:rPr>
        <w:t xml:space="preserve">Proceedings of </w:t>
      </w:r>
      <w:r w:rsidR="00B427D4" w:rsidRPr="00100776">
        <w:rPr>
          <w:i/>
          <w:color w:val="000000" w:themeColor="text1"/>
          <w:lang w:val="en-GB"/>
        </w:rPr>
        <w:t>the</w:t>
      </w:r>
      <w:r w:rsidRPr="00100776">
        <w:rPr>
          <w:i/>
          <w:color w:val="000000" w:themeColor="text1"/>
          <w:lang w:val="en-GB"/>
        </w:rPr>
        <w:t xml:space="preserve"> 3rd Asia-Pacific Symposium on Music Education Research</w:t>
      </w:r>
      <w:r w:rsidRPr="00100776">
        <w:rPr>
          <w:color w:val="000000" w:themeColor="text1"/>
          <w:lang w:val="en-GB"/>
        </w:rPr>
        <w:t xml:space="preserve">, </w:t>
      </w:r>
      <w:r w:rsidRPr="00100776">
        <w:rPr>
          <w:i/>
          <w:color w:val="000000" w:themeColor="text1"/>
          <w:lang w:val="en-GB"/>
        </w:rPr>
        <w:t>Vol. 1</w:t>
      </w:r>
      <w:r w:rsidRPr="00100776">
        <w:rPr>
          <w:color w:val="000000" w:themeColor="text1"/>
          <w:lang w:val="en-GB"/>
        </w:rPr>
        <w:t xml:space="preserve"> (pp. 47</w:t>
      </w:r>
      <w:r w:rsidR="00881B9D" w:rsidRPr="00100776">
        <w:rPr>
          <w:color w:val="000000" w:themeColor="text1"/>
          <w:lang w:val="en-GB"/>
        </w:rPr>
        <w:t>–</w:t>
      </w:r>
      <w:r w:rsidRPr="00100776">
        <w:rPr>
          <w:color w:val="000000" w:themeColor="text1"/>
          <w:lang w:val="en-GB"/>
        </w:rPr>
        <w:t>52). Aichi University of Education.</w:t>
      </w:r>
    </w:p>
    <w:p w14:paraId="5E848367" w14:textId="18E4B07C" w:rsidR="00C06468" w:rsidRPr="00100776" w:rsidRDefault="00FA1987" w:rsidP="00C06468">
      <w:pPr>
        <w:spacing w:after="0"/>
        <w:ind w:left="720" w:hanging="720"/>
        <w:rPr>
          <w:color w:val="000000" w:themeColor="text1"/>
          <w:lang w:val="en-GB"/>
        </w:rPr>
      </w:pPr>
      <w:r w:rsidRPr="00100776">
        <w:rPr>
          <w:color w:val="000000" w:themeColor="text1"/>
          <w:lang w:val="en-GB"/>
        </w:rPr>
        <w:t xml:space="preserve">Leung, B. W. (2014). Teachers’ transformation as learning: Teaching Cantonese opera in Hong Kong schools with a teacher-artist partnership. </w:t>
      </w:r>
      <w:r w:rsidRPr="00100776">
        <w:rPr>
          <w:i/>
          <w:color w:val="000000" w:themeColor="text1"/>
          <w:lang w:val="en-GB"/>
        </w:rPr>
        <w:t>International Journal of Music Education</w:t>
      </w:r>
      <w:r w:rsidRPr="00100776">
        <w:rPr>
          <w:color w:val="000000" w:themeColor="text1"/>
          <w:lang w:val="en-GB"/>
        </w:rPr>
        <w:t>,</w:t>
      </w:r>
      <w:r w:rsidRPr="00100776">
        <w:rPr>
          <w:i/>
          <w:color w:val="000000" w:themeColor="text1"/>
          <w:lang w:val="en-GB"/>
        </w:rPr>
        <w:t xml:space="preserve"> 32</w:t>
      </w:r>
      <w:r w:rsidRPr="00100776">
        <w:rPr>
          <w:color w:val="000000" w:themeColor="text1"/>
          <w:lang w:val="en-GB"/>
        </w:rPr>
        <w:t>(1), 119</w:t>
      </w:r>
      <w:r w:rsidR="00881B9D" w:rsidRPr="00100776">
        <w:rPr>
          <w:color w:val="000000" w:themeColor="text1"/>
          <w:lang w:val="en-GB"/>
        </w:rPr>
        <w:t>–</w:t>
      </w:r>
      <w:r w:rsidRPr="00100776">
        <w:rPr>
          <w:color w:val="000000" w:themeColor="text1"/>
          <w:lang w:val="en-GB"/>
        </w:rPr>
        <w:t>131.</w:t>
      </w:r>
      <w:r w:rsidR="00ED76A8" w:rsidRPr="00100776">
        <w:t xml:space="preserve"> </w:t>
      </w:r>
      <w:r w:rsidR="00ED76A8" w:rsidRPr="00100776">
        <w:rPr>
          <w:color w:val="000000" w:themeColor="text1"/>
          <w:lang w:val="en-GB"/>
        </w:rPr>
        <w:t>https://doi.org/10.1177/0255761413491174</w:t>
      </w:r>
    </w:p>
    <w:p w14:paraId="5BE4E595" w14:textId="777E880B" w:rsidR="00351AA7" w:rsidRPr="00100776" w:rsidRDefault="00351AA7" w:rsidP="00C06468">
      <w:pPr>
        <w:spacing w:after="0"/>
        <w:ind w:left="720" w:hanging="720"/>
        <w:rPr>
          <w:lang w:val="en-GB"/>
        </w:rPr>
      </w:pPr>
      <w:r w:rsidRPr="00100776">
        <w:rPr>
          <w:lang w:val="en-GB"/>
        </w:rPr>
        <w:t xml:space="preserve">Leung, B. W. (2017). School music education in Hong Kong after returning to China: Policy, curriculum, and teaching practice. In G. Barton &amp; M. Baguley (Eds.), </w:t>
      </w:r>
      <w:r w:rsidRPr="00100776">
        <w:rPr>
          <w:i/>
          <w:iCs/>
          <w:lang w:val="en-GB"/>
        </w:rPr>
        <w:t xml:space="preserve">The Palgrave </w:t>
      </w:r>
      <w:r w:rsidR="00B427D4" w:rsidRPr="00100776">
        <w:rPr>
          <w:i/>
          <w:iCs/>
          <w:lang w:val="en-GB"/>
        </w:rPr>
        <w:t>h</w:t>
      </w:r>
      <w:r w:rsidRPr="00100776">
        <w:rPr>
          <w:i/>
          <w:iCs/>
          <w:lang w:val="en-GB"/>
        </w:rPr>
        <w:t xml:space="preserve">andbook of </w:t>
      </w:r>
      <w:r w:rsidR="00B427D4" w:rsidRPr="00100776">
        <w:rPr>
          <w:i/>
          <w:iCs/>
          <w:lang w:val="en-GB"/>
        </w:rPr>
        <w:t>g</w:t>
      </w:r>
      <w:r w:rsidRPr="00100776">
        <w:rPr>
          <w:i/>
          <w:iCs/>
          <w:lang w:val="en-GB"/>
        </w:rPr>
        <w:t xml:space="preserve">lobal </w:t>
      </w:r>
      <w:r w:rsidR="00B427D4" w:rsidRPr="00100776">
        <w:rPr>
          <w:i/>
          <w:iCs/>
          <w:lang w:val="en-GB"/>
        </w:rPr>
        <w:t>a</w:t>
      </w:r>
      <w:r w:rsidRPr="00100776">
        <w:rPr>
          <w:i/>
          <w:iCs/>
          <w:lang w:val="en-GB"/>
        </w:rPr>
        <w:t xml:space="preserve">rts </w:t>
      </w:r>
      <w:r w:rsidR="00B427D4" w:rsidRPr="00100776">
        <w:rPr>
          <w:i/>
          <w:iCs/>
          <w:lang w:val="en-GB"/>
        </w:rPr>
        <w:t>e</w:t>
      </w:r>
      <w:r w:rsidRPr="00100776">
        <w:rPr>
          <w:i/>
          <w:iCs/>
          <w:lang w:val="en-GB"/>
        </w:rPr>
        <w:t>ducation</w:t>
      </w:r>
      <w:r w:rsidRPr="00100776">
        <w:rPr>
          <w:lang w:val="en-GB"/>
        </w:rPr>
        <w:t xml:space="preserve"> (pp. 203</w:t>
      </w:r>
      <w:r w:rsidR="00881B9D" w:rsidRPr="00100776">
        <w:rPr>
          <w:color w:val="000000" w:themeColor="text1"/>
          <w:lang w:val="en-GB"/>
        </w:rPr>
        <w:t>–</w:t>
      </w:r>
      <w:r w:rsidRPr="00100776">
        <w:rPr>
          <w:lang w:val="en-GB"/>
        </w:rPr>
        <w:t>217). Palgrave Macmillan.</w:t>
      </w:r>
    </w:p>
    <w:p w14:paraId="2AADA7C8" w14:textId="4F64AAA4" w:rsidR="00696DB3" w:rsidRPr="00100776" w:rsidRDefault="00696DB3" w:rsidP="00C06468">
      <w:pPr>
        <w:spacing w:after="0"/>
        <w:ind w:left="720" w:hanging="720"/>
        <w:rPr>
          <w:lang w:val="en-GB"/>
        </w:rPr>
      </w:pPr>
      <w:r w:rsidRPr="00100776">
        <w:rPr>
          <w:lang w:val="en-GB"/>
        </w:rPr>
        <w:t xml:space="preserve">Leung, B. W. (2020). A proposed model of transmission of Cantonese opera in Hong Kong higher education: From oral tradition to conservatoire. </w:t>
      </w:r>
      <w:r w:rsidRPr="00100776">
        <w:rPr>
          <w:i/>
          <w:iCs/>
          <w:lang w:val="en-GB"/>
        </w:rPr>
        <w:t>Arts and Humanities in Higher Education, 19</w:t>
      </w:r>
      <w:r w:rsidRPr="00100776">
        <w:rPr>
          <w:lang w:val="en-GB"/>
        </w:rPr>
        <w:t>(2), 144</w:t>
      </w:r>
      <w:r w:rsidRPr="00100776">
        <w:rPr>
          <w:color w:val="000000" w:themeColor="text1"/>
          <w:lang w:val="en-GB"/>
        </w:rPr>
        <w:t>–</w:t>
      </w:r>
      <w:r w:rsidRPr="00100776">
        <w:rPr>
          <w:lang w:val="en-GB"/>
        </w:rPr>
        <w:t>166. https://doi.org/10.1177/1474022218791465</w:t>
      </w:r>
    </w:p>
    <w:p w14:paraId="3BFDF07C" w14:textId="4E4AE7DB" w:rsidR="003D2B87" w:rsidRPr="00100776" w:rsidRDefault="003D2B87" w:rsidP="00C06468">
      <w:pPr>
        <w:spacing w:after="0"/>
        <w:ind w:left="720" w:hanging="720"/>
        <w:rPr>
          <w:lang w:val="en-GB"/>
        </w:rPr>
      </w:pPr>
      <w:r w:rsidRPr="00100776">
        <w:rPr>
          <w:lang w:val="en-GB"/>
        </w:rPr>
        <w:t xml:space="preserve">Leung, B. W. (2021). Transmission of Cantonese opera in school music education: </w:t>
      </w:r>
      <w:r w:rsidR="006A3E42" w:rsidRPr="00100776">
        <w:rPr>
          <w:lang w:val="en-GB"/>
        </w:rPr>
        <w:t>A</w:t>
      </w:r>
      <w:r w:rsidRPr="00100776">
        <w:rPr>
          <w:lang w:val="en-GB"/>
        </w:rPr>
        <w:t xml:space="preserve"> survey of Hong Kong and Guangdong music teachers for policy review. </w:t>
      </w:r>
      <w:r w:rsidRPr="00100776">
        <w:rPr>
          <w:i/>
          <w:iCs/>
          <w:lang w:val="en-GB"/>
        </w:rPr>
        <w:t>Arts Education Policy Review.</w:t>
      </w:r>
      <w:r w:rsidRPr="00100776">
        <w:rPr>
          <w:lang w:val="en-GB"/>
        </w:rPr>
        <w:t xml:space="preserve"> Advanced online publication. https://doi.org/10.1080/10632913.2021.1992325</w:t>
      </w:r>
    </w:p>
    <w:p w14:paraId="68916DA7" w14:textId="471202B0" w:rsidR="00C410A3" w:rsidRPr="00100776" w:rsidRDefault="00C410A3" w:rsidP="00C06468">
      <w:pPr>
        <w:spacing w:after="0"/>
        <w:ind w:left="720" w:hanging="720"/>
        <w:rPr>
          <w:lang w:val="en-GB"/>
        </w:rPr>
      </w:pPr>
      <w:r w:rsidRPr="00100776">
        <w:rPr>
          <w:lang w:val="en-GB"/>
        </w:rPr>
        <w:t xml:space="preserve">Leung, B. W., &amp; Fung, C. V. (2022). Perceptions surrounding the development of personal style in Cantonese opera among artists, connoisseurs, and beginner audiences in Hong Kong. </w:t>
      </w:r>
      <w:r w:rsidRPr="00100776">
        <w:rPr>
          <w:i/>
          <w:iCs/>
          <w:lang w:val="en-GB"/>
        </w:rPr>
        <w:t>Psychology of music</w:t>
      </w:r>
      <w:r w:rsidRPr="00100776">
        <w:rPr>
          <w:lang w:val="en-GB"/>
        </w:rPr>
        <w:t xml:space="preserve">. Advanced online publication. </w:t>
      </w:r>
      <w:r w:rsidR="007012CC" w:rsidRPr="00100776">
        <w:rPr>
          <w:lang w:val="en-GB"/>
        </w:rPr>
        <w:t>https://doi.org/10.1177/03057356221091599</w:t>
      </w:r>
    </w:p>
    <w:p w14:paraId="50C6EBD8" w14:textId="2B3698D2" w:rsidR="00FA1987" w:rsidRPr="00100776" w:rsidRDefault="00FA1987" w:rsidP="00C06468">
      <w:pPr>
        <w:spacing w:after="0"/>
        <w:ind w:left="720" w:hanging="720"/>
        <w:rPr>
          <w:color w:val="000000" w:themeColor="text1"/>
          <w:lang w:val="en-GB"/>
        </w:rPr>
      </w:pPr>
      <w:r w:rsidRPr="00100776">
        <w:rPr>
          <w:lang w:val="en-GB"/>
        </w:rPr>
        <w:t xml:space="preserve">Leung, B. W., &amp; Leung, E. C. K. (2010). Teacher-artist partnership in teaching Cantonese opera in Hong Kong schools: Student transformation. </w:t>
      </w:r>
      <w:r w:rsidRPr="00100776">
        <w:rPr>
          <w:i/>
          <w:lang w:val="en-GB"/>
        </w:rPr>
        <w:t>International Journal of Education &amp; the Arts</w:t>
      </w:r>
      <w:r w:rsidRPr="00100776">
        <w:rPr>
          <w:lang w:val="en-GB"/>
        </w:rPr>
        <w:t>,</w:t>
      </w:r>
      <w:r w:rsidRPr="00100776">
        <w:rPr>
          <w:i/>
          <w:lang w:val="en-GB"/>
        </w:rPr>
        <w:t xml:space="preserve"> 11</w:t>
      </w:r>
      <w:r w:rsidRPr="00100776">
        <w:rPr>
          <w:lang w:val="en-GB"/>
        </w:rPr>
        <w:t>(5). Retrieved from http://www.ijea.org/v11n5/</w:t>
      </w:r>
    </w:p>
    <w:p w14:paraId="7A5295A8" w14:textId="0DEDA92E" w:rsidR="00FA1987" w:rsidRPr="00100776" w:rsidRDefault="00FA1987" w:rsidP="00CB7B5E">
      <w:pPr>
        <w:spacing w:after="0"/>
        <w:ind w:left="720" w:hanging="720"/>
        <w:rPr>
          <w:lang w:val="en-GB"/>
        </w:rPr>
      </w:pPr>
      <w:r w:rsidRPr="00100776">
        <w:rPr>
          <w:lang w:val="en-GB"/>
        </w:rPr>
        <w:t xml:space="preserve">Leung, B. W., &amp; McPherson, G. E. (2010). Students’ motivation in studying music: The Hong Kong context. </w:t>
      </w:r>
      <w:r w:rsidRPr="00100776">
        <w:rPr>
          <w:i/>
          <w:lang w:val="en-GB"/>
        </w:rPr>
        <w:t>Research Studies in Music Education</w:t>
      </w:r>
      <w:r w:rsidRPr="00100776">
        <w:rPr>
          <w:lang w:val="en-GB"/>
        </w:rPr>
        <w:t xml:space="preserve">, </w:t>
      </w:r>
      <w:r w:rsidRPr="00100776">
        <w:rPr>
          <w:i/>
          <w:lang w:val="en-GB"/>
        </w:rPr>
        <w:t>32</w:t>
      </w:r>
      <w:r w:rsidRPr="00100776">
        <w:rPr>
          <w:lang w:val="en-GB"/>
        </w:rPr>
        <w:t>(2), 155</w:t>
      </w:r>
      <w:r w:rsidR="00881B9D" w:rsidRPr="00100776">
        <w:rPr>
          <w:color w:val="000000" w:themeColor="text1"/>
          <w:lang w:val="en-GB"/>
        </w:rPr>
        <w:t>–</w:t>
      </w:r>
      <w:r w:rsidRPr="00100776">
        <w:rPr>
          <w:lang w:val="en-GB"/>
        </w:rPr>
        <w:t>168.</w:t>
      </w:r>
      <w:r w:rsidR="00E45E10" w:rsidRPr="00100776">
        <w:t xml:space="preserve"> </w:t>
      </w:r>
      <w:r w:rsidR="00E45E10" w:rsidRPr="00100776">
        <w:rPr>
          <w:lang w:val="en-GB"/>
        </w:rPr>
        <w:t>https://doi.org/10.1177/1321103X10384205</w:t>
      </w:r>
    </w:p>
    <w:p w14:paraId="49308D00" w14:textId="576E5D1B" w:rsidR="00447FA6" w:rsidRPr="00100776" w:rsidRDefault="00447FA6" w:rsidP="00CB7B5E">
      <w:pPr>
        <w:spacing w:after="0"/>
        <w:ind w:left="720" w:hanging="720"/>
        <w:rPr>
          <w:color w:val="FF0000"/>
          <w:lang w:val="en-GB"/>
        </w:rPr>
      </w:pPr>
      <w:r w:rsidRPr="00100776">
        <w:rPr>
          <w:lang w:val="en-GB"/>
        </w:rPr>
        <w:t xml:space="preserve">Leung, C. C. (2003). Extra-curricular music activities in Hong Kong secondary schools. </w:t>
      </w:r>
      <w:r w:rsidRPr="00100776">
        <w:rPr>
          <w:i/>
          <w:iCs/>
          <w:lang w:val="en-GB"/>
        </w:rPr>
        <w:t>Music Education Research</w:t>
      </w:r>
      <w:r w:rsidRPr="00100776">
        <w:rPr>
          <w:iCs/>
          <w:lang w:val="en-GB"/>
        </w:rPr>
        <w:t>,</w:t>
      </w:r>
      <w:r w:rsidRPr="00100776">
        <w:rPr>
          <w:i/>
          <w:iCs/>
          <w:lang w:val="en-GB"/>
        </w:rPr>
        <w:t xml:space="preserve"> 5</w:t>
      </w:r>
      <w:r w:rsidRPr="00100776">
        <w:rPr>
          <w:lang w:val="en-GB"/>
        </w:rPr>
        <w:t>(2), 183</w:t>
      </w:r>
      <w:r w:rsidR="00881B9D" w:rsidRPr="00100776">
        <w:rPr>
          <w:color w:val="000000" w:themeColor="text1"/>
          <w:lang w:val="en-GB"/>
        </w:rPr>
        <w:t>–</w:t>
      </w:r>
      <w:r w:rsidRPr="00100776">
        <w:rPr>
          <w:lang w:val="en-GB"/>
        </w:rPr>
        <w:t xml:space="preserve">197. </w:t>
      </w:r>
      <w:r w:rsidR="00BC1007" w:rsidRPr="00100776">
        <w:rPr>
          <w:lang w:val="en-GB"/>
        </w:rPr>
        <w:t>https://doi.org/10.1080/1461380032000085559</w:t>
      </w:r>
    </w:p>
    <w:p w14:paraId="404CBA20" w14:textId="78A4C4CC" w:rsidR="00D4346E" w:rsidRPr="00100776" w:rsidRDefault="00D4346E" w:rsidP="00CB7B5E">
      <w:pPr>
        <w:spacing w:after="0"/>
        <w:ind w:left="720" w:hanging="720"/>
        <w:rPr>
          <w:lang w:val="en-GB"/>
        </w:rPr>
      </w:pPr>
      <w:r w:rsidRPr="00100776">
        <w:rPr>
          <w:lang w:val="en-GB"/>
        </w:rPr>
        <w:t xml:space="preserve">Leung, C. C., So, A., </w:t>
      </w:r>
      <w:r w:rsidR="005B5E62" w:rsidRPr="00100776">
        <w:rPr>
          <w:lang w:val="en-GB"/>
        </w:rPr>
        <w:t xml:space="preserve">&amp; </w:t>
      </w:r>
      <w:r w:rsidRPr="00100776">
        <w:rPr>
          <w:lang w:val="en-GB"/>
        </w:rPr>
        <w:t xml:space="preserve">Lee, A. (2008). Factors affecting Hong Kong students to study music in senior secondary schools. In </w:t>
      </w:r>
      <w:r w:rsidR="00A7412A" w:rsidRPr="00100776">
        <w:rPr>
          <w:lang w:val="en-GB"/>
        </w:rPr>
        <w:t xml:space="preserve">N. </w:t>
      </w:r>
      <w:proofErr w:type="spellStart"/>
      <w:r w:rsidR="00A7412A" w:rsidRPr="00100776">
        <w:rPr>
          <w:lang w:val="en-GB"/>
        </w:rPr>
        <w:t>Jeanneret</w:t>
      </w:r>
      <w:proofErr w:type="spellEnd"/>
      <w:r w:rsidR="00A7412A" w:rsidRPr="00100776">
        <w:rPr>
          <w:lang w:val="en-GB"/>
        </w:rPr>
        <w:t xml:space="preserve"> &amp; D. Forrest </w:t>
      </w:r>
      <w:r w:rsidRPr="00100776">
        <w:rPr>
          <w:lang w:val="en-GB"/>
        </w:rPr>
        <w:t xml:space="preserve">(Eds.), </w:t>
      </w:r>
      <w:r w:rsidRPr="00100776">
        <w:rPr>
          <w:i/>
          <w:iCs/>
          <w:lang w:val="en-GB"/>
        </w:rPr>
        <w:t xml:space="preserve">Proceedings of the </w:t>
      </w:r>
      <w:r w:rsidR="00A7412A" w:rsidRPr="00100776">
        <w:rPr>
          <w:i/>
          <w:iCs/>
          <w:lang w:val="en-GB"/>
        </w:rPr>
        <w:t>14</w:t>
      </w:r>
      <w:r w:rsidRPr="00100776">
        <w:rPr>
          <w:i/>
          <w:iCs/>
          <w:lang w:val="en-GB"/>
        </w:rPr>
        <w:t>th International Seminar of the ISME Commission on Music Policy: Culture, Education and Media</w:t>
      </w:r>
      <w:r w:rsidRPr="00100776">
        <w:rPr>
          <w:lang w:val="en-GB"/>
        </w:rPr>
        <w:t xml:space="preserve"> (pp. </w:t>
      </w:r>
      <w:r w:rsidR="00A7412A" w:rsidRPr="00100776">
        <w:rPr>
          <w:lang w:val="en-GB"/>
        </w:rPr>
        <w:t>44</w:t>
      </w:r>
      <w:r w:rsidR="00881B9D" w:rsidRPr="00100776">
        <w:rPr>
          <w:color w:val="000000" w:themeColor="text1"/>
          <w:lang w:val="en-GB"/>
        </w:rPr>
        <w:t>–</w:t>
      </w:r>
      <w:r w:rsidR="00A7412A" w:rsidRPr="00100776">
        <w:rPr>
          <w:lang w:val="en-GB"/>
        </w:rPr>
        <w:t>49</w:t>
      </w:r>
      <w:r w:rsidRPr="00100776">
        <w:rPr>
          <w:lang w:val="en-GB"/>
        </w:rPr>
        <w:t>). International Society for Music Education.</w:t>
      </w:r>
    </w:p>
    <w:p w14:paraId="1A9E42CE" w14:textId="0A578C13" w:rsidR="00A907F7" w:rsidRPr="00100776" w:rsidRDefault="00A907F7" w:rsidP="00CB7B5E">
      <w:pPr>
        <w:spacing w:after="0"/>
        <w:ind w:left="720" w:hanging="720"/>
        <w:rPr>
          <w:lang w:val="en-GB"/>
        </w:rPr>
      </w:pPr>
      <w:r w:rsidRPr="00100776">
        <w:rPr>
          <w:lang w:val="en-GB"/>
        </w:rPr>
        <w:t xml:space="preserve">McPherson, G. E., &amp; O’Neill, S. (2010). Students’ motivation to study music as compared to other school subjects: A comparison of eight countries. </w:t>
      </w:r>
      <w:r w:rsidRPr="00100776">
        <w:rPr>
          <w:i/>
          <w:iCs/>
          <w:lang w:val="en-GB"/>
        </w:rPr>
        <w:t>Research Studies in Music Education</w:t>
      </w:r>
      <w:r w:rsidRPr="00100776">
        <w:rPr>
          <w:iCs/>
          <w:lang w:val="en-GB"/>
        </w:rPr>
        <w:t xml:space="preserve">, </w:t>
      </w:r>
      <w:r w:rsidRPr="00100776">
        <w:rPr>
          <w:i/>
          <w:iCs/>
          <w:lang w:val="en-GB"/>
        </w:rPr>
        <w:t>32</w:t>
      </w:r>
      <w:r w:rsidRPr="00100776">
        <w:rPr>
          <w:lang w:val="en-GB"/>
        </w:rPr>
        <w:t>(20), 101</w:t>
      </w:r>
      <w:r w:rsidR="00881B9D" w:rsidRPr="00100776">
        <w:rPr>
          <w:color w:val="000000" w:themeColor="text1"/>
          <w:lang w:val="en-GB"/>
        </w:rPr>
        <w:t>–</w:t>
      </w:r>
      <w:r w:rsidRPr="00100776">
        <w:rPr>
          <w:lang w:val="en-GB"/>
        </w:rPr>
        <w:t>137. https://doi.org/10.1177/1321103X10384202</w:t>
      </w:r>
    </w:p>
    <w:p w14:paraId="46D65A94" w14:textId="4860D67B" w:rsidR="004319C1" w:rsidRPr="00100776" w:rsidRDefault="004319C1" w:rsidP="00CB7B5E">
      <w:pPr>
        <w:spacing w:after="0"/>
        <w:ind w:left="720" w:hanging="720"/>
        <w:rPr>
          <w:lang w:val="en-GB"/>
        </w:rPr>
      </w:pPr>
      <w:r w:rsidRPr="00100776">
        <w:rPr>
          <w:lang w:val="en-GB"/>
        </w:rPr>
        <w:t xml:space="preserve">Morris, P. (1997). School, knowledge and the state: An analysis of the Hong Kong secondary school curriculum. </w:t>
      </w:r>
      <w:r w:rsidRPr="00100776">
        <w:rPr>
          <w:i/>
          <w:lang w:val="en-GB"/>
        </w:rPr>
        <w:t>Journal of Curriculum studies</w:t>
      </w:r>
      <w:r w:rsidRPr="00100776">
        <w:rPr>
          <w:lang w:val="en-GB"/>
        </w:rPr>
        <w:t>,</w:t>
      </w:r>
      <w:r w:rsidRPr="00100776">
        <w:rPr>
          <w:i/>
          <w:lang w:val="en-GB"/>
        </w:rPr>
        <w:t xml:space="preserve"> 29</w:t>
      </w:r>
      <w:r w:rsidRPr="00100776">
        <w:rPr>
          <w:lang w:val="en-GB"/>
        </w:rPr>
        <w:t>(3), 329</w:t>
      </w:r>
      <w:r w:rsidR="00881B9D" w:rsidRPr="00100776">
        <w:rPr>
          <w:color w:val="000000" w:themeColor="text1"/>
          <w:lang w:val="en-GB"/>
        </w:rPr>
        <w:t>–</w:t>
      </w:r>
      <w:r w:rsidRPr="00100776">
        <w:rPr>
          <w:lang w:val="en-GB"/>
        </w:rPr>
        <w:t>349.</w:t>
      </w:r>
      <w:r w:rsidR="00E20A25" w:rsidRPr="00100776">
        <w:rPr>
          <w:lang w:val="en-GB"/>
        </w:rPr>
        <w:t xml:space="preserve"> https://doi.org/10.1080/002202797184071</w:t>
      </w:r>
    </w:p>
    <w:p w14:paraId="6C9513FB" w14:textId="77777777" w:rsidR="002D631B" w:rsidRPr="00100776" w:rsidRDefault="002D631B" w:rsidP="002D631B">
      <w:pPr>
        <w:spacing w:after="0"/>
        <w:ind w:left="720" w:hanging="720"/>
        <w:rPr>
          <w:lang w:val="en-GB"/>
        </w:rPr>
      </w:pPr>
      <w:r w:rsidRPr="00100776">
        <w:rPr>
          <w:lang w:val="en-GB"/>
        </w:rPr>
        <w:lastRenderedPageBreak/>
        <w:t xml:space="preserve">Morris, P., &amp; Vickers, E. (2015). Schooling, politics and the construction of identity in Hong Kong: The 2012 ‘Moral and National Education’ crisis in historical context. </w:t>
      </w:r>
      <w:r w:rsidRPr="00100776">
        <w:rPr>
          <w:i/>
          <w:lang w:val="en-GB"/>
        </w:rPr>
        <w:t>Comparative Education</w:t>
      </w:r>
      <w:r w:rsidRPr="00100776">
        <w:rPr>
          <w:lang w:val="en-GB"/>
        </w:rPr>
        <w:t xml:space="preserve">, </w:t>
      </w:r>
      <w:r w:rsidRPr="00100776">
        <w:rPr>
          <w:i/>
          <w:lang w:val="en-GB"/>
        </w:rPr>
        <w:t>51</w:t>
      </w:r>
      <w:r w:rsidRPr="00100776">
        <w:rPr>
          <w:lang w:val="en-GB"/>
        </w:rPr>
        <w:t>(30), 305</w:t>
      </w:r>
      <w:r w:rsidRPr="00100776">
        <w:rPr>
          <w:color w:val="000000" w:themeColor="text1"/>
          <w:lang w:val="en-GB"/>
        </w:rPr>
        <w:t>–</w:t>
      </w:r>
      <w:r w:rsidRPr="00100776">
        <w:rPr>
          <w:lang w:val="en-GB"/>
        </w:rPr>
        <w:t>326. https://doi.org/10.1080/03050068.2015.1033169</w:t>
      </w:r>
    </w:p>
    <w:p w14:paraId="4F8666FF" w14:textId="77777777" w:rsidR="002D631B" w:rsidRPr="00100776" w:rsidRDefault="002D631B" w:rsidP="002D631B">
      <w:pPr>
        <w:spacing w:after="0"/>
        <w:ind w:left="720" w:hanging="720"/>
        <w:rPr>
          <w:lang w:val="en-GB"/>
        </w:rPr>
      </w:pPr>
      <w:r w:rsidRPr="00100776">
        <w:rPr>
          <w:lang w:val="en-GB"/>
        </w:rPr>
        <w:t xml:space="preserve">Ng, F. Y. F., &amp; Morris, P. (1998). The music curriculum in Hong Kong secondary schools — Intentions and constraints. </w:t>
      </w:r>
      <w:r w:rsidRPr="00100776">
        <w:rPr>
          <w:i/>
          <w:iCs/>
          <w:lang w:val="en-GB"/>
        </w:rPr>
        <w:t>International Journal of Music Education</w:t>
      </w:r>
      <w:r w:rsidRPr="00100776">
        <w:rPr>
          <w:iCs/>
          <w:lang w:val="en-GB"/>
        </w:rPr>
        <w:t>,</w:t>
      </w:r>
      <w:r w:rsidRPr="00100776">
        <w:rPr>
          <w:i/>
          <w:iCs/>
          <w:lang w:val="en-GB"/>
        </w:rPr>
        <w:t xml:space="preserve"> 31</w:t>
      </w:r>
      <w:r w:rsidRPr="00100776">
        <w:rPr>
          <w:lang w:val="en-GB"/>
        </w:rPr>
        <w:t>(1), 37</w:t>
      </w:r>
      <w:r w:rsidRPr="00100776">
        <w:rPr>
          <w:color w:val="000000" w:themeColor="text1"/>
          <w:lang w:val="en-GB"/>
        </w:rPr>
        <w:t>–</w:t>
      </w:r>
      <w:r w:rsidRPr="00100776">
        <w:rPr>
          <w:lang w:val="en-GB"/>
        </w:rPr>
        <w:t>58. https://doi.org/10.1177/025576149803100104</w:t>
      </w:r>
    </w:p>
    <w:p w14:paraId="722A2883" w14:textId="77777777" w:rsidR="002D631B" w:rsidRPr="00100776" w:rsidRDefault="002D631B" w:rsidP="002D631B">
      <w:pPr>
        <w:spacing w:after="0"/>
        <w:ind w:left="720" w:hanging="720"/>
        <w:rPr>
          <w:lang w:val="en-GB"/>
        </w:rPr>
      </w:pPr>
      <w:r w:rsidRPr="00100776">
        <w:rPr>
          <w:lang w:val="en-GB"/>
        </w:rPr>
        <w:t xml:space="preserve">Ng, W. C. (2015). </w:t>
      </w:r>
      <w:r w:rsidRPr="00100776">
        <w:rPr>
          <w:i/>
          <w:iCs/>
          <w:lang w:val="en-GB"/>
        </w:rPr>
        <w:t>The rise of Cantonese opera</w:t>
      </w:r>
      <w:r w:rsidRPr="00100776">
        <w:rPr>
          <w:lang w:val="en-GB"/>
        </w:rPr>
        <w:t>. Hong Kong University Press.</w:t>
      </w:r>
    </w:p>
    <w:p w14:paraId="674BB4C5" w14:textId="7067FFE6" w:rsidR="00221006" w:rsidRPr="00100776" w:rsidRDefault="00221006" w:rsidP="00CB7B5E">
      <w:pPr>
        <w:spacing w:after="0"/>
        <w:ind w:left="720" w:hanging="720"/>
        <w:rPr>
          <w:lang w:val="en-GB"/>
        </w:rPr>
      </w:pPr>
      <w:r w:rsidRPr="00100776">
        <w:rPr>
          <w:lang w:val="en-GB"/>
        </w:rPr>
        <w:t>Thompson, B. C. (2019). Music, culture, and education in post-colonial Hong Kong</w:t>
      </w:r>
      <w:r w:rsidRPr="00100776">
        <w:rPr>
          <w:i/>
          <w:iCs/>
          <w:lang w:val="en-GB"/>
        </w:rPr>
        <w:t xml:space="preserve">. </w:t>
      </w:r>
      <w:proofErr w:type="spellStart"/>
      <w:r w:rsidRPr="00100776">
        <w:rPr>
          <w:i/>
          <w:iCs/>
          <w:lang w:val="en-GB"/>
        </w:rPr>
        <w:t>Musica</w:t>
      </w:r>
      <w:proofErr w:type="spellEnd"/>
      <w:r w:rsidRPr="00100776">
        <w:rPr>
          <w:i/>
          <w:iCs/>
          <w:lang w:val="en-GB"/>
        </w:rPr>
        <w:t xml:space="preserve"> </w:t>
      </w:r>
      <w:proofErr w:type="spellStart"/>
      <w:r w:rsidRPr="00100776">
        <w:rPr>
          <w:i/>
          <w:iCs/>
          <w:lang w:val="en-GB"/>
        </w:rPr>
        <w:t>Docta</w:t>
      </w:r>
      <w:proofErr w:type="spellEnd"/>
      <w:r w:rsidRPr="00100776">
        <w:rPr>
          <w:iCs/>
          <w:lang w:val="en-GB"/>
        </w:rPr>
        <w:t>,</w:t>
      </w:r>
      <w:r w:rsidRPr="00100776">
        <w:rPr>
          <w:i/>
          <w:iCs/>
          <w:lang w:val="en-GB"/>
        </w:rPr>
        <w:t xml:space="preserve"> 19</w:t>
      </w:r>
      <w:r w:rsidR="002F4B30" w:rsidRPr="00100776">
        <w:rPr>
          <w:lang w:val="en-GB"/>
        </w:rPr>
        <w:t>(1),</w:t>
      </w:r>
      <w:r w:rsidRPr="00100776">
        <w:rPr>
          <w:lang w:val="en-GB"/>
        </w:rPr>
        <w:t xml:space="preserve"> 85</w:t>
      </w:r>
      <w:r w:rsidR="00881B9D" w:rsidRPr="00100776">
        <w:rPr>
          <w:color w:val="000000" w:themeColor="text1"/>
          <w:lang w:val="en-GB"/>
        </w:rPr>
        <w:t>–</w:t>
      </w:r>
      <w:r w:rsidRPr="00100776">
        <w:rPr>
          <w:lang w:val="en-GB"/>
        </w:rPr>
        <w:t xml:space="preserve">95. </w:t>
      </w:r>
      <w:r w:rsidR="002F4B30" w:rsidRPr="00100776">
        <w:rPr>
          <w:lang w:val="en-GB"/>
        </w:rPr>
        <w:t>https://doi.org/10.6092/issn.2039-9715/10183</w:t>
      </w:r>
    </w:p>
    <w:p w14:paraId="3399E3FE" w14:textId="2D5716A8" w:rsidR="00856C9E" w:rsidRPr="00100776" w:rsidRDefault="00856C9E" w:rsidP="00CB7B5E">
      <w:pPr>
        <w:spacing w:after="0"/>
        <w:ind w:left="720" w:hanging="720"/>
        <w:rPr>
          <w:lang w:val="en-GB"/>
        </w:rPr>
      </w:pPr>
      <w:r w:rsidRPr="00100776">
        <w:rPr>
          <w:lang w:val="en-GB"/>
        </w:rPr>
        <w:t xml:space="preserve">Wong, M. W., &amp; </w:t>
      </w:r>
      <w:proofErr w:type="spellStart"/>
      <w:r w:rsidRPr="00100776">
        <w:rPr>
          <w:lang w:val="en-GB"/>
        </w:rPr>
        <w:t>Chik</w:t>
      </w:r>
      <w:proofErr w:type="spellEnd"/>
      <w:r w:rsidRPr="00100776">
        <w:rPr>
          <w:lang w:val="en-GB"/>
        </w:rPr>
        <w:t xml:space="preserve">, M. P. (2016). Teaching students with special educational needs in inclusive music classrooms: Experiences of music teachers in Hong Kong primary schools. </w:t>
      </w:r>
      <w:r w:rsidRPr="00100776">
        <w:rPr>
          <w:i/>
          <w:iCs/>
          <w:lang w:val="en-GB"/>
        </w:rPr>
        <w:t>Music Education Research, 18</w:t>
      </w:r>
      <w:r w:rsidRPr="00100776">
        <w:rPr>
          <w:lang w:val="en-GB"/>
        </w:rPr>
        <w:t>(2), 195-207, 195</w:t>
      </w:r>
      <w:r w:rsidRPr="00100776">
        <w:rPr>
          <w:color w:val="000000" w:themeColor="text1"/>
          <w:lang w:val="en-GB"/>
        </w:rPr>
        <w:t>–</w:t>
      </w:r>
      <w:r w:rsidRPr="00100776">
        <w:rPr>
          <w:lang w:val="en-GB"/>
        </w:rPr>
        <w:t>207. https://doi.org/10.1080/14613808.2015.1044509</w:t>
      </w:r>
    </w:p>
    <w:p w14:paraId="52618FE2" w14:textId="021D2826" w:rsidR="005050C5" w:rsidRPr="006B15A1" w:rsidRDefault="005050C5" w:rsidP="00CB7B5E">
      <w:pPr>
        <w:spacing w:after="0"/>
        <w:ind w:left="720" w:hanging="720"/>
        <w:rPr>
          <w:lang w:val="en-GB"/>
        </w:rPr>
      </w:pPr>
      <w:r w:rsidRPr="00100776">
        <w:rPr>
          <w:lang w:val="en-GB"/>
        </w:rPr>
        <w:t xml:space="preserve">Wright, R. (2002). Music for all? Pupils’ perceptions of the GCSE Music examination in one South Wales secondary school. </w:t>
      </w:r>
      <w:r w:rsidRPr="00100776">
        <w:rPr>
          <w:i/>
          <w:iCs/>
          <w:lang w:val="en-GB"/>
        </w:rPr>
        <w:t>British Journal of Music Education</w:t>
      </w:r>
      <w:r w:rsidRPr="00100776">
        <w:rPr>
          <w:iCs/>
          <w:lang w:val="en-GB"/>
        </w:rPr>
        <w:t>,</w:t>
      </w:r>
      <w:r w:rsidRPr="00100776">
        <w:rPr>
          <w:i/>
          <w:iCs/>
          <w:lang w:val="en-GB"/>
        </w:rPr>
        <w:t xml:space="preserve"> 19</w:t>
      </w:r>
      <w:r w:rsidRPr="00100776">
        <w:rPr>
          <w:lang w:val="en-GB"/>
        </w:rPr>
        <w:t>(3), 227</w:t>
      </w:r>
      <w:r w:rsidR="00881B9D" w:rsidRPr="00100776">
        <w:rPr>
          <w:color w:val="000000" w:themeColor="text1"/>
          <w:lang w:val="en-GB"/>
        </w:rPr>
        <w:t>–</w:t>
      </w:r>
      <w:r w:rsidRPr="00100776">
        <w:rPr>
          <w:lang w:val="en-GB"/>
        </w:rPr>
        <w:t>241. http</w:t>
      </w:r>
      <w:r w:rsidR="008A7ED2" w:rsidRPr="00100776">
        <w:rPr>
          <w:lang w:val="en-GB"/>
        </w:rPr>
        <w:t>s</w:t>
      </w:r>
      <w:r w:rsidRPr="00100776">
        <w:rPr>
          <w:lang w:val="en-GB"/>
        </w:rPr>
        <w:t>://doi.org/10.1017/S0265051702000323</w:t>
      </w:r>
    </w:p>
    <w:sectPr w:rsidR="005050C5" w:rsidRPr="006B15A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A186" w14:textId="77777777" w:rsidR="00BE0D40" w:rsidRDefault="00BE0D40" w:rsidP="004547EF">
      <w:pPr>
        <w:spacing w:after="0" w:line="240" w:lineRule="auto"/>
      </w:pPr>
      <w:r>
        <w:separator/>
      </w:r>
    </w:p>
  </w:endnote>
  <w:endnote w:type="continuationSeparator" w:id="0">
    <w:p w14:paraId="42543338" w14:textId="77777777" w:rsidR="00BE0D40" w:rsidRDefault="00BE0D40" w:rsidP="00454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D6728" w14:textId="77777777" w:rsidR="00BE0D40" w:rsidRDefault="00BE0D40" w:rsidP="004547EF">
      <w:pPr>
        <w:spacing w:after="0" w:line="240" w:lineRule="auto"/>
      </w:pPr>
      <w:r>
        <w:separator/>
      </w:r>
    </w:p>
  </w:footnote>
  <w:footnote w:type="continuationSeparator" w:id="0">
    <w:p w14:paraId="476CBA14" w14:textId="77777777" w:rsidR="00BE0D40" w:rsidRDefault="00BE0D40" w:rsidP="004547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9332F"/>
    <w:multiLevelType w:val="hybridMultilevel"/>
    <w:tmpl w:val="7EE8099C"/>
    <w:lvl w:ilvl="0" w:tplc="3C09000F">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 w15:restartNumberingAfterBreak="0">
    <w:nsid w:val="34DF095B"/>
    <w:multiLevelType w:val="hybridMultilevel"/>
    <w:tmpl w:val="59625F68"/>
    <w:lvl w:ilvl="0" w:tplc="9B8487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EE542B"/>
    <w:multiLevelType w:val="hybridMultilevel"/>
    <w:tmpl w:val="C62AF6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41059B2"/>
    <w:multiLevelType w:val="hybridMultilevel"/>
    <w:tmpl w:val="C62AF612"/>
    <w:lvl w:ilvl="0" w:tplc="3C09000F">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4" w15:restartNumberingAfterBreak="0">
    <w:nsid w:val="56026472"/>
    <w:multiLevelType w:val="hybridMultilevel"/>
    <w:tmpl w:val="A74A57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3B6E5C"/>
    <w:multiLevelType w:val="hybridMultilevel"/>
    <w:tmpl w:val="6882E2A8"/>
    <w:lvl w:ilvl="0" w:tplc="449CA9B0">
      <w:start w:val="8"/>
      <w:numFmt w:val="bullet"/>
      <w:lvlText w:val="-"/>
      <w:lvlJc w:val="left"/>
      <w:pPr>
        <w:ind w:left="720" w:hanging="360"/>
      </w:pPr>
      <w:rPr>
        <w:rFonts w:ascii="Calibri" w:eastAsiaTheme="minorEastAsia" w:hAnsi="Calibri" w:cs="Calibri"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6" w15:restartNumberingAfterBreak="0">
    <w:nsid w:val="6B6F4DE9"/>
    <w:multiLevelType w:val="hybridMultilevel"/>
    <w:tmpl w:val="A74A57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8353208">
    <w:abstractNumId w:val="4"/>
  </w:num>
  <w:num w:numId="2" w16cid:durableId="561911540">
    <w:abstractNumId w:val="6"/>
  </w:num>
  <w:num w:numId="3" w16cid:durableId="1879928888">
    <w:abstractNumId w:val="1"/>
  </w:num>
  <w:num w:numId="4" w16cid:durableId="817265994">
    <w:abstractNumId w:val="3"/>
  </w:num>
  <w:num w:numId="5" w16cid:durableId="1368721985">
    <w:abstractNumId w:val="0"/>
  </w:num>
  <w:num w:numId="6" w16cid:durableId="243418426">
    <w:abstractNumId w:val="5"/>
  </w:num>
  <w:num w:numId="7" w16cid:durableId="18130200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FC"/>
    <w:rsid w:val="0000052B"/>
    <w:rsid w:val="00001F3D"/>
    <w:rsid w:val="000026C8"/>
    <w:rsid w:val="00002751"/>
    <w:rsid w:val="000036D5"/>
    <w:rsid w:val="000043EA"/>
    <w:rsid w:val="00005211"/>
    <w:rsid w:val="000073EB"/>
    <w:rsid w:val="000100CD"/>
    <w:rsid w:val="00011699"/>
    <w:rsid w:val="000120E1"/>
    <w:rsid w:val="00012BA0"/>
    <w:rsid w:val="00015707"/>
    <w:rsid w:val="0002060A"/>
    <w:rsid w:val="00021A06"/>
    <w:rsid w:val="00022398"/>
    <w:rsid w:val="0002344B"/>
    <w:rsid w:val="00024487"/>
    <w:rsid w:val="00024E0C"/>
    <w:rsid w:val="000278EE"/>
    <w:rsid w:val="000279A7"/>
    <w:rsid w:val="0003104E"/>
    <w:rsid w:val="0003223E"/>
    <w:rsid w:val="00033C35"/>
    <w:rsid w:val="00034782"/>
    <w:rsid w:val="000348A4"/>
    <w:rsid w:val="0004113D"/>
    <w:rsid w:val="000438BE"/>
    <w:rsid w:val="000472BE"/>
    <w:rsid w:val="000500FC"/>
    <w:rsid w:val="00051B57"/>
    <w:rsid w:val="00052383"/>
    <w:rsid w:val="00053D68"/>
    <w:rsid w:val="000543EE"/>
    <w:rsid w:val="00054DC0"/>
    <w:rsid w:val="00060F46"/>
    <w:rsid w:val="00064586"/>
    <w:rsid w:val="0006729E"/>
    <w:rsid w:val="00067F0A"/>
    <w:rsid w:val="000702AC"/>
    <w:rsid w:val="0007142E"/>
    <w:rsid w:val="00072793"/>
    <w:rsid w:val="0007387D"/>
    <w:rsid w:val="0007549D"/>
    <w:rsid w:val="00077DDE"/>
    <w:rsid w:val="00080E8D"/>
    <w:rsid w:val="000828E3"/>
    <w:rsid w:val="00082C26"/>
    <w:rsid w:val="00085067"/>
    <w:rsid w:val="00085F16"/>
    <w:rsid w:val="00090039"/>
    <w:rsid w:val="000909C9"/>
    <w:rsid w:val="0009167F"/>
    <w:rsid w:val="0009319D"/>
    <w:rsid w:val="000936C3"/>
    <w:rsid w:val="00093F32"/>
    <w:rsid w:val="00096871"/>
    <w:rsid w:val="00097F52"/>
    <w:rsid w:val="000A096F"/>
    <w:rsid w:val="000A1944"/>
    <w:rsid w:val="000A1A72"/>
    <w:rsid w:val="000A218E"/>
    <w:rsid w:val="000A69A3"/>
    <w:rsid w:val="000A6C2B"/>
    <w:rsid w:val="000B07C8"/>
    <w:rsid w:val="000B08DE"/>
    <w:rsid w:val="000B215B"/>
    <w:rsid w:val="000B2809"/>
    <w:rsid w:val="000B446E"/>
    <w:rsid w:val="000B57A7"/>
    <w:rsid w:val="000B6AB7"/>
    <w:rsid w:val="000C1063"/>
    <w:rsid w:val="000C109A"/>
    <w:rsid w:val="000C39F5"/>
    <w:rsid w:val="000C3C71"/>
    <w:rsid w:val="000C44EF"/>
    <w:rsid w:val="000C479C"/>
    <w:rsid w:val="000C6AEF"/>
    <w:rsid w:val="000C6DF5"/>
    <w:rsid w:val="000C6EFA"/>
    <w:rsid w:val="000D047F"/>
    <w:rsid w:val="000D2DBA"/>
    <w:rsid w:val="000D509B"/>
    <w:rsid w:val="000E02F5"/>
    <w:rsid w:val="000E20BE"/>
    <w:rsid w:val="000E67DF"/>
    <w:rsid w:val="000E738E"/>
    <w:rsid w:val="000E78CA"/>
    <w:rsid w:val="000E7AB6"/>
    <w:rsid w:val="000F3BB0"/>
    <w:rsid w:val="000F6D3A"/>
    <w:rsid w:val="00100776"/>
    <w:rsid w:val="0010177A"/>
    <w:rsid w:val="00102354"/>
    <w:rsid w:val="00102DD9"/>
    <w:rsid w:val="00104C9C"/>
    <w:rsid w:val="001054D7"/>
    <w:rsid w:val="00107327"/>
    <w:rsid w:val="0010769A"/>
    <w:rsid w:val="00107783"/>
    <w:rsid w:val="001078B1"/>
    <w:rsid w:val="0010792B"/>
    <w:rsid w:val="00107EBC"/>
    <w:rsid w:val="00110119"/>
    <w:rsid w:val="0011050C"/>
    <w:rsid w:val="00111A20"/>
    <w:rsid w:val="00112233"/>
    <w:rsid w:val="00114936"/>
    <w:rsid w:val="00115147"/>
    <w:rsid w:val="00115CEE"/>
    <w:rsid w:val="00115DAB"/>
    <w:rsid w:val="0011668A"/>
    <w:rsid w:val="001222D9"/>
    <w:rsid w:val="00123176"/>
    <w:rsid w:val="00123907"/>
    <w:rsid w:val="0012562D"/>
    <w:rsid w:val="00126112"/>
    <w:rsid w:val="00130806"/>
    <w:rsid w:val="00134971"/>
    <w:rsid w:val="00134ED8"/>
    <w:rsid w:val="00135290"/>
    <w:rsid w:val="00135D5D"/>
    <w:rsid w:val="0013662F"/>
    <w:rsid w:val="001376E8"/>
    <w:rsid w:val="00140E3B"/>
    <w:rsid w:val="001417E2"/>
    <w:rsid w:val="00141913"/>
    <w:rsid w:val="00141970"/>
    <w:rsid w:val="001419FD"/>
    <w:rsid w:val="00141E23"/>
    <w:rsid w:val="00144A0B"/>
    <w:rsid w:val="00146AE6"/>
    <w:rsid w:val="0014709A"/>
    <w:rsid w:val="001500C2"/>
    <w:rsid w:val="00153FBB"/>
    <w:rsid w:val="00155BDB"/>
    <w:rsid w:val="00156F2B"/>
    <w:rsid w:val="0015727E"/>
    <w:rsid w:val="0015770C"/>
    <w:rsid w:val="00161659"/>
    <w:rsid w:val="00164E7D"/>
    <w:rsid w:val="00165E83"/>
    <w:rsid w:val="00170137"/>
    <w:rsid w:val="00172756"/>
    <w:rsid w:val="001732D0"/>
    <w:rsid w:val="001734A6"/>
    <w:rsid w:val="00173AA1"/>
    <w:rsid w:val="00174FE2"/>
    <w:rsid w:val="001757CD"/>
    <w:rsid w:val="001759EB"/>
    <w:rsid w:val="00176AF3"/>
    <w:rsid w:val="0017701B"/>
    <w:rsid w:val="00182F09"/>
    <w:rsid w:val="0018307B"/>
    <w:rsid w:val="00184313"/>
    <w:rsid w:val="00184F24"/>
    <w:rsid w:val="001903C3"/>
    <w:rsid w:val="00192A7F"/>
    <w:rsid w:val="0019325C"/>
    <w:rsid w:val="001946AC"/>
    <w:rsid w:val="00194A33"/>
    <w:rsid w:val="001952B4"/>
    <w:rsid w:val="00197631"/>
    <w:rsid w:val="001A1C0D"/>
    <w:rsid w:val="001A2521"/>
    <w:rsid w:val="001A3DCF"/>
    <w:rsid w:val="001A5449"/>
    <w:rsid w:val="001A6882"/>
    <w:rsid w:val="001A7394"/>
    <w:rsid w:val="001B058E"/>
    <w:rsid w:val="001B071D"/>
    <w:rsid w:val="001B0798"/>
    <w:rsid w:val="001B1951"/>
    <w:rsid w:val="001B356C"/>
    <w:rsid w:val="001B405B"/>
    <w:rsid w:val="001B4A67"/>
    <w:rsid w:val="001B60C8"/>
    <w:rsid w:val="001B66B1"/>
    <w:rsid w:val="001B79BA"/>
    <w:rsid w:val="001C0F80"/>
    <w:rsid w:val="001C4870"/>
    <w:rsid w:val="001C4AD5"/>
    <w:rsid w:val="001C69AE"/>
    <w:rsid w:val="001C6BA1"/>
    <w:rsid w:val="001C7A23"/>
    <w:rsid w:val="001D10C1"/>
    <w:rsid w:val="001D29C4"/>
    <w:rsid w:val="001D38D8"/>
    <w:rsid w:val="001D5538"/>
    <w:rsid w:val="001D58B7"/>
    <w:rsid w:val="001D6E41"/>
    <w:rsid w:val="001E15B2"/>
    <w:rsid w:val="001E4884"/>
    <w:rsid w:val="001E6050"/>
    <w:rsid w:val="001E6ADC"/>
    <w:rsid w:val="001E6E16"/>
    <w:rsid w:val="001F00C3"/>
    <w:rsid w:val="001F01BE"/>
    <w:rsid w:val="001F0B9A"/>
    <w:rsid w:val="001F12CA"/>
    <w:rsid w:val="001F1CE8"/>
    <w:rsid w:val="001F25CC"/>
    <w:rsid w:val="001F6CF3"/>
    <w:rsid w:val="001F771C"/>
    <w:rsid w:val="00200DE4"/>
    <w:rsid w:val="00204734"/>
    <w:rsid w:val="002062C0"/>
    <w:rsid w:val="00207DA6"/>
    <w:rsid w:val="002108F6"/>
    <w:rsid w:val="00216964"/>
    <w:rsid w:val="002203EA"/>
    <w:rsid w:val="00220583"/>
    <w:rsid w:val="00221006"/>
    <w:rsid w:val="0022110B"/>
    <w:rsid w:val="00222A64"/>
    <w:rsid w:val="002233D0"/>
    <w:rsid w:val="002246DB"/>
    <w:rsid w:val="0022514A"/>
    <w:rsid w:val="002254F6"/>
    <w:rsid w:val="002267E1"/>
    <w:rsid w:val="00226D52"/>
    <w:rsid w:val="002275FA"/>
    <w:rsid w:val="002355C6"/>
    <w:rsid w:val="00235FCC"/>
    <w:rsid w:val="002364A6"/>
    <w:rsid w:val="00237631"/>
    <w:rsid w:val="0024103D"/>
    <w:rsid w:val="00242610"/>
    <w:rsid w:val="002436CE"/>
    <w:rsid w:val="00245421"/>
    <w:rsid w:val="00247443"/>
    <w:rsid w:val="0024746C"/>
    <w:rsid w:val="00252B4D"/>
    <w:rsid w:val="00254BE7"/>
    <w:rsid w:val="00255499"/>
    <w:rsid w:val="00256C12"/>
    <w:rsid w:val="00257BC0"/>
    <w:rsid w:val="00257E17"/>
    <w:rsid w:val="00260D3A"/>
    <w:rsid w:val="00260DAE"/>
    <w:rsid w:val="00262650"/>
    <w:rsid w:val="002630CC"/>
    <w:rsid w:val="00264157"/>
    <w:rsid w:val="0026592E"/>
    <w:rsid w:val="00265944"/>
    <w:rsid w:val="00266531"/>
    <w:rsid w:val="002675F9"/>
    <w:rsid w:val="00270885"/>
    <w:rsid w:val="00271D62"/>
    <w:rsid w:val="00274040"/>
    <w:rsid w:val="002757AA"/>
    <w:rsid w:val="00275AA6"/>
    <w:rsid w:val="00277F13"/>
    <w:rsid w:val="00281A19"/>
    <w:rsid w:val="00282BCB"/>
    <w:rsid w:val="00284EC4"/>
    <w:rsid w:val="0028672F"/>
    <w:rsid w:val="00291B21"/>
    <w:rsid w:val="002927B7"/>
    <w:rsid w:val="00292C48"/>
    <w:rsid w:val="00294256"/>
    <w:rsid w:val="00295D8B"/>
    <w:rsid w:val="00296A72"/>
    <w:rsid w:val="00297AF1"/>
    <w:rsid w:val="002A12A5"/>
    <w:rsid w:val="002A2865"/>
    <w:rsid w:val="002A3D4C"/>
    <w:rsid w:val="002B03AA"/>
    <w:rsid w:val="002B0D28"/>
    <w:rsid w:val="002B14E3"/>
    <w:rsid w:val="002B4890"/>
    <w:rsid w:val="002B6B70"/>
    <w:rsid w:val="002B7047"/>
    <w:rsid w:val="002B7B8F"/>
    <w:rsid w:val="002C1549"/>
    <w:rsid w:val="002C1DAC"/>
    <w:rsid w:val="002C297D"/>
    <w:rsid w:val="002C2DB0"/>
    <w:rsid w:val="002C3EAB"/>
    <w:rsid w:val="002C42F4"/>
    <w:rsid w:val="002C4E30"/>
    <w:rsid w:val="002C5653"/>
    <w:rsid w:val="002C6B51"/>
    <w:rsid w:val="002C6DA7"/>
    <w:rsid w:val="002C7D79"/>
    <w:rsid w:val="002D03AD"/>
    <w:rsid w:val="002D38F6"/>
    <w:rsid w:val="002D4502"/>
    <w:rsid w:val="002D631B"/>
    <w:rsid w:val="002D6719"/>
    <w:rsid w:val="002E02B9"/>
    <w:rsid w:val="002E2C14"/>
    <w:rsid w:val="002E3453"/>
    <w:rsid w:val="002E3841"/>
    <w:rsid w:val="002E52FF"/>
    <w:rsid w:val="002E7198"/>
    <w:rsid w:val="002E7537"/>
    <w:rsid w:val="002F4B30"/>
    <w:rsid w:val="002F64A3"/>
    <w:rsid w:val="002F660A"/>
    <w:rsid w:val="002F6C1A"/>
    <w:rsid w:val="00303334"/>
    <w:rsid w:val="003044C5"/>
    <w:rsid w:val="00304500"/>
    <w:rsid w:val="00304A4F"/>
    <w:rsid w:val="003068F6"/>
    <w:rsid w:val="00311754"/>
    <w:rsid w:val="00311B12"/>
    <w:rsid w:val="0031298F"/>
    <w:rsid w:val="00314A46"/>
    <w:rsid w:val="0031531B"/>
    <w:rsid w:val="003167BE"/>
    <w:rsid w:val="0032185C"/>
    <w:rsid w:val="0032298B"/>
    <w:rsid w:val="00323378"/>
    <w:rsid w:val="00323721"/>
    <w:rsid w:val="00324904"/>
    <w:rsid w:val="003269FA"/>
    <w:rsid w:val="003303AA"/>
    <w:rsid w:val="00332213"/>
    <w:rsid w:val="00332CD6"/>
    <w:rsid w:val="00334CC0"/>
    <w:rsid w:val="00336460"/>
    <w:rsid w:val="00337C9F"/>
    <w:rsid w:val="00337E32"/>
    <w:rsid w:val="00341E93"/>
    <w:rsid w:val="00345AA6"/>
    <w:rsid w:val="00351AA7"/>
    <w:rsid w:val="003530D9"/>
    <w:rsid w:val="00354331"/>
    <w:rsid w:val="003549AA"/>
    <w:rsid w:val="0036057A"/>
    <w:rsid w:val="003641EF"/>
    <w:rsid w:val="0036456E"/>
    <w:rsid w:val="00364E29"/>
    <w:rsid w:val="00364FEC"/>
    <w:rsid w:val="003666D9"/>
    <w:rsid w:val="00367347"/>
    <w:rsid w:val="00370698"/>
    <w:rsid w:val="0037253F"/>
    <w:rsid w:val="00373A34"/>
    <w:rsid w:val="00373B22"/>
    <w:rsid w:val="00373D2D"/>
    <w:rsid w:val="003746B3"/>
    <w:rsid w:val="003755D9"/>
    <w:rsid w:val="00377C43"/>
    <w:rsid w:val="00377CED"/>
    <w:rsid w:val="0038186E"/>
    <w:rsid w:val="00384110"/>
    <w:rsid w:val="00385174"/>
    <w:rsid w:val="00385B83"/>
    <w:rsid w:val="00385C4F"/>
    <w:rsid w:val="00385C9D"/>
    <w:rsid w:val="00385D6C"/>
    <w:rsid w:val="00387C49"/>
    <w:rsid w:val="00390816"/>
    <w:rsid w:val="00392608"/>
    <w:rsid w:val="00393351"/>
    <w:rsid w:val="00397BD1"/>
    <w:rsid w:val="003A02E7"/>
    <w:rsid w:val="003A0707"/>
    <w:rsid w:val="003A07F1"/>
    <w:rsid w:val="003A0A97"/>
    <w:rsid w:val="003A108C"/>
    <w:rsid w:val="003A1950"/>
    <w:rsid w:val="003A1BC7"/>
    <w:rsid w:val="003A2831"/>
    <w:rsid w:val="003A38B5"/>
    <w:rsid w:val="003A79C9"/>
    <w:rsid w:val="003A7C9D"/>
    <w:rsid w:val="003B09AE"/>
    <w:rsid w:val="003B1FE8"/>
    <w:rsid w:val="003B26FF"/>
    <w:rsid w:val="003B41AE"/>
    <w:rsid w:val="003B5D4E"/>
    <w:rsid w:val="003C04E8"/>
    <w:rsid w:val="003C1BA1"/>
    <w:rsid w:val="003C2737"/>
    <w:rsid w:val="003C35FC"/>
    <w:rsid w:val="003C393B"/>
    <w:rsid w:val="003C606C"/>
    <w:rsid w:val="003D00EB"/>
    <w:rsid w:val="003D2839"/>
    <w:rsid w:val="003D2B87"/>
    <w:rsid w:val="003D5A16"/>
    <w:rsid w:val="003D62C7"/>
    <w:rsid w:val="003D63B0"/>
    <w:rsid w:val="003E182E"/>
    <w:rsid w:val="003E1BEC"/>
    <w:rsid w:val="003E1E0B"/>
    <w:rsid w:val="003E222A"/>
    <w:rsid w:val="003E285A"/>
    <w:rsid w:val="003E3D6A"/>
    <w:rsid w:val="003E5EA9"/>
    <w:rsid w:val="003E6CDF"/>
    <w:rsid w:val="003E77AC"/>
    <w:rsid w:val="003E77F1"/>
    <w:rsid w:val="003F07B7"/>
    <w:rsid w:val="003F1293"/>
    <w:rsid w:val="003F4E2B"/>
    <w:rsid w:val="003F71F3"/>
    <w:rsid w:val="003F7ADE"/>
    <w:rsid w:val="00402019"/>
    <w:rsid w:val="00404D0D"/>
    <w:rsid w:val="00410EE2"/>
    <w:rsid w:val="00411963"/>
    <w:rsid w:val="00415744"/>
    <w:rsid w:val="00415C95"/>
    <w:rsid w:val="00416582"/>
    <w:rsid w:val="00416E6E"/>
    <w:rsid w:val="0042350A"/>
    <w:rsid w:val="0042351B"/>
    <w:rsid w:val="004241DB"/>
    <w:rsid w:val="00425527"/>
    <w:rsid w:val="00425621"/>
    <w:rsid w:val="004319C1"/>
    <w:rsid w:val="00433FF2"/>
    <w:rsid w:val="00436873"/>
    <w:rsid w:val="0044065B"/>
    <w:rsid w:val="00445490"/>
    <w:rsid w:val="004458E0"/>
    <w:rsid w:val="00446F50"/>
    <w:rsid w:val="004479B3"/>
    <w:rsid w:val="00447FA6"/>
    <w:rsid w:val="004517F9"/>
    <w:rsid w:val="00452C2D"/>
    <w:rsid w:val="004547EF"/>
    <w:rsid w:val="00454A06"/>
    <w:rsid w:val="00455316"/>
    <w:rsid w:val="004553AE"/>
    <w:rsid w:val="00455DD2"/>
    <w:rsid w:val="00456329"/>
    <w:rsid w:val="00457650"/>
    <w:rsid w:val="00461A4E"/>
    <w:rsid w:val="00462910"/>
    <w:rsid w:val="00463277"/>
    <w:rsid w:val="00466173"/>
    <w:rsid w:val="00467BCB"/>
    <w:rsid w:val="00470077"/>
    <w:rsid w:val="00471235"/>
    <w:rsid w:val="00474AF3"/>
    <w:rsid w:val="0047579C"/>
    <w:rsid w:val="00475CF8"/>
    <w:rsid w:val="004815E8"/>
    <w:rsid w:val="00482A36"/>
    <w:rsid w:val="00482FA4"/>
    <w:rsid w:val="004835CD"/>
    <w:rsid w:val="00484BFC"/>
    <w:rsid w:val="0048555A"/>
    <w:rsid w:val="00485B7D"/>
    <w:rsid w:val="00490C5F"/>
    <w:rsid w:val="00490E66"/>
    <w:rsid w:val="00493926"/>
    <w:rsid w:val="004944F0"/>
    <w:rsid w:val="0049461C"/>
    <w:rsid w:val="004958CE"/>
    <w:rsid w:val="004966C5"/>
    <w:rsid w:val="004971F5"/>
    <w:rsid w:val="00497A1D"/>
    <w:rsid w:val="004A1345"/>
    <w:rsid w:val="004A32BA"/>
    <w:rsid w:val="004A7633"/>
    <w:rsid w:val="004A7A2A"/>
    <w:rsid w:val="004B0A06"/>
    <w:rsid w:val="004B3822"/>
    <w:rsid w:val="004B4EC2"/>
    <w:rsid w:val="004B719E"/>
    <w:rsid w:val="004B7D15"/>
    <w:rsid w:val="004C10DC"/>
    <w:rsid w:val="004C2464"/>
    <w:rsid w:val="004C4450"/>
    <w:rsid w:val="004D06B2"/>
    <w:rsid w:val="004D1A98"/>
    <w:rsid w:val="004D1F20"/>
    <w:rsid w:val="004D21BE"/>
    <w:rsid w:val="004D336A"/>
    <w:rsid w:val="004D5DDA"/>
    <w:rsid w:val="004D6963"/>
    <w:rsid w:val="004D6D6F"/>
    <w:rsid w:val="004D792F"/>
    <w:rsid w:val="004D7B3A"/>
    <w:rsid w:val="004E1369"/>
    <w:rsid w:val="004E2C74"/>
    <w:rsid w:val="004E767A"/>
    <w:rsid w:val="004F27F0"/>
    <w:rsid w:val="004F7BDB"/>
    <w:rsid w:val="004F7DAE"/>
    <w:rsid w:val="00501E45"/>
    <w:rsid w:val="00502522"/>
    <w:rsid w:val="00504767"/>
    <w:rsid w:val="00504FC6"/>
    <w:rsid w:val="0050500E"/>
    <w:rsid w:val="005050C5"/>
    <w:rsid w:val="00505E65"/>
    <w:rsid w:val="00507EBA"/>
    <w:rsid w:val="00510D5A"/>
    <w:rsid w:val="005124DD"/>
    <w:rsid w:val="005124E4"/>
    <w:rsid w:val="00512AD9"/>
    <w:rsid w:val="00512F4D"/>
    <w:rsid w:val="005157DE"/>
    <w:rsid w:val="00515C17"/>
    <w:rsid w:val="00516E19"/>
    <w:rsid w:val="0052075C"/>
    <w:rsid w:val="005213DF"/>
    <w:rsid w:val="00522693"/>
    <w:rsid w:val="00530F48"/>
    <w:rsid w:val="00533EF6"/>
    <w:rsid w:val="00534015"/>
    <w:rsid w:val="00536F8B"/>
    <w:rsid w:val="00537DEB"/>
    <w:rsid w:val="00541D33"/>
    <w:rsid w:val="00542704"/>
    <w:rsid w:val="00543CD8"/>
    <w:rsid w:val="0054412C"/>
    <w:rsid w:val="005505BB"/>
    <w:rsid w:val="005526C9"/>
    <w:rsid w:val="005527B3"/>
    <w:rsid w:val="00552954"/>
    <w:rsid w:val="00552F09"/>
    <w:rsid w:val="005547D2"/>
    <w:rsid w:val="0055544F"/>
    <w:rsid w:val="005555C3"/>
    <w:rsid w:val="00556FDE"/>
    <w:rsid w:val="00561C8C"/>
    <w:rsid w:val="00563905"/>
    <w:rsid w:val="00564374"/>
    <w:rsid w:val="00565395"/>
    <w:rsid w:val="00566CBA"/>
    <w:rsid w:val="00566D1A"/>
    <w:rsid w:val="0056792D"/>
    <w:rsid w:val="00571178"/>
    <w:rsid w:val="00571CEE"/>
    <w:rsid w:val="00573096"/>
    <w:rsid w:val="00574A38"/>
    <w:rsid w:val="00574DF7"/>
    <w:rsid w:val="005759A2"/>
    <w:rsid w:val="005802F8"/>
    <w:rsid w:val="005833A7"/>
    <w:rsid w:val="00584B41"/>
    <w:rsid w:val="00584F76"/>
    <w:rsid w:val="00585A38"/>
    <w:rsid w:val="00586D33"/>
    <w:rsid w:val="005879E6"/>
    <w:rsid w:val="00587B26"/>
    <w:rsid w:val="00593AB0"/>
    <w:rsid w:val="00593D39"/>
    <w:rsid w:val="00593E95"/>
    <w:rsid w:val="005940BD"/>
    <w:rsid w:val="00595437"/>
    <w:rsid w:val="00596937"/>
    <w:rsid w:val="005A0950"/>
    <w:rsid w:val="005A3B2B"/>
    <w:rsid w:val="005A457F"/>
    <w:rsid w:val="005A4C43"/>
    <w:rsid w:val="005A6A83"/>
    <w:rsid w:val="005A6B56"/>
    <w:rsid w:val="005A6DB5"/>
    <w:rsid w:val="005A7654"/>
    <w:rsid w:val="005B18FE"/>
    <w:rsid w:val="005B3FDD"/>
    <w:rsid w:val="005B5E62"/>
    <w:rsid w:val="005B7CD0"/>
    <w:rsid w:val="005C2952"/>
    <w:rsid w:val="005C73E4"/>
    <w:rsid w:val="005D5297"/>
    <w:rsid w:val="005E1149"/>
    <w:rsid w:val="005E1C12"/>
    <w:rsid w:val="005E2066"/>
    <w:rsid w:val="005E2B11"/>
    <w:rsid w:val="005E35EF"/>
    <w:rsid w:val="005E431B"/>
    <w:rsid w:val="005E45FE"/>
    <w:rsid w:val="005E58A9"/>
    <w:rsid w:val="005E752C"/>
    <w:rsid w:val="005E7573"/>
    <w:rsid w:val="005E7A35"/>
    <w:rsid w:val="005F486A"/>
    <w:rsid w:val="005F492E"/>
    <w:rsid w:val="005F505F"/>
    <w:rsid w:val="005F5C4E"/>
    <w:rsid w:val="005F65F2"/>
    <w:rsid w:val="005F6B19"/>
    <w:rsid w:val="005F7992"/>
    <w:rsid w:val="00600F81"/>
    <w:rsid w:val="00601014"/>
    <w:rsid w:val="00601311"/>
    <w:rsid w:val="0060153C"/>
    <w:rsid w:val="006018D4"/>
    <w:rsid w:val="00605A2D"/>
    <w:rsid w:val="00605B6B"/>
    <w:rsid w:val="00607064"/>
    <w:rsid w:val="00610951"/>
    <w:rsid w:val="00610FB8"/>
    <w:rsid w:val="006132E9"/>
    <w:rsid w:val="00614667"/>
    <w:rsid w:val="00617786"/>
    <w:rsid w:val="006204F2"/>
    <w:rsid w:val="0062115E"/>
    <w:rsid w:val="00621968"/>
    <w:rsid w:val="0062218A"/>
    <w:rsid w:val="00623C05"/>
    <w:rsid w:val="0062653B"/>
    <w:rsid w:val="00626EC1"/>
    <w:rsid w:val="00627A60"/>
    <w:rsid w:val="00632FD1"/>
    <w:rsid w:val="00636721"/>
    <w:rsid w:val="00636B67"/>
    <w:rsid w:val="00646D0D"/>
    <w:rsid w:val="00652C09"/>
    <w:rsid w:val="006555E8"/>
    <w:rsid w:val="00655BFF"/>
    <w:rsid w:val="00661079"/>
    <w:rsid w:val="00666070"/>
    <w:rsid w:val="006664D5"/>
    <w:rsid w:val="00666C30"/>
    <w:rsid w:val="00677ECD"/>
    <w:rsid w:val="00680066"/>
    <w:rsid w:val="00681A26"/>
    <w:rsid w:val="00683408"/>
    <w:rsid w:val="00684D14"/>
    <w:rsid w:val="006858EC"/>
    <w:rsid w:val="006864E6"/>
    <w:rsid w:val="006878AD"/>
    <w:rsid w:val="00691F49"/>
    <w:rsid w:val="00695051"/>
    <w:rsid w:val="00695939"/>
    <w:rsid w:val="00696733"/>
    <w:rsid w:val="00696DB3"/>
    <w:rsid w:val="006A1B8C"/>
    <w:rsid w:val="006A2348"/>
    <w:rsid w:val="006A348B"/>
    <w:rsid w:val="006A3E42"/>
    <w:rsid w:val="006A57C5"/>
    <w:rsid w:val="006B018E"/>
    <w:rsid w:val="006B15A1"/>
    <w:rsid w:val="006B195C"/>
    <w:rsid w:val="006B280F"/>
    <w:rsid w:val="006B30D5"/>
    <w:rsid w:val="006B507A"/>
    <w:rsid w:val="006C487C"/>
    <w:rsid w:val="006C6C89"/>
    <w:rsid w:val="006C7791"/>
    <w:rsid w:val="006D00B1"/>
    <w:rsid w:val="006D0A6A"/>
    <w:rsid w:val="006D365F"/>
    <w:rsid w:val="006D5028"/>
    <w:rsid w:val="006D73A1"/>
    <w:rsid w:val="006D7542"/>
    <w:rsid w:val="006E2D1F"/>
    <w:rsid w:val="006E44D5"/>
    <w:rsid w:val="006E4774"/>
    <w:rsid w:val="006E510E"/>
    <w:rsid w:val="006E6944"/>
    <w:rsid w:val="006F0572"/>
    <w:rsid w:val="006F0F15"/>
    <w:rsid w:val="006F134D"/>
    <w:rsid w:val="006F1882"/>
    <w:rsid w:val="006F34AF"/>
    <w:rsid w:val="006F351D"/>
    <w:rsid w:val="006F590C"/>
    <w:rsid w:val="007012CC"/>
    <w:rsid w:val="007016FD"/>
    <w:rsid w:val="0070196F"/>
    <w:rsid w:val="00705819"/>
    <w:rsid w:val="00705A48"/>
    <w:rsid w:val="00706750"/>
    <w:rsid w:val="00706F41"/>
    <w:rsid w:val="007070F6"/>
    <w:rsid w:val="00707666"/>
    <w:rsid w:val="007100BD"/>
    <w:rsid w:val="0071360F"/>
    <w:rsid w:val="00715144"/>
    <w:rsid w:val="00715574"/>
    <w:rsid w:val="00723157"/>
    <w:rsid w:val="007231D3"/>
    <w:rsid w:val="00724C3D"/>
    <w:rsid w:val="007304D5"/>
    <w:rsid w:val="007340F4"/>
    <w:rsid w:val="00734634"/>
    <w:rsid w:val="00734836"/>
    <w:rsid w:val="00740558"/>
    <w:rsid w:val="007441D5"/>
    <w:rsid w:val="0074517A"/>
    <w:rsid w:val="00746C99"/>
    <w:rsid w:val="007509C3"/>
    <w:rsid w:val="007528D2"/>
    <w:rsid w:val="007538D6"/>
    <w:rsid w:val="0075473B"/>
    <w:rsid w:val="007553E7"/>
    <w:rsid w:val="007578EE"/>
    <w:rsid w:val="00757D6E"/>
    <w:rsid w:val="00760458"/>
    <w:rsid w:val="0076122E"/>
    <w:rsid w:val="00762BB4"/>
    <w:rsid w:val="0076358E"/>
    <w:rsid w:val="00764019"/>
    <w:rsid w:val="00767093"/>
    <w:rsid w:val="00770A3A"/>
    <w:rsid w:val="007753E3"/>
    <w:rsid w:val="00775497"/>
    <w:rsid w:val="0077589C"/>
    <w:rsid w:val="00776A6D"/>
    <w:rsid w:val="00777291"/>
    <w:rsid w:val="007800C4"/>
    <w:rsid w:val="007804BC"/>
    <w:rsid w:val="00781CFC"/>
    <w:rsid w:val="00782CAC"/>
    <w:rsid w:val="0078395F"/>
    <w:rsid w:val="00784935"/>
    <w:rsid w:val="007876AC"/>
    <w:rsid w:val="00787C0A"/>
    <w:rsid w:val="00790D30"/>
    <w:rsid w:val="00791100"/>
    <w:rsid w:val="00791AE5"/>
    <w:rsid w:val="00793A00"/>
    <w:rsid w:val="007940C2"/>
    <w:rsid w:val="007A0BEC"/>
    <w:rsid w:val="007A31AB"/>
    <w:rsid w:val="007A662D"/>
    <w:rsid w:val="007A77FB"/>
    <w:rsid w:val="007B03B9"/>
    <w:rsid w:val="007B19C8"/>
    <w:rsid w:val="007B2938"/>
    <w:rsid w:val="007B3B89"/>
    <w:rsid w:val="007B47AD"/>
    <w:rsid w:val="007B6DE9"/>
    <w:rsid w:val="007B7DF4"/>
    <w:rsid w:val="007C0023"/>
    <w:rsid w:val="007C1F0F"/>
    <w:rsid w:val="007C1F33"/>
    <w:rsid w:val="007C38ED"/>
    <w:rsid w:val="007C46E1"/>
    <w:rsid w:val="007C4A3D"/>
    <w:rsid w:val="007D0698"/>
    <w:rsid w:val="007D4C10"/>
    <w:rsid w:val="007D5169"/>
    <w:rsid w:val="007D54FE"/>
    <w:rsid w:val="007E1605"/>
    <w:rsid w:val="007E3094"/>
    <w:rsid w:val="007E5485"/>
    <w:rsid w:val="007E5E05"/>
    <w:rsid w:val="007E627B"/>
    <w:rsid w:val="007E77D6"/>
    <w:rsid w:val="007E7D37"/>
    <w:rsid w:val="007F0C62"/>
    <w:rsid w:val="007F287D"/>
    <w:rsid w:val="007F40E7"/>
    <w:rsid w:val="007F425E"/>
    <w:rsid w:val="007F5737"/>
    <w:rsid w:val="007F62EA"/>
    <w:rsid w:val="007F6A1A"/>
    <w:rsid w:val="00801041"/>
    <w:rsid w:val="00802C45"/>
    <w:rsid w:val="00802DB1"/>
    <w:rsid w:val="00802DE8"/>
    <w:rsid w:val="00806178"/>
    <w:rsid w:val="008117C7"/>
    <w:rsid w:val="00812F9B"/>
    <w:rsid w:val="00814857"/>
    <w:rsid w:val="008153A9"/>
    <w:rsid w:val="00815962"/>
    <w:rsid w:val="00815C5C"/>
    <w:rsid w:val="008201EC"/>
    <w:rsid w:val="00820C90"/>
    <w:rsid w:val="0082107A"/>
    <w:rsid w:val="008221B6"/>
    <w:rsid w:val="008226D7"/>
    <w:rsid w:val="008228B7"/>
    <w:rsid w:val="00825D75"/>
    <w:rsid w:val="00826C05"/>
    <w:rsid w:val="00827645"/>
    <w:rsid w:val="00830B87"/>
    <w:rsid w:val="0083251F"/>
    <w:rsid w:val="008342FE"/>
    <w:rsid w:val="00836568"/>
    <w:rsid w:val="00840B23"/>
    <w:rsid w:val="00842CA0"/>
    <w:rsid w:val="00843BA6"/>
    <w:rsid w:val="0084487B"/>
    <w:rsid w:val="008451CD"/>
    <w:rsid w:val="00845259"/>
    <w:rsid w:val="0084673C"/>
    <w:rsid w:val="0084721F"/>
    <w:rsid w:val="008475F9"/>
    <w:rsid w:val="0085016B"/>
    <w:rsid w:val="008508BB"/>
    <w:rsid w:val="00850B34"/>
    <w:rsid w:val="00850C0A"/>
    <w:rsid w:val="00851C5C"/>
    <w:rsid w:val="00851DF4"/>
    <w:rsid w:val="008521C5"/>
    <w:rsid w:val="00854274"/>
    <w:rsid w:val="00854309"/>
    <w:rsid w:val="0085515D"/>
    <w:rsid w:val="00856C9E"/>
    <w:rsid w:val="008573BD"/>
    <w:rsid w:val="00860432"/>
    <w:rsid w:val="00860BF2"/>
    <w:rsid w:val="00860F40"/>
    <w:rsid w:val="00863657"/>
    <w:rsid w:val="00863E76"/>
    <w:rsid w:val="008644FC"/>
    <w:rsid w:val="008664C1"/>
    <w:rsid w:val="00872973"/>
    <w:rsid w:val="00873803"/>
    <w:rsid w:val="008742DF"/>
    <w:rsid w:val="00874B47"/>
    <w:rsid w:val="00876BD3"/>
    <w:rsid w:val="00880F4D"/>
    <w:rsid w:val="00881B9D"/>
    <w:rsid w:val="00886876"/>
    <w:rsid w:val="008902AF"/>
    <w:rsid w:val="00891C7F"/>
    <w:rsid w:val="008928DF"/>
    <w:rsid w:val="00893449"/>
    <w:rsid w:val="008940BB"/>
    <w:rsid w:val="008969AF"/>
    <w:rsid w:val="00896BDF"/>
    <w:rsid w:val="00897546"/>
    <w:rsid w:val="008A5C9D"/>
    <w:rsid w:val="008A625B"/>
    <w:rsid w:val="008A7ED2"/>
    <w:rsid w:val="008B1D21"/>
    <w:rsid w:val="008B25AA"/>
    <w:rsid w:val="008B3D4B"/>
    <w:rsid w:val="008B4BCF"/>
    <w:rsid w:val="008B4C67"/>
    <w:rsid w:val="008B6AEE"/>
    <w:rsid w:val="008B7A37"/>
    <w:rsid w:val="008C0C76"/>
    <w:rsid w:val="008C10B6"/>
    <w:rsid w:val="008C2CC3"/>
    <w:rsid w:val="008C36F0"/>
    <w:rsid w:val="008C3E1E"/>
    <w:rsid w:val="008C4851"/>
    <w:rsid w:val="008C4C7B"/>
    <w:rsid w:val="008C514E"/>
    <w:rsid w:val="008C6600"/>
    <w:rsid w:val="008C7B8D"/>
    <w:rsid w:val="008D1A3C"/>
    <w:rsid w:val="008D2F04"/>
    <w:rsid w:val="008D3DAF"/>
    <w:rsid w:val="008D4247"/>
    <w:rsid w:val="008D54FF"/>
    <w:rsid w:val="008E1862"/>
    <w:rsid w:val="008E22C4"/>
    <w:rsid w:val="008E2AC6"/>
    <w:rsid w:val="008E326F"/>
    <w:rsid w:val="008E3B0D"/>
    <w:rsid w:val="008E5272"/>
    <w:rsid w:val="008E7267"/>
    <w:rsid w:val="008E7604"/>
    <w:rsid w:val="008E78D1"/>
    <w:rsid w:val="008E7AE6"/>
    <w:rsid w:val="008F00AD"/>
    <w:rsid w:val="008F03E1"/>
    <w:rsid w:val="009004E4"/>
    <w:rsid w:val="009011AC"/>
    <w:rsid w:val="00902E20"/>
    <w:rsid w:val="0090373D"/>
    <w:rsid w:val="0090504B"/>
    <w:rsid w:val="00905F34"/>
    <w:rsid w:val="00907589"/>
    <w:rsid w:val="00910863"/>
    <w:rsid w:val="0091195A"/>
    <w:rsid w:val="00914803"/>
    <w:rsid w:val="0091505C"/>
    <w:rsid w:val="009154EA"/>
    <w:rsid w:val="00917156"/>
    <w:rsid w:val="00920B62"/>
    <w:rsid w:val="00921EA2"/>
    <w:rsid w:val="00923795"/>
    <w:rsid w:val="00923937"/>
    <w:rsid w:val="009253DB"/>
    <w:rsid w:val="00925432"/>
    <w:rsid w:val="00925E45"/>
    <w:rsid w:val="00926E8D"/>
    <w:rsid w:val="009306C7"/>
    <w:rsid w:val="00930A2A"/>
    <w:rsid w:val="00932665"/>
    <w:rsid w:val="00932C45"/>
    <w:rsid w:val="009335A6"/>
    <w:rsid w:val="00934463"/>
    <w:rsid w:val="009346C7"/>
    <w:rsid w:val="00934B1F"/>
    <w:rsid w:val="00935D12"/>
    <w:rsid w:val="0093632A"/>
    <w:rsid w:val="00937E2A"/>
    <w:rsid w:val="00941CAB"/>
    <w:rsid w:val="00942341"/>
    <w:rsid w:val="00942582"/>
    <w:rsid w:val="009440A4"/>
    <w:rsid w:val="009445B8"/>
    <w:rsid w:val="009464C9"/>
    <w:rsid w:val="00946537"/>
    <w:rsid w:val="00947135"/>
    <w:rsid w:val="00951734"/>
    <w:rsid w:val="00952D71"/>
    <w:rsid w:val="00960BD3"/>
    <w:rsid w:val="00961AFF"/>
    <w:rsid w:val="009668E9"/>
    <w:rsid w:val="00970953"/>
    <w:rsid w:val="00972C0D"/>
    <w:rsid w:val="00976DAA"/>
    <w:rsid w:val="009779CE"/>
    <w:rsid w:val="00984305"/>
    <w:rsid w:val="0098536F"/>
    <w:rsid w:val="009866B0"/>
    <w:rsid w:val="00987719"/>
    <w:rsid w:val="009904C7"/>
    <w:rsid w:val="009905D9"/>
    <w:rsid w:val="0099089A"/>
    <w:rsid w:val="00992AD4"/>
    <w:rsid w:val="00993395"/>
    <w:rsid w:val="0099605F"/>
    <w:rsid w:val="009961EE"/>
    <w:rsid w:val="0099632D"/>
    <w:rsid w:val="00997925"/>
    <w:rsid w:val="009A0D35"/>
    <w:rsid w:val="009A2A6E"/>
    <w:rsid w:val="009B1CEA"/>
    <w:rsid w:val="009B20E6"/>
    <w:rsid w:val="009B2C5D"/>
    <w:rsid w:val="009B33D1"/>
    <w:rsid w:val="009B4195"/>
    <w:rsid w:val="009B5488"/>
    <w:rsid w:val="009B5526"/>
    <w:rsid w:val="009B58F7"/>
    <w:rsid w:val="009B7B4D"/>
    <w:rsid w:val="009B7DCC"/>
    <w:rsid w:val="009C05BD"/>
    <w:rsid w:val="009C18E0"/>
    <w:rsid w:val="009C226B"/>
    <w:rsid w:val="009C2B38"/>
    <w:rsid w:val="009C52B9"/>
    <w:rsid w:val="009C5B54"/>
    <w:rsid w:val="009D0728"/>
    <w:rsid w:val="009D233C"/>
    <w:rsid w:val="009D31E2"/>
    <w:rsid w:val="009D4E5C"/>
    <w:rsid w:val="009D537C"/>
    <w:rsid w:val="009D582A"/>
    <w:rsid w:val="009D6EC2"/>
    <w:rsid w:val="009D7106"/>
    <w:rsid w:val="009E0218"/>
    <w:rsid w:val="009E08A2"/>
    <w:rsid w:val="009E2895"/>
    <w:rsid w:val="009F3C31"/>
    <w:rsid w:val="009F5271"/>
    <w:rsid w:val="009F6316"/>
    <w:rsid w:val="009F7ABD"/>
    <w:rsid w:val="00A010BF"/>
    <w:rsid w:val="00A01C29"/>
    <w:rsid w:val="00A033F6"/>
    <w:rsid w:val="00A04593"/>
    <w:rsid w:val="00A07CD6"/>
    <w:rsid w:val="00A10D3F"/>
    <w:rsid w:val="00A12E12"/>
    <w:rsid w:val="00A153A1"/>
    <w:rsid w:val="00A16164"/>
    <w:rsid w:val="00A166F5"/>
    <w:rsid w:val="00A17609"/>
    <w:rsid w:val="00A227CB"/>
    <w:rsid w:val="00A22D2C"/>
    <w:rsid w:val="00A234E6"/>
    <w:rsid w:val="00A25B1F"/>
    <w:rsid w:val="00A2745F"/>
    <w:rsid w:val="00A276D6"/>
    <w:rsid w:val="00A3288E"/>
    <w:rsid w:val="00A331FC"/>
    <w:rsid w:val="00A379C1"/>
    <w:rsid w:val="00A37FBD"/>
    <w:rsid w:val="00A40ADF"/>
    <w:rsid w:val="00A40E58"/>
    <w:rsid w:val="00A41A2F"/>
    <w:rsid w:val="00A4562A"/>
    <w:rsid w:val="00A45C15"/>
    <w:rsid w:val="00A47F75"/>
    <w:rsid w:val="00A50601"/>
    <w:rsid w:val="00A51F2C"/>
    <w:rsid w:val="00A53029"/>
    <w:rsid w:val="00A530A5"/>
    <w:rsid w:val="00A541C9"/>
    <w:rsid w:val="00A567EA"/>
    <w:rsid w:val="00A60065"/>
    <w:rsid w:val="00A61951"/>
    <w:rsid w:val="00A6271F"/>
    <w:rsid w:val="00A62A7A"/>
    <w:rsid w:val="00A63798"/>
    <w:rsid w:val="00A63874"/>
    <w:rsid w:val="00A65782"/>
    <w:rsid w:val="00A66CC0"/>
    <w:rsid w:val="00A70C44"/>
    <w:rsid w:val="00A7181E"/>
    <w:rsid w:val="00A728C6"/>
    <w:rsid w:val="00A72D1B"/>
    <w:rsid w:val="00A730B8"/>
    <w:rsid w:val="00A73238"/>
    <w:rsid w:val="00A736DD"/>
    <w:rsid w:val="00A7412A"/>
    <w:rsid w:val="00A767C3"/>
    <w:rsid w:val="00A819B3"/>
    <w:rsid w:val="00A8341C"/>
    <w:rsid w:val="00A85A5F"/>
    <w:rsid w:val="00A86501"/>
    <w:rsid w:val="00A907F7"/>
    <w:rsid w:val="00A9083B"/>
    <w:rsid w:val="00A914A3"/>
    <w:rsid w:val="00A914BF"/>
    <w:rsid w:val="00A91D12"/>
    <w:rsid w:val="00A92319"/>
    <w:rsid w:val="00A97FAA"/>
    <w:rsid w:val="00AA03E3"/>
    <w:rsid w:val="00AA29F9"/>
    <w:rsid w:val="00AA3989"/>
    <w:rsid w:val="00AA4BAB"/>
    <w:rsid w:val="00AA50DE"/>
    <w:rsid w:val="00AA6E21"/>
    <w:rsid w:val="00AA7D41"/>
    <w:rsid w:val="00AB311F"/>
    <w:rsid w:val="00AB3622"/>
    <w:rsid w:val="00AB69EA"/>
    <w:rsid w:val="00AB6E7A"/>
    <w:rsid w:val="00AB79CE"/>
    <w:rsid w:val="00AC0866"/>
    <w:rsid w:val="00AC4666"/>
    <w:rsid w:val="00AC7007"/>
    <w:rsid w:val="00AC79C9"/>
    <w:rsid w:val="00AC7A4C"/>
    <w:rsid w:val="00AC7D55"/>
    <w:rsid w:val="00AD091E"/>
    <w:rsid w:val="00AD1145"/>
    <w:rsid w:val="00AD2DD8"/>
    <w:rsid w:val="00AD2F7A"/>
    <w:rsid w:val="00AD7C31"/>
    <w:rsid w:val="00AE0010"/>
    <w:rsid w:val="00AE0EA0"/>
    <w:rsid w:val="00AE11CA"/>
    <w:rsid w:val="00AE3A27"/>
    <w:rsid w:val="00AE5789"/>
    <w:rsid w:val="00AE5CAE"/>
    <w:rsid w:val="00AE6135"/>
    <w:rsid w:val="00AF2185"/>
    <w:rsid w:val="00AF3E7C"/>
    <w:rsid w:val="00AF4616"/>
    <w:rsid w:val="00AF684C"/>
    <w:rsid w:val="00B003F5"/>
    <w:rsid w:val="00B00F5F"/>
    <w:rsid w:val="00B043F0"/>
    <w:rsid w:val="00B05C44"/>
    <w:rsid w:val="00B06DFF"/>
    <w:rsid w:val="00B11A0B"/>
    <w:rsid w:val="00B12AF1"/>
    <w:rsid w:val="00B12B5C"/>
    <w:rsid w:val="00B149F0"/>
    <w:rsid w:val="00B16387"/>
    <w:rsid w:val="00B170D8"/>
    <w:rsid w:val="00B177D8"/>
    <w:rsid w:val="00B20C2F"/>
    <w:rsid w:val="00B21293"/>
    <w:rsid w:val="00B2334F"/>
    <w:rsid w:val="00B2468D"/>
    <w:rsid w:val="00B275F9"/>
    <w:rsid w:val="00B27AE8"/>
    <w:rsid w:val="00B27EFD"/>
    <w:rsid w:val="00B311A8"/>
    <w:rsid w:val="00B33067"/>
    <w:rsid w:val="00B340C1"/>
    <w:rsid w:val="00B3440D"/>
    <w:rsid w:val="00B35ED3"/>
    <w:rsid w:val="00B4003B"/>
    <w:rsid w:val="00B41166"/>
    <w:rsid w:val="00B41A9D"/>
    <w:rsid w:val="00B41DE7"/>
    <w:rsid w:val="00B427D4"/>
    <w:rsid w:val="00B43D4E"/>
    <w:rsid w:val="00B45E7A"/>
    <w:rsid w:val="00B46479"/>
    <w:rsid w:val="00B47C02"/>
    <w:rsid w:val="00B541D8"/>
    <w:rsid w:val="00B54700"/>
    <w:rsid w:val="00B549C9"/>
    <w:rsid w:val="00B5541E"/>
    <w:rsid w:val="00B5582C"/>
    <w:rsid w:val="00B5600C"/>
    <w:rsid w:val="00B617F7"/>
    <w:rsid w:val="00B63226"/>
    <w:rsid w:val="00B63284"/>
    <w:rsid w:val="00B641EE"/>
    <w:rsid w:val="00B642C3"/>
    <w:rsid w:val="00B647A6"/>
    <w:rsid w:val="00B64977"/>
    <w:rsid w:val="00B675AE"/>
    <w:rsid w:val="00B675DE"/>
    <w:rsid w:val="00B71176"/>
    <w:rsid w:val="00B71DED"/>
    <w:rsid w:val="00B71E59"/>
    <w:rsid w:val="00B75491"/>
    <w:rsid w:val="00B76991"/>
    <w:rsid w:val="00B776E8"/>
    <w:rsid w:val="00B81149"/>
    <w:rsid w:val="00B838C8"/>
    <w:rsid w:val="00B85AEB"/>
    <w:rsid w:val="00B92A62"/>
    <w:rsid w:val="00B95BE9"/>
    <w:rsid w:val="00B97F72"/>
    <w:rsid w:val="00BA0147"/>
    <w:rsid w:val="00BA0BA5"/>
    <w:rsid w:val="00BA1A0A"/>
    <w:rsid w:val="00BA3E2E"/>
    <w:rsid w:val="00BA4A4F"/>
    <w:rsid w:val="00BA74EF"/>
    <w:rsid w:val="00BA7B06"/>
    <w:rsid w:val="00BB04D1"/>
    <w:rsid w:val="00BB3531"/>
    <w:rsid w:val="00BB483D"/>
    <w:rsid w:val="00BB5FFD"/>
    <w:rsid w:val="00BC0881"/>
    <w:rsid w:val="00BC0E62"/>
    <w:rsid w:val="00BC1007"/>
    <w:rsid w:val="00BC316F"/>
    <w:rsid w:val="00BC3367"/>
    <w:rsid w:val="00BC3978"/>
    <w:rsid w:val="00BC3BF2"/>
    <w:rsid w:val="00BC4598"/>
    <w:rsid w:val="00BC4827"/>
    <w:rsid w:val="00BC60C8"/>
    <w:rsid w:val="00BC65AF"/>
    <w:rsid w:val="00BC67A0"/>
    <w:rsid w:val="00BC7B73"/>
    <w:rsid w:val="00BD4431"/>
    <w:rsid w:val="00BD57C3"/>
    <w:rsid w:val="00BD7D51"/>
    <w:rsid w:val="00BE0D40"/>
    <w:rsid w:val="00BE2946"/>
    <w:rsid w:val="00BE5533"/>
    <w:rsid w:val="00BE5593"/>
    <w:rsid w:val="00BE7572"/>
    <w:rsid w:val="00BE7DAD"/>
    <w:rsid w:val="00BF0A9C"/>
    <w:rsid w:val="00BF10C3"/>
    <w:rsid w:val="00BF29E8"/>
    <w:rsid w:val="00BF472F"/>
    <w:rsid w:val="00BF48F9"/>
    <w:rsid w:val="00BF4DAE"/>
    <w:rsid w:val="00BF609B"/>
    <w:rsid w:val="00C01554"/>
    <w:rsid w:val="00C01F19"/>
    <w:rsid w:val="00C02F68"/>
    <w:rsid w:val="00C0331D"/>
    <w:rsid w:val="00C03B4B"/>
    <w:rsid w:val="00C06468"/>
    <w:rsid w:val="00C07F03"/>
    <w:rsid w:val="00C10F16"/>
    <w:rsid w:val="00C11CA7"/>
    <w:rsid w:val="00C12C73"/>
    <w:rsid w:val="00C12F91"/>
    <w:rsid w:val="00C138EF"/>
    <w:rsid w:val="00C14785"/>
    <w:rsid w:val="00C14A8C"/>
    <w:rsid w:val="00C14FFA"/>
    <w:rsid w:val="00C15091"/>
    <w:rsid w:val="00C1694E"/>
    <w:rsid w:val="00C17870"/>
    <w:rsid w:val="00C179FB"/>
    <w:rsid w:val="00C22FF7"/>
    <w:rsid w:val="00C24D66"/>
    <w:rsid w:val="00C25E38"/>
    <w:rsid w:val="00C26408"/>
    <w:rsid w:val="00C2782B"/>
    <w:rsid w:val="00C27C83"/>
    <w:rsid w:val="00C314F4"/>
    <w:rsid w:val="00C31BE5"/>
    <w:rsid w:val="00C31DAE"/>
    <w:rsid w:val="00C325E3"/>
    <w:rsid w:val="00C3507E"/>
    <w:rsid w:val="00C351FF"/>
    <w:rsid w:val="00C35267"/>
    <w:rsid w:val="00C36CAD"/>
    <w:rsid w:val="00C37B5F"/>
    <w:rsid w:val="00C40EDF"/>
    <w:rsid w:val="00C410A3"/>
    <w:rsid w:val="00C42EEB"/>
    <w:rsid w:val="00C50BA1"/>
    <w:rsid w:val="00C51CB8"/>
    <w:rsid w:val="00C56B7F"/>
    <w:rsid w:val="00C5712E"/>
    <w:rsid w:val="00C60DE6"/>
    <w:rsid w:val="00C61DDF"/>
    <w:rsid w:val="00C629D7"/>
    <w:rsid w:val="00C63C5F"/>
    <w:rsid w:val="00C64074"/>
    <w:rsid w:val="00C7166D"/>
    <w:rsid w:val="00C74E16"/>
    <w:rsid w:val="00C75022"/>
    <w:rsid w:val="00C774FB"/>
    <w:rsid w:val="00C77C2C"/>
    <w:rsid w:val="00C8250F"/>
    <w:rsid w:val="00C8323A"/>
    <w:rsid w:val="00C87937"/>
    <w:rsid w:val="00C91A77"/>
    <w:rsid w:val="00C921EB"/>
    <w:rsid w:val="00C92EBF"/>
    <w:rsid w:val="00C93ADA"/>
    <w:rsid w:val="00C96431"/>
    <w:rsid w:val="00CA058D"/>
    <w:rsid w:val="00CA2134"/>
    <w:rsid w:val="00CA2E3E"/>
    <w:rsid w:val="00CA300E"/>
    <w:rsid w:val="00CA42FC"/>
    <w:rsid w:val="00CA4707"/>
    <w:rsid w:val="00CA51A2"/>
    <w:rsid w:val="00CA5D98"/>
    <w:rsid w:val="00CA7218"/>
    <w:rsid w:val="00CB0C34"/>
    <w:rsid w:val="00CB16CE"/>
    <w:rsid w:val="00CB1E3C"/>
    <w:rsid w:val="00CB1E9C"/>
    <w:rsid w:val="00CB2EE2"/>
    <w:rsid w:val="00CB4BA8"/>
    <w:rsid w:val="00CB5167"/>
    <w:rsid w:val="00CB538E"/>
    <w:rsid w:val="00CB746F"/>
    <w:rsid w:val="00CB7B5E"/>
    <w:rsid w:val="00CB7C8B"/>
    <w:rsid w:val="00CC07B2"/>
    <w:rsid w:val="00CC1706"/>
    <w:rsid w:val="00CC18F7"/>
    <w:rsid w:val="00CC58BD"/>
    <w:rsid w:val="00CD0CE2"/>
    <w:rsid w:val="00CD14AA"/>
    <w:rsid w:val="00CD1BFC"/>
    <w:rsid w:val="00CD27A0"/>
    <w:rsid w:val="00CD2E7D"/>
    <w:rsid w:val="00CD7251"/>
    <w:rsid w:val="00CD75F6"/>
    <w:rsid w:val="00CE3660"/>
    <w:rsid w:val="00CE3BEF"/>
    <w:rsid w:val="00CE4A1B"/>
    <w:rsid w:val="00CE6AAD"/>
    <w:rsid w:val="00CE7368"/>
    <w:rsid w:val="00CF6029"/>
    <w:rsid w:val="00CF6954"/>
    <w:rsid w:val="00D0087B"/>
    <w:rsid w:val="00D02C72"/>
    <w:rsid w:val="00D033CE"/>
    <w:rsid w:val="00D05387"/>
    <w:rsid w:val="00D054B4"/>
    <w:rsid w:val="00D05C44"/>
    <w:rsid w:val="00D06032"/>
    <w:rsid w:val="00D10783"/>
    <w:rsid w:val="00D13A69"/>
    <w:rsid w:val="00D1702A"/>
    <w:rsid w:val="00D20282"/>
    <w:rsid w:val="00D22431"/>
    <w:rsid w:val="00D225E1"/>
    <w:rsid w:val="00D22B54"/>
    <w:rsid w:val="00D23390"/>
    <w:rsid w:val="00D250D6"/>
    <w:rsid w:val="00D2530B"/>
    <w:rsid w:val="00D33A86"/>
    <w:rsid w:val="00D37793"/>
    <w:rsid w:val="00D402E6"/>
    <w:rsid w:val="00D426AD"/>
    <w:rsid w:val="00D4346E"/>
    <w:rsid w:val="00D4383D"/>
    <w:rsid w:val="00D43907"/>
    <w:rsid w:val="00D44247"/>
    <w:rsid w:val="00D4465F"/>
    <w:rsid w:val="00D44B91"/>
    <w:rsid w:val="00D4527A"/>
    <w:rsid w:val="00D46353"/>
    <w:rsid w:val="00D5018B"/>
    <w:rsid w:val="00D5176B"/>
    <w:rsid w:val="00D537B9"/>
    <w:rsid w:val="00D53C27"/>
    <w:rsid w:val="00D55C1E"/>
    <w:rsid w:val="00D55EEE"/>
    <w:rsid w:val="00D562A5"/>
    <w:rsid w:val="00D5670A"/>
    <w:rsid w:val="00D57090"/>
    <w:rsid w:val="00D604FC"/>
    <w:rsid w:val="00D60808"/>
    <w:rsid w:val="00D6097E"/>
    <w:rsid w:val="00D61BFF"/>
    <w:rsid w:val="00D626D3"/>
    <w:rsid w:val="00D70DBF"/>
    <w:rsid w:val="00D734F1"/>
    <w:rsid w:val="00D737A3"/>
    <w:rsid w:val="00D73FF1"/>
    <w:rsid w:val="00D756ED"/>
    <w:rsid w:val="00D77159"/>
    <w:rsid w:val="00D779F8"/>
    <w:rsid w:val="00D800FA"/>
    <w:rsid w:val="00D814CD"/>
    <w:rsid w:val="00D849F7"/>
    <w:rsid w:val="00D855E2"/>
    <w:rsid w:val="00D858D6"/>
    <w:rsid w:val="00D86775"/>
    <w:rsid w:val="00D90962"/>
    <w:rsid w:val="00D9269B"/>
    <w:rsid w:val="00D9424E"/>
    <w:rsid w:val="00D9519D"/>
    <w:rsid w:val="00D952B5"/>
    <w:rsid w:val="00D966DF"/>
    <w:rsid w:val="00DA0B73"/>
    <w:rsid w:val="00DA3863"/>
    <w:rsid w:val="00DA5300"/>
    <w:rsid w:val="00DA536D"/>
    <w:rsid w:val="00DA5696"/>
    <w:rsid w:val="00DA5F22"/>
    <w:rsid w:val="00DA767E"/>
    <w:rsid w:val="00DA7EC3"/>
    <w:rsid w:val="00DB12DB"/>
    <w:rsid w:val="00DB2445"/>
    <w:rsid w:val="00DB2F0A"/>
    <w:rsid w:val="00DB36EF"/>
    <w:rsid w:val="00DB37EB"/>
    <w:rsid w:val="00DB682C"/>
    <w:rsid w:val="00DC250E"/>
    <w:rsid w:val="00DC305A"/>
    <w:rsid w:val="00DC36B7"/>
    <w:rsid w:val="00DC60C3"/>
    <w:rsid w:val="00DD4B0C"/>
    <w:rsid w:val="00DD4ECB"/>
    <w:rsid w:val="00DD5026"/>
    <w:rsid w:val="00DD6712"/>
    <w:rsid w:val="00DD703D"/>
    <w:rsid w:val="00DD714F"/>
    <w:rsid w:val="00DD71B9"/>
    <w:rsid w:val="00DE09D1"/>
    <w:rsid w:val="00DE3C9D"/>
    <w:rsid w:val="00DE416D"/>
    <w:rsid w:val="00DE60AE"/>
    <w:rsid w:val="00DE7CE5"/>
    <w:rsid w:val="00DE7DF5"/>
    <w:rsid w:val="00DF0DDC"/>
    <w:rsid w:val="00DF1D35"/>
    <w:rsid w:val="00DF749C"/>
    <w:rsid w:val="00E0145C"/>
    <w:rsid w:val="00E014D9"/>
    <w:rsid w:val="00E020C5"/>
    <w:rsid w:val="00E052A3"/>
    <w:rsid w:val="00E0563D"/>
    <w:rsid w:val="00E0684C"/>
    <w:rsid w:val="00E10792"/>
    <w:rsid w:val="00E121D5"/>
    <w:rsid w:val="00E14CF5"/>
    <w:rsid w:val="00E201A8"/>
    <w:rsid w:val="00E2070C"/>
    <w:rsid w:val="00E20A25"/>
    <w:rsid w:val="00E20B55"/>
    <w:rsid w:val="00E213E6"/>
    <w:rsid w:val="00E22C82"/>
    <w:rsid w:val="00E237B6"/>
    <w:rsid w:val="00E2729D"/>
    <w:rsid w:val="00E31AD8"/>
    <w:rsid w:val="00E32547"/>
    <w:rsid w:val="00E36A74"/>
    <w:rsid w:val="00E36BB1"/>
    <w:rsid w:val="00E3788D"/>
    <w:rsid w:val="00E37B46"/>
    <w:rsid w:val="00E400DC"/>
    <w:rsid w:val="00E407CE"/>
    <w:rsid w:val="00E4115B"/>
    <w:rsid w:val="00E4224A"/>
    <w:rsid w:val="00E422C0"/>
    <w:rsid w:val="00E429A2"/>
    <w:rsid w:val="00E449BF"/>
    <w:rsid w:val="00E4514F"/>
    <w:rsid w:val="00E45E10"/>
    <w:rsid w:val="00E51AD9"/>
    <w:rsid w:val="00E52889"/>
    <w:rsid w:val="00E53CF7"/>
    <w:rsid w:val="00E54786"/>
    <w:rsid w:val="00E560E4"/>
    <w:rsid w:val="00E561A5"/>
    <w:rsid w:val="00E563E7"/>
    <w:rsid w:val="00E60548"/>
    <w:rsid w:val="00E657EF"/>
    <w:rsid w:val="00E65A06"/>
    <w:rsid w:val="00E66A82"/>
    <w:rsid w:val="00E7281E"/>
    <w:rsid w:val="00E73847"/>
    <w:rsid w:val="00E74068"/>
    <w:rsid w:val="00E759B8"/>
    <w:rsid w:val="00E80DA6"/>
    <w:rsid w:val="00E818C9"/>
    <w:rsid w:val="00E82976"/>
    <w:rsid w:val="00E82FEE"/>
    <w:rsid w:val="00E83D39"/>
    <w:rsid w:val="00E85862"/>
    <w:rsid w:val="00E85B1F"/>
    <w:rsid w:val="00E8790C"/>
    <w:rsid w:val="00E87E15"/>
    <w:rsid w:val="00E87F4F"/>
    <w:rsid w:val="00E91469"/>
    <w:rsid w:val="00E93C75"/>
    <w:rsid w:val="00E97D8D"/>
    <w:rsid w:val="00E97F4C"/>
    <w:rsid w:val="00EA1A9B"/>
    <w:rsid w:val="00EA1C32"/>
    <w:rsid w:val="00EA442E"/>
    <w:rsid w:val="00EB0029"/>
    <w:rsid w:val="00EB09E7"/>
    <w:rsid w:val="00EB2465"/>
    <w:rsid w:val="00EB3FF3"/>
    <w:rsid w:val="00EB5BF4"/>
    <w:rsid w:val="00EB7169"/>
    <w:rsid w:val="00EB7298"/>
    <w:rsid w:val="00EC118D"/>
    <w:rsid w:val="00EC2705"/>
    <w:rsid w:val="00EC4B69"/>
    <w:rsid w:val="00EC519E"/>
    <w:rsid w:val="00EC68CF"/>
    <w:rsid w:val="00EC735D"/>
    <w:rsid w:val="00EC7AEC"/>
    <w:rsid w:val="00ED412D"/>
    <w:rsid w:val="00ED4A91"/>
    <w:rsid w:val="00ED7135"/>
    <w:rsid w:val="00ED76A8"/>
    <w:rsid w:val="00EE28D2"/>
    <w:rsid w:val="00EE3B2B"/>
    <w:rsid w:val="00EE484C"/>
    <w:rsid w:val="00EE65D1"/>
    <w:rsid w:val="00EE79C4"/>
    <w:rsid w:val="00EF1002"/>
    <w:rsid w:val="00EF2448"/>
    <w:rsid w:val="00EF31F3"/>
    <w:rsid w:val="00EF36AF"/>
    <w:rsid w:val="00F0069E"/>
    <w:rsid w:val="00F01F1F"/>
    <w:rsid w:val="00F03562"/>
    <w:rsid w:val="00F0446C"/>
    <w:rsid w:val="00F04B26"/>
    <w:rsid w:val="00F0720F"/>
    <w:rsid w:val="00F07497"/>
    <w:rsid w:val="00F075AF"/>
    <w:rsid w:val="00F124A6"/>
    <w:rsid w:val="00F135E4"/>
    <w:rsid w:val="00F15433"/>
    <w:rsid w:val="00F16404"/>
    <w:rsid w:val="00F2234F"/>
    <w:rsid w:val="00F23D92"/>
    <w:rsid w:val="00F24099"/>
    <w:rsid w:val="00F248DB"/>
    <w:rsid w:val="00F24CE9"/>
    <w:rsid w:val="00F25974"/>
    <w:rsid w:val="00F26EAD"/>
    <w:rsid w:val="00F274ED"/>
    <w:rsid w:val="00F27D1A"/>
    <w:rsid w:val="00F30526"/>
    <w:rsid w:val="00F30757"/>
    <w:rsid w:val="00F31319"/>
    <w:rsid w:val="00F31DB0"/>
    <w:rsid w:val="00F3305E"/>
    <w:rsid w:val="00F34496"/>
    <w:rsid w:val="00F34B6F"/>
    <w:rsid w:val="00F47BEA"/>
    <w:rsid w:val="00F501B6"/>
    <w:rsid w:val="00F51373"/>
    <w:rsid w:val="00F51C8B"/>
    <w:rsid w:val="00F52D5C"/>
    <w:rsid w:val="00F52FA3"/>
    <w:rsid w:val="00F535A0"/>
    <w:rsid w:val="00F53E4F"/>
    <w:rsid w:val="00F606DD"/>
    <w:rsid w:val="00F63B42"/>
    <w:rsid w:val="00F6420D"/>
    <w:rsid w:val="00F65C98"/>
    <w:rsid w:val="00F66692"/>
    <w:rsid w:val="00F67346"/>
    <w:rsid w:val="00F67E74"/>
    <w:rsid w:val="00F67FAB"/>
    <w:rsid w:val="00F73504"/>
    <w:rsid w:val="00F73F61"/>
    <w:rsid w:val="00F76610"/>
    <w:rsid w:val="00F76B4B"/>
    <w:rsid w:val="00F77663"/>
    <w:rsid w:val="00F80AA3"/>
    <w:rsid w:val="00F8438C"/>
    <w:rsid w:val="00F86957"/>
    <w:rsid w:val="00F86E0B"/>
    <w:rsid w:val="00F905A7"/>
    <w:rsid w:val="00F940C9"/>
    <w:rsid w:val="00F9691E"/>
    <w:rsid w:val="00FA0297"/>
    <w:rsid w:val="00FA09E4"/>
    <w:rsid w:val="00FA17B0"/>
    <w:rsid w:val="00FA1987"/>
    <w:rsid w:val="00FA2F23"/>
    <w:rsid w:val="00FA3E65"/>
    <w:rsid w:val="00FA441B"/>
    <w:rsid w:val="00FA6AF4"/>
    <w:rsid w:val="00FB0729"/>
    <w:rsid w:val="00FB15F9"/>
    <w:rsid w:val="00FB2F35"/>
    <w:rsid w:val="00FB30C9"/>
    <w:rsid w:val="00FB3B3C"/>
    <w:rsid w:val="00FB3C5A"/>
    <w:rsid w:val="00FB5462"/>
    <w:rsid w:val="00FB647D"/>
    <w:rsid w:val="00FC0A3F"/>
    <w:rsid w:val="00FC38ED"/>
    <w:rsid w:val="00FC4B5A"/>
    <w:rsid w:val="00FC5E84"/>
    <w:rsid w:val="00FC6927"/>
    <w:rsid w:val="00FD4D3A"/>
    <w:rsid w:val="00FD56F2"/>
    <w:rsid w:val="00FD7614"/>
    <w:rsid w:val="00FE25DF"/>
    <w:rsid w:val="00FE35D1"/>
    <w:rsid w:val="00FE7319"/>
    <w:rsid w:val="00FF1079"/>
    <w:rsid w:val="00FF1915"/>
    <w:rsid w:val="00FF1C35"/>
    <w:rsid w:val="00FF2DF7"/>
    <w:rsid w:val="00FF34E2"/>
    <w:rsid w:val="00FF3AB8"/>
    <w:rsid w:val="00FF4A5F"/>
    <w:rsid w:val="00FF52E5"/>
    <w:rsid w:val="00FF543E"/>
    <w:rsid w:val="00FF5B28"/>
    <w:rsid w:val="00FF5F0B"/>
    <w:rsid w:val="00FF6B33"/>
    <w:rsid w:val="00FF72D4"/>
    <w:rsid w:val="00FF75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D33D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1DF4"/>
    <w:pPr>
      <w:ind w:left="720" w:hanging="720"/>
      <w:outlineLvl w:val="0"/>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7EF"/>
    <w:pPr>
      <w:tabs>
        <w:tab w:val="center" w:pos="4320"/>
        <w:tab w:val="right" w:pos="8640"/>
      </w:tabs>
      <w:spacing w:after="0" w:line="240" w:lineRule="auto"/>
    </w:pPr>
  </w:style>
  <w:style w:type="character" w:customStyle="1" w:styleId="HeaderChar">
    <w:name w:val="Header Char"/>
    <w:basedOn w:val="DefaultParagraphFont"/>
    <w:link w:val="Header"/>
    <w:uiPriority w:val="99"/>
    <w:rsid w:val="004547EF"/>
  </w:style>
  <w:style w:type="paragraph" w:styleId="Footer">
    <w:name w:val="footer"/>
    <w:basedOn w:val="Normal"/>
    <w:link w:val="FooterChar"/>
    <w:uiPriority w:val="99"/>
    <w:unhideWhenUsed/>
    <w:rsid w:val="004547EF"/>
    <w:pPr>
      <w:tabs>
        <w:tab w:val="center" w:pos="4320"/>
        <w:tab w:val="right" w:pos="8640"/>
      </w:tabs>
      <w:spacing w:after="0" w:line="240" w:lineRule="auto"/>
    </w:pPr>
  </w:style>
  <w:style w:type="character" w:customStyle="1" w:styleId="FooterChar">
    <w:name w:val="Footer Char"/>
    <w:basedOn w:val="DefaultParagraphFont"/>
    <w:link w:val="Footer"/>
    <w:uiPriority w:val="99"/>
    <w:rsid w:val="004547EF"/>
  </w:style>
  <w:style w:type="table" w:styleId="TableGrid">
    <w:name w:val="Table Grid"/>
    <w:basedOn w:val="TableNormal"/>
    <w:uiPriority w:val="39"/>
    <w:rsid w:val="00E72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644FC"/>
    <w:pPr>
      <w:spacing w:after="0" w:line="240" w:lineRule="auto"/>
    </w:pPr>
  </w:style>
  <w:style w:type="paragraph" w:styleId="ListParagraph">
    <w:name w:val="List Paragraph"/>
    <w:basedOn w:val="Normal"/>
    <w:uiPriority w:val="34"/>
    <w:qFormat/>
    <w:rsid w:val="00085067"/>
    <w:pPr>
      <w:ind w:left="720"/>
      <w:contextualSpacing/>
    </w:pPr>
  </w:style>
  <w:style w:type="paragraph" w:styleId="BalloonText">
    <w:name w:val="Balloon Text"/>
    <w:basedOn w:val="Normal"/>
    <w:link w:val="BalloonTextChar"/>
    <w:uiPriority w:val="99"/>
    <w:semiHidden/>
    <w:unhideWhenUsed/>
    <w:rsid w:val="00336460"/>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336460"/>
    <w:rPr>
      <w:rFonts w:ascii="SimSun" w:eastAsia="SimSun"/>
      <w:sz w:val="18"/>
      <w:szCs w:val="18"/>
    </w:rPr>
  </w:style>
  <w:style w:type="character" w:styleId="Hyperlink">
    <w:name w:val="Hyperlink"/>
    <w:basedOn w:val="DefaultParagraphFont"/>
    <w:uiPriority w:val="99"/>
    <w:unhideWhenUsed/>
    <w:rsid w:val="00C06468"/>
    <w:rPr>
      <w:color w:val="0563C1" w:themeColor="hyperlink"/>
      <w:u w:val="single"/>
    </w:rPr>
  </w:style>
  <w:style w:type="character" w:customStyle="1" w:styleId="UnresolvedMention1">
    <w:name w:val="Unresolved Mention1"/>
    <w:basedOn w:val="DefaultParagraphFont"/>
    <w:uiPriority w:val="99"/>
    <w:rsid w:val="00C06468"/>
    <w:rPr>
      <w:color w:val="605E5C"/>
      <w:shd w:val="clear" w:color="auto" w:fill="E1DFDD"/>
    </w:rPr>
  </w:style>
  <w:style w:type="character" w:styleId="CommentReference">
    <w:name w:val="annotation reference"/>
    <w:basedOn w:val="DefaultParagraphFont"/>
    <w:uiPriority w:val="99"/>
    <w:semiHidden/>
    <w:unhideWhenUsed/>
    <w:rsid w:val="005802F8"/>
    <w:rPr>
      <w:sz w:val="16"/>
      <w:szCs w:val="16"/>
    </w:rPr>
  </w:style>
  <w:style w:type="paragraph" w:styleId="CommentText">
    <w:name w:val="annotation text"/>
    <w:basedOn w:val="Normal"/>
    <w:link w:val="CommentTextChar"/>
    <w:uiPriority w:val="99"/>
    <w:unhideWhenUsed/>
    <w:rsid w:val="005802F8"/>
    <w:pPr>
      <w:spacing w:line="240" w:lineRule="auto"/>
    </w:pPr>
    <w:rPr>
      <w:sz w:val="20"/>
      <w:szCs w:val="20"/>
    </w:rPr>
  </w:style>
  <w:style w:type="character" w:customStyle="1" w:styleId="CommentTextChar">
    <w:name w:val="Comment Text Char"/>
    <w:basedOn w:val="DefaultParagraphFont"/>
    <w:link w:val="CommentText"/>
    <w:uiPriority w:val="99"/>
    <w:rsid w:val="005802F8"/>
    <w:rPr>
      <w:sz w:val="20"/>
      <w:szCs w:val="20"/>
    </w:rPr>
  </w:style>
  <w:style w:type="paragraph" w:styleId="CommentSubject">
    <w:name w:val="annotation subject"/>
    <w:basedOn w:val="CommentText"/>
    <w:next w:val="CommentText"/>
    <w:link w:val="CommentSubjectChar"/>
    <w:uiPriority w:val="99"/>
    <w:semiHidden/>
    <w:unhideWhenUsed/>
    <w:rsid w:val="005802F8"/>
    <w:rPr>
      <w:b/>
      <w:bCs/>
    </w:rPr>
  </w:style>
  <w:style w:type="character" w:customStyle="1" w:styleId="CommentSubjectChar">
    <w:name w:val="Comment Subject Char"/>
    <w:basedOn w:val="CommentTextChar"/>
    <w:link w:val="CommentSubject"/>
    <w:uiPriority w:val="99"/>
    <w:semiHidden/>
    <w:rsid w:val="005802F8"/>
    <w:rPr>
      <w:b/>
      <w:bCs/>
      <w:sz w:val="20"/>
      <w:szCs w:val="20"/>
    </w:rPr>
  </w:style>
  <w:style w:type="character" w:styleId="UnresolvedMention">
    <w:name w:val="Unresolved Mention"/>
    <w:basedOn w:val="DefaultParagraphFont"/>
    <w:uiPriority w:val="99"/>
    <w:semiHidden/>
    <w:unhideWhenUsed/>
    <w:rsid w:val="001D38D8"/>
    <w:rPr>
      <w:color w:val="605E5C"/>
      <w:shd w:val="clear" w:color="auto" w:fill="E1DFDD"/>
    </w:rPr>
  </w:style>
  <w:style w:type="paragraph" w:styleId="Title">
    <w:name w:val="Title"/>
    <w:basedOn w:val="Normal"/>
    <w:next w:val="Normal"/>
    <w:link w:val="TitleChar"/>
    <w:uiPriority w:val="10"/>
    <w:qFormat/>
    <w:rsid w:val="00851DF4"/>
    <w:pPr>
      <w:jc w:val="center"/>
    </w:pPr>
    <w:rPr>
      <w:b/>
      <w:lang w:val="en-GB"/>
    </w:rPr>
  </w:style>
  <w:style w:type="character" w:customStyle="1" w:styleId="TitleChar">
    <w:name w:val="Title Char"/>
    <w:basedOn w:val="DefaultParagraphFont"/>
    <w:link w:val="Title"/>
    <w:uiPriority w:val="10"/>
    <w:rsid w:val="00851DF4"/>
    <w:rPr>
      <w:b/>
      <w:lang w:val="en-GB"/>
    </w:rPr>
  </w:style>
  <w:style w:type="character" w:customStyle="1" w:styleId="Heading1Char">
    <w:name w:val="Heading 1 Char"/>
    <w:basedOn w:val="DefaultParagraphFont"/>
    <w:link w:val="Heading1"/>
    <w:uiPriority w:val="9"/>
    <w:rsid w:val="00851DF4"/>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2350">
      <w:bodyDiv w:val="1"/>
      <w:marLeft w:val="0"/>
      <w:marRight w:val="0"/>
      <w:marTop w:val="0"/>
      <w:marBottom w:val="0"/>
      <w:divBdr>
        <w:top w:val="none" w:sz="0" w:space="0" w:color="auto"/>
        <w:left w:val="none" w:sz="0" w:space="0" w:color="auto"/>
        <w:bottom w:val="none" w:sz="0" w:space="0" w:color="auto"/>
        <w:right w:val="none" w:sz="0" w:space="0" w:color="auto"/>
      </w:divBdr>
      <w:divsChild>
        <w:div w:id="440302512">
          <w:marLeft w:val="0"/>
          <w:marRight w:val="0"/>
          <w:marTop w:val="0"/>
          <w:marBottom w:val="0"/>
          <w:divBdr>
            <w:top w:val="none" w:sz="0" w:space="0" w:color="auto"/>
            <w:left w:val="none" w:sz="0" w:space="0" w:color="auto"/>
            <w:bottom w:val="none" w:sz="0" w:space="0" w:color="auto"/>
            <w:right w:val="none" w:sz="0" w:space="0" w:color="auto"/>
          </w:divBdr>
        </w:div>
        <w:div w:id="846137891">
          <w:marLeft w:val="0"/>
          <w:marRight w:val="0"/>
          <w:marTop w:val="0"/>
          <w:marBottom w:val="0"/>
          <w:divBdr>
            <w:top w:val="none" w:sz="0" w:space="0" w:color="auto"/>
            <w:left w:val="none" w:sz="0" w:space="0" w:color="auto"/>
            <w:bottom w:val="none" w:sz="0" w:space="0" w:color="auto"/>
            <w:right w:val="none" w:sz="0" w:space="0" w:color="auto"/>
          </w:divBdr>
        </w:div>
        <w:div w:id="1801343516">
          <w:marLeft w:val="0"/>
          <w:marRight w:val="0"/>
          <w:marTop w:val="0"/>
          <w:marBottom w:val="0"/>
          <w:divBdr>
            <w:top w:val="none" w:sz="0" w:space="0" w:color="auto"/>
            <w:left w:val="none" w:sz="0" w:space="0" w:color="auto"/>
            <w:bottom w:val="none" w:sz="0" w:space="0" w:color="auto"/>
            <w:right w:val="none" w:sz="0" w:space="0" w:color="auto"/>
          </w:divBdr>
        </w:div>
        <w:div w:id="390155346">
          <w:marLeft w:val="0"/>
          <w:marRight w:val="0"/>
          <w:marTop w:val="0"/>
          <w:marBottom w:val="0"/>
          <w:divBdr>
            <w:top w:val="none" w:sz="0" w:space="0" w:color="auto"/>
            <w:left w:val="none" w:sz="0" w:space="0" w:color="auto"/>
            <w:bottom w:val="none" w:sz="0" w:space="0" w:color="auto"/>
            <w:right w:val="none" w:sz="0" w:space="0" w:color="auto"/>
          </w:divBdr>
        </w:div>
        <w:div w:id="2126532857">
          <w:marLeft w:val="0"/>
          <w:marRight w:val="0"/>
          <w:marTop w:val="0"/>
          <w:marBottom w:val="0"/>
          <w:divBdr>
            <w:top w:val="none" w:sz="0" w:space="0" w:color="auto"/>
            <w:left w:val="none" w:sz="0" w:space="0" w:color="auto"/>
            <w:bottom w:val="none" w:sz="0" w:space="0" w:color="auto"/>
            <w:right w:val="none" w:sz="0" w:space="0" w:color="auto"/>
          </w:divBdr>
        </w:div>
      </w:divsChild>
    </w:div>
    <w:div w:id="75245935">
      <w:bodyDiv w:val="1"/>
      <w:marLeft w:val="0"/>
      <w:marRight w:val="0"/>
      <w:marTop w:val="0"/>
      <w:marBottom w:val="0"/>
      <w:divBdr>
        <w:top w:val="none" w:sz="0" w:space="0" w:color="auto"/>
        <w:left w:val="none" w:sz="0" w:space="0" w:color="auto"/>
        <w:bottom w:val="none" w:sz="0" w:space="0" w:color="auto"/>
        <w:right w:val="none" w:sz="0" w:space="0" w:color="auto"/>
      </w:divBdr>
      <w:divsChild>
        <w:div w:id="1733192098">
          <w:marLeft w:val="0"/>
          <w:marRight w:val="0"/>
          <w:marTop w:val="0"/>
          <w:marBottom w:val="0"/>
          <w:divBdr>
            <w:top w:val="none" w:sz="0" w:space="0" w:color="auto"/>
            <w:left w:val="none" w:sz="0" w:space="0" w:color="auto"/>
            <w:bottom w:val="none" w:sz="0" w:space="0" w:color="auto"/>
            <w:right w:val="none" w:sz="0" w:space="0" w:color="auto"/>
          </w:divBdr>
          <w:divsChild>
            <w:div w:id="904410001">
              <w:marLeft w:val="0"/>
              <w:marRight w:val="0"/>
              <w:marTop w:val="0"/>
              <w:marBottom w:val="0"/>
              <w:divBdr>
                <w:top w:val="none" w:sz="0" w:space="0" w:color="auto"/>
                <w:left w:val="none" w:sz="0" w:space="0" w:color="auto"/>
                <w:bottom w:val="none" w:sz="0" w:space="0" w:color="auto"/>
                <w:right w:val="none" w:sz="0" w:space="0" w:color="auto"/>
              </w:divBdr>
              <w:divsChild>
                <w:div w:id="67627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80546">
      <w:bodyDiv w:val="1"/>
      <w:marLeft w:val="0"/>
      <w:marRight w:val="0"/>
      <w:marTop w:val="0"/>
      <w:marBottom w:val="0"/>
      <w:divBdr>
        <w:top w:val="none" w:sz="0" w:space="0" w:color="auto"/>
        <w:left w:val="none" w:sz="0" w:space="0" w:color="auto"/>
        <w:bottom w:val="none" w:sz="0" w:space="0" w:color="auto"/>
        <w:right w:val="none" w:sz="0" w:space="0" w:color="auto"/>
      </w:divBdr>
    </w:div>
    <w:div w:id="124734330">
      <w:bodyDiv w:val="1"/>
      <w:marLeft w:val="0"/>
      <w:marRight w:val="0"/>
      <w:marTop w:val="0"/>
      <w:marBottom w:val="0"/>
      <w:divBdr>
        <w:top w:val="none" w:sz="0" w:space="0" w:color="auto"/>
        <w:left w:val="none" w:sz="0" w:space="0" w:color="auto"/>
        <w:bottom w:val="none" w:sz="0" w:space="0" w:color="auto"/>
        <w:right w:val="none" w:sz="0" w:space="0" w:color="auto"/>
      </w:divBdr>
    </w:div>
    <w:div w:id="213585212">
      <w:bodyDiv w:val="1"/>
      <w:marLeft w:val="0"/>
      <w:marRight w:val="0"/>
      <w:marTop w:val="0"/>
      <w:marBottom w:val="0"/>
      <w:divBdr>
        <w:top w:val="none" w:sz="0" w:space="0" w:color="auto"/>
        <w:left w:val="none" w:sz="0" w:space="0" w:color="auto"/>
        <w:bottom w:val="none" w:sz="0" w:space="0" w:color="auto"/>
        <w:right w:val="none" w:sz="0" w:space="0" w:color="auto"/>
      </w:divBdr>
      <w:divsChild>
        <w:div w:id="1407915940">
          <w:marLeft w:val="0"/>
          <w:marRight w:val="0"/>
          <w:marTop w:val="0"/>
          <w:marBottom w:val="0"/>
          <w:divBdr>
            <w:top w:val="none" w:sz="0" w:space="0" w:color="auto"/>
            <w:left w:val="none" w:sz="0" w:space="0" w:color="auto"/>
            <w:bottom w:val="none" w:sz="0" w:space="0" w:color="auto"/>
            <w:right w:val="none" w:sz="0" w:space="0" w:color="auto"/>
          </w:divBdr>
          <w:divsChild>
            <w:div w:id="1877964570">
              <w:marLeft w:val="0"/>
              <w:marRight w:val="0"/>
              <w:marTop w:val="0"/>
              <w:marBottom w:val="0"/>
              <w:divBdr>
                <w:top w:val="none" w:sz="0" w:space="0" w:color="auto"/>
                <w:left w:val="none" w:sz="0" w:space="0" w:color="auto"/>
                <w:bottom w:val="none" w:sz="0" w:space="0" w:color="auto"/>
                <w:right w:val="none" w:sz="0" w:space="0" w:color="auto"/>
              </w:divBdr>
              <w:divsChild>
                <w:div w:id="89647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615701">
      <w:bodyDiv w:val="1"/>
      <w:marLeft w:val="0"/>
      <w:marRight w:val="0"/>
      <w:marTop w:val="0"/>
      <w:marBottom w:val="0"/>
      <w:divBdr>
        <w:top w:val="none" w:sz="0" w:space="0" w:color="auto"/>
        <w:left w:val="none" w:sz="0" w:space="0" w:color="auto"/>
        <w:bottom w:val="none" w:sz="0" w:space="0" w:color="auto"/>
        <w:right w:val="none" w:sz="0" w:space="0" w:color="auto"/>
      </w:divBdr>
      <w:divsChild>
        <w:div w:id="1491485967">
          <w:marLeft w:val="0"/>
          <w:marRight w:val="0"/>
          <w:marTop w:val="0"/>
          <w:marBottom w:val="0"/>
          <w:divBdr>
            <w:top w:val="none" w:sz="0" w:space="0" w:color="auto"/>
            <w:left w:val="none" w:sz="0" w:space="0" w:color="auto"/>
            <w:bottom w:val="none" w:sz="0" w:space="0" w:color="auto"/>
            <w:right w:val="none" w:sz="0" w:space="0" w:color="auto"/>
          </w:divBdr>
        </w:div>
        <w:div w:id="1941790177">
          <w:marLeft w:val="0"/>
          <w:marRight w:val="0"/>
          <w:marTop w:val="0"/>
          <w:marBottom w:val="0"/>
          <w:divBdr>
            <w:top w:val="none" w:sz="0" w:space="0" w:color="auto"/>
            <w:left w:val="none" w:sz="0" w:space="0" w:color="auto"/>
            <w:bottom w:val="none" w:sz="0" w:space="0" w:color="auto"/>
            <w:right w:val="none" w:sz="0" w:space="0" w:color="auto"/>
          </w:divBdr>
        </w:div>
        <w:div w:id="714935451">
          <w:marLeft w:val="0"/>
          <w:marRight w:val="0"/>
          <w:marTop w:val="0"/>
          <w:marBottom w:val="0"/>
          <w:divBdr>
            <w:top w:val="none" w:sz="0" w:space="0" w:color="auto"/>
            <w:left w:val="none" w:sz="0" w:space="0" w:color="auto"/>
            <w:bottom w:val="none" w:sz="0" w:space="0" w:color="auto"/>
            <w:right w:val="none" w:sz="0" w:space="0" w:color="auto"/>
          </w:divBdr>
        </w:div>
        <w:div w:id="273172350">
          <w:marLeft w:val="0"/>
          <w:marRight w:val="0"/>
          <w:marTop w:val="0"/>
          <w:marBottom w:val="0"/>
          <w:divBdr>
            <w:top w:val="none" w:sz="0" w:space="0" w:color="auto"/>
            <w:left w:val="none" w:sz="0" w:space="0" w:color="auto"/>
            <w:bottom w:val="none" w:sz="0" w:space="0" w:color="auto"/>
            <w:right w:val="none" w:sz="0" w:space="0" w:color="auto"/>
          </w:divBdr>
        </w:div>
        <w:div w:id="1056077892">
          <w:marLeft w:val="0"/>
          <w:marRight w:val="0"/>
          <w:marTop w:val="0"/>
          <w:marBottom w:val="0"/>
          <w:divBdr>
            <w:top w:val="none" w:sz="0" w:space="0" w:color="auto"/>
            <w:left w:val="none" w:sz="0" w:space="0" w:color="auto"/>
            <w:bottom w:val="none" w:sz="0" w:space="0" w:color="auto"/>
            <w:right w:val="none" w:sz="0" w:space="0" w:color="auto"/>
          </w:divBdr>
        </w:div>
        <w:div w:id="125780190">
          <w:marLeft w:val="0"/>
          <w:marRight w:val="0"/>
          <w:marTop w:val="0"/>
          <w:marBottom w:val="0"/>
          <w:divBdr>
            <w:top w:val="none" w:sz="0" w:space="0" w:color="auto"/>
            <w:left w:val="none" w:sz="0" w:space="0" w:color="auto"/>
            <w:bottom w:val="none" w:sz="0" w:space="0" w:color="auto"/>
            <w:right w:val="none" w:sz="0" w:space="0" w:color="auto"/>
          </w:divBdr>
        </w:div>
      </w:divsChild>
    </w:div>
    <w:div w:id="336814826">
      <w:bodyDiv w:val="1"/>
      <w:marLeft w:val="0"/>
      <w:marRight w:val="0"/>
      <w:marTop w:val="0"/>
      <w:marBottom w:val="0"/>
      <w:divBdr>
        <w:top w:val="none" w:sz="0" w:space="0" w:color="auto"/>
        <w:left w:val="none" w:sz="0" w:space="0" w:color="auto"/>
        <w:bottom w:val="none" w:sz="0" w:space="0" w:color="auto"/>
        <w:right w:val="none" w:sz="0" w:space="0" w:color="auto"/>
      </w:divBdr>
      <w:divsChild>
        <w:div w:id="1360425532">
          <w:marLeft w:val="0"/>
          <w:marRight w:val="0"/>
          <w:marTop w:val="0"/>
          <w:marBottom w:val="0"/>
          <w:divBdr>
            <w:top w:val="none" w:sz="0" w:space="0" w:color="auto"/>
            <w:left w:val="none" w:sz="0" w:space="0" w:color="auto"/>
            <w:bottom w:val="none" w:sz="0" w:space="0" w:color="auto"/>
            <w:right w:val="none" w:sz="0" w:space="0" w:color="auto"/>
          </w:divBdr>
          <w:divsChild>
            <w:div w:id="1570848077">
              <w:marLeft w:val="0"/>
              <w:marRight w:val="0"/>
              <w:marTop w:val="0"/>
              <w:marBottom w:val="0"/>
              <w:divBdr>
                <w:top w:val="none" w:sz="0" w:space="0" w:color="auto"/>
                <w:left w:val="none" w:sz="0" w:space="0" w:color="auto"/>
                <w:bottom w:val="none" w:sz="0" w:space="0" w:color="auto"/>
                <w:right w:val="none" w:sz="0" w:space="0" w:color="auto"/>
              </w:divBdr>
              <w:divsChild>
                <w:div w:id="137372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347431">
      <w:bodyDiv w:val="1"/>
      <w:marLeft w:val="0"/>
      <w:marRight w:val="0"/>
      <w:marTop w:val="0"/>
      <w:marBottom w:val="0"/>
      <w:divBdr>
        <w:top w:val="none" w:sz="0" w:space="0" w:color="auto"/>
        <w:left w:val="none" w:sz="0" w:space="0" w:color="auto"/>
        <w:bottom w:val="none" w:sz="0" w:space="0" w:color="auto"/>
        <w:right w:val="none" w:sz="0" w:space="0" w:color="auto"/>
      </w:divBdr>
      <w:divsChild>
        <w:div w:id="1631328221">
          <w:marLeft w:val="0"/>
          <w:marRight w:val="0"/>
          <w:marTop w:val="0"/>
          <w:marBottom w:val="0"/>
          <w:divBdr>
            <w:top w:val="none" w:sz="0" w:space="0" w:color="auto"/>
            <w:left w:val="none" w:sz="0" w:space="0" w:color="auto"/>
            <w:bottom w:val="none" w:sz="0" w:space="0" w:color="auto"/>
            <w:right w:val="none" w:sz="0" w:space="0" w:color="auto"/>
          </w:divBdr>
        </w:div>
        <w:div w:id="2015496007">
          <w:marLeft w:val="0"/>
          <w:marRight w:val="0"/>
          <w:marTop w:val="0"/>
          <w:marBottom w:val="0"/>
          <w:divBdr>
            <w:top w:val="none" w:sz="0" w:space="0" w:color="auto"/>
            <w:left w:val="none" w:sz="0" w:space="0" w:color="auto"/>
            <w:bottom w:val="none" w:sz="0" w:space="0" w:color="auto"/>
            <w:right w:val="none" w:sz="0" w:space="0" w:color="auto"/>
          </w:divBdr>
        </w:div>
        <w:div w:id="743527129">
          <w:marLeft w:val="0"/>
          <w:marRight w:val="0"/>
          <w:marTop w:val="0"/>
          <w:marBottom w:val="0"/>
          <w:divBdr>
            <w:top w:val="none" w:sz="0" w:space="0" w:color="auto"/>
            <w:left w:val="none" w:sz="0" w:space="0" w:color="auto"/>
            <w:bottom w:val="none" w:sz="0" w:space="0" w:color="auto"/>
            <w:right w:val="none" w:sz="0" w:space="0" w:color="auto"/>
          </w:divBdr>
        </w:div>
        <w:div w:id="2139948727">
          <w:marLeft w:val="0"/>
          <w:marRight w:val="0"/>
          <w:marTop w:val="0"/>
          <w:marBottom w:val="0"/>
          <w:divBdr>
            <w:top w:val="none" w:sz="0" w:space="0" w:color="auto"/>
            <w:left w:val="none" w:sz="0" w:space="0" w:color="auto"/>
            <w:bottom w:val="none" w:sz="0" w:space="0" w:color="auto"/>
            <w:right w:val="none" w:sz="0" w:space="0" w:color="auto"/>
          </w:divBdr>
        </w:div>
        <w:div w:id="732243504">
          <w:marLeft w:val="0"/>
          <w:marRight w:val="0"/>
          <w:marTop w:val="0"/>
          <w:marBottom w:val="0"/>
          <w:divBdr>
            <w:top w:val="none" w:sz="0" w:space="0" w:color="auto"/>
            <w:left w:val="none" w:sz="0" w:space="0" w:color="auto"/>
            <w:bottom w:val="none" w:sz="0" w:space="0" w:color="auto"/>
            <w:right w:val="none" w:sz="0" w:space="0" w:color="auto"/>
          </w:divBdr>
        </w:div>
        <w:div w:id="25259123">
          <w:marLeft w:val="0"/>
          <w:marRight w:val="0"/>
          <w:marTop w:val="0"/>
          <w:marBottom w:val="0"/>
          <w:divBdr>
            <w:top w:val="none" w:sz="0" w:space="0" w:color="auto"/>
            <w:left w:val="none" w:sz="0" w:space="0" w:color="auto"/>
            <w:bottom w:val="none" w:sz="0" w:space="0" w:color="auto"/>
            <w:right w:val="none" w:sz="0" w:space="0" w:color="auto"/>
          </w:divBdr>
        </w:div>
        <w:div w:id="258027900">
          <w:marLeft w:val="0"/>
          <w:marRight w:val="0"/>
          <w:marTop w:val="0"/>
          <w:marBottom w:val="0"/>
          <w:divBdr>
            <w:top w:val="none" w:sz="0" w:space="0" w:color="auto"/>
            <w:left w:val="none" w:sz="0" w:space="0" w:color="auto"/>
            <w:bottom w:val="none" w:sz="0" w:space="0" w:color="auto"/>
            <w:right w:val="none" w:sz="0" w:space="0" w:color="auto"/>
          </w:divBdr>
        </w:div>
        <w:div w:id="1798598860">
          <w:marLeft w:val="0"/>
          <w:marRight w:val="0"/>
          <w:marTop w:val="0"/>
          <w:marBottom w:val="0"/>
          <w:divBdr>
            <w:top w:val="none" w:sz="0" w:space="0" w:color="auto"/>
            <w:left w:val="none" w:sz="0" w:space="0" w:color="auto"/>
            <w:bottom w:val="none" w:sz="0" w:space="0" w:color="auto"/>
            <w:right w:val="none" w:sz="0" w:space="0" w:color="auto"/>
          </w:divBdr>
        </w:div>
        <w:div w:id="1755513843">
          <w:marLeft w:val="0"/>
          <w:marRight w:val="0"/>
          <w:marTop w:val="0"/>
          <w:marBottom w:val="0"/>
          <w:divBdr>
            <w:top w:val="none" w:sz="0" w:space="0" w:color="auto"/>
            <w:left w:val="none" w:sz="0" w:space="0" w:color="auto"/>
            <w:bottom w:val="none" w:sz="0" w:space="0" w:color="auto"/>
            <w:right w:val="none" w:sz="0" w:space="0" w:color="auto"/>
          </w:divBdr>
        </w:div>
      </w:divsChild>
    </w:div>
    <w:div w:id="372582831">
      <w:bodyDiv w:val="1"/>
      <w:marLeft w:val="0"/>
      <w:marRight w:val="0"/>
      <w:marTop w:val="0"/>
      <w:marBottom w:val="0"/>
      <w:divBdr>
        <w:top w:val="none" w:sz="0" w:space="0" w:color="auto"/>
        <w:left w:val="none" w:sz="0" w:space="0" w:color="auto"/>
        <w:bottom w:val="none" w:sz="0" w:space="0" w:color="auto"/>
        <w:right w:val="none" w:sz="0" w:space="0" w:color="auto"/>
      </w:divBdr>
    </w:div>
    <w:div w:id="394664668">
      <w:bodyDiv w:val="1"/>
      <w:marLeft w:val="0"/>
      <w:marRight w:val="0"/>
      <w:marTop w:val="0"/>
      <w:marBottom w:val="0"/>
      <w:divBdr>
        <w:top w:val="none" w:sz="0" w:space="0" w:color="auto"/>
        <w:left w:val="none" w:sz="0" w:space="0" w:color="auto"/>
        <w:bottom w:val="none" w:sz="0" w:space="0" w:color="auto"/>
        <w:right w:val="none" w:sz="0" w:space="0" w:color="auto"/>
      </w:divBdr>
    </w:div>
    <w:div w:id="463693574">
      <w:bodyDiv w:val="1"/>
      <w:marLeft w:val="0"/>
      <w:marRight w:val="0"/>
      <w:marTop w:val="0"/>
      <w:marBottom w:val="0"/>
      <w:divBdr>
        <w:top w:val="none" w:sz="0" w:space="0" w:color="auto"/>
        <w:left w:val="none" w:sz="0" w:space="0" w:color="auto"/>
        <w:bottom w:val="none" w:sz="0" w:space="0" w:color="auto"/>
        <w:right w:val="none" w:sz="0" w:space="0" w:color="auto"/>
      </w:divBdr>
      <w:divsChild>
        <w:div w:id="174196652">
          <w:marLeft w:val="0"/>
          <w:marRight w:val="0"/>
          <w:marTop w:val="0"/>
          <w:marBottom w:val="0"/>
          <w:divBdr>
            <w:top w:val="none" w:sz="0" w:space="0" w:color="auto"/>
            <w:left w:val="none" w:sz="0" w:space="0" w:color="auto"/>
            <w:bottom w:val="none" w:sz="0" w:space="0" w:color="auto"/>
            <w:right w:val="none" w:sz="0" w:space="0" w:color="auto"/>
          </w:divBdr>
        </w:div>
        <w:div w:id="1723796749">
          <w:marLeft w:val="0"/>
          <w:marRight w:val="0"/>
          <w:marTop w:val="0"/>
          <w:marBottom w:val="0"/>
          <w:divBdr>
            <w:top w:val="none" w:sz="0" w:space="0" w:color="auto"/>
            <w:left w:val="none" w:sz="0" w:space="0" w:color="auto"/>
            <w:bottom w:val="none" w:sz="0" w:space="0" w:color="auto"/>
            <w:right w:val="none" w:sz="0" w:space="0" w:color="auto"/>
          </w:divBdr>
        </w:div>
        <w:div w:id="673151132">
          <w:marLeft w:val="0"/>
          <w:marRight w:val="0"/>
          <w:marTop w:val="0"/>
          <w:marBottom w:val="0"/>
          <w:divBdr>
            <w:top w:val="none" w:sz="0" w:space="0" w:color="auto"/>
            <w:left w:val="none" w:sz="0" w:space="0" w:color="auto"/>
            <w:bottom w:val="none" w:sz="0" w:space="0" w:color="auto"/>
            <w:right w:val="none" w:sz="0" w:space="0" w:color="auto"/>
          </w:divBdr>
        </w:div>
        <w:div w:id="861866255">
          <w:marLeft w:val="0"/>
          <w:marRight w:val="0"/>
          <w:marTop w:val="0"/>
          <w:marBottom w:val="0"/>
          <w:divBdr>
            <w:top w:val="none" w:sz="0" w:space="0" w:color="auto"/>
            <w:left w:val="none" w:sz="0" w:space="0" w:color="auto"/>
            <w:bottom w:val="none" w:sz="0" w:space="0" w:color="auto"/>
            <w:right w:val="none" w:sz="0" w:space="0" w:color="auto"/>
          </w:divBdr>
        </w:div>
        <w:div w:id="488055945">
          <w:marLeft w:val="0"/>
          <w:marRight w:val="0"/>
          <w:marTop w:val="0"/>
          <w:marBottom w:val="0"/>
          <w:divBdr>
            <w:top w:val="none" w:sz="0" w:space="0" w:color="auto"/>
            <w:left w:val="none" w:sz="0" w:space="0" w:color="auto"/>
            <w:bottom w:val="none" w:sz="0" w:space="0" w:color="auto"/>
            <w:right w:val="none" w:sz="0" w:space="0" w:color="auto"/>
          </w:divBdr>
        </w:div>
      </w:divsChild>
    </w:div>
    <w:div w:id="547912919">
      <w:bodyDiv w:val="1"/>
      <w:marLeft w:val="0"/>
      <w:marRight w:val="0"/>
      <w:marTop w:val="0"/>
      <w:marBottom w:val="0"/>
      <w:divBdr>
        <w:top w:val="none" w:sz="0" w:space="0" w:color="auto"/>
        <w:left w:val="none" w:sz="0" w:space="0" w:color="auto"/>
        <w:bottom w:val="none" w:sz="0" w:space="0" w:color="auto"/>
        <w:right w:val="none" w:sz="0" w:space="0" w:color="auto"/>
      </w:divBdr>
      <w:divsChild>
        <w:div w:id="1073089940">
          <w:marLeft w:val="0"/>
          <w:marRight w:val="0"/>
          <w:marTop w:val="0"/>
          <w:marBottom w:val="0"/>
          <w:divBdr>
            <w:top w:val="none" w:sz="0" w:space="0" w:color="auto"/>
            <w:left w:val="none" w:sz="0" w:space="0" w:color="auto"/>
            <w:bottom w:val="none" w:sz="0" w:space="0" w:color="auto"/>
            <w:right w:val="none" w:sz="0" w:space="0" w:color="auto"/>
          </w:divBdr>
        </w:div>
        <w:div w:id="1869027667">
          <w:marLeft w:val="0"/>
          <w:marRight w:val="0"/>
          <w:marTop w:val="0"/>
          <w:marBottom w:val="0"/>
          <w:divBdr>
            <w:top w:val="none" w:sz="0" w:space="0" w:color="auto"/>
            <w:left w:val="none" w:sz="0" w:space="0" w:color="auto"/>
            <w:bottom w:val="none" w:sz="0" w:space="0" w:color="auto"/>
            <w:right w:val="none" w:sz="0" w:space="0" w:color="auto"/>
          </w:divBdr>
        </w:div>
      </w:divsChild>
    </w:div>
    <w:div w:id="612202189">
      <w:bodyDiv w:val="1"/>
      <w:marLeft w:val="0"/>
      <w:marRight w:val="0"/>
      <w:marTop w:val="0"/>
      <w:marBottom w:val="0"/>
      <w:divBdr>
        <w:top w:val="none" w:sz="0" w:space="0" w:color="auto"/>
        <w:left w:val="none" w:sz="0" w:space="0" w:color="auto"/>
        <w:bottom w:val="none" w:sz="0" w:space="0" w:color="auto"/>
        <w:right w:val="none" w:sz="0" w:space="0" w:color="auto"/>
      </w:divBdr>
    </w:div>
    <w:div w:id="632059703">
      <w:bodyDiv w:val="1"/>
      <w:marLeft w:val="0"/>
      <w:marRight w:val="0"/>
      <w:marTop w:val="0"/>
      <w:marBottom w:val="0"/>
      <w:divBdr>
        <w:top w:val="none" w:sz="0" w:space="0" w:color="auto"/>
        <w:left w:val="none" w:sz="0" w:space="0" w:color="auto"/>
        <w:bottom w:val="none" w:sz="0" w:space="0" w:color="auto"/>
        <w:right w:val="none" w:sz="0" w:space="0" w:color="auto"/>
      </w:divBdr>
    </w:div>
    <w:div w:id="679621258">
      <w:bodyDiv w:val="1"/>
      <w:marLeft w:val="0"/>
      <w:marRight w:val="0"/>
      <w:marTop w:val="0"/>
      <w:marBottom w:val="0"/>
      <w:divBdr>
        <w:top w:val="none" w:sz="0" w:space="0" w:color="auto"/>
        <w:left w:val="none" w:sz="0" w:space="0" w:color="auto"/>
        <w:bottom w:val="none" w:sz="0" w:space="0" w:color="auto"/>
        <w:right w:val="none" w:sz="0" w:space="0" w:color="auto"/>
      </w:divBdr>
      <w:divsChild>
        <w:div w:id="22639763">
          <w:marLeft w:val="0"/>
          <w:marRight w:val="0"/>
          <w:marTop w:val="0"/>
          <w:marBottom w:val="0"/>
          <w:divBdr>
            <w:top w:val="none" w:sz="0" w:space="0" w:color="auto"/>
            <w:left w:val="none" w:sz="0" w:space="0" w:color="auto"/>
            <w:bottom w:val="none" w:sz="0" w:space="0" w:color="auto"/>
            <w:right w:val="none" w:sz="0" w:space="0" w:color="auto"/>
          </w:divBdr>
        </w:div>
        <w:div w:id="1492600249">
          <w:marLeft w:val="0"/>
          <w:marRight w:val="0"/>
          <w:marTop w:val="0"/>
          <w:marBottom w:val="0"/>
          <w:divBdr>
            <w:top w:val="none" w:sz="0" w:space="0" w:color="auto"/>
            <w:left w:val="none" w:sz="0" w:space="0" w:color="auto"/>
            <w:bottom w:val="none" w:sz="0" w:space="0" w:color="auto"/>
            <w:right w:val="none" w:sz="0" w:space="0" w:color="auto"/>
          </w:divBdr>
        </w:div>
        <w:div w:id="1814130710">
          <w:marLeft w:val="0"/>
          <w:marRight w:val="0"/>
          <w:marTop w:val="0"/>
          <w:marBottom w:val="0"/>
          <w:divBdr>
            <w:top w:val="none" w:sz="0" w:space="0" w:color="auto"/>
            <w:left w:val="none" w:sz="0" w:space="0" w:color="auto"/>
            <w:bottom w:val="none" w:sz="0" w:space="0" w:color="auto"/>
            <w:right w:val="none" w:sz="0" w:space="0" w:color="auto"/>
          </w:divBdr>
        </w:div>
      </w:divsChild>
    </w:div>
    <w:div w:id="716124765">
      <w:bodyDiv w:val="1"/>
      <w:marLeft w:val="0"/>
      <w:marRight w:val="0"/>
      <w:marTop w:val="0"/>
      <w:marBottom w:val="0"/>
      <w:divBdr>
        <w:top w:val="none" w:sz="0" w:space="0" w:color="auto"/>
        <w:left w:val="none" w:sz="0" w:space="0" w:color="auto"/>
        <w:bottom w:val="none" w:sz="0" w:space="0" w:color="auto"/>
        <w:right w:val="none" w:sz="0" w:space="0" w:color="auto"/>
      </w:divBdr>
    </w:div>
    <w:div w:id="798571870">
      <w:bodyDiv w:val="1"/>
      <w:marLeft w:val="0"/>
      <w:marRight w:val="0"/>
      <w:marTop w:val="0"/>
      <w:marBottom w:val="0"/>
      <w:divBdr>
        <w:top w:val="none" w:sz="0" w:space="0" w:color="auto"/>
        <w:left w:val="none" w:sz="0" w:space="0" w:color="auto"/>
        <w:bottom w:val="none" w:sz="0" w:space="0" w:color="auto"/>
        <w:right w:val="none" w:sz="0" w:space="0" w:color="auto"/>
      </w:divBdr>
      <w:divsChild>
        <w:div w:id="2005891001">
          <w:marLeft w:val="0"/>
          <w:marRight w:val="0"/>
          <w:marTop w:val="0"/>
          <w:marBottom w:val="0"/>
          <w:divBdr>
            <w:top w:val="none" w:sz="0" w:space="0" w:color="auto"/>
            <w:left w:val="none" w:sz="0" w:space="0" w:color="auto"/>
            <w:bottom w:val="none" w:sz="0" w:space="0" w:color="auto"/>
            <w:right w:val="none" w:sz="0" w:space="0" w:color="auto"/>
          </w:divBdr>
          <w:divsChild>
            <w:div w:id="1247686279">
              <w:marLeft w:val="0"/>
              <w:marRight w:val="0"/>
              <w:marTop w:val="0"/>
              <w:marBottom w:val="0"/>
              <w:divBdr>
                <w:top w:val="none" w:sz="0" w:space="0" w:color="auto"/>
                <w:left w:val="none" w:sz="0" w:space="0" w:color="auto"/>
                <w:bottom w:val="none" w:sz="0" w:space="0" w:color="auto"/>
                <w:right w:val="none" w:sz="0" w:space="0" w:color="auto"/>
              </w:divBdr>
              <w:divsChild>
                <w:div w:id="176221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364738">
      <w:bodyDiv w:val="1"/>
      <w:marLeft w:val="0"/>
      <w:marRight w:val="0"/>
      <w:marTop w:val="0"/>
      <w:marBottom w:val="0"/>
      <w:divBdr>
        <w:top w:val="none" w:sz="0" w:space="0" w:color="auto"/>
        <w:left w:val="none" w:sz="0" w:space="0" w:color="auto"/>
        <w:bottom w:val="none" w:sz="0" w:space="0" w:color="auto"/>
        <w:right w:val="none" w:sz="0" w:space="0" w:color="auto"/>
      </w:divBdr>
    </w:div>
    <w:div w:id="1132670020">
      <w:bodyDiv w:val="1"/>
      <w:marLeft w:val="0"/>
      <w:marRight w:val="0"/>
      <w:marTop w:val="0"/>
      <w:marBottom w:val="0"/>
      <w:divBdr>
        <w:top w:val="none" w:sz="0" w:space="0" w:color="auto"/>
        <w:left w:val="none" w:sz="0" w:space="0" w:color="auto"/>
        <w:bottom w:val="none" w:sz="0" w:space="0" w:color="auto"/>
        <w:right w:val="none" w:sz="0" w:space="0" w:color="auto"/>
      </w:divBdr>
      <w:divsChild>
        <w:div w:id="2104567178">
          <w:marLeft w:val="0"/>
          <w:marRight w:val="0"/>
          <w:marTop w:val="0"/>
          <w:marBottom w:val="0"/>
          <w:divBdr>
            <w:top w:val="none" w:sz="0" w:space="0" w:color="auto"/>
            <w:left w:val="none" w:sz="0" w:space="0" w:color="auto"/>
            <w:bottom w:val="none" w:sz="0" w:space="0" w:color="auto"/>
            <w:right w:val="none" w:sz="0" w:space="0" w:color="auto"/>
          </w:divBdr>
          <w:divsChild>
            <w:div w:id="1664237342">
              <w:marLeft w:val="0"/>
              <w:marRight w:val="0"/>
              <w:marTop w:val="0"/>
              <w:marBottom w:val="0"/>
              <w:divBdr>
                <w:top w:val="none" w:sz="0" w:space="0" w:color="auto"/>
                <w:left w:val="none" w:sz="0" w:space="0" w:color="auto"/>
                <w:bottom w:val="none" w:sz="0" w:space="0" w:color="auto"/>
                <w:right w:val="none" w:sz="0" w:space="0" w:color="auto"/>
              </w:divBdr>
              <w:divsChild>
                <w:div w:id="140688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932">
      <w:bodyDiv w:val="1"/>
      <w:marLeft w:val="0"/>
      <w:marRight w:val="0"/>
      <w:marTop w:val="0"/>
      <w:marBottom w:val="0"/>
      <w:divBdr>
        <w:top w:val="none" w:sz="0" w:space="0" w:color="auto"/>
        <w:left w:val="none" w:sz="0" w:space="0" w:color="auto"/>
        <w:bottom w:val="none" w:sz="0" w:space="0" w:color="auto"/>
        <w:right w:val="none" w:sz="0" w:space="0" w:color="auto"/>
      </w:divBdr>
      <w:divsChild>
        <w:div w:id="1510869752">
          <w:marLeft w:val="0"/>
          <w:marRight w:val="0"/>
          <w:marTop w:val="0"/>
          <w:marBottom w:val="0"/>
          <w:divBdr>
            <w:top w:val="none" w:sz="0" w:space="0" w:color="auto"/>
            <w:left w:val="none" w:sz="0" w:space="0" w:color="auto"/>
            <w:bottom w:val="none" w:sz="0" w:space="0" w:color="auto"/>
            <w:right w:val="none" w:sz="0" w:space="0" w:color="auto"/>
          </w:divBdr>
          <w:divsChild>
            <w:div w:id="546457631">
              <w:marLeft w:val="0"/>
              <w:marRight w:val="0"/>
              <w:marTop w:val="0"/>
              <w:marBottom w:val="0"/>
              <w:divBdr>
                <w:top w:val="none" w:sz="0" w:space="0" w:color="auto"/>
                <w:left w:val="none" w:sz="0" w:space="0" w:color="auto"/>
                <w:bottom w:val="none" w:sz="0" w:space="0" w:color="auto"/>
                <w:right w:val="none" w:sz="0" w:space="0" w:color="auto"/>
              </w:divBdr>
              <w:divsChild>
                <w:div w:id="1781994678">
                  <w:marLeft w:val="0"/>
                  <w:marRight w:val="0"/>
                  <w:marTop w:val="0"/>
                  <w:marBottom w:val="0"/>
                  <w:divBdr>
                    <w:top w:val="none" w:sz="0" w:space="0" w:color="auto"/>
                    <w:left w:val="none" w:sz="0" w:space="0" w:color="auto"/>
                    <w:bottom w:val="none" w:sz="0" w:space="0" w:color="auto"/>
                    <w:right w:val="none" w:sz="0" w:space="0" w:color="auto"/>
                  </w:divBdr>
                  <w:divsChild>
                    <w:div w:id="688213594">
                      <w:marLeft w:val="0"/>
                      <w:marRight w:val="0"/>
                      <w:marTop w:val="0"/>
                      <w:marBottom w:val="0"/>
                      <w:divBdr>
                        <w:top w:val="none" w:sz="0" w:space="0" w:color="auto"/>
                        <w:left w:val="none" w:sz="0" w:space="0" w:color="auto"/>
                        <w:bottom w:val="none" w:sz="0" w:space="0" w:color="auto"/>
                        <w:right w:val="none" w:sz="0" w:space="0" w:color="auto"/>
                      </w:divBdr>
                      <w:divsChild>
                        <w:div w:id="956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776846">
      <w:bodyDiv w:val="1"/>
      <w:marLeft w:val="0"/>
      <w:marRight w:val="0"/>
      <w:marTop w:val="0"/>
      <w:marBottom w:val="0"/>
      <w:divBdr>
        <w:top w:val="none" w:sz="0" w:space="0" w:color="auto"/>
        <w:left w:val="none" w:sz="0" w:space="0" w:color="auto"/>
        <w:bottom w:val="none" w:sz="0" w:space="0" w:color="auto"/>
        <w:right w:val="none" w:sz="0" w:space="0" w:color="auto"/>
      </w:divBdr>
      <w:divsChild>
        <w:div w:id="92672981">
          <w:marLeft w:val="0"/>
          <w:marRight w:val="0"/>
          <w:marTop w:val="0"/>
          <w:marBottom w:val="0"/>
          <w:divBdr>
            <w:top w:val="none" w:sz="0" w:space="0" w:color="auto"/>
            <w:left w:val="none" w:sz="0" w:space="0" w:color="auto"/>
            <w:bottom w:val="none" w:sz="0" w:space="0" w:color="auto"/>
            <w:right w:val="none" w:sz="0" w:space="0" w:color="auto"/>
          </w:divBdr>
        </w:div>
        <w:div w:id="1382629703">
          <w:marLeft w:val="0"/>
          <w:marRight w:val="0"/>
          <w:marTop w:val="0"/>
          <w:marBottom w:val="0"/>
          <w:divBdr>
            <w:top w:val="none" w:sz="0" w:space="0" w:color="auto"/>
            <w:left w:val="none" w:sz="0" w:space="0" w:color="auto"/>
            <w:bottom w:val="none" w:sz="0" w:space="0" w:color="auto"/>
            <w:right w:val="none" w:sz="0" w:space="0" w:color="auto"/>
          </w:divBdr>
        </w:div>
        <w:div w:id="1623851093">
          <w:marLeft w:val="0"/>
          <w:marRight w:val="0"/>
          <w:marTop w:val="0"/>
          <w:marBottom w:val="0"/>
          <w:divBdr>
            <w:top w:val="none" w:sz="0" w:space="0" w:color="auto"/>
            <w:left w:val="none" w:sz="0" w:space="0" w:color="auto"/>
            <w:bottom w:val="none" w:sz="0" w:space="0" w:color="auto"/>
            <w:right w:val="none" w:sz="0" w:space="0" w:color="auto"/>
          </w:divBdr>
        </w:div>
      </w:divsChild>
    </w:div>
    <w:div w:id="1269464080">
      <w:bodyDiv w:val="1"/>
      <w:marLeft w:val="0"/>
      <w:marRight w:val="0"/>
      <w:marTop w:val="0"/>
      <w:marBottom w:val="0"/>
      <w:divBdr>
        <w:top w:val="none" w:sz="0" w:space="0" w:color="auto"/>
        <w:left w:val="none" w:sz="0" w:space="0" w:color="auto"/>
        <w:bottom w:val="none" w:sz="0" w:space="0" w:color="auto"/>
        <w:right w:val="none" w:sz="0" w:space="0" w:color="auto"/>
      </w:divBdr>
      <w:divsChild>
        <w:div w:id="1456680454">
          <w:marLeft w:val="0"/>
          <w:marRight w:val="0"/>
          <w:marTop w:val="0"/>
          <w:marBottom w:val="0"/>
          <w:divBdr>
            <w:top w:val="none" w:sz="0" w:space="0" w:color="auto"/>
            <w:left w:val="none" w:sz="0" w:space="0" w:color="auto"/>
            <w:bottom w:val="none" w:sz="0" w:space="0" w:color="auto"/>
            <w:right w:val="none" w:sz="0" w:space="0" w:color="auto"/>
          </w:divBdr>
        </w:div>
        <w:div w:id="861212114">
          <w:marLeft w:val="0"/>
          <w:marRight w:val="0"/>
          <w:marTop w:val="0"/>
          <w:marBottom w:val="0"/>
          <w:divBdr>
            <w:top w:val="none" w:sz="0" w:space="0" w:color="auto"/>
            <w:left w:val="none" w:sz="0" w:space="0" w:color="auto"/>
            <w:bottom w:val="none" w:sz="0" w:space="0" w:color="auto"/>
            <w:right w:val="none" w:sz="0" w:space="0" w:color="auto"/>
          </w:divBdr>
        </w:div>
        <w:div w:id="828058591">
          <w:marLeft w:val="0"/>
          <w:marRight w:val="0"/>
          <w:marTop w:val="0"/>
          <w:marBottom w:val="0"/>
          <w:divBdr>
            <w:top w:val="none" w:sz="0" w:space="0" w:color="auto"/>
            <w:left w:val="none" w:sz="0" w:space="0" w:color="auto"/>
            <w:bottom w:val="none" w:sz="0" w:space="0" w:color="auto"/>
            <w:right w:val="none" w:sz="0" w:space="0" w:color="auto"/>
          </w:divBdr>
        </w:div>
        <w:div w:id="824201550">
          <w:marLeft w:val="0"/>
          <w:marRight w:val="0"/>
          <w:marTop w:val="0"/>
          <w:marBottom w:val="0"/>
          <w:divBdr>
            <w:top w:val="none" w:sz="0" w:space="0" w:color="auto"/>
            <w:left w:val="none" w:sz="0" w:space="0" w:color="auto"/>
            <w:bottom w:val="none" w:sz="0" w:space="0" w:color="auto"/>
            <w:right w:val="none" w:sz="0" w:space="0" w:color="auto"/>
          </w:divBdr>
        </w:div>
        <w:div w:id="1046565459">
          <w:marLeft w:val="0"/>
          <w:marRight w:val="0"/>
          <w:marTop w:val="0"/>
          <w:marBottom w:val="0"/>
          <w:divBdr>
            <w:top w:val="none" w:sz="0" w:space="0" w:color="auto"/>
            <w:left w:val="none" w:sz="0" w:space="0" w:color="auto"/>
            <w:bottom w:val="none" w:sz="0" w:space="0" w:color="auto"/>
            <w:right w:val="none" w:sz="0" w:space="0" w:color="auto"/>
          </w:divBdr>
        </w:div>
        <w:div w:id="1837987949">
          <w:marLeft w:val="0"/>
          <w:marRight w:val="0"/>
          <w:marTop w:val="0"/>
          <w:marBottom w:val="0"/>
          <w:divBdr>
            <w:top w:val="none" w:sz="0" w:space="0" w:color="auto"/>
            <w:left w:val="none" w:sz="0" w:space="0" w:color="auto"/>
            <w:bottom w:val="none" w:sz="0" w:space="0" w:color="auto"/>
            <w:right w:val="none" w:sz="0" w:space="0" w:color="auto"/>
          </w:divBdr>
        </w:div>
        <w:div w:id="243228486">
          <w:marLeft w:val="0"/>
          <w:marRight w:val="0"/>
          <w:marTop w:val="0"/>
          <w:marBottom w:val="0"/>
          <w:divBdr>
            <w:top w:val="none" w:sz="0" w:space="0" w:color="auto"/>
            <w:left w:val="none" w:sz="0" w:space="0" w:color="auto"/>
            <w:bottom w:val="none" w:sz="0" w:space="0" w:color="auto"/>
            <w:right w:val="none" w:sz="0" w:space="0" w:color="auto"/>
          </w:divBdr>
        </w:div>
        <w:div w:id="515535943">
          <w:marLeft w:val="0"/>
          <w:marRight w:val="0"/>
          <w:marTop w:val="0"/>
          <w:marBottom w:val="0"/>
          <w:divBdr>
            <w:top w:val="none" w:sz="0" w:space="0" w:color="auto"/>
            <w:left w:val="none" w:sz="0" w:space="0" w:color="auto"/>
            <w:bottom w:val="none" w:sz="0" w:space="0" w:color="auto"/>
            <w:right w:val="none" w:sz="0" w:space="0" w:color="auto"/>
          </w:divBdr>
        </w:div>
        <w:div w:id="2013069642">
          <w:marLeft w:val="0"/>
          <w:marRight w:val="0"/>
          <w:marTop w:val="0"/>
          <w:marBottom w:val="0"/>
          <w:divBdr>
            <w:top w:val="none" w:sz="0" w:space="0" w:color="auto"/>
            <w:left w:val="none" w:sz="0" w:space="0" w:color="auto"/>
            <w:bottom w:val="none" w:sz="0" w:space="0" w:color="auto"/>
            <w:right w:val="none" w:sz="0" w:space="0" w:color="auto"/>
          </w:divBdr>
        </w:div>
        <w:div w:id="80685136">
          <w:marLeft w:val="0"/>
          <w:marRight w:val="0"/>
          <w:marTop w:val="0"/>
          <w:marBottom w:val="0"/>
          <w:divBdr>
            <w:top w:val="none" w:sz="0" w:space="0" w:color="auto"/>
            <w:left w:val="none" w:sz="0" w:space="0" w:color="auto"/>
            <w:bottom w:val="none" w:sz="0" w:space="0" w:color="auto"/>
            <w:right w:val="none" w:sz="0" w:space="0" w:color="auto"/>
          </w:divBdr>
        </w:div>
        <w:div w:id="532352441">
          <w:marLeft w:val="0"/>
          <w:marRight w:val="0"/>
          <w:marTop w:val="0"/>
          <w:marBottom w:val="0"/>
          <w:divBdr>
            <w:top w:val="none" w:sz="0" w:space="0" w:color="auto"/>
            <w:left w:val="none" w:sz="0" w:space="0" w:color="auto"/>
            <w:bottom w:val="none" w:sz="0" w:space="0" w:color="auto"/>
            <w:right w:val="none" w:sz="0" w:space="0" w:color="auto"/>
          </w:divBdr>
        </w:div>
        <w:div w:id="1897083684">
          <w:marLeft w:val="0"/>
          <w:marRight w:val="0"/>
          <w:marTop w:val="0"/>
          <w:marBottom w:val="0"/>
          <w:divBdr>
            <w:top w:val="none" w:sz="0" w:space="0" w:color="auto"/>
            <w:left w:val="none" w:sz="0" w:space="0" w:color="auto"/>
            <w:bottom w:val="none" w:sz="0" w:space="0" w:color="auto"/>
            <w:right w:val="none" w:sz="0" w:space="0" w:color="auto"/>
          </w:divBdr>
        </w:div>
        <w:div w:id="102582340">
          <w:marLeft w:val="0"/>
          <w:marRight w:val="0"/>
          <w:marTop w:val="0"/>
          <w:marBottom w:val="0"/>
          <w:divBdr>
            <w:top w:val="none" w:sz="0" w:space="0" w:color="auto"/>
            <w:left w:val="none" w:sz="0" w:space="0" w:color="auto"/>
            <w:bottom w:val="none" w:sz="0" w:space="0" w:color="auto"/>
            <w:right w:val="none" w:sz="0" w:space="0" w:color="auto"/>
          </w:divBdr>
        </w:div>
        <w:div w:id="1865702135">
          <w:marLeft w:val="0"/>
          <w:marRight w:val="0"/>
          <w:marTop w:val="0"/>
          <w:marBottom w:val="0"/>
          <w:divBdr>
            <w:top w:val="none" w:sz="0" w:space="0" w:color="auto"/>
            <w:left w:val="none" w:sz="0" w:space="0" w:color="auto"/>
            <w:bottom w:val="none" w:sz="0" w:space="0" w:color="auto"/>
            <w:right w:val="none" w:sz="0" w:space="0" w:color="auto"/>
          </w:divBdr>
        </w:div>
      </w:divsChild>
    </w:div>
    <w:div w:id="1293096270">
      <w:bodyDiv w:val="1"/>
      <w:marLeft w:val="0"/>
      <w:marRight w:val="0"/>
      <w:marTop w:val="0"/>
      <w:marBottom w:val="0"/>
      <w:divBdr>
        <w:top w:val="none" w:sz="0" w:space="0" w:color="auto"/>
        <w:left w:val="none" w:sz="0" w:space="0" w:color="auto"/>
        <w:bottom w:val="none" w:sz="0" w:space="0" w:color="auto"/>
        <w:right w:val="none" w:sz="0" w:space="0" w:color="auto"/>
      </w:divBdr>
      <w:divsChild>
        <w:div w:id="1610116936">
          <w:marLeft w:val="0"/>
          <w:marRight w:val="0"/>
          <w:marTop w:val="0"/>
          <w:marBottom w:val="0"/>
          <w:divBdr>
            <w:top w:val="none" w:sz="0" w:space="0" w:color="auto"/>
            <w:left w:val="none" w:sz="0" w:space="0" w:color="auto"/>
            <w:bottom w:val="none" w:sz="0" w:space="0" w:color="auto"/>
            <w:right w:val="none" w:sz="0" w:space="0" w:color="auto"/>
          </w:divBdr>
          <w:divsChild>
            <w:div w:id="1996638315">
              <w:marLeft w:val="0"/>
              <w:marRight w:val="0"/>
              <w:marTop w:val="0"/>
              <w:marBottom w:val="0"/>
              <w:divBdr>
                <w:top w:val="none" w:sz="0" w:space="0" w:color="auto"/>
                <w:left w:val="none" w:sz="0" w:space="0" w:color="auto"/>
                <w:bottom w:val="none" w:sz="0" w:space="0" w:color="auto"/>
                <w:right w:val="none" w:sz="0" w:space="0" w:color="auto"/>
              </w:divBdr>
              <w:divsChild>
                <w:div w:id="1903784551">
                  <w:marLeft w:val="0"/>
                  <w:marRight w:val="0"/>
                  <w:marTop w:val="0"/>
                  <w:marBottom w:val="0"/>
                  <w:divBdr>
                    <w:top w:val="none" w:sz="0" w:space="0" w:color="auto"/>
                    <w:left w:val="none" w:sz="0" w:space="0" w:color="auto"/>
                    <w:bottom w:val="none" w:sz="0" w:space="0" w:color="auto"/>
                    <w:right w:val="none" w:sz="0" w:space="0" w:color="auto"/>
                  </w:divBdr>
                  <w:divsChild>
                    <w:div w:id="1713338059">
                      <w:marLeft w:val="0"/>
                      <w:marRight w:val="0"/>
                      <w:marTop w:val="0"/>
                      <w:marBottom w:val="0"/>
                      <w:divBdr>
                        <w:top w:val="none" w:sz="0" w:space="0" w:color="auto"/>
                        <w:left w:val="none" w:sz="0" w:space="0" w:color="auto"/>
                        <w:bottom w:val="none" w:sz="0" w:space="0" w:color="auto"/>
                        <w:right w:val="none" w:sz="0" w:space="0" w:color="auto"/>
                      </w:divBdr>
                      <w:divsChild>
                        <w:div w:id="7797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736426">
      <w:bodyDiv w:val="1"/>
      <w:marLeft w:val="0"/>
      <w:marRight w:val="0"/>
      <w:marTop w:val="0"/>
      <w:marBottom w:val="0"/>
      <w:divBdr>
        <w:top w:val="none" w:sz="0" w:space="0" w:color="auto"/>
        <w:left w:val="none" w:sz="0" w:space="0" w:color="auto"/>
        <w:bottom w:val="none" w:sz="0" w:space="0" w:color="auto"/>
        <w:right w:val="none" w:sz="0" w:space="0" w:color="auto"/>
      </w:divBdr>
    </w:div>
    <w:div w:id="1612587749">
      <w:bodyDiv w:val="1"/>
      <w:marLeft w:val="0"/>
      <w:marRight w:val="0"/>
      <w:marTop w:val="0"/>
      <w:marBottom w:val="0"/>
      <w:divBdr>
        <w:top w:val="none" w:sz="0" w:space="0" w:color="auto"/>
        <w:left w:val="none" w:sz="0" w:space="0" w:color="auto"/>
        <w:bottom w:val="none" w:sz="0" w:space="0" w:color="auto"/>
        <w:right w:val="none" w:sz="0" w:space="0" w:color="auto"/>
      </w:divBdr>
    </w:div>
    <w:div w:id="1615399952">
      <w:bodyDiv w:val="1"/>
      <w:marLeft w:val="0"/>
      <w:marRight w:val="0"/>
      <w:marTop w:val="0"/>
      <w:marBottom w:val="0"/>
      <w:divBdr>
        <w:top w:val="none" w:sz="0" w:space="0" w:color="auto"/>
        <w:left w:val="none" w:sz="0" w:space="0" w:color="auto"/>
        <w:bottom w:val="none" w:sz="0" w:space="0" w:color="auto"/>
        <w:right w:val="none" w:sz="0" w:space="0" w:color="auto"/>
      </w:divBdr>
      <w:divsChild>
        <w:div w:id="258753319">
          <w:marLeft w:val="0"/>
          <w:marRight w:val="0"/>
          <w:marTop w:val="0"/>
          <w:marBottom w:val="0"/>
          <w:divBdr>
            <w:top w:val="none" w:sz="0" w:space="0" w:color="auto"/>
            <w:left w:val="none" w:sz="0" w:space="0" w:color="auto"/>
            <w:bottom w:val="none" w:sz="0" w:space="0" w:color="auto"/>
            <w:right w:val="none" w:sz="0" w:space="0" w:color="auto"/>
          </w:divBdr>
        </w:div>
        <w:div w:id="356273238">
          <w:marLeft w:val="0"/>
          <w:marRight w:val="0"/>
          <w:marTop w:val="0"/>
          <w:marBottom w:val="0"/>
          <w:divBdr>
            <w:top w:val="none" w:sz="0" w:space="0" w:color="auto"/>
            <w:left w:val="none" w:sz="0" w:space="0" w:color="auto"/>
            <w:bottom w:val="none" w:sz="0" w:space="0" w:color="auto"/>
            <w:right w:val="none" w:sz="0" w:space="0" w:color="auto"/>
          </w:divBdr>
        </w:div>
        <w:div w:id="663240622">
          <w:marLeft w:val="0"/>
          <w:marRight w:val="0"/>
          <w:marTop w:val="0"/>
          <w:marBottom w:val="0"/>
          <w:divBdr>
            <w:top w:val="none" w:sz="0" w:space="0" w:color="auto"/>
            <w:left w:val="none" w:sz="0" w:space="0" w:color="auto"/>
            <w:bottom w:val="none" w:sz="0" w:space="0" w:color="auto"/>
            <w:right w:val="none" w:sz="0" w:space="0" w:color="auto"/>
          </w:divBdr>
        </w:div>
        <w:div w:id="1174491214">
          <w:marLeft w:val="0"/>
          <w:marRight w:val="0"/>
          <w:marTop w:val="0"/>
          <w:marBottom w:val="0"/>
          <w:divBdr>
            <w:top w:val="none" w:sz="0" w:space="0" w:color="auto"/>
            <w:left w:val="none" w:sz="0" w:space="0" w:color="auto"/>
            <w:bottom w:val="none" w:sz="0" w:space="0" w:color="auto"/>
            <w:right w:val="none" w:sz="0" w:space="0" w:color="auto"/>
          </w:divBdr>
        </w:div>
        <w:div w:id="1354724274">
          <w:marLeft w:val="0"/>
          <w:marRight w:val="0"/>
          <w:marTop w:val="0"/>
          <w:marBottom w:val="0"/>
          <w:divBdr>
            <w:top w:val="none" w:sz="0" w:space="0" w:color="auto"/>
            <w:left w:val="none" w:sz="0" w:space="0" w:color="auto"/>
            <w:bottom w:val="none" w:sz="0" w:space="0" w:color="auto"/>
            <w:right w:val="none" w:sz="0" w:space="0" w:color="auto"/>
          </w:divBdr>
        </w:div>
        <w:div w:id="1654218074">
          <w:marLeft w:val="0"/>
          <w:marRight w:val="0"/>
          <w:marTop w:val="0"/>
          <w:marBottom w:val="0"/>
          <w:divBdr>
            <w:top w:val="none" w:sz="0" w:space="0" w:color="auto"/>
            <w:left w:val="none" w:sz="0" w:space="0" w:color="auto"/>
            <w:bottom w:val="none" w:sz="0" w:space="0" w:color="auto"/>
            <w:right w:val="none" w:sz="0" w:space="0" w:color="auto"/>
          </w:divBdr>
        </w:div>
        <w:div w:id="1923827976">
          <w:marLeft w:val="0"/>
          <w:marRight w:val="0"/>
          <w:marTop w:val="0"/>
          <w:marBottom w:val="0"/>
          <w:divBdr>
            <w:top w:val="none" w:sz="0" w:space="0" w:color="auto"/>
            <w:left w:val="none" w:sz="0" w:space="0" w:color="auto"/>
            <w:bottom w:val="none" w:sz="0" w:space="0" w:color="auto"/>
            <w:right w:val="none" w:sz="0" w:space="0" w:color="auto"/>
          </w:divBdr>
        </w:div>
        <w:div w:id="2115242421">
          <w:marLeft w:val="0"/>
          <w:marRight w:val="0"/>
          <w:marTop w:val="0"/>
          <w:marBottom w:val="0"/>
          <w:divBdr>
            <w:top w:val="none" w:sz="0" w:space="0" w:color="auto"/>
            <w:left w:val="none" w:sz="0" w:space="0" w:color="auto"/>
            <w:bottom w:val="none" w:sz="0" w:space="0" w:color="auto"/>
            <w:right w:val="none" w:sz="0" w:space="0" w:color="auto"/>
          </w:divBdr>
        </w:div>
      </w:divsChild>
    </w:div>
    <w:div w:id="1760756605">
      <w:bodyDiv w:val="1"/>
      <w:marLeft w:val="0"/>
      <w:marRight w:val="0"/>
      <w:marTop w:val="0"/>
      <w:marBottom w:val="0"/>
      <w:divBdr>
        <w:top w:val="none" w:sz="0" w:space="0" w:color="auto"/>
        <w:left w:val="none" w:sz="0" w:space="0" w:color="auto"/>
        <w:bottom w:val="none" w:sz="0" w:space="0" w:color="auto"/>
        <w:right w:val="none" w:sz="0" w:space="0" w:color="auto"/>
      </w:divBdr>
    </w:div>
    <w:div w:id="1879201998">
      <w:bodyDiv w:val="1"/>
      <w:marLeft w:val="0"/>
      <w:marRight w:val="0"/>
      <w:marTop w:val="0"/>
      <w:marBottom w:val="0"/>
      <w:divBdr>
        <w:top w:val="none" w:sz="0" w:space="0" w:color="auto"/>
        <w:left w:val="none" w:sz="0" w:space="0" w:color="auto"/>
        <w:bottom w:val="none" w:sz="0" w:space="0" w:color="auto"/>
        <w:right w:val="none" w:sz="0" w:space="0" w:color="auto"/>
      </w:divBdr>
    </w:div>
    <w:div w:id="1897160518">
      <w:bodyDiv w:val="1"/>
      <w:marLeft w:val="0"/>
      <w:marRight w:val="0"/>
      <w:marTop w:val="0"/>
      <w:marBottom w:val="0"/>
      <w:divBdr>
        <w:top w:val="none" w:sz="0" w:space="0" w:color="auto"/>
        <w:left w:val="none" w:sz="0" w:space="0" w:color="auto"/>
        <w:bottom w:val="none" w:sz="0" w:space="0" w:color="auto"/>
        <w:right w:val="none" w:sz="0" w:space="0" w:color="auto"/>
      </w:divBdr>
    </w:div>
    <w:div w:id="1948267465">
      <w:bodyDiv w:val="1"/>
      <w:marLeft w:val="0"/>
      <w:marRight w:val="0"/>
      <w:marTop w:val="0"/>
      <w:marBottom w:val="0"/>
      <w:divBdr>
        <w:top w:val="none" w:sz="0" w:space="0" w:color="auto"/>
        <w:left w:val="none" w:sz="0" w:space="0" w:color="auto"/>
        <w:bottom w:val="none" w:sz="0" w:space="0" w:color="auto"/>
        <w:right w:val="none" w:sz="0" w:space="0" w:color="auto"/>
      </w:divBdr>
      <w:divsChild>
        <w:div w:id="1859235">
          <w:marLeft w:val="0"/>
          <w:marRight w:val="0"/>
          <w:marTop w:val="0"/>
          <w:marBottom w:val="0"/>
          <w:divBdr>
            <w:top w:val="none" w:sz="0" w:space="0" w:color="auto"/>
            <w:left w:val="none" w:sz="0" w:space="0" w:color="auto"/>
            <w:bottom w:val="none" w:sz="0" w:space="0" w:color="auto"/>
            <w:right w:val="none" w:sz="0" w:space="0" w:color="auto"/>
          </w:divBdr>
        </w:div>
        <w:div w:id="1211572479">
          <w:marLeft w:val="0"/>
          <w:marRight w:val="0"/>
          <w:marTop w:val="0"/>
          <w:marBottom w:val="0"/>
          <w:divBdr>
            <w:top w:val="none" w:sz="0" w:space="0" w:color="auto"/>
            <w:left w:val="none" w:sz="0" w:space="0" w:color="auto"/>
            <w:bottom w:val="none" w:sz="0" w:space="0" w:color="auto"/>
            <w:right w:val="none" w:sz="0" w:space="0" w:color="auto"/>
          </w:divBdr>
        </w:div>
        <w:div w:id="1549534546">
          <w:marLeft w:val="0"/>
          <w:marRight w:val="0"/>
          <w:marTop w:val="0"/>
          <w:marBottom w:val="0"/>
          <w:divBdr>
            <w:top w:val="none" w:sz="0" w:space="0" w:color="auto"/>
            <w:left w:val="none" w:sz="0" w:space="0" w:color="auto"/>
            <w:bottom w:val="none" w:sz="0" w:space="0" w:color="auto"/>
            <w:right w:val="none" w:sz="0" w:space="0" w:color="auto"/>
          </w:divBdr>
        </w:div>
        <w:div w:id="851532989">
          <w:marLeft w:val="0"/>
          <w:marRight w:val="0"/>
          <w:marTop w:val="0"/>
          <w:marBottom w:val="0"/>
          <w:divBdr>
            <w:top w:val="none" w:sz="0" w:space="0" w:color="auto"/>
            <w:left w:val="none" w:sz="0" w:space="0" w:color="auto"/>
            <w:bottom w:val="none" w:sz="0" w:space="0" w:color="auto"/>
            <w:right w:val="none" w:sz="0" w:space="0" w:color="auto"/>
          </w:divBdr>
        </w:div>
      </w:divsChild>
    </w:div>
    <w:div w:id="2004509533">
      <w:bodyDiv w:val="1"/>
      <w:marLeft w:val="0"/>
      <w:marRight w:val="0"/>
      <w:marTop w:val="0"/>
      <w:marBottom w:val="0"/>
      <w:divBdr>
        <w:top w:val="none" w:sz="0" w:space="0" w:color="auto"/>
        <w:left w:val="none" w:sz="0" w:space="0" w:color="auto"/>
        <w:bottom w:val="none" w:sz="0" w:space="0" w:color="auto"/>
        <w:right w:val="none" w:sz="0" w:space="0" w:color="auto"/>
      </w:divBdr>
    </w:div>
    <w:div w:id="202108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EDBD9-03A8-47AE-B541-81A665539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7245</Words>
  <Characters>41302</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HKIEd</Company>
  <LinksUpToDate>false</LinksUpToDate>
  <CharactersWithSpaces>48451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 Lee</dc:creator>
  <cp:lastModifiedBy>Hellen, Catherine</cp:lastModifiedBy>
  <cp:revision>2</cp:revision>
  <cp:lastPrinted>2022-04-20T04:02:00Z</cp:lastPrinted>
  <dcterms:created xsi:type="dcterms:W3CDTF">2022-08-02T15:42:00Z</dcterms:created>
  <dcterms:modified xsi:type="dcterms:W3CDTF">2022-08-02T15:42:00Z</dcterms:modified>
</cp:coreProperties>
</file>