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F478BE" w14:textId="77777777" w:rsidR="00942FBB" w:rsidRPr="005B1792" w:rsidRDefault="00942FBB" w:rsidP="00CC2480">
      <w:pPr>
        <w:pStyle w:val="Heading1"/>
        <w:spacing w:line="360" w:lineRule="auto"/>
        <w:jc w:val="both"/>
        <w:rPr>
          <w:rFonts w:ascii="Times" w:hAnsi="Times" w:cs="Times"/>
          <w:b/>
          <w:bCs/>
          <w:sz w:val="22"/>
          <w:szCs w:val="22"/>
        </w:rPr>
      </w:pPr>
      <w:r w:rsidRPr="005B1792">
        <w:rPr>
          <w:rFonts w:ascii="Times" w:hAnsi="Times" w:cs="Times"/>
          <w:b/>
          <w:bCs/>
          <w:sz w:val="26"/>
          <w:szCs w:val="26"/>
        </w:rPr>
        <w:t>Environmental risk factors, protective factors, and biomarkers for postpartum depressive symptoms: an umbrella review</w:t>
      </w:r>
    </w:p>
    <w:p w14:paraId="18C8C926" w14:textId="77777777" w:rsidR="00942FBB" w:rsidRPr="005B1792" w:rsidRDefault="00942FBB" w:rsidP="002A0654">
      <w:pPr>
        <w:spacing w:line="360" w:lineRule="auto"/>
        <w:rPr>
          <w:rFonts w:ascii="Times" w:hAnsi="Times" w:cs="Times"/>
        </w:rPr>
      </w:pPr>
      <w:r w:rsidRPr="005B1792">
        <w:rPr>
          <w:rFonts w:ascii="Times" w:hAnsi="Times" w:cs="Times"/>
        </w:rPr>
        <w:t>Jae Han Kim</w:t>
      </w:r>
      <w:r w:rsidRPr="005B1792">
        <w:rPr>
          <w:rFonts w:ascii="Times" w:hAnsi="Times" w:cs="Times"/>
          <w:vertAlign w:val="superscript"/>
        </w:rPr>
        <w:t>1†</w:t>
      </w:r>
      <w:r w:rsidRPr="005B1792">
        <w:rPr>
          <w:rFonts w:ascii="Times" w:hAnsi="Times" w:cs="Times"/>
        </w:rPr>
        <w:t xml:space="preserve">, Jong </w:t>
      </w:r>
      <w:proofErr w:type="spellStart"/>
      <w:r w:rsidRPr="005B1792">
        <w:rPr>
          <w:rFonts w:ascii="Times" w:hAnsi="Times" w:cs="Times"/>
        </w:rPr>
        <w:t>Yeob</w:t>
      </w:r>
      <w:proofErr w:type="spellEnd"/>
      <w:r w:rsidRPr="005B1792">
        <w:rPr>
          <w:rFonts w:ascii="Times" w:hAnsi="Times" w:cs="Times"/>
        </w:rPr>
        <w:t xml:space="preserve"> Kim</w:t>
      </w:r>
      <w:r w:rsidRPr="005B1792">
        <w:rPr>
          <w:rFonts w:ascii="Times" w:hAnsi="Times" w:cs="Times"/>
          <w:vertAlign w:val="superscript"/>
        </w:rPr>
        <w:t>1†</w:t>
      </w:r>
      <w:r w:rsidRPr="005B1792">
        <w:rPr>
          <w:rFonts w:ascii="Times" w:hAnsi="Times" w:cs="Times"/>
        </w:rPr>
        <w:t xml:space="preserve">, </w:t>
      </w:r>
      <w:proofErr w:type="spellStart"/>
      <w:r w:rsidRPr="005B1792">
        <w:rPr>
          <w:rFonts w:ascii="Times" w:hAnsi="Times" w:cs="Times"/>
        </w:rPr>
        <w:t>Seul</w:t>
      </w:r>
      <w:proofErr w:type="spellEnd"/>
      <w:r w:rsidRPr="005B1792">
        <w:rPr>
          <w:rFonts w:ascii="Times" w:hAnsi="Times" w:cs="Times"/>
        </w:rPr>
        <w:t xml:space="preserve"> Lee</w:t>
      </w:r>
      <w:r w:rsidRPr="005B1792">
        <w:rPr>
          <w:rFonts w:ascii="Times" w:hAnsi="Times" w:cs="Times"/>
          <w:vertAlign w:val="superscript"/>
        </w:rPr>
        <w:t>1†</w:t>
      </w:r>
      <w:r w:rsidRPr="005B1792">
        <w:rPr>
          <w:rFonts w:ascii="Times" w:hAnsi="Times" w:cs="Times"/>
        </w:rPr>
        <w:t>, San Lee</w:t>
      </w:r>
      <w:r w:rsidRPr="005B1792">
        <w:rPr>
          <w:rFonts w:ascii="Times" w:hAnsi="Times" w:cs="Times"/>
          <w:vertAlign w:val="superscript"/>
        </w:rPr>
        <w:t>2</w:t>
      </w:r>
      <w:r w:rsidRPr="005B1792">
        <w:rPr>
          <w:rFonts w:ascii="Times" w:hAnsi="Times" w:cs="Times"/>
        </w:rPr>
        <w:t>, Brendon Stubbs</w:t>
      </w:r>
      <w:r w:rsidRPr="005B1792">
        <w:rPr>
          <w:rFonts w:ascii="Times" w:hAnsi="Times" w:cs="Times"/>
          <w:vertAlign w:val="superscript"/>
        </w:rPr>
        <w:t>3,4,5</w:t>
      </w:r>
      <w:r w:rsidRPr="005B1792">
        <w:rPr>
          <w:rFonts w:ascii="Times" w:hAnsi="Times" w:cs="Times"/>
        </w:rPr>
        <w:t>, Ai Koyanagi</w:t>
      </w:r>
      <w:r w:rsidRPr="005B1792">
        <w:rPr>
          <w:rFonts w:ascii="Times" w:hAnsi="Times" w:cs="Times"/>
          <w:vertAlign w:val="superscript"/>
        </w:rPr>
        <w:t>6,7</w:t>
      </w:r>
      <w:r w:rsidRPr="005B1792">
        <w:rPr>
          <w:rFonts w:ascii="Times" w:hAnsi="Times" w:cs="Times"/>
        </w:rPr>
        <w:t>, Elena Dragioti</w:t>
      </w:r>
      <w:r w:rsidRPr="005B1792">
        <w:rPr>
          <w:rFonts w:ascii="Times" w:hAnsi="Times" w:cs="Times"/>
          <w:vertAlign w:val="superscript"/>
        </w:rPr>
        <w:t>8</w:t>
      </w:r>
      <w:r w:rsidRPr="005B1792">
        <w:rPr>
          <w:rFonts w:ascii="Times" w:hAnsi="Times" w:cs="Times"/>
        </w:rPr>
        <w:t>, Louis Jacob</w:t>
      </w:r>
      <w:r w:rsidRPr="005B1792">
        <w:rPr>
          <w:rFonts w:ascii="Times" w:hAnsi="Times" w:cs="Times"/>
          <w:vertAlign w:val="superscript"/>
        </w:rPr>
        <w:t>9,10</w:t>
      </w:r>
      <w:r w:rsidRPr="005B1792">
        <w:rPr>
          <w:rFonts w:ascii="Times" w:hAnsi="Times" w:cs="Times"/>
        </w:rPr>
        <w:t>, Andre F. Carvalho</w:t>
      </w:r>
      <w:r w:rsidRPr="005B1792">
        <w:rPr>
          <w:rFonts w:ascii="Times" w:hAnsi="Times" w:cs="Times"/>
          <w:vertAlign w:val="superscript"/>
        </w:rPr>
        <w:t>11,12</w:t>
      </w:r>
      <w:r w:rsidRPr="005B1792">
        <w:rPr>
          <w:rFonts w:ascii="Times" w:hAnsi="Times" w:cs="Times"/>
        </w:rPr>
        <w:t>, Joaquim Radua</w:t>
      </w:r>
      <w:r w:rsidRPr="005B1792">
        <w:rPr>
          <w:rFonts w:ascii="Times" w:hAnsi="Times" w:cs="Times"/>
          <w:vertAlign w:val="superscript"/>
        </w:rPr>
        <w:t>13,14,15,16</w:t>
      </w:r>
      <w:r w:rsidRPr="005B1792">
        <w:rPr>
          <w:rFonts w:ascii="Times" w:hAnsi="Times" w:cs="Times"/>
        </w:rPr>
        <w:t>, Trevor Thompson</w:t>
      </w:r>
      <w:r w:rsidRPr="005B1792">
        <w:rPr>
          <w:rFonts w:ascii="Times" w:hAnsi="Times" w:cs="Times"/>
          <w:vertAlign w:val="superscript"/>
        </w:rPr>
        <w:t>17</w:t>
      </w:r>
      <w:r w:rsidRPr="005B1792">
        <w:rPr>
          <w:rFonts w:ascii="Times" w:hAnsi="Times" w:cs="Times"/>
        </w:rPr>
        <w:t>, Lee Smith</w:t>
      </w:r>
      <w:r w:rsidRPr="005B1792">
        <w:rPr>
          <w:rFonts w:ascii="Times" w:hAnsi="Times" w:cs="Times"/>
          <w:vertAlign w:val="superscript"/>
        </w:rPr>
        <w:t>18</w:t>
      </w:r>
      <w:r w:rsidRPr="005B1792">
        <w:rPr>
          <w:rFonts w:ascii="Times" w:hAnsi="Times" w:cs="Times"/>
        </w:rPr>
        <w:t>, Hans Oh</w:t>
      </w:r>
      <w:r w:rsidRPr="005B1792">
        <w:rPr>
          <w:rFonts w:ascii="Times" w:hAnsi="Times" w:cs="Times"/>
          <w:vertAlign w:val="superscript"/>
        </w:rPr>
        <w:t>19</w:t>
      </w:r>
      <w:r w:rsidRPr="005B1792">
        <w:rPr>
          <w:rFonts w:ascii="Times" w:hAnsi="Times" w:cs="Times"/>
        </w:rPr>
        <w:t>, Lin Yang</w:t>
      </w:r>
      <w:r w:rsidRPr="005B1792">
        <w:rPr>
          <w:rFonts w:ascii="Times" w:hAnsi="Times" w:cs="Times"/>
          <w:vertAlign w:val="superscript"/>
        </w:rPr>
        <w:t>20,21</w:t>
      </w:r>
      <w:r w:rsidRPr="005B1792">
        <w:rPr>
          <w:rFonts w:ascii="Times" w:hAnsi="Times" w:cs="Times"/>
        </w:rPr>
        <w:t>, Michele Fornaro</w:t>
      </w:r>
      <w:r w:rsidRPr="005B1792">
        <w:rPr>
          <w:rFonts w:ascii="Times" w:hAnsi="Times" w:cs="Times"/>
          <w:vertAlign w:val="superscript"/>
        </w:rPr>
        <w:t>22</w:t>
      </w:r>
      <w:r w:rsidRPr="005B1792">
        <w:rPr>
          <w:rFonts w:ascii="Times" w:hAnsi="Times" w:cs="Times"/>
        </w:rPr>
        <w:t>, Andrew Stickley</w:t>
      </w:r>
      <w:r w:rsidRPr="005B1792">
        <w:rPr>
          <w:rFonts w:ascii="Times" w:hAnsi="Times" w:cs="Times"/>
          <w:vertAlign w:val="superscript"/>
        </w:rPr>
        <w:t>23,24</w:t>
      </w:r>
      <w:r w:rsidRPr="005B1792">
        <w:rPr>
          <w:rFonts w:ascii="Times" w:hAnsi="Times" w:cs="Times"/>
        </w:rPr>
        <w:t>, Gonzalo Salazar de Pablo</w:t>
      </w:r>
      <w:r w:rsidRPr="005B1792">
        <w:rPr>
          <w:rFonts w:ascii="Times" w:hAnsi="Times" w:cs="Times"/>
          <w:vertAlign w:val="superscript"/>
        </w:rPr>
        <w:t>13,25,26</w:t>
      </w:r>
      <w:r w:rsidRPr="005B1792">
        <w:rPr>
          <w:rFonts w:ascii="Times" w:hAnsi="Times" w:cs="Times"/>
        </w:rPr>
        <w:t>, </w:t>
      </w:r>
      <w:proofErr w:type="spellStart"/>
      <w:r w:rsidRPr="005B1792">
        <w:rPr>
          <w:rFonts w:ascii="Times" w:hAnsi="Times" w:cs="Times"/>
        </w:rPr>
        <w:t>Kalthoum</w:t>
      </w:r>
      <w:proofErr w:type="spellEnd"/>
      <w:r w:rsidRPr="005B1792">
        <w:rPr>
          <w:rFonts w:ascii="Times" w:hAnsi="Times" w:cs="Times"/>
        </w:rPr>
        <w:t xml:space="preserve"> Tizaoui</w:t>
      </w:r>
      <w:r w:rsidRPr="005B1792">
        <w:rPr>
          <w:rFonts w:ascii="Times" w:hAnsi="Times" w:cs="Times"/>
          <w:vertAlign w:val="superscript"/>
        </w:rPr>
        <w:t>27</w:t>
      </w:r>
      <w:r w:rsidRPr="005B1792">
        <w:rPr>
          <w:rFonts w:ascii="Times" w:hAnsi="Times" w:cs="Times"/>
        </w:rPr>
        <w:t>, Dong Keon Yon</w:t>
      </w:r>
      <w:r w:rsidRPr="005B1792">
        <w:rPr>
          <w:rFonts w:ascii="Times" w:hAnsi="Times" w:cs="Times"/>
          <w:vertAlign w:val="superscript"/>
        </w:rPr>
        <w:t>28</w:t>
      </w:r>
      <w:r w:rsidRPr="005B1792">
        <w:rPr>
          <w:rFonts w:ascii="Times" w:hAnsi="Times" w:cs="Times"/>
        </w:rPr>
        <w:t>, Seung Won Lee</w:t>
      </w:r>
      <w:r w:rsidRPr="005B1792">
        <w:rPr>
          <w:rFonts w:ascii="Times" w:hAnsi="Times" w:cs="Times"/>
          <w:vertAlign w:val="superscript"/>
        </w:rPr>
        <w:t>29</w:t>
      </w:r>
      <w:r w:rsidRPr="005B1792">
        <w:rPr>
          <w:rFonts w:ascii="Times" w:hAnsi="Times" w:cs="Times"/>
        </w:rPr>
        <w:t>, Jimin Hwang</w:t>
      </w:r>
      <w:r w:rsidRPr="005B1792">
        <w:rPr>
          <w:rFonts w:ascii="Times" w:hAnsi="Times" w:cs="Times"/>
          <w:vertAlign w:val="superscript"/>
        </w:rPr>
        <w:t>30</w:t>
      </w:r>
      <w:r w:rsidRPr="005B1792">
        <w:rPr>
          <w:rFonts w:ascii="Times" w:hAnsi="Times" w:cs="Times"/>
        </w:rPr>
        <w:t>, Jae Il Shin</w:t>
      </w:r>
      <w:r w:rsidRPr="005B1792">
        <w:rPr>
          <w:rFonts w:ascii="Times" w:hAnsi="Times" w:cs="Times"/>
          <w:vertAlign w:val="superscript"/>
        </w:rPr>
        <w:t>31*</w:t>
      </w:r>
      <w:r w:rsidRPr="005B1792">
        <w:rPr>
          <w:rFonts w:ascii="Times" w:hAnsi="Times" w:cs="Times"/>
        </w:rPr>
        <w:t xml:space="preserve"> and Paolo Fusar-Poli</w:t>
      </w:r>
      <w:r w:rsidRPr="005B1792">
        <w:rPr>
          <w:rFonts w:ascii="Times" w:hAnsi="Times" w:cs="Times"/>
          <w:vertAlign w:val="superscript"/>
        </w:rPr>
        <w:t>13,32,33,34</w:t>
      </w:r>
    </w:p>
    <w:p w14:paraId="69D96C27"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1. Yonsei University College of Medicine, Seoul, Republic of Korea</w:t>
      </w:r>
    </w:p>
    <w:p w14:paraId="5516FA98"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2. Department of Psychiatry, Yonsei University College of Medicine, Seoul, Republic of Korea</w:t>
      </w:r>
    </w:p>
    <w:p w14:paraId="6D987EAB"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3. Institute of Psychiatry, Psychology and Neuroscience, King’s College London, London, UK</w:t>
      </w:r>
    </w:p>
    <w:p w14:paraId="0E406414"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4. South London and Maudsley NHS Foundation Trust, London, UK</w:t>
      </w:r>
    </w:p>
    <w:p w14:paraId="574C13C7"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5. Faculty of Health, Social Care and Education, Anglia Ruskin University, Chelmsford, UK</w:t>
      </w:r>
    </w:p>
    <w:p w14:paraId="1C9FA232" w14:textId="77777777" w:rsidR="00942FBB" w:rsidRPr="005B1792" w:rsidRDefault="00942FBB" w:rsidP="00CC2480">
      <w:pPr>
        <w:pStyle w:val="NoSpacing"/>
        <w:spacing w:line="360" w:lineRule="auto"/>
        <w:rPr>
          <w:rFonts w:ascii="Times" w:hAnsi="Times" w:cs="Times"/>
          <w:szCs w:val="20"/>
          <w:lang w:val="sv-SE"/>
        </w:rPr>
      </w:pPr>
      <w:r w:rsidRPr="005B1792">
        <w:rPr>
          <w:rFonts w:ascii="Times" w:hAnsi="Times" w:cs="Times"/>
          <w:szCs w:val="20"/>
          <w:lang w:val="sv-SE"/>
        </w:rPr>
        <w:t>6. Parc Sanitari Sant Joan de Déu/CIBERSAM, Universitat de Barcelona, Fundació Sant Joan de Déu, Sant Boi de Llobregat, Barcelona, Spain</w:t>
      </w:r>
    </w:p>
    <w:p w14:paraId="331E1708" w14:textId="77777777" w:rsidR="00942FBB" w:rsidRPr="005B1792" w:rsidRDefault="00942FBB" w:rsidP="00CC2480">
      <w:pPr>
        <w:pStyle w:val="NoSpacing"/>
        <w:spacing w:line="360" w:lineRule="auto"/>
        <w:rPr>
          <w:rFonts w:ascii="Times" w:hAnsi="Times" w:cs="Times"/>
          <w:szCs w:val="20"/>
          <w:lang w:val="sv-SE"/>
        </w:rPr>
      </w:pPr>
      <w:r w:rsidRPr="005B1792">
        <w:rPr>
          <w:rFonts w:ascii="Times" w:hAnsi="Times" w:cs="Times"/>
          <w:szCs w:val="20"/>
          <w:lang w:val="sv-SE"/>
        </w:rPr>
        <w:t>7. ICREA, Pg. Lluis Companys 23, 08010, Barcelona, Spain</w:t>
      </w:r>
    </w:p>
    <w:p w14:paraId="24665098"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8. Pain and Rehabilitation Centre, and Department of Health, Medicine and Caring Sciences, Linkoping University, Linkoping, Sweden</w:t>
      </w:r>
    </w:p>
    <w:p w14:paraId="042EA406"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 xml:space="preserve">9. Research and Development Unit, Parc </w:t>
      </w:r>
      <w:proofErr w:type="spellStart"/>
      <w:r w:rsidRPr="005B1792">
        <w:rPr>
          <w:rFonts w:ascii="Times" w:hAnsi="Times" w:cs="Times"/>
          <w:szCs w:val="20"/>
        </w:rPr>
        <w:t>Sanitari</w:t>
      </w:r>
      <w:proofErr w:type="spellEnd"/>
      <w:r w:rsidRPr="005B1792">
        <w:rPr>
          <w:rFonts w:ascii="Times" w:hAnsi="Times" w:cs="Times"/>
          <w:szCs w:val="20"/>
        </w:rPr>
        <w:t xml:space="preserve"> Sant Joan de </w:t>
      </w:r>
      <w:proofErr w:type="spellStart"/>
      <w:r w:rsidRPr="005B1792">
        <w:rPr>
          <w:rFonts w:ascii="Times" w:hAnsi="Times" w:cs="Times"/>
          <w:szCs w:val="20"/>
        </w:rPr>
        <w:t>Déu</w:t>
      </w:r>
      <w:proofErr w:type="spellEnd"/>
      <w:r w:rsidRPr="005B1792">
        <w:rPr>
          <w:rFonts w:ascii="Times" w:hAnsi="Times" w:cs="Times"/>
          <w:szCs w:val="20"/>
        </w:rPr>
        <w:t xml:space="preserve">, CIBERSAM, Dr. Antoni Pujadas, 42, Sant </w:t>
      </w:r>
      <w:proofErr w:type="spellStart"/>
      <w:r w:rsidRPr="005B1792">
        <w:rPr>
          <w:rFonts w:ascii="Times" w:hAnsi="Times" w:cs="Times"/>
          <w:szCs w:val="20"/>
        </w:rPr>
        <w:t>Boi</w:t>
      </w:r>
      <w:proofErr w:type="spellEnd"/>
      <w:r w:rsidRPr="005B1792">
        <w:rPr>
          <w:rFonts w:ascii="Times" w:hAnsi="Times" w:cs="Times"/>
          <w:szCs w:val="20"/>
        </w:rPr>
        <w:t xml:space="preserve"> de </w:t>
      </w:r>
      <w:proofErr w:type="spellStart"/>
      <w:r w:rsidRPr="005B1792">
        <w:rPr>
          <w:rFonts w:ascii="Times" w:hAnsi="Times" w:cs="Times"/>
          <w:szCs w:val="20"/>
        </w:rPr>
        <w:t>Llobregat</w:t>
      </w:r>
      <w:proofErr w:type="spellEnd"/>
      <w:r w:rsidRPr="005B1792">
        <w:rPr>
          <w:rFonts w:ascii="Times" w:hAnsi="Times" w:cs="Times"/>
          <w:szCs w:val="20"/>
        </w:rPr>
        <w:t>, Barcelona 08830, Spain</w:t>
      </w:r>
    </w:p>
    <w:p w14:paraId="0C5734A1"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10. Faculty of Medicine, University of Versailles Saint-Quentin-</w:t>
      </w:r>
      <w:proofErr w:type="spellStart"/>
      <w:r w:rsidRPr="005B1792">
        <w:rPr>
          <w:rFonts w:ascii="Times" w:hAnsi="Times" w:cs="Times"/>
          <w:szCs w:val="20"/>
        </w:rPr>
        <w:t>en</w:t>
      </w:r>
      <w:proofErr w:type="spellEnd"/>
      <w:r w:rsidRPr="005B1792">
        <w:rPr>
          <w:rFonts w:ascii="Times" w:hAnsi="Times" w:cs="Times"/>
          <w:szCs w:val="20"/>
        </w:rPr>
        <w:t xml:space="preserve">-Yvelines, </w:t>
      </w:r>
      <w:proofErr w:type="spellStart"/>
      <w:r w:rsidRPr="005B1792">
        <w:rPr>
          <w:rFonts w:ascii="Times" w:hAnsi="Times" w:cs="Times"/>
          <w:szCs w:val="20"/>
        </w:rPr>
        <w:t>Montigny</w:t>
      </w:r>
      <w:proofErr w:type="spellEnd"/>
      <w:r w:rsidRPr="005B1792">
        <w:rPr>
          <w:rFonts w:ascii="Times" w:hAnsi="Times" w:cs="Times"/>
          <w:szCs w:val="20"/>
        </w:rPr>
        <w:t>-le-Bretonneux, France</w:t>
      </w:r>
    </w:p>
    <w:p w14:paraId="088AABAE"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11. Centre for Addiction and Mental Health (CAMH), Toronto, ON, Canada</w:t>
      </w:r>
    </w:p>
    <w:p w14:paraId="4AE8E59D"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12. Department of Psychiatry, University of Toronto, Toronto, ON, Canada</w:t>
      </w:r>
    </w:p>
    <w:p w14:paraId="63BD82BD"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13. Early Psychosis: Interventions and Clinical-detection (EPIC) lab, Department of Psychosis Studies, Institute of Psychiatry, Psychology &amp; Neuroscience, King's College London, London, UK</w:t>
      </w:r>
    </w:p>
    <w:p w14:paraId="784D6A2B"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 xml:space="preserve">14. Imaging of Mood- and Anxiety-Related Disorders (IMARD) group, </w:t>
      </w:r>
      <w:proofErr w:type="spellStart"/>
      <w:r w:rsidRPr="005B1792">
        <w:rPr>
          <w:rFonts w:ascii="Times" w:hAnsi="Times" w:cs="Times"/>
          <w:szCs w:val="20"/>
        </w:rPr>
        <w:t>Institut</w:t>
      </w:r>
      <w:proofErr w:type="spellEnd"/>
      <w:r w:rsidRPr="005B1792">
        <w:rPr>
          <w:rFonts w:ascii="Times" w:hAnsi="Times" w:cs="Times"/>
          <w:szCs w:val="20"/>
        </w:rPr>
        <w:t xml:space="preserve"> </w:t>
      </w:r>
      <w:proofErr w:type="spellStart"/>
      <w:r w:rsidRPr="005B1792">
        <w:rPr>
          <w:rFonts w:ascii="Times" w:hAnsi="Times" w:cs="Times"/>
          <w:szCs w:val="20"/>
        </w:rPr>
        <w:t>d’Investigacions</w:t>
      </w:r>
      <w:proofErr w:type="spellEnd"/>
      <w:r w:rsidRPr="005B1792">
        <w:rPr>
          <w:rFonts w:ascii="Times" w:hAnsi="Times" w:cs="Times"/>
          <w:szCs w:val="20"/>
        </w:rPr>
        <w:t xml:space="preserve"> </w:t>
      </w:r>
      <w:proofErr w:type="spellStart"/>
      <w:r w:rsidRPr="005B1792">
        <w:rPr>
          <w:rFonts w:ascii="Times" w:hAnsi="Times" w:cs="Times"/>
          <w:szCs w:val="20"/>
        </w:rPr>
        <w:t>Biomèdiques</w:t>
      </w:r>
      <w:proofErr w:type="spellEnd"/>
      <w:r w:rsidRPr="005B1792">
        <w:rPr>
          <w:rFonts w:ascii="Times" w:hAnsi="Times" w:cs="Times"/>
          <w:szCs w:val="20"/>
        </w:rPr>
        <w:t xml:space="preserve"> August Pi </w:t>
      </w:r>
      <w:proofErr w:type="spellStart"/>
      <w:r w:rsidRPr="005B1792">
        <w:rPr>
          <w:rFonts w:ascii="Times" w:hAnsi="Times" w:cs="Times"/>
          <w:szCs w:val="20"/>
        </w:rPr>
        <w:t>i</w:t>
      </w:r>
      <w:proofErr w:type="spellEnd"/>
      <w:r w:rsidRPr="005B1792">
        <w:rPr>
          <w:rFonts w:ascii="Times" w:hAnsi="Times" w:cs="Times"/>
          <w:szCs w:val="20"/>
        </w:rPr>
        <w:t xml:space="preserve"> </w:t>
      </w:r>
      <w:proofErr w:type="spellStart"/>
      <w:r w:rsidRPr="005B1792">
        <w:rPr>
          <w:rFonts w:ascii="Times" w:hAnsi="Times" w:cs="Times"/>
          <w:szCs w:val="20"/>
        </w:rPr>
        <w:t>Sunyer</w:t>
      </w:r>
      <w:proofErr w:type="spellEnd"/>
      <w:r w:rsidRPr="005B1792">
        <w:rPr>
          <w:rFonts w:ascii="Times" w:hAnsi="Times" w:cs="Times"/>
          <w:szCs w:val="20"/>
        </w:rPr>
        <w:t xml:space="preserve"> (IDIBAPS), Barcelona, Spain</w:t>
      </w:r>
    </w:p>
    <w:p w14:paraId="4CEEE7D6"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15. Mental Health Research Networking Center (CIBERSAM), Barcelona, Spain</w:t>
      </w:r>
    </w:p>
    <w:p w14:paraId="0440CC18"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 xml:space="preserve">16. Centre for Psychiatric Research, Department of Clinical Neuroscience, Karolinska </w:t>
      </w:r>
      <w:proofErr w:type="spellStart"/>
      <w:r w:rsidRPr="005B1792">
        <w:rPr>
          <w:rFonts w:ascii="Times" w:hAnsi="Times" w:cs="Times"/>
          <w:szCs w:val="20"/>
        </w:rPr>
        <w:t>Institutet</w:t>
      </w:r>
      <w:proofErr w:type="spellEnd"/>
      <w:r w:rsidRPr="005B1792">
        <w:rPr>
          <w:rFonts w:ascii="Times" w:hAnsi="Times" w:cs="Times"/>
          <w:szCs w:val="20"/>
        </w:rPr>
        <w:t>, Stockholm, Sweden</w:t>
      </w:r>
    </w:p>
    <w:p w14:paraId="44E275E8"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17. Department of Psychology, University of Greenwich, London, UK</w:t>
      </w:r>
    </w:p>
    <w:p w14:paraId="3ED2202B"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18. The Cambridge Centre for Sport and Exercise Sciences, Anglia Ruskin University, Cambridge, UK</w:t>
      </w:r>
    </w:p>
    <w:p w14:paraId="1E28F820"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19. School of Social Work, University of Southern California, CA 90015, USA</w:t>
      </w:r>
    </w:p>
    <w:p w14:paraId="24C3A9AF"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20. Department of Cancer Epidemiology and Prevention Research, Alberta Health Services, Calgary, Canada</w:t>
      </w:r>
    </w:p>
    <w:p w14:paraId="0151720C"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21. Departments of Oncology and Community Health Sciences, Cumming School of Medicine, University of Calgary, Calgary, Canada</w:t>
      </w:r>
    </w:p>
    <w:p w14:paraId="2C90F72D"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22. Department of Neuroscience, Reproductive Sciences and Dentistry, Federico II University, Naples, Italy</w:t>
      </w:r>
    </w:p>
    <w:p w14:paraId="50673165"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 xml:space="preserve">23. Department of Preventive Intervention for Psychiatric Disorders, National Institute of Mental Health, National </w:t>
      </w:r>
      <w:r w:rsidRPr="005B1792">
        <w:rPr>
          <w:rFonts w:ascii="Times" w:hAnsi="Times" w:cs="Times"/>
          <w:szCs w:val="20"/>
        </w:rPr>
        <w:lastRenderedPageBreak/>
        <w:t>Center of Neurology and Psychiatry, Tokyo, Japan</w:t>
      </w:r>
    </w:p>
    <w:p w14:paraId="21DECFF0"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 xml:space="preserve">24. Stockholm Center for Health and Social Change (SCOHOST), </w:t>
      </w:r>
      <w:proofErr w:type="spellStart"/>
      <w:r w:rsidRPr="005B1792">
        <w:rPr>
          <w:rFonts w:ascii="Times" w:hAnsi="Times" w:cs="Times"/>
          <w:szCs w:val="20"/>
        </w:rPr>
        <w:t>Södertörn</w:t>
      </w:r>
      <w:proofErr w:type="spellEnd"/>
      <w:r w:rsidRPr="005B1792">
        <w:rPr>
          <w:rFonts w:ascii="Times" w:hAnsi="Times" w:cs="Times"/>
          <w:szCs w:val="20"/>
        </w:rPr>
        <w:t xml:space="preserve"> University, Huddinge, Sweden</w:t>
      </w:r>
    </w:p>
    <w:p w14:paraId="7BDBFD0E"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25. Department of Child and Adolescent Psychiatry, Institute of Psychiatry, Psychology &amp; Neuroscience, King's College London, London, UK</w:t>
      </w:r>
    </w:p>
    <w:p w14:paraId="4187FE3E"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 xml:space="preserve">26. Institute of Psychiatry and Mental Health. Department of Child and Adolescent Psychiatry, Hospital General Universitario Gregorio </w:t>
      </w:r>
      <w:proofErr w:type="spellStart"/>
      <w:r w:rsidRPr="005B1792">
        <w:rPr>
          <w:rFonts w:ascii="Times" w:hAnsi="Times" w:cs="Times"/>
          <w:szCs w:val="20"/>
        </w:rPr>
        <w:t>Marañón</w:t>
      </w:r>
      <w:proofErr w:type="spellEnd"/>
      <w:r w:rsidRPr="005B1792">
        <w:rPr>
          <w:rFonts w:ascii="Times" w:hAnsi="Times" w:cs="Times"/>
          <w:szCs w:val="20"/>
        </w:rPr>
        <w:t xml:space="preserve"> School of Medicine, Universidad </w:t>
      </w:r>
      <w:proofErr w:type="spellStart"/>
      <w:r w:rsidRPr="005B1792">
        <w:rPr>
          <w:rFonts w:ascii="Times" w:hAnsi="Times" w:cs="Times"/>
          <w:szCs w:val="20"/>
        </w:rPr>
        <w:t>Complutense</w:t>
      </w:r>
      <w:proofErr w:type="spellEnd"/>
      <w:r w:rsidRPr="005B1792">
        <w:rPr>
          <w:rFonts w:ascii="Times" w:hAnsi="Times" w:cs="Times"/>
          <w:szCs w:val="20"/>
        </w:rPr>
        <w:t xml:space="preserve">, Instituto de </w:t>
      </w:r>
      <w:proofErr w:type="spellStart"/>
      <w:r w:rsidRPr="005B1792">
        <w:rPr>
          <w:rFonts w:ascii="Times" w:hAnsi="Times" w:cs="Times"/>
          <w:szCs w:val="20"/>
        </w:rPr>
        <w:t>Investigación</w:t>
      </w:r>
      <w:proofErr w:type="spellEnd"/>
      <w:r w:rsidRPr="005B1792">
        <w:rPr>
          <w:rFonts w:ascii="Times" w:hAnsi="Times" w:cs="Times"/>
          <w:szCs w:val="20"/>
        </w:rPr>
        <w:t xml:space="preserve"> Sanitaria Gregorio </w:t>
      </w:r>
      <w:proofErr w:type="spellStart"/>
      <w:r w:rsidRPr="005B1792">
        <w:rPr>
          <w:rFonts w:ascii="Times" w:hAnsi="Times" w:cs="Times"/>
          <w:szCs w:val="20"/>
        </w:rPr>
        <w:t>Marañón</w:t>
      </w:r>
      <w:proofErr w:type="spellEnd"/>
      <w:r w:rsidRPr="005B1792">
        <w:rPr>
          <w:rFonts w:ascii="Times" w:hAnsi="Times" w:cs="Times"/>
          <w:szCs w:val="20"/>
        </w:rPr>
        <w:t xml:space="preserve"> (</w:t>
      </w:r>
      <w:proofErr w:type="spellStart"/>
      <w:r w:rsidRPr="005B1792">
        <w:rPr>
          <w:rFonts w:ascii="Times" w:hAnsi="Times" w:cs="Times"/>
          <w:szCs w:val="20"/>
        </w:rPr>
        <w:t>IiSGM</w:t>
      </w:r>
      <w:proofErr w:type="spellEnd"/>
      <w:r w:rsidRPr="005B1792">
        <w:rPr>
          <w:rFonts w:ascii="Times" w:hAnsi="Times" w:cs="Times"/>
          <w:szCs w:val="20"/>
        </w:rPr>
        <w:t>), CIBERSAM, Madrid, Spain</w:t>
      </w:r>
    </w:p>
    <w:p w14:paraId="1931699E"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 xml:space="preserve">27. Department of Basic Sciences, Medicine Faculty of Tunis, Tunis El </w:t>
      </w:r>
      <w:proofErr w:type="spellStart"/>
      <w:r w:rsidRPr="005B1792">
        <w:rPr>
          <w:rFonts w:ascii="Times" w:hAnsi="Times" w:cs="Times"/>
          <w:szCs w:val="20"/>
        </w:rPr>
        <w:t>Manar</w:t>
      </w:r>
      <w:proofErr w:type="spellEnd"/>
      <w:r w:rsidRPr="005B1792">
        <w:rPr>
          <w:rFonts w:ascii="Times" w:hAnsi="Times" w:cs="Times"/>
          <w:szCs w:val="20"/>
        </w:rPr>
        <w:t xml:space="preserve"> University, 15 Rue Djebel </w:t>
      </w:r>
      <w:proofErr w:type="spellStart"/>
      <w:r w:rsidRPr="005B1792">
        <w:rPr>
          <w:rFonts w:ascii="Times" w:hAnsi="Times" w:cs="Times"/>
          <w:szCs w:val="20"/>
        </w:rPr>
        <w:t>Lakdar</w:t>
      </w:r>
      <w:proofErr w:type="spellEnd"/>
      <w:r w:rsidRPr="005B1792">
        <w:rPr>
          <w:rFonts w:ascii="Times" w:hAnsi="Times" w:cs="Times"/>
          <w:szCs w:val="20"/>
        </w:rPr>
        <w:t>, Tunis 1007, Tunisia</w:t>
      </w:r>
    </w:p>
    <w:p w14:paraId="17AD84C1"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28. Department of Pediatrics, Seoul National University Hospital, Seoul National University College of Medicine, Seoul, Republic of Korea</w:t>
      </w:r>
    </w:p>
    <w:p w14:paraId="76CA95FC"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29. Department of Data Science, Sejong University College of Software Convergence, Seoul, Republic of Korea</w:t>
      </w:r>
    </w:p>
    <w:p w14:paraId="54E8D563" w14:textId="77777777" w:rsidR="00942FBB" w:rsidRPr="005B1792" w:rsidRDefault="00942FBB" w:rsidP="00CC2480">
      <w:pPr>
        <w:pStyle w:val="NoSpacing"/>
        <w:spacing w:line="360" w:lineRule="auto"/>
        <w:rPr>
          <w:rFonts w:ascii="Times" w:eastAsia="Times New Roman" w:hAnsi="Times" w:cs="Times"/>
          <w:kern w:val="0"/>
          <w:szCs w:val="20"/>
        </w:rPr>
      </w:pPr>
      <w:r w:rsidRPr="005B1792">
        <w:rPr>
          <w:rFonts w:ascii="Times" w:hAnsi="Times" w:cs="Times"/>
          <w:szCs w:val="20"/>
        </w:rPr>
        <w:t xml:space="preserve">30. </w:t>
      </w:r>
      <w:r w:rsidRPr="005B1792">
        <w:rPr>
          <w:rFonts w:ascii="Times" w:eastAsia="Times New Roman" w:hAnsi="Times" w:cs="Times"/>
          <w:color w:val="000000"/>
          <w:kern w:val="0"/>
          <w:szCs w:val="20"/>
          <w:shd w:val="clear" w:color="auto" w:fill="FFFFFF"/>
        </w:rPr>
        <w:t>Department of Epidemiology, Johns Hopkins Bloomberg School of Public Health, Baltimore, USA</w:t>
      </w:r>
    </w:p>
    <w:p w14:paraId="034F2616"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31 Department of Pediatrics, Yonsei University College of Medicine, Seoul, Republic of Korea</w:t>
      </w:r>
    </w:p>
    <w:p w14:paraId="0E74DBC8"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 xml:space="preserve">32 Department of Brain and </w:t>
      </w:r>
      <w:proofErr w:type="spellStart"/>
      <w:r w:rsidRPr="005B1792">
        <w:rPr>
          <w:rFonts w:ascii="Times" w:hAnsi="Times" w:cs="Times"/>
          <w:szCs w:val="20"/>
        </w:rPr>
        <w:t>Behavioural</w:t>
      </w:r>
      <w:proofErr w:type="spellEnd"/>
      <w:r w:rsidRPr="005B1792">
        <w:rPr>
          <w:rFonts w:ascii="Times" w:hAnsi="Times" w:cs="Times"/>
          <w:szCs w:val="20"/>
        </w:rPr>
        <w:t xml:space="preserve"> Sciences, University of Pavia, Pavia, Italy</w:t>
      </w:r>
    </w:p>
    <w:p w14:paraId="34204D91"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33 OASIS service, South London and Maudsley NHS Foundation Trust, London, UK</w:t>
      </w:r>
    </w:p>
    <w:p w14:paraId="564C9036" w14:textId="77777777" w:rsidR="00942FBB" w:rsidRPr="005B1792" w:rsidRDefault="00942FBB" w:rsidP="00CC2480">
      <w:pPr>
        <w:pStyle w:val="NoSpacing"/>
        <w:spacing w:line="360" w:lineRule="auto"/>
        <w:rPr>
          <w:rFonts w:ascii="Times" w:hAnsi="Times" w:cs="Times"/>
          <w:szCs w:val="20"/>
        </w:rPr>
      </w:pPr>
      <w:r w:rsidRPr="005B1792">
        <w:rPr>
          <w:rFonts w:ascii="Times" w:hAnsi="Times" w:cs="Times"/>
          <w:szCs w:val="20"/>
        </w:rPr>
        <w:t>34 National Institute of Health Research Maudsley Biomedical Research Centre, South London and Maudsley NHS Foundation Trust, London, UK</w:t>
      </w:r>
    </w:p>
    <w:p w14:paraId="52454DF8" w14:textId="77777777" w:rsidR="00942FBB" w:rsidRPr="005B1792" w:rsidRDefault="00942FBB" w:rsidP="00CC2480">
      <w:pPr>
        <w:spacing w:line="360" w:lineRule="auto"/>
        <w:rPr>
          <w:rFonts w:ascii="Times" w:hAnsi="Times" w:cs="Times"/>
        </w:rPr>
      </w:pPr>
    </w:p>
    <w:p w14:paraId="47CD0194" w14:textId="0908F38F" w:rsidR="00942FBB" w:rsidRPr="005B1792" w:rsidRDefault="00942FBB" w:rsidP="00CC2480">
      <w:pPr>
        <w:spacing w:line="360" w:lineRule="auto"/>
        <w:rPr>
          <w:rFonts w:ascii="Times" w:hAnsi="Times" w:cs="Times"/>
        </w:rPr>
      </w:pPr>
      <w:r w:rsidRPr="005B1792">
        <w:rPr>
          <w:rFonts w:ascii="Times" w:hAnsi="Times" w:cs="Times"/>
        </w:rPr>
        <w:t xml:space="preserve">*Corresponding Author: </w:t>
      </w:r>
      <w:bookmarkStart w:id="0" w:name="_Hlk534835896"/>
      <w:r w:rsidRPr="005B1792">
        <w:rPr>
          <w:rFonts w:ascii="Times" w:hAnsi="Times" w:cs="Times"/>
        </w:rPr>
        <w:br/>
        <w:t xml:space="preserve">Prof. Jae Il Shin, MD. </w:t>
      </w:r>
      <w:r w:rsidRPr="005B1792">
        <w:rPr>
          <w:rFonts w:ascii="Times" w:hAnsi="Times" w:cs="Times"/>
        </w:rPr>
        <w:br/>
        <w:t>Address: Yonsei-</w:t>
      </w:r>
      <w:proofErr w:type="spellStart"/>
      <w:r w:rsidRPr="005B1792">
        <w:rPr>
          <w:rFonts w:ascii="Times" w:hAnsi="Times" w:cs="Times"/>
        </w:rPr>
        <w:t>ro</w:t>
      </w:r>
      <w:proofErr w:type="spellEnd"/>
      <w:r w:rsidRPr="005B1792">
        <w:rPr>
          <w:rFonts w:ascii="Times" w:hAnsi="Times" w:cs="Times"/>
        </w:rPr>
        <w:t xml:space="preserve"> 50, </w:t>
      </w:r>
      <w:proofErr w:type="spellStart"/>
      <w:r w:rsidRPr="005B1792">
        <w:rPr>
          <w:rFonts w:ascii="Times" w:hAnsi="Times" w:cs="Times"/>
        </w:rPr>
        <w:t>Seodaemun-gu</w:t>
      </w:r>
      <w:proofErr w:type="spellEnd"/>
      <w:r w:rsidRPr="005B1792">
        <w:rPr>
          <w:rFonts w:ascii="Times" w:hAnsi="Times" w:cs="Times"/>
        </w:rPr>
        <w:t>, C.P.O. Box 8044, Department of Pediatrics, Yonsei University College of Medicine, Seoul 120-752, Korea</w:t>
      </w:r>
      <w:r w:rsidRPr="005B1792">
        <w:rPr>
          <w:rFonts w:ascii="Times" w:hAnsi="Times" w:cs="Times"/>
        </w:rPr>
        <w:br/>
        <w:t>Tel.: +82-2-2228-2050; Fax: +82-2-393-9118; E-mail: shinji@yuhs.ac</w:t>
      </w:r>
      <w:bookmarkEnd w:id="0"/>
    </w:p>
    <w:p w14:paraId="1EC2667B" w14:textId="77777777" w:rsidR="00942FBB" w:rsidRPr="005B1792" w:rsidRDefault="00942FBB" w:rsidP="00CC2480">
      <w:pPr>
        <w:spacing w:line="360" w:lineRule="auto"/>
        <w:rPr>
          <w:rFonts w:ascii="Times" w:hAnsi="Times" w:cs="Times"/>
        </w:rPr>
      </w:pPr>
      <w:r w:rsidRPr="005B1792">
        <w:rPr>
          <w:rFonts w:ascii="Times" w:hAnsi="Times" w:cs="Times"/>
        </w:rPr>
        <w:t xml:space="preserve">† Jae Han Kim, Jong </w:t>
      </w:r>
      <w:proofErr w:type="spellStart"/>
      <w:r w:rsidRPr="005B1792">
        <w:rPr>
          <w:rFonts w:ascii="Times" w:hAnsi="Times" w:cs="Times"/>
        </w:rPr>
        <w:t>Yeob</w:t>
      </w:r>
      <w:proofErr w:type="spellEnd"/>
      <w:r w:rsidRPr="005B1792">
        <w:rPr>
          <w:rFonts w:ascii="Times" w:hAnsi="Times" w:cs="Times"/>
        </w:rPr>
        <w:t xml:space="preserve"> Kim and </w:t>
      </w:r>
      <w:proofErr w:type="spellStart"/>
      <w:r w:rsidRPr="005B1792">
        <w:rPr>
          <w:rFonts w:ascii="Times" w:hAnsi="Times" w:cs="Times"/>
        </w:rPr>
        <w:t>Seul</w:t>
      </w:r>
      <w:proofErr w:type="spellEnd"/>
      <w:r w:rsidRPr="005B1792">
        <w:rPr>
          <w:rFonts w:ascii="Times" w:hAnsi="Times" w:cs="Times"/>
        </w:rPr>
        <w:t xml:space="preserve"> Lee contributed equally to this article as co-first authors.</w:t>
      </w:r>
    </w:p>
    <w:p w14:paraId="22E23CC0" w14:textId="77777777" w:rsidR="00942FBB" w:rsidRPr="005B1792" w:rsidRDefault="00942FBB" w:rsidP="00CC2480">
      <w:pPr>
        <w:widowControl/>
        <w:wordWrap/>
        <w:autoSpaceDE/>
        <w:autoSpaceDN/>
        <w:spacing w:line="360" w:lineRule="auto"/>
        <w:rPr>
          <w:rFonts w:ascii="Times" w:hAnsi="Times" w:cs="Times"/>
          <w:b/>
          <w:bCs/>
          <w:szCs w:val="20"/>
        </w:rPr>
      </w:pPr>
      <w:r w:rsidRPr="005B1792">
        <w:rPr>
          <w:rFonts w:ascii="Times" w:hAnsi="Times" w:cs="Times"/>
          <w:b/>
          <w:bCs/>
          <w:szCs w:val="20"/>
        </w:rPr>
        <w:br w:type="page"/>
      </w:r>
    </w:p>
    <w:p w14:paraId="5C4150D7" w14:textId="77777777" w:rsidR="00942FBB" w:rsidRPr="005B1792" w:rsidRDefault="00942FBB" w:rsidP="00CC2480">
      <w:pPr>
        <w:widowControl/>
        <w:wordWrap/>
        <w:autoSpaceDE/>
        <w:autoSpaceDN/>
        <w:spacing w:line="360" w:lineRule="auto"/>
        <w:rPr>
          <w:rFonts w:ascii="Times" w:hAnsi="Times" w:cs="Times"/>
          <w:b/>
          <w:bCs/>
          <w:szCs w:val="20"/>
        </w:rPr>
      </w:pPr>
      <w:r w:rsidRPr="005B1792">
        <w:rPr>
          <w:rFonts w:ascii="Times" w:hAnsi="Times" w:cs="Times"/>
          <w:b/>
          <w:bCs/>
          <w:szCs w:val="20"/>
        </w:rPr>
        <w:lastRenderedPageBreak/>
        <w:t>Abstract (169/170 words)</w:t>
      </w:r>
    </w:p>
    <w:p w14:paraId="0217D678" w14:textId="07090820" w:rsidR="00942FBB" w:rsidRPr="005B1792" w:rsidRDefault="00942FBB" w:rsidP="00CC2480">
      <w:pPr>
        <w:spacing w:line="360" w:lineRule="auto"/>
        <w:rPr>
          <w:rFonts w:ascii="Times" w:hAnsi="Times" w:cs="Times"/>
        </w:rPr>
      </w:pPr>
      <w:r w:rsidRPr="005B1792">
        <w:rPr>
          <w:rFonts w:ascii="Times" w:hAnsi="Times" w:cs="Times"/>
        </w:rPr>
        <w:t xml:space="preserve">We performed an umbrella review on environmental risk/protective factors and biomarkers for postpartum depressive symptoms to establish a hierarchy of evidence. We </w:t>
      </w:r>
      <w:r w:rsidRPr="005B1792">
        <w:rPr>
          <w:rFonts w:ascii="Times" w:hAnsi="Times" w:cs="Times"/>
          <w:szCs w:val="20"/>
        </w:rPr>
        <w:t xml:space="preserve">systematically searched </w:t>
      </w:r>
      <w:r w:rsidRPr="005B1792">
        <w:rPr>
          <w:rFonts w:ascii="Times" w:hAnsi="Times" w:cs="Times"/>
        </w:rPr>
        <w:t>PubMed, Embase, and the Cochrane Database of Systematic Reviews from inception until 12 January 2021. We included systematic reviews providing meta-analyses related to our research objectives. Methodological quality was assessed by AMSTAR 2, and the certainty of evidence was evaluated by GRADE. This review was registered in PROSPERO (</w:t>
      </w:r>
      <w:r w:rsidRPr="005B1792">
        <w:rPr>
          <w:rFonts w:ascii="Times" w:hAnsi="Times" w:cs="Times"/>
          <w:szCs w:val="20"/>
        </w:rPr>
        <w:t>CRD42021230784).</w:t>
      </w:r>
      <w:r w:rsidRPr="005B1792">
        <w:rPr>
          <w:rFonts w:ascii="Times" w:hAnsi="Times" w:cs="Times"/>
        </w:rPr>
        <w:t xml:space="preserve"> We identified 30 articles, which included 45 environmental risk/protective factors (154594 cases, 7302273 population) and 9 biomarkers (2018 cases, 16757 population). </w:t>
      </w:r>
      <w:r w:rsidRPr="005B1792">
        <w:rPr>
          <w:rFonts w:ascii="Times" w:hAnsi="Times" w:cs="Times" w:hint="eastAsia"/>
        </w:rPr>
        <w:t>The credibility</w:t>
      </w:r>
      <w:r w:rsidRPr="005B1792">
        <w:rPr>
          <w:rFonts w:ascii="Times" w:hAnsi="Times" w:cs="Times"/>
        </w:rPr>
        <w:t xml:space="preserve"> of evidence was convincing (class I) for antenatal anxiety (OR 2.49, 1.91-3.25) and psychological violence (OR 1.93, 1.54-2.42); and highly suggestive (class II) for intimate partner violence experience (OR 2.86, 2.12-3.87), intimate partner violence during pregnancy (RR 2.81, 2.11-3.74), smoking during pregnancy (OR 2.39, 1.78-3.2), history of premenstrual syndrome (OR 2.2, 1.81-2.68), any type of violence experience (OR 2.04, 1.72-2.41), primiparity compared to multiparity (RR 1.76, 1.59-1.96), and unintended pregnancy (OR 1.53, 1.35-1.75).</w:t>
      </w:r>
    </w:p>
    <w:p w14:paraId="6C1A8F3E" w14:textId="77777777" w:rsidR="00942FBB" w:rsidRPr="005B1792" w:rsidRDefault="00942FBB" w:rsidP="00CC2480">
      <w:pPr>
        <w:widowControl/>
        <w:wordWrap/>
        <w:autoSpaceDE/>
        <w:autoSpaceDN/>
        <w:spacing w:line="360" w:lineRule="auto"/>
        <w:rPr>
          <w:rFonts w:ascii="Times" w:hAnsi="Times" w:cs="Times"/>
          <w:b/>
          <w:bCs/>
        </w:rPr>
      </w:pPr>
    </w:p>
    <w:p w14:paraId="51F63D33" w14:textId="77777777" w:rsidR="00942FBB" w:rsidRPr="005B1792" w:rsidRDefault="00942FBB" w:rsidP="00CC2480">
      <w:pPr>
        <w:widowControl/>
        <w:wordWrap/>
        <w:autoSpaceDE/>
        <w:autoSpaceDN/>
        <w:spacing w:line="360" w:lineRule="auto"/>
        <w:rPr>
          <w:rFonts w:ascii="Times" w:hAnsi="Times" w:cs="Times"/>
          <w:b/>
          <w:bCs/>
          <w:szCs w:val="20"/>
        </w:rPr>
      </w:pPr>
      <w:r w:rsidRPr="005B1792">
        <w:rPr>
          <w:rFonts w:ascii="Times" w:hAnsi="Times" w:cs="Times"/>
          <w:b/>
          <w:bCs/>
          <w:szCs w:val="20"/>
        </w:rPr>
        <w:t>Keywords</w:t>
      </w:r>
    </w:p>
    <w:p w14:paraId="6E96BB25" w14:textId="77777777" w:rsidR="00942FBB" w:rsidRPr="005B1792" w:rsidRDefault="00942FBB" w:rsidP="00CC2480">
      <w:pPr>
        <w:pStyle w:val="ListParagraph"/>
        <w:widowControl/>
        <w:numPr>
          <w:ilvl w:val="0"/>
          <w:numId w:val="1"/>
        </w:numPr>
        <w:wordWrap/>
        <w:autoSpaceDE/>
        <w:autoSpaceDN/>
        <w:spacing w:line="360" w:lineRule="auto"/>
        <w:ind w:leftChars="0"/>
        <w:rPr>
          <w:rFonts w:ascii="Times" w:hAnsi="Times" w:cs="Times"/>
          <w:szCs w:val="20"/>
        </w:rPr>
      </w:pPr>
      <w:r w:rsidRPr="005B1792">
        <w:rPr>
          <w:rFonts w:ascii="Times" w:hAnsi="Times" w:cs="Times"/>
          <w:szCs w:val="20"/>
        </w:rPr>
        <w:t>Postpartum depressive symptoms</w:t>
      </w:r>
    </w:p>
    <w:p w14:paraId="279670AE" w14:textId="77777777" w:rsidR="00942FBB" w:rsidRPr="005B1792" w:rsidRDefault="00942FBB" w:rsidP="00CC2480">
      <w:pPr>
        <w:pStyle w:val="ListParagraph"/>
        <w:widowControl/>
        <w:numPr>
          <w:ilvl w:val="0"/>
          <w:numId w:val="1"/>
        </w:numPr>
        <w:wordWrap/>
        <w:autoSpaceDE/>
        <w:autoSpaceDN/>
        <w:spacing w:line="360" w:lineRule="auto"/>
        <w:ind w:leftChars="0"/>
        <w:rPr>
          <w:rFonts w:ascii="Times" w:hAnsi="Times" w:cs="Times"/>
          <w:szCs w:val="20"/>
        </w:rPr>
      </w:pPr>
      <w:r w:rsidRPr="005B1792">
        <w:rPr>
          <w:rFonts w:ascii="Times" w:hAnsi="Times" w:cs="Times"/>
          <w:szCs w:val="20"/>
        </w:rPr>
        <w:t>Environmental risk and protective factors</w:t>
      </w:r>
    </w:p>
    <w:p w14:paraId="516D8EF6" w14:textId="77777777" w:rsidR="00942FBB" w:rsidRPr="005B1792" w:rsidRDefault="00942FBB" w:rsidP="00CC2480">
      <w:pPr>
        <w:pStyle w:val="ListParagraph"/>
        <w:widowControl/>
        <w:numPr>
          <w:ilvl w:val="0"/>
          <w:numId w:val="1"/>
        </w:numPr>
        <w:wordWrap/>
        <w:autoSpaceDE/>
        <w:autoSpaceDN/>
        <w:spacing w:line="360" w:lineRule="auto"/>
        <w:ind w:leftChars="0"/>
        <w:rPr>
          <w:rFonts w:ascii="Times" w:hAnsi="Times" w:cs="Times"/>
          <w:szCs w:val="20"/>
        </w:rPr>
      </w:pPr>
      <w:r w:rsidRPr="005B1792">
        <w:rPr>
          <w:rFonts w:ascii="Times" w:hAnsi="Times" w:cs="Times"/>
          <w:szCs w:val="20"/>
        </w:rPr>
        <w:t>Biomarkers</w:t>
      </w:r>
    </w:p>
    <w:p w14:paraId="731265B4" w14:textId="77777777" w:rsidR="00942FBB" w:rsidRPr="005B1792" w:rsidRDefault="00942FBB" w:rsidP="00CC2480">
      <w:pPr>
        <w:pStyle w:val="ListParagraph"/>
        <w:widowControl/>
        <w:numPr>
          <w:ilvl w:val="0"/>
          <w:numId w:val="1"/>
        </w:numPr>
        <w:wordWrap/>
        <w:autoSpaceDE/>
        <w:autoSpaceDN/>
        <w:spacing w:line="360" w:lineRule="auto"/>
        <w:ind w:leftChars="0"/>
        <w:rPr>
          <w:rFonts w:ascii="Times" w:hAnsi="Times" w:cs="Times"/>
          <w:szCs w:val="20"/>
        </w:rPr>
      </w:pPr>
      <w:r w:rsidRPr="005B1792">
        <w:rPr>
          <w:rFonts w:ascii="Times" w:hAnsi="Times" w:cs="Times"/>
          <w:szCs w:val="20"/>
        </w:rPr>
        <w:t>Umbrella review</w:t>
      </w:r>
    </w:p>
    <w:p w14:paraId="23D4B1A3" w14:textId="77777777" w:rsidR="00942FBB" w:rsidRPr="005B1792" w:rsidRDefault="00942FBB" w:rsidP="00CC2480">
      <w:pPr>
        <w:widowControl/>
        <w:wordWrap/>
        <w:autoSpaceDE/>
        <w:autoSpaceDN/>
        <w:spacing w:line="360" w:lineRule="auto"/>
        <w:rPr>
          <w:rFonts w:ascii="Times" w:hAnsi="Times" w:cs="Times"/>
          <w:b/>
          <w:bCs/>
        </w:rPr>
      </w:pPr>
      <w:r w:rsidRPr="005B1792">
        <w:rPr>
          <w:rFonts w:ascii="Times" w:hAnsi="Times" w:cs="Times"/>
          <w:b/>
          <w:bCs/>
        </w:rPr>
        <w:br w:type="page"/>
      </w:r>
    </w:p>
    <w:p w14:paraId="31AF8ECF" w14:textId="77777777" w:rsidR="00942FBB" w:rsidRPr="005B1792" w:rsidRDefault="00942FBB" w:rsidP="00CC2480">
      <w:pPr>
        <w:widowControl/>
        <w:wordWrap/>
        <w:autoSpaceDE/>
        <w:autoSpaceDN/>
        <w:spacing w:line="360" w:lineRule="auto"/>
        <w:rPr>
          <w:rFonts w:ascii="Times" w:hAnsi="Times" w:cs="Times"/>
          <w:b/>
          <w:bCs/>
          <w:szCs w:val="20"/>
        </w:rPr>
      </w:pPr>
      <w:r w:rsidRPr="005B1792">
        <w:rPr>
          <w:rFonts w:ascii="Times" w:hAnsi="Times" w:cs="Times"/>
          <w:b/>
          <w:bCs/>
          <w:szCs w:val="20"/>
        </w:rPr>
        <w:lastRenderedPageBreak/>
        <w:t>Main text</w:t>
      </w:r>
    </w:p>
    <w:p w14:paraId="370677D0" w14:textId="77777777" w:rsidR="00942FBB" w:rsidRPr="005B1792" w:rsidRDefault="00942FBB" w:rsidP="00CC2480">
      <w:pPr>
        <w:widowControl/>
        <w:wordWrap/>
        <w:autoSpaceDE/>
        <w:autoSpaceDN/>
        <w:spacing w:line="360" w:lineRule="auto"/>
        <w:rPr>
          <w:rFonts w:ascii="Times" w:hAnsi="Times" w:cs="Times"/>
          <w:b/>
          <w:bCs/>
          <w:szCs w:val="20"/>
        </w:rPr>
      </w:pPr>
      <w:r w:rsidRPr="005B1792">
        <w:rPr>
          <w:rFonts w:ascii="Times" w:hAnsi="Times" w:cs="Times"/>
          <w:b/>
          <w:bCs/>
          <w:szCs w:val="20"/>
        </w:rPr>
        <w:t>1. Introduction</w:t>
      </w:r>
    </w:p>
    <w:p w14:paraId="0E2F2D86" w14:textId="0B306F65" w:rsidR="00942FBB" w:rsidRPr="005B1792" w:rsidRDefault="00942FBB" w:rsidP="00CC2480">
      <w:pPr>
        <w:widowControl/>
        <w:wordWrap/>
        <w:autoSpaceDE/>
        <w:autoSpaceDN/>
        <w:spacing w:line="360" w:lineRule="auto"/>
        <w:rPr>
          <w:rFonts w:ascii="Times" w:hAnsi="Times" w:cs="Times"/>
          <w:szCs w:val="20"/>
        </w:rPr>
      </w:pPr>
      <w:r w:rsidRPr="005B1792">
        <w:rPr>
          <w:rFonts w:ascii="Times" w:hAnsi="Times" w:cs="Times"/>
          <w:szCs w:val="20"/>
        </w:rPr>
        <w:t xml:space="preserve">  Postpartum depression is defined as a major depressive episode occurring within four weeks after delivery, which is encompassed by the “with peripartum onset” specifier in the DSM-5. In the eleventh revision of the ICD, postpartum depression is included in “mental or behavioral disorders associated with pregnancy, childbirth or the puerperium.” In the clinical and research settings, however, postpartum depression is typically defined as the presence of depressive symptoms occurring up to 12 months after birth rather than the DSM or ICD definition </w:t>
      </w:r>
      <w:r w:rsidRPr="005B1792">
        <w:rPr>
          <w:rFonts w:ascii="Times" w:hAnsi="Times" w:cs="Times"/>
          <w:noProof/>
          <w:szCs w:val="20"/>
        </w:rPr>
        <w:t>(Stewart and Vigod, 2016)</w:t>
      </w:r>
      <w:r w:rsidRPr="005B1792">
        <w:rPr>
          <w:rFonts w:ascii="Times" w:hAnsi="Times" w:cs="Times"/>
          <w:szCs w:val="20"/>
        </w:rPr>
        <w:t>. As one of the most common complications of pregnancy, the prevalence of postpartum depression is estimated to be approximately 9</w:t>
      </w:r>
      <w:r w:rsidRPr="005B1792">
        <w:rPr>
          <w:rFonts w:ascii="Times" w:hAnsi="Times" w:cs="Times"/>
        </w:rPr>
        <w:t>.</w:t>
      </w:r>
      <w:r w:rsidRPr="005B1792">
        <w:rPr>
          <w:rFonts w:ascii="Times" w:hAnsi="Times" w:cs="Times"/>
          <w:szCs w:val="20"/>
        </w:rPr>
        <w:t>2-19</w:t>
      </w:r>
      <w:r w:rsidRPr="005B1792">
        <w:rPr>
          <w:rFonts w:ascii="Times" w:hAnsi="Times" w:cs="Times"/>
        </w:rPr>
        <w:t>.</w:t>
      </w:r>
      <w:r w:rsidRPr="005B1792">
        <w:rPr>
          <w:rFonts w:ascii="Times" w:hAnsi="Times" w:cs="Times"/>
          <w:szCs w:val="20"/>
        </w:rPr>
        <w:t xml:space="preserve">2% </w:t>
      </w:r>
      <w:r w:rsidRPr="005B1792">
        <w:rPr>
          <w:rFonts w:ascii="Times" w:hAnsi="Times" w:cs="Times"/>
          <w:noProof/>
          <w:szCs w:val="20"/>
        </w:rPr>
        <w:t>(Banti et al., 2011; Gavin et al., 2005)</w:t>
      </w:r>
      <w:r w:rsidRPr="005B1792">
        <w:rPr>
          <w:rFonts w:ascii="Times" w:hAnsi="Times" w:cs="Times"/>
          <w:szCs w:val="20"/>
        </w:rPr>
        <w:t xml:space="preserve">, with variability arising from different diagnostic criteria and population-specific factors </w:t>
      </w:r>
      <w:r w:rsidRPr="005B1792">
        <w:rPr>
          <w:rFonts w:ascii="Times" w:hAnsi="Times" w:cs="Times"/>
          <w:noProof/>
          <w:szCs w:val="20"/>
        </w:rPr>
        <w:t>(O'Hara and McCabe, 2013)</w:t>
      </w:r>
      <w:r w:rsidRPr="005B1792">
        <w:rPr>
          <w:rFonts w:ascii="Times" w:hAnsi="Times" w:cs="Times"/>
          <w:szCs w:val="20"/>
        </w:rPr>
        <w:t xml:space="preserve">. The disorder has a profound impact on the quality and function of the mother's life </w:t>
      </w:r>
      <w:r w:rsidRPr="005B1792">
        <w:rPr>
          <w:rFonts w:ascii="Times" w:hAnsi="Times" w:cs="Times"/>
          <w:noProof/>
          <w:szCs w:val="20"/>
        </w:rPr>
        <w:t>(Field, 2010; Salmela-Aro et al., 2001)</w:t>
      </w:r>
      <w:r w:rsidRPr="005B1792">
        <w:rPr>
          <w:rFonts w:ascii="Times" w:hAnsi="Times" w:cs="Times"/>
          <w:szCs w:val="20"/>
        </w:rPr>
        <w:t xml:space="preserve">, affecting her children's behavior, cognitive development, and physical health </w:t>
      </w:r>
      <w:r w:rsidRPr="005B1792">
        <w:rPr>
          <w:rFonts w:ascii="Times" w:hAnsi="Times" w:cs="Times"/>
          <w:noProof/>
          <w:szCs w:val="20"/>
        </w:rPr>
        <w:t>(Goodman et al., 2011; Gump et al., 2009)</w:t>
      </w:r>
      <w:r w:rsidRPr="005B1792">
        <w:rPr>
          <w:rFonts w:ascii="Times" w:hAnsi="Times" w:cs="Times"/>
          <w:szCs w:val="20"/>
        </w:rPr>
        <w:t xml:space="preserve"> and can lead to potentially fatal consequences for both the </w:t>
      </w:r>
      <w:r w:rsidRPr="005B1792">
        <w:rPr>
          <w:rFonts w:ascii="Times" w:hAnsi="Times" w:cs="Times" w:hint="eastAsia"/>
          <w:szCs w:val="20"/>
        </w:rPr>
        <w:t>mother</w:t>
      </w:r>
      <w:r w:rsidRPr="005B1792">
        <w:rPr>
          <w:rFonts w:ascii="Times" w:hAnsi="Times" w:cs="Times"/>
          <w:szCs w:val="20"/>
        </w:rPr>
        <w:t xml:space="preserve"> and her children </w:t>
      </w:r>
      <w:r w:rsidRPr="005B1792">
        <w:rPr>
          <w:rFonts w:ascii="Times" w:hAnsi="Times" w:cs="Times"/>
          <w:noProof/>
          <w:szCs w:val="20"/>
        </w:rPr>
        <w:t>(Gressier et al., 2017; Pearson et al., 2013).</w:t>
      </w:r>
    </w:p>
    <w:p w14:paraId="5E02EC4C" w14:textId="14D5BD42" w:rsidR="00942FBB" w:rsidRPr="005B1792" w:rsidRDefault="00942FBB" w:rsidP="00BC24ED">
      <w:pPr>
        <w:widowControl/>
        <w:wordWrap/>
        <w:autoSpaceDE/>
        <w:autoSpaceDN/>
        <w:spacing w:line="360" w:lineRule="auto"/>
        <w:ind w:firstLine="195"/>
        <w:rPr>
          <w:rFonts w:ascii="Times" w:hAnsi="Times" w:cs="Times"/>
          <w:szCs w:val="20"/>
        </w:rPr>
      </w:pPr>
      <w:r w:rsidRPr="005B1792">
        <w:rPr>
          <w:rFonts w:ascii="Times" w:hAnsi="Times" w:cs="Times"/>
          <w:szCs w:val="20"/>
        </w:rPr>
        <w:t xml:space="preserve">Because of this high personal, clinical, and societal burden of postpartum depression, preventive approaches have been investigated. Understanding risk and protective factors associated with postpartum depression is a prerequisite to </w:t>
      </w:r>
      <w:r w:rsidRPr="005B1792">
        <w:rPr>
          <w:rFonts w:ascii="Times" w:hAnsi="Times" w:cs="Times" w:hint="eastAsia"/>
          <w:szCs w:val="20"/>
        </w:rPr>
        <w:t>advancing</w:t>
      </w:r>
      <w:r w:rsidRPr="005B1792">
        <w:rPr>
          <w:rFonts w:ascii="Times" w:hAnsi="Times" w:cs="Times"/>
          <w:szCs w:val="20"/>
        </w:rPr>
        <w:t xml:space="preserve"> preventive care </w:t>
      </w:r>
      <w:r w:rsidRPr="005B1792">
        <w:rPr>
          <w:rFonts w:ascii="Times" w:hAnsi="Times" w:cs="Times"/>
          <w:noProof/>
          <w:szCs w:val="20"/>
        </w:rPr>
        <w:t>(Jones, 2021)</w:t>
      </w:r>
      <w:r w:rsidRPr="005B1792">
        <w:rPr>
          <w:rFonts w:ascii="Times" w:hAnsi="Times" w:cs="Times"/>
          <w:szCs w:val="20"/>
        </w:rPr>
        <w:t xml:space="preserve">. Accordingly, numerous primary studies have explored genetic and environmental factors, as well as biomarkers that might reflect their effects, showing that postpartum depression is caused by a complex interaction of genetic predispositions and environmental factors </w:t>
      </w:r>
      <w:r w:rsidRPr="005B1792">
        <w:rPr>
          <w:rFonts w:ascii="Times" w:hAnsi="Times" w:cs="Times"/>
          <w:noProof/>
          <w:szCs w:val="20"/>
        </w:rPr>
        <w:t>(Mahon et al., 2009; Payne and Maguire, 2019; Robertson et al., 2004; Segman et al., 2010)</w:t>
      </w:r>
      <w:r w:rsidRPr="005B1792">
        <w:rPr>
          <w:rFonts w:ascii="Times" w:hAnsi="Times" w:cs="Times"/>
          <w:szCs w:val="20"/>
        </w:rPr>
        <w:t xml:space="preserve">. Although these studies have been summarized by meta-analyses, these are typically restricted to a single factor and do not carefully examine important biases including publication bias or reporting bias </w:t>
      </w:r>
      <w:r w:rsidRPr="005B1792">
        <w:rPr>
          <w:rFonts w:ascii="Times" w:hAnsi="Times" w:cs="Times"/>
          <w:noProof/>
          <w:szCs w:val="20"/>
        </w:rPr>
        <w:t>(Ioannidis, 2005, 2008)</w:t>
      </w:r>
      <w:r w:rsidRPr="005B1792">
        <w:rPr>
          <w:rFonts w:ascii="Times" w:hAnsi="Times" w:cs="Times"/>
          <w:szCs w:val="20"/>
        </w:rPr>
        <w:t>. Therefore, the consistency and magnitude of environmental factors or biomarkers associated with postpartum depression are undetermined. Meanwhile, given that most previous studies used questionnaires such as the Edinburgh Postnatal Depression Scale (EPDS) rather than the DSM or ICD diagnosis, it would be more accurate to note that they investigated postpartum depressive ‘symptoms’ rather than ‘disorder.’</w:t>
      </w:r>
      <w:r w:rsidRPr="005B1792">
        <w:rPr>
          <w:rFonts w:ascii="Times" w:hAnsi="Times" w:cs="Times" w:hint="eastAsia"/>
          <w:szCs w:val="20"/>
        </w:rPr>
        <w:t xml:space="preserve"> </w:t>
      </w:r>
      <w:r w:rsidRPr="005B1792">
        <w:rPr>
          <w:rFonts w:ascii="Times" w:hAnsi="Times" w:cs="Times"/>
          <w:szCs w:val="20"/>
        </w:rPr>
        <w:t xml:space="preserve">Moreover, some previous meta-analyses included less objective diagnostic methods such as self-reports or set too liberal cutoffs for determining postpartum depressive symptoms, which may have resulted in potential false positives and exaggerated effects. In this regard, this umbrella review aimed to </w:t>
      </w:r>
      <w:r w:rsidRPr="005B1792">
        <w:rPr>
          <w:rFonts w:ascii="Times" w:hAnsi="Times" w:cs="Times" w:hint="eastAsia"/>
          <w:szCs w:val="20"/>
        </w:rPr>
        <w:t>provide</w:t>
      </w:r>
      <w:r w:rsidRPr="005B1792">
        <w:rPr>
          <w:rFonts w:ascii="Times" w:hAnsi="Times" w:cs="Times"/>
          <w:szCs w:val="20"/>
        </w:rPr>
        <w:t xml:space="preserve"> a bird's eye view on environmental risk factors, protective factors, and biomarkers for postpartum depressive symptoms by applying the state-of-the-art hierarchical system and presenting detailed underlying mechanisms.</w:t>
      </w:r>
    </w:p>
    <w:p w14:paraId="5ABE5BF0" w14:textId="77777777" w:rsidR="00942FBB" w:rsidRPr="005B1792" w:rsidRDefault="00942FBB" w:rsidP="00CC2480">
      <w:pPr>
        <w:widowControl/>
        <w:wordWrap/>
        <w:autoSpaceDE/>
        <w:autoSpaceDN/>
        <w:spacing w:line="360" w:lineRule="auto"/>
        <w:rPr>
          <w:rFonts w:ascii="Times" w:hAnsi="Times" w:cs="Times"/>
          <w:b/>
          <w:bCs/>
          <w:szCs w:val="20"/>
        </w:rPr>
      </w:pPr>
      <w:r w:rsidRPr="005B1792">
        <w:rPr>
          <w:rFonts w:ascii="Times" w:hAnsi="Times" w:cs="Times"/>
          <w:b/>
          <w:bCs/>
          <w:szCs w:val="20"/>
        </w:rPr>
        <w:t>2. Methods</w:t>
      </w:r>
    </w:p>
    <w:p w14:paraId="53D9DB61" w14:textId="77777777" w:rsidR="00942FBB" w:rsidRPr="005B1792" w:rsidRDefault="00942FBB" w:rsidP="00CC2480">
      <w:pPr>
        <w:spacing w:line="360" w:lineRule="auto"/>
        <w:rPr>
          <w:rFonts w:ascii="Times" w:hAnsi="Times" w:cs="Times"/>
          <w:i/>
          <w:iCs/>
          <w:szCs w:val="20"/>
        </w:rPr>
      </w:pPr>
      <w:r w:rsidRPr="005B1792">
        <w:rPr>
          <w:rFonts w:ascii="Times" w:hAnsi="Times" w:cs="Times"/>
          <w:i/>
          <w:iCs/>
          <w:szCs w:val="20"/>
        </w:rPr>
        <w:t>2.1. Protocol, registration, and study design</w:t>
      </w:r>
    </w:p>
    <w:p w14:paraId="67C2063B" w14:textId="59D5E0FB" w:rsidR="00942FBB" w:rsidRPr="005B1792" w:rsidRDefault="00942FBB" w:rsidP="00CC2480">
      <w:pPr>
        <w:spacing w:line="360" w:lineRule="auto"/>
        <w:rPr>
          <w:rFonts w:ascii="Times" w:hAnsi="Times" w:cs="Times"/>
          <w:szCs w:val="20"/>
        </w:rPr>
      </w:pPr>
      <w:r w:rsidRPr="005B1792">
        <w:rPr>
          <w:rFonts w:ascii="Times" w:hAnsi="Times" w:cs="Times"/>
          <w:szCs w:val="20"/>
        </w:rPr>
        <w:t xml:space="preserve">  We performed an umbrella review of systematic reviews and meta-analyses in compliance with the updated PRISMA guidelines (Appendix pp 5-7) </w:t>
      </w:r>
      <w:r w:rsidRPr="005B1792">
        <w:rPr>
          <w:rFonts w:ascii="Times" w:hAnsi="Times" w:cs="Times"/>
          <w:noProof/>
          <w:szCs w:val="20"/>
        </w:rPr>
        <w:t>(Page et al., 2021)</w:t>
      </w:r>
      <w:r w:rsidRPr="005B1792">
        <w:rPr>
          <w:rFonts w:ascii="Times" w:hAnsi="Times" w:cs="Times"/>
          <w:szCs w:val="20"/>
        </w:rPr>
        <w:t xml:space="preserve">. This review is registered with PROSPERO, number </w:t>
      </w:r>
      <w:r w:rsidRPr="005B1792">
        <w:rPr>
          <w:rFonts w:ascii="Times" w:hAnsi="Times" w:cs="Times"/>
          <w:szCs w:val="20"/>
        </w:rPr>
        <w:lastRenderedPageBreak/>
        <w:t>CRD42021230784, which is available online. The screening process, data extraction, and methodological appraisal of eligible articles were conducted independently by two investigators (JHK and SL), and any disagreement was resolved through discussion among four authors (JHK, JYK, SL, and JIS).</w:t>
      </w:r>
    </w:p>
    <w:p w14:paraId="1975F827" w14:textId="77777777" w:rsidR="00942FBB" w:rsidRPr="005B1792" w:rsidRDefault="00942FBB" w:rsidP="00CC2480">
      <w:pPr>
        <w:spacing w:line="360" w:lineRule="auto"/>
        <w:rPr>
          <w:rFonts w:ascii="Times" w:hAnsi="Times" w:cs="Times"/>
          <w:i/>
          <w:iCs/>
          <w:szCs w:val="20"/>
        </w:rPr>
      </w:pPr>
      <w:r w:rsidRPr="005B1792">
        <w:rPr>
          <w:rFonts w:ascii="Times" w:hAnsi="Times" w:cs="Times"/>
          <w:i/>
          <w:iCs/>
          <w:szCs w:val="20"/>
        </w:rPr>
        <w:t>2.2. Search strategy and eligibility criteria</w:t>
      </w:r>
    </w:p>
    <w:p w14:paraId="5DBDA72A" w14:textId="721F2C3E" w:rsidR="00942FBB" w:rsidRPr="005B1792" w:rsidRDefault="00942FBB" w:rsidP="00CC2480">
      <w:pPr>
        <w:spacing w:line="360" w:lineRule="auto"/>
        <w:rPr>
          <w:rFonts w:ascii="Times" w:hAnsi="Times" w:cs="Times"/>
          <w:szCs w:val="20"/>
        </w:rPr>
      </w:pPr>
      <w:r w:rsidRPr="005B1792">
        <w:rPr>
          <w:rFonts w:ascii="Times" w:hAnsi="Times" w:cs="Times"/>
          <w:szCs w:val="20"/>
        </w:rPr>
        <w:t xml:space="preserve">  We systematically searched PubMed, Embase, and the Cochrane Database of Systematic Reviews from database inception to Jan 12, 2021, without any language restrictions. We used predetermined search terms including "postpartum", "depress*", and "meta-analysis", and full search strategies for each database are presented in appendix p 8. To find eligible articles among the searched articles, each investigator screened titles, abstracts, and full texts in order. We also manually searched the references of relevant articles (Figure 1).</w:t>
      </w:r>
    </w:p>
    <w:p w14:paraId="4FC2DC89" w14:textId="100680F2" w:rsidR="00942FBB" w:rsidRPr="005B1792" w:rsidRDefault="00942FBB" w:rsidP="00CC2480">
      <w:pPr>
        <w:spacing w:line="360" w:lineRule="auto"/>
        <w:rPr>
          <w:rFonts w:ascii="Times" w:hAnsi="Times" w:cs="Times"/>
          <w:szCs w:val="20"/>
        </w:rPr>
      </w:pPr>
      <w:r w:rsidRPr="005B1792">
        <w:rPr>
          <w:rFonts w:ascii="Times" w:hAnsi="Times" w:cs="Times"/>
          <w:szCs w:val="20"/>
        </w:rPr>
        <w:t xml:space="preserve">  We included systematic reviews providing meta-analyses that examined associations between postpartum depressive symptoms and environmental risk factors, protective factors, or biomarkers. The definitions of environmental risk factor, protective factor, and biomarker are presented in appendix p 9. Since most meta-analyses used questionnaires such as the EPDS rather than DSM or ICD criteria, we investigated ‘postpartum depressive symptoms’ that occurred within 12 months after childbirth. We included studies that used the validated diagnostic methods for determining postpartum depressive symptoms including not only DSM (any edition), ICD (any edition), and medical records but also EPDS, the Center for Epidemiologic Studies Depression scale (CES-D), Beck Depression Inventory (BDI), etc.</w:t>
      </w:r>
    </w:p>
    <w:p w14:paraId="01934B4A" w14:textId="77777777" w:rsidR="00942FBB" w:rsidRPr="005B1792" w:rsidRDefault="00942FBB" w:rsidP="00CC2480">
      <w:pPr>
        <w:spacing w:line="360" w:lineRule="auto"/>
        <w:rPr>
          <w:rFonts w:ascii="Times" w:hAnsi="Times" w:cs="Times"/>
          <w:szCs w:val="20"/>
        </w:rPr>
      </w:pPr>
      <w:r w:rsidRPr="005B1792">
        <w:rPr>
          <w:rFonts w:ascii="Times" w:hAnsi="Times" w:cs="Times"/>
          <w:szCs w:val="20"/>
        </w:rPr>
        <w:t xml:space="preserve">  We excluded articles that did not study environmental risk factors, protective factors, or biomarkers for postpartum depressive symptoms; articles that did not provide meta-analyses; articles that did not provide sufficient data for the re-analysis of a meta-analysis (i.e., individual study estimates or the data to calculate them). We also excluded non-human studies, purely genetic studies, primary studies, and conference abstracts. If more than one meta-analysis covered the same topic, we prioritized the one with the largest number of individual studies, then the most recent one, and lastly, the one with the largest number of cases with postpartum depressive symptoms. The list of articles excluded at the full-text screening stage is presented in appendix pp 13-18.</w:t>
      </w:r>
    </w:p>
    <w:p w14:paraId="0ABC0F5B" w14:textId="77777777" w:rsidR="00942FBB" w:rsidRPr="005B1792" w:rsidRDefault="00942FBB" w:rsidP="00CC2480">
      <w:pPr>
        <w:spacing w:line="360" w:lineRule="auto"/>
        <w:rPr>
          <w:rFonts w:ascii="Times" w:hAnsi="Times" w:cs="Times"/>
          <w:i/>
          <w:iCs/>
          <w:szCs w:val="20"/>
        </w:rPr>
      </w:pPr>
      <w:r w:rsidRPr="005B1792">
        <w:rPr>
          <w:rFonts w:ascii="Times" w:hAnsi="Times" w:cs="Times"/>
          <w:i/>
          <w:iCs/>
          <w:szCs w:val="20"/>
        </w:rPr>
        <w:t>2.3. Data extraction</w:t>
      </w:r>
    </w:p>
    <w:p w14:paraId="6BA5D5BF" w14:textId="77777777" w:rsidR="00942FBB" w:rsidRPr="005B1792" w:rsidRDefault="00942FBB" w:rsidP="00CC2480">
      <w:pPr>
        <w:spacing w:line="360" w:lineRule="auto"/>
        <w:rPr>
          <w:rFonts w:ascii="Times" w:hAnsi="Times" w:cs="Times"/>
          <w:szCs w:val="20"/>
        </w:rPr>
      </w:pPr>
      <w:r w:rsidRPr="005B1792">
        <w:rPr>
          <w:rFonts w:ascii="Times" w:hAnsi="Times" w:cs="Times"/>
          <w:szCs w:val="20"/>
        </w:rPr>
        <w:t xml:space="preserve">  From each eligible meta-analysis, we extracted the following data: the names of the authors; publication year; environmental risk factors, protective factors, or biomarkers; operationalization of depressive symptoms and applied cutoff for each individual study if available; number of cases with postpartum depressive symptoms and total study population; maximally adjusted individual study estimates and corresponding 95% confidence intervals (95% CIs); metrics used in the original analyses (e.g. odds ratio [OR], relative risk [RR], Hedge’s g); and study designs of individual studies (e.g. cohort, case-control, cross-sectional).</w:t>
      </w:r>
    </w:p>
    <w:p w14:paraId="5405F4DD" w14:textId="77777777" w:rsidR="00942FBB" w:rsidRPr="005B1792" w:rsidRDefault="00942FBB" w:rsidP="00CC2480">
      <w:pPr>
        <w:spacing w:line="360" w:lineRule="auto"/>
        <w:rPr>
          <w:rFonts w:ascii="Times" w:hAnsi="Times" w:cs="Times"/>
          <w:i/>
          <w:iCs/>
          <w:szCs w:val="20"/>
        </w:rPr>
      </w:pPr>
      <w:r w:rsidRPr="005B1792">
        <w:rPr>
          <w:rFonts w:ascii="Times" w:hAnsi="Times" w:cs="Times"/>
          <w:i/>
          <w:iCs/>
          <w:szCs w:val="20"/>
        </w:rPr>
        <w:t>2.4. Data analysis</w:t>
      </w:r>
    </w:p>
    <w:p w14:paraId="038F96E2" w14:textId="77777777" w:rsidR="00942FBB" w:rsidRPr="005B1792" w:rsidRDefault="00942FBB" w:rsidP="00CC2480">
      <w:pPr>
        <w:spacing w:line="360" w:lineRule="auto"/>
        <w:rPr>
          <w:rFonts w:ascii="Times" w:hAnsi="Times" w:cs="Times"/>
          <w:i/>
          <w:iCs/>
          <w:szCs w:val="20"/>
        </w:rPr>
      </w:pPr>
      <w:r w:rsidRPr="005B1792">
        <w:rPr>
          <w:rFonts w:ascii="Times" w:hAnsi="Times" w:cs="Times"/>
          <w:i/>
          <w:iCs/>
          <w:szCs w:val="20"/>
        </w:rPr>
        <w:t>2.4.1. Main data analysis</w:t>
      </w:r>
    </w:p>
    <w:p w14:paraId="369C125A" w14:textId="23AB6427" w:rsidR="00942FBB" w:rsidRPr="005B1792" w:rsidRDefault="00942FBB" w:rsidP="00E24B8B">
      <w:pPr>
        <w:spacing w:line="360" w:lineRule="auto"/>
        <w:ind w:firstLine="195"/>
        <w:rPr>
          <w:rFonts w:ascii="Times" w:hAnsi="Times" w:cs="Times"/>
          <w:szCs w:val="20"/>
        </w:rPr>
      </w:pPr>
      <w:r w:rsidRPr="005B1792">
        <w:rPr>
          <w:rFonts w:ascii="Times" w:hAnsi="Times" w:cs="Times"/>
          <w:szCs w:val="20"/>
        </w:rPr>
        <w:t xml:space="preserve">We conducted a series of statistical tests to examine the robustness and consistency of data in accordance with </w:t>
      </w:r>
      <w:r w:rsidRPr="005B1792">
        <w:rPr>
          <w:rFonts w:ascii="Times" w:hAnsi="Times" w:cs="Times"/>
          <w:szCs w:val="20"/>
        </w:rPr>
        <w:lastRenderedPageBreak/>
        <w:t xml:space="preserve">previous umbrella reviews </w:t>
      </w:r>
      <w:r w:rsidRPr="005B1792">
        <w:rPr>
          <w:rFonts w:ascii="Times" w:hAnsi="Times" w:cs="Times"/>
          <w:noProof/>
          <w:szCs w:val="20"/>
        </w:rPr>
        <w:t xml:space="preserve">(Belbasis et al., 2015; Bellou et al., 2017; Kim et al., 2020; Kim et al., 2019) </w:t>
      </w:r>
      <w:r w:rsidRPr="005B1792">
        <w:rPr>
          <w:rFonts w:ascii="Times" w:hAnsi="Times" w:cs="Times"/>
          <w:szCs w:val="20"/>
        </w:rPr>
        <w:t xml:space="preserve">and recent guidance for umbrella review </w:t>
      </w:r>
      <w:r w:rsidRPr="005B1792">
        <w:rPr>
          <w:rFonts w:ascii="Times" w:hAnsi="Times" w:cs="Times"/>
          <w:noProof/>
          <w:szCs w:val="20"/>
        </w:rPr>
        <w:t>(Fusar-Poli and Radua, 2018)</w:t>
      </w:r>
      <w:r w:rsidRPr="005B1792">
        <w:rPr>
          <w:rFonts w:ascii="Times" w:hAnsi="Times" w:cs="Times"/>
          <w:szCs w:val="20"/>
        </w:rPr>
        <w:t xml:space="preserve">. We re-analyzed each eligible meta-analysis based on extracted individual study estimates, using metrics used in the original meta-analysis. We calculated the summary effect estimate, corresponding 95% CI, and p values under both random and fixed effects models. We further assessed whether p values &lt; 0.001 or 0.000001 </w:t>
      </w:r>
      <w:r w:rsidRPr="005B1792">
        <w:rPr>
          <w:rFonts w:ascii="Times" w:hAnsi="Times" w:cs="Times"/>
          <w:noProof/>
          <w:szCs w:val="20"/>
        </w:rPr>
        <w:t>(Ioannidis et al., 2011; Sterne and Davey Smith, 2001)</w:t>
      </w:r>
      <w:r w:rsidRPr="005B1792">
        <w:rPr>
          <w:rFonts w:ascii="Times" w:hAnsi="Times" w:cs="Times"/>
          <w:szCs w:val="20"/>
        </w:rPr>
        <w:t xml:space="preserve">. To evaluate heterogeneity, we performed Cochran's Q test and calculated the </w:t>
      </w:r>
      <w:r w:rsidRPr="005B1792">
        <w:rPr>
          <w:rFonts w:ascii="Times" w:hAnsi="Times" w:cs="Times"/>
          <w:i/>
          <w:iCs/>
          <w:szCs w:val="20"/>
        </w:rPr>
        <w:t>I²</w:t>
      </w:r>
      <w:r w:rsidRPr="005B1792">
        <w:rPr>
          <w:rFonts w:ascii="Times" w:hAnsi="Times" w:cs="Times"/>
          <w:szCs w:val="20"/>
        </w:rPr>
        <w:t xml:space="preserve"> statistic (</w:t>
      </w:r>
      <w:r w:rsidRPr="005B1792">
        <w:rPr>
          <w:rFonts w:ascii="Times" w:hAnsi="Times" w:cs="Times"/>
          <w:i/>
          <w:iCs/>
          <w:szCs w:val="20"/>
        </w:rPr>
        <w:t>I²</w:t>
      </w:r>
      <w:r w:rsidRPr="005B1792">
        <w:rPr>
          <w:rFonts w:ascii="Times" w:hAnsi="Times" w:cs="Times"/>
          <w:szCs w:val="20"/>
        </w:rPr>
        <w:t xml:space="preserve"> &gt; 50% indicates high heterogeneity) </w:t>
      </w:r>
      <w:r w:rsidRPr="005B1792">
        <w:rPr>
          <w:rFonts w:ascii="Times" w:hAnsi="Times" w:cs="Times"/>
          <w:noProof/>
          <w:szCs w:val="20"/>
        </w:rPr>
        <w:t>(Cochran, 1954)</w:t>
      </w:r>
      <w:r w:rsidRPr="005B1792">
        <w:rPr>
          <w:rFonts w:ascii="Times" w:hAnsi="Times" w:cs="Times"/>
          <w:szCs w:val="20"/>
        </w:rPr>
        <w:t xml:space="preserve">. We assessed the existence of small study effects (i.e., larger studies have significantly more conservative results than smaller studies) with the regression asymmetry test proposed by Egger and colleagues </w:t>
      </w:r>
      <w:r w:rsidRPr="005B1792">
        <w:rPr>
          <w:rFonts w:ascii="Times" w:hAnsi="Times" w:cs="Times"/>
          <w:noProof/>
          <w:szCs w:val="20"/>
        </w:rPr>
        <w:t>(Egger et al., 1997)</w:t>
      </w:r>
      <w:r w:rsidRPr="005B1792">
        <w:rPr>
          <w:rFonts w:ascii="Times" w:hAnsi="Times" w:cs="Times"/>
          <w:szCs w:val="20"/>
        </w:rPr>
        <w:t xml:space="preserve">, and small study effects were noted at Egger p value &lt; 0.1. We estimated the 95% prediction interval, the range in which we expect the effect of association would lie for 95% of future studies </w:t>
      </w:r>
      <w:r w:rsidRPr="005B1792">
        <w:rPr>
          <w:rFonts w:ascii="Times" w:hAnsi="Times" w:cs="Times"/>
          <w:noProof/>
          <w:szCs w:val="20"/>
        </w:rPr>
        <w:t>(Higgins et al., 2009)</w:t>
      </w:r>
      <w:r w:rsidRPr="005B1792">
        <w:rPr>
          <w:rFonts w:ascii="Times" w:hAnsi="Times" w:cs="Times"/>
          <w:szCs w:val="20"/>
        </w:rPr>
        <w:t xml:space="preserve">. We performed p-curve analysis and assessed the distribution of statistically significant p values to detect publication bias or p-hacking among the individual studies </w:t>
      </w:r>
      <w:r w:rsidRPr="005B1792">
        <w:rPr>
          <w:rFonts w:ascii="Times" w:hAnsi="Times" w:cs="Times"/>
          <w:noProof/>
          <w:szCs w:val="20"/>
        </w:rPr>
        <w:t>(Simonsohn et al., 2014a, b)</w:t>
      </w:r>
      <w:r w:rsidRPr="005B1792">
        <w:rPr>
          <w:rFonts w:ascii="Times" w:hAnsi="Times" w:cs="Times"/>
          <w:szCs w:val="20"/>
        </w:rPr>
        <w:t>, and we denoted a set of individual studies to have evidential value when the possibility of selective reporting was ruled out (p value for the right-skewness test for the half curve &lt; 0</w:t>
      </w:r>
      <w:r w:rsidRPr="005B1792">
        <w:rPr>
          <w:rFonts w:ascii="Times" w:hAnsi="Times" w:cs="Times"/>
        </w:rPr>
        <w:t>.</w:t>
      </w:r>
      <w:r w:rsidRPr="005B1792">
        <w:rPr>
          <w:rFonts w:ascii="Times" w:hAnsi="Times" w:cs="Times"/>
          <w:szCs w:val="20"/>
        </w:rPr>
        <w:t>05 or p value for the right-skewness test &lt; 0</w:t>
      </w:r>
      <w:r w:rsidRPr="005B1792">
        <w:rPr>
          <w:rFonts w:ascii="Times" w:hAnsi="Times" w:cs="Times"/>
        </w:rPr>
        <w:t>.</w:t>
      </w:r>
      <w:r w:rsidRPr="005B1792">
        <w:rPr>
          <w:rFonts w:ascii="Times" w:hAnsi="Times" w:cs="Times"/>
          <w:szCs w:val="20"/>
        </w:rPr>
        <w:t xml:space="preserve">1 for both the half and full curve) </w:t>
      </w:r>
      <w:r w:rsidRPr="005B1792">
        <w:rPr>
          <w:rFonts w:ascii="Times" w:hAnsi="Times" w:cs="Times"/>
          <w:noProof/>
          <w:szCs w:val="20"/>
        </w:rPr>
        <w:t>(Simonsohn et al., 2014b)</w:t>
      </w:r>
      <w:r w:rsidRPr="005B1792">
        <w:rPr>
          <w:rFonts w:ascii="Times" w:hAnsi="Times" w:cs="Times"/>
          <w:szCs w:val="20"/>
        </w:rPr>
        <w:t xml:space="preserve">. We also performed random-effects meta-analyses under 5%, 10%, 15%, and 20% credibility ceilings to account for the potential methodological limitations of observational studies that might result in spurious significance </w:t>
      </w:r>
      <w:r w:rsidRPr="005B1792">
        <w:rPr>
          <w:rFonts w:ascii="Times" w:hAnsi="Times" w:cs="Times"/>
          <w:noProof/>
          <w:szCs w:val="20"/>
        </w:rPr>
        <w:t>(Papatheodorou et al., 2015; Salanti and Ioannidis, 2009)</w:t>
      </w:r>
      <w:r w:rsidRPr="005B1792">
        <w:rPr>
          <w:rFonts w:ascii="Times" w:hAnsi="Times" w:cs="Times"/>
          <w:szCs w:val="20"/>
        </w:rPr>
        <w:t xml:space="preserve">. </w:t>
      </w:r>
    </w:p>
    <w:p w14:paraId="1C78CDA8" w14:textId="41D7A621" w:rsidR="00942FBB" w:rsidRPr="005B1792" w:rsidRDefault="00942FBB" w:rsidP="00E24B8B">
      <w:pPr>
        <w:spacing w:line="360" w:lineRule="auto"/>
        <w:ind w:firstLine="195"/>
        <w:rPr>
          <w:rFonts w:ascii="Times" w:hAnsi="Times" w:cs="Times"/>
          <w:szCs w:val="20"/>
        </w:rPr>
      </w:pPr>
      <w:r w:rsidRPr="005B1792">
        <w:rPr>
          <w:rFonts w:ascii="Times" w:hAnsi="Times" w:cs="Times"/>
          <w:szCs w:val="20"/>
        </w:rPr>
        <w:t xml:space="preserve">The methodological quality of each eligible article was assessed using A Measurement Tool to Assess Systematic Reviews 2 </w:t>
      </w:r>
      <w:r w:rsidRPr="005B1792">
        <w:rPr>
          <w:rFonts w:ascii="Times" w:hAnsi="Times" w:cs="Times" w:hint="eastAsia"/>
          <w:szCs w:val="20"/>
        </w:rPr>
        <w:t>(</w:t>
      </w:r>
      <w:r w:rsidRPr="005B1792">
        <w:rPr>
          <w:rFonts w:ascii="Times" w:hAnsi="Times" w:cs="Times"/>
          <w:szCs w:val="20"/>
        </w:rPr>
        <w:t>AMSTAR 2) by two independent investigators (JHK and SL) and any disagreements were resolved by consensus</w:t>
      </w:r>
      <w:r w:rsidRPr="005B1792">
        <w:rPr>
          <w:rFonts w:ascii="Times" w:hAnsi="Times" w:cs="Times" w:hint="eastAsia"/>
          <w:szCs w:val="20"/>
        </w:rPr>
        <w:t xml:space="preserve"> </w:t>
      </w:r>
      <w:r w:rsidRPr="005B1792">
        <w:rPr>
          <w:rFonts w:ascii="Times" w:hAnsi="Times" w:cs="Times"/>
          <w:noProof/>
          <w:szCs w:val="20"/>
        </w:rPr>
        <w:t>(Shea et al., 2017)</w:t>
      </w:r>
      <w:r w:rsidRPr="005B1792">
        <w:rPr>
          <w:rFonts w:ascii="Times" w:hAnsi="Times" w:cs="Times"/>
          <w:szCs w:val="20"/>
        </w:rPr>
        <w:t>. The overall certainty of the estimate was evaluated based on the Grading of Recommendations, Assessment, Development, and Evaluations (GRADE) method by two authors (JHK and JYK), and any disagreements were resolved by consensus</w:t>
      </w:r>
      <w:r w:rsidRPr="005B1792">
        <w:rPr>
          <w:rFonts w:ascii="Times" w:hAnsi="Times" w:cs="Times" w:hint="eastAsia"/>
          <w:szCs w:val="20"/>
        </w:rPr>
        <w:t xml:space="preserve"> </w:t>
      </w:r>
      <w:r w:rsidRPr="005B1792">
        <w:rPr>
          <w:rFonts w:ascii="Times" w:hAnsi="Times" w:cs="Times"/>
          <w:noProof/>
          <w:szCs w:val="20"/>
        </w:rPr>
        <w:t>(Balshem et al., 2011)</w:t>
      </w:r>
      <w:r w:rsidRPr="005B1792">
        <w:rPr>
          <w:rFonts w:ascii="Times" w:hAnsi="Times" w:cs="Times"/>
          <w:szCs w:val="20"/>
        </w:rPr>
        <w:t>. Because all included individual studies were observational studies, the decision for the certainty of evidence started at 'low' and downgraded to 'very low' when at least one reason to downgrade was identified, while upgraded to 'moderate' when some reason was found to upgrade such as large effect size.</w:t>
      </w:r>
    </w:p>
    <w:p w14:paraId="1468C0FF" w14:textId="77777777" w:rsidR="00942FBB" w:rsidRPr="005B1792" w:rsidRDefault="00942FBB" w:rsidP="00CC2480">
      <w:pPr>
        <w:spacing w:line="360" w:lineRule="auto"/>
        <w:rPr>
          <w:rFonts w:ascii="Times" w:hAnsi="Times" w:cs="Times"/>
          <w:i/>
          <w:iCs/>
          <w:szCs w:val="20"/>
        </w:rPr>
      </w:pPr>
      <w:r w:rsidRPr="005B1792">
        <w:rPr>
          <w:rFonts w:ascii="Times" w:hAnsi="Times" w:cs="Times"/>
          <w:i/>
          <w:iCs/>
          <w:szCs w:val="20"/>
        </w:rPr>
        <w:t>2.4.2. Sensitivity analyses</w:t>
      </w:r>
    </w:p>
    <w:p w14:paraId="11C0B32F" w14:textId="77777777" w:rsidR="00942FBB" w:rsidRPr="005B1792" w:rsidRDefault="00942FBB" w:rsidP="00CC2480">
      <w:pPr>
        <w:spacing w:line="360" w:lineRule="auto"/>
        <w:rPr>
          <w:rFonts w:ascii="Times" w:hAnsi="Times" w:cs="Times"/>
          <w:szCs w:val="20"/>
        </w:rPr>
      </w:pPr>
      <w:r w:rsidRPr="005B1792">
        <w:rPr>
          <w:rFonts w:ascii="Times" w:hAnsi="Times" w:cs="Times"/>
          <w:szCs w:val="20"/>
        </w:rPr>
        <w:t xml:space="preserve">  We performed sensitivity analyses of the validated cutoff scores for determining postpartum depressive symptoms by excluding individual studies that used lower cutoffs than the validated ones, which may lead to false positive and exaggerated effects. The validated cutoffs we used for each included operationalization of depressive symptoms are presented in appendix p 10. We also conducted sensitivity analyses of cohort studies (retrospective or prospective), prospective cohort studies, and study estimates adjusted for at least one confounder to further assess the robustness of the evidence. All sensitivity analyses were performed for associations graded as providing convincing or highly suggestive evidence. All statistical tests were two-sided and statistical significance was set at p &lt; 0</w:t>
      </w:r>
      <w:r w:rsidRPr="005B1792">
        <w:rPr>
          <w:rFonts w:ascii="Times" w:hAnsi="Times" w:cs="Times"/>
        </w:rPr>
        <w:t>.</w:t>
      </w:r>
      <w:r w:rsidRPr="005B1792">
        <w:rPr>
          <w:rFonts w:ascii="Times" w:hAnsi="Times" w:cs="Times"/>
          <w:szCs w:val="20"/>
        </w:rPr>
        <w:t>05. All statistical analyses were performed by R version 4</w:t>
      </w:r>
      <w:r w:rsidRPr="005B1792">
        <w:rPr>
          <w:rFonts w:ascii="Times" w:hAnsi="Times" w:cs="Times"/>
        </w:rPr>
        <w:t>.</w:t>
      </w:r>
      <w:r w:rsidRPr="005B1792">
        <w:rPr>
          <w:rFonts w:ascii="Times" w:hAnsi="Times" w:cs="Times"/>
          <w:szCs w:val="20"/>
        </w:rPr>
        <w:t>0</w:t>
      </w:r>
      <w:r w:rsidRPr="005B1792">
        <w:rPr>
          <w:rFonts w:ascii="Times" w:hAnsi="Times" w:cs="Times"/>
        </w:rPr>
        <w:t>.</w:t>
      </w:r>
      <w:r w:rsidRPr="005B1792">
        <w:rPr>
          <w:rFonts w:ascii="Times" w:hAnsi="Times" w:cs="Times"/>
          <w:szCs w:val="20"/>
        </w:rPr>
        <w:t>4 and its packages.</w:t>
      </w:r>
    </w:p>
    <w:p w14:paraId="28A6BC8F" w14:textId="77777777" w:rsidR="00942FBB" w:rsidRPr="005B1792" w:rsidRDefault="00942FBB" w:rsidP="00CC2480">
      <w:pPr>
        <w:spacing w:line="360" w:lineRule="auto"/>
        <w:rPr>
          <w:rFonts w:ascii="Times" w:hAnsi="Times" w:cs="Times"/>
          <w:i/>
          <w:iCs/>
          <w:szCs w:val="20"/>
        </w:rPr>
      </w:pPr>
      <w:r w:rsidRPr="005B1792">
        <w:rPr>
          <w:rFonts w:ascii="Times" w:hAnsi="Times" w:cs="Times"/>
          <w:i/>
          <w:iCs/>
          <w:szCs w:val="20"/>
        </w:rPr>
        <w:t xml:space="preserve">2.5. Determining the credibility of evidence </w:t>
      </w:r>
    </w:p>
    <w:p w14:paraId="1F9C936A" w14:textId="78A157C8" w:rsidR="00942FBB" w:rsidRPr="005B1792" w:rsidRDefault="00942FBB" w:rsidP="00CC2480">
      <w:pPr>
        <w:spacing w:line="360" w:lineRule="auto"/>
        <w:rPr>
          <w:rFonts w:ascii="Times" w:hAnsi="Times" w:cs="Times"/>
          <w:szCs w:val="20"/>
        </w:rPr>
      </w:pPr>
      <w:r w:rsidRPr="005B1792">
        <w:rPr>
          <w:rFonts w:ascii="Times" w:hAnsi="Times" w:cs="Times"/>
          <w:szCs w:val="20"/>
        </w:rPr>
        <w:lastRenderedPageBreak/>
        <w:t xml:space="preserve">  Referring to the classification system of recent umbrella reviews </w:t>
      </w:r>
      <w:r w:rsidRPr="005B1792">
        <w:rPr>
          <w:rFonts w:ascii="Times" w:hAnsi="Times" w:cs="Times"/>
          <w:noProof/>
          <w:szCs w:val="20"/>
        </w:rPr>
        <w:t>(Belbasis et al., 2015; Bellou et al., 2017; Kim et al., 2020; Kim et al., 2019)</w:t>
      </w:r>
      <w:r w:rsidRPr="005B1792">
        <w:rPr>
          <w:rFonts w:ascii="Times" w:hAnsi="Times" w:cs="Times"/>
          <w:szCs w:val="20"/>
        </w:rPr>
        <w:t>,</w:t>
      </w:r>
      <w:r w:rsidRPr="005B1792">
        <w:rPr>
          <w:rFonts w:ascii="Times" w:hAnsi="Times" w:cs="Times"/>
          <w:noProof/>
          <w:szCs w:val="20"/>
        </w:rPr>
        <w:t xml:space="preserve"> </w:t>
      </w:r>
      <w:r w:rsidRPr="005B1792">
        <w:rPr>
          <w:rFonts w:ascii="Times" w:hAnsi="Times" w:cs="Times"/>
          <w:szCs w:val="20"/>
        </w:rPr>
        <w:t xml:space="preserve">we classified the identified associations into five classes by their level of credibility, based on the results of our statistical analyses – convincing (class I), highly suggestive (class II), suggestive (class III), weak (class IV), and not significant (NS) (Table 1). Criteria for classifying the level of evidence included p value under a random-effects model, number of cases with postpartum depressive symptoms, the p value of the largest study, the </w:t>
      </w:r>
      <w:r w:rsidRPr="005B1792">
        <w:rPr>
          <w:rFonts w:ascii="Times" w:hAnsi="Times" w:cs="Times"/>
          <w:i/>
          <w:iCs/>
          <w:szCs w:val="20"/>
        </w:rPr>
        <w:t>I²</w:t>
      </w:r>
      <w:r w:rsidRPr="005B1792">
        <w:rPr>
          <w:rFonts w:ascii="Times" w:hAnsi="Times" w:cs="Times"/>
          <w:szCs w:val="20"/>
        </w:rPr>
        <w:t xml:space="preserve"> statistic, small study effects, results of the p-curve analysis, the 95% prediction interval, and a random-effects p value under a 10% credibility ceiling.</w:t>
      </w:r>
    </w:p>
    <w:p w14:paraId="54D01EB3" w14:textId="77777777" w:rsidR="00942FBB" w:rsidRPr="005B1792" w:rsidRDefault="00942FBB" w:rsidP="00CC2480">
      <w:pPr>
        <w:spacing w:line="360" w:lineRule="auto"/>
        <w:rPr>
          <w:rFonts w:ascii="Times" w:hAnsi="Times" w:cs="Times"/>
          <w:b/>
          <w:bCs/>
        </w:rPr>
      </w:pPr>
      <w:r w:rsidRPr="005B1792">
        <w:rPr>
          <w:rFonts w:ascii="Times" w:hAnsi="Times" w:cs="Times"/>
          <w:b/>
          <w:bCs/>
        </w:rPr>
        <w:t>3. Results</w:t>
      </w:r>
    </w:p>
    <w:p w14:paraId="4F36A705" w14:textId="77777777" w:rsidR="00942FBB" w:rsidRPr="005B1792" w:rsidRDefault="00942FBB" w:rsidP="00CC2480">
      <w:pPr>
        <w:spacing w:line="360" w:lineRule="auto"/>
        <w:rPr>
          <w:rFonts w:ascii="Times" w:hAnsi="Times" w:cs="Times"/>
          <w:i/>
          <w:iCs/>
        </w:rPr>
      </w:pPr>
      <w:r w:rsidRPr="005B1792">
        <w:rPr>
          <w:rFonts w:ascii="Times" w:hAnsi="Times" w:cs="Times"/>
          <w:i/>
          <w:iCs/>
        </w:rPr>
        <w:t>3.1. Search results</w:t>
      </w:r>
    </w:p>
    <w:p w14:paraId="7EB25D87" w14:textId="30B0C5CB" w:rsidR="00942FBB" w:rsidRPr="005B1792" w:rsidRDefault="00942FBB" w:rsidP="004277BD">
      <w:pPr>
        <w:spacing w:line="360" w:lineRule="auto"/>
        <w:ind w:firstLine="195"/>
        <w:rPr>
          <w:rFonts w:ascii="Times" w:hAnsi="Times" w:cs="Times"/>
        </w:rPr>
      </w:pPr>
      <w:r w:rsidRPr="005B1792">
        <w:rPr>
          <w:rFonts w:ascii="Times" w:hAnsi="Times" w:cs="Times"/>
        </w:rPr>
        <w:t xml:space="preserve">From database inception to Jan 12, 2021, we identified 454 articles of which only 30 met the inclusion criteria (Figure 1). Among the 30 articles, 54 unique meta-analyses were identified (45 environmental risk/protective factors and nine biomarkers; Table 2, Appendix p 19, 22-24, 28-122) </w:t>
      </w:r>
      <w:r w:rsidRPr="005B1792">
        <w:rPr>
          <w:rFonts w:ascii="Times" w:hAnsi="Times" w:cs="Times"/>
          <w:noProof/>
        </w:rPr>
        <w:t>(Azami et al., 2019a; Azami et al., 2019b; Bacchus et al., 2018; Beydoun et al., 2012; Cao et al., 2020; Chen et al., 2019; Dachew et al., 2021; Dadi et al., 2020; de Paula Eduardo et al., 2019; Desta et al., 2021; Falah-Hassani et al., 2015; Grigoriadis et al., 2019; Howard et al., 2013; Kang et al., 2020; Kountanis et al., 2020; Lin et al., 2017; Minaldi et al., 2020; Moameri et al., 2019; Molyneaux et al., 2014; Necho et al., 2020; Qiu et al., 2020; Tan et al., 2021; Tokumitsu et al., 2020; Tolossa et al., 2020; Wang et al., 2018; Yang et al., 2020; Yargawa and Leonardi-Bee, 2015; Ye et al., 2020; Zhang et al., 2019; Zhu et al., 2019)</w:t>
      </w:r>
      <w:r w:rsidRPr="005B1792">
        <w:rPr>
          <w:rFonts w:ascii="Times" w:hAnsi="Times" w:cs="Times"/>
        </w:rPr>
        <w:t>.</w:t>
      </w:r>
    </w:p>
    <w:p w14:paraId="1BBB07C5" w14:textId="77777777" w:rsidR="00942FBB" w:rsidRPr="005B1792" w:rsidRDefault="00942FBB" w:rsidP="00DC02D1">
      <w:pPr>
        <w:spacing w:line="360" w:lineRule="auto"/>
        <w:rPr>
          <w:rFonts w:ascii="Times" w:hAnsi="Times" w:cs="Times"/>
        </w:rPr>
      </w:pPr>
      <w:r w:rsidRPr="005B1792">
        <w:rPr>
          <w:rFonts w:ascii="Times" w:hAnsi="Times" w:cs="Times"/>
          <w:i/>
          <w:iCs/>
        </w:rPr>
        <w:t>3.2. Environmental risk factors and protective factors</w:t>
      </w:r>
    </w:p>
    <w:p w14:paraId="7125D0A1" w14:textId="77777777" w:rsidR="00942FBB" w:rsidRPr="005B1792" w:rsidRDefault="00942FBB" w:rsidP="00CC2480">
      <w:pPr>
        <w:spacing w:line="360" w:lineRule="auto"/>
        <w:rPr>
          <w:rFonts w:ascii="Times" w:hAnsi="Times" w:cs="Times"/>
        </w:rPr>
      </w:pPr>
      <w:r w:rsidRPr="005B1792">
        <w:rPr>
          <w:rFonts w:ascii="Times" w:hAnsi="Times" w:cs="Times"/>
        </w:rPr>
        <w:t xml:space="preserve">  The 45 meta-analyses of environmental risk/protective factors were based on 154594 cases with postpartum depressive symptoms (median 1031 per meta-analysis, interquartile range [IQR] 551-5835, range 89-17954) and included 7302273 total population (median 11758 per meta-analysis, IQR 4437-77838, range 875-2302311). Among them, 34 meta-analyses were based on cohorts, of which, 23 also included case-control or cross-sectional studies. The median number of study estimates was eight (IQR 5-12, range 2-39). Effect metrics were either OR </w:t>
      </w:r>
      <w:proofErr w:type="spellStart"/>
      <w:r w:rsidRPr="005B1792">
        <w:rPr>
          <w:rFonts w:ascii="Times" w:hAnsi="Times" w:cs="Times"/>
        </w:rPr>
        <w:t>or</w:t>
      </w:r>
      <w:proofErr w:type="spellEnd"/>
      <w:r w:rsidRPr="005B1792">
        <w:rPr>
          <w:rFonts w:ascii="Times" w:hAnsi="Times" w:cs="Times"/>
        </w:rPr>
        <w:t xml:space="preserve"> RR. Among 45 associations, 43 (96%) associations were statistically significant with p&lt;0.05, 35 of 45 (78%) with p&lt;0.001, and 13 of 45 (29%) with p&lt;0.000001. Among 43 statistically significant associations, 25 (58%) included more than 1000 cases with postpartum depressive symptoms. Only 14 of 45 (31%) associations showed no heterogeneity (</w:t>
      </w:r>
      <w:r w:rsidRPr="005B1792">
        <w:rPr>
          <w:rFonts w:ascii="Times" w:hAnsi="Times" w:cs="Times"/>
          <w:i/>
          <w:iCs/>
          <w:szCs w:val="20"/>
        </w:rPr>
        <w:t>I²</w:t>
      </w:r>
      <w:r w:rsidRPr="005B1792">
        <w:rPr>
          <w:rFonts w:ascii="Times" w:hAnsi="Times" w:cs="Times"/>
          <w:szCs w:val="20"/>
        </w:rPr>
        <w:t xml:space="preserve">&lt;50%). Among 45 associations, three (7%) were not appropriate for Egger’s test since they included less than three individual studies. Subsequently, 30 of 42 (71%) associations presented no small study effect. Further, 39 of 45 (87%) associations suggested no problems in the p-curve analysis, 33 of 45 (73%) retained statistical significance with a 10% credibility ceiling, and the 95% prediction interval excluded the null value in 7 of 45 (16%). </w:t>
      </w:r>
    </w:p>
    <w:p w14:paraId="52C195F1" w14:textId="695CF785" w:rsidR="00942FBB" w:rsidRPr="005B1792" w:rsidRDefault="00942FBB" w:rsidP="00CC2480">
      <w:pPr>
        <w:spacing w:line="360" w:lineRule="auto"/>
        <w:rPr>
          <w:rFonts w:ascii="Times" w:hAnsi="Times" w:cs="Times"/>
          <w:szCs w:val="20"/>
        </w:rPr>
      </w:pPr>
      <w:r w:rsidRPr="005B1792">
        <w:rPr>
          <w:rFonts w:ascii="Times" w:hAnsi="Times" w:cs="Times"/>
        </w:rPr>
        <w:t xml:space="preserve">  </w:t>
      </w:r>
      <w:r w:rsidRPr="005B1792">
        <w:rPr>
          <w:rFonts w:ascii="Times" w:hAnsi="Times" w:cs="Times"/>
          <w:szCs w:val="20"/>
        </w:rPr>
        <w:t>Only two environmental risk factors were graded as convincing evidence (class I; Table 2, Figure 2): antenatal anxiety (OR 2</w:t>
      </w:r>
      <w:r w:rsidRPr="005B1792">
        <w:rPr>
          <w:rFonts w:ascii="Times" w:hAnsi="Times" w:cs="Times"/>
        </w:rPr>
        <w:t>.</w:t>
      </w:r>
      <w:r w:rsidRPr="005B1792">
        <w:rPr>
          <w:rFonts w:ascii="Times" w:hAnsi="Times" w:cs="Times"/>
          <w:szCs w:val="20"/>
        </w:rPr>
        <w:t>49, 95% CI 1</w:t>
      </w:r>
      <w:r w:rsidRPr="005B1792">
        <w:rPr>
          <w:rFonts w:ascii="Times" w:hAnsi="Times" w:cs="Times"/>
        </w:rPr>
        <w:t>.</w:t>
      </w:r>
      <w:r w:rsidRPr="005B1792">
        <w:rPr>
          <w:rFonts w:ascii="Times" w:hAnsi="Times" w:cs="Times"/>
          <w:szCs w:val="20"/>
        </w:rPr>
        <w:t>91-3</w:t>
      </w:r>
      <w:r w:rsidRPr="005B1792">
        <w:rPr>
          <w:rFonts w:ascii="Times" w:hAnsi="Times" w:cs="Times"/>
        </w:rPr>
        <w:t>.</w:t>
      </w:r>
      <w:r w:rsidRPr="005B1792">
        <w:rPr>
          <w:rFonts w:ascii="Times" w:hAnsi="Times" w:cs="Times"/>
          <w:szCs w:val="20"/>
        </w:rPr>
        <w:t>25) and psychological violence (OR 1</w:t>
      </w:r>
      <w:r w:rsidRPr="005B1792">
        <w:rPr>
          <w:rFonts w:ascii="Times" w:hAnsi="Times" w:cs="Times"/>
        </w:rPr>
        <w:t>.</w:t>
      </w:r>
      <w:r w:rsidRPr="005B1792">
        <w:rPr>
          <w:rFonts w:ascii="Times" w:hAnsi="Times" w:cs="Times"/>
          <w:szCs w:val="20"/>
        </w:rPr>
        <w:t>93, 95% CI 1</w:t>
      </w:r>
      <w:r w:rsidRPr="005B1792">
        <w:rPr>
          <w:rFonts w:ascii="Times" w:hAnsi="Times" w:cs="Times"/>
        </w:rPr>
        <w:t>.</w:t>
      </w:r>
      <w:r w:rsidRPr="005B1792">
        <w:rPr>
          <w:rFonts w:ascii="Times" w:hAnsi="Times" w:cs="Times"/>
          <w:szCs w:val="20"/>
        </w:rPr>
        <w:t>54-2</w:t>
      </w:r>
      <w:r w:rsidRPr="005B1792">
        <w:rPr>
          <w:rFonts w:ascii="Times" w:hAnsi="Times" w:cs="Times"/>
        </w:rPr>
        <w:t>.</w:t>
      </w:r>
      <w:r w:rsidRPr="005B1792">
        <w:rPr>
          <w:rFonts w:ascii="Times" w:hAnsi="Times" w:cs="Times"/>
          <w:szCs w:val="20"/>
        </w:rPr>
        <w:t>42). Seven were graded as highly suggestive evidence (class II; Table 2, Figure 2): intimate partner violence experience (OR 2</w:t>
      </w:r>
      <w:r w:rsidRPr="005B1792">
        <w:rPr>
          <w:rFonts w:ascii="Times" w:hAnsi="Times" w:cs="Times"/>
        </w:rPr>
        <w:t>.</w:t>
      </w:r>
      <w:r w:rsidRPr="005B1792">
        <w:rPr>
          <w:rFonts w:ascii="Times" w:hAnsi="Times" w:cs="Times"/>
          <w:szCs w:val="20"/>
        </w:rPr>
        <w:t xml:space="preserve">86, 95% </w:t>
      </w:r>
      <w:r w:rsidRPr="005B1792">
        <w:rPr>
          <w:rFonts w:ascii="Times" w:hAnsi="Times" w:cs="Times"/>
          <w:szCs w:val="20"/>
        </w:rPr>
        <w:lastRenderedPageBreak/>
        <w:t>CI 2</w:t>
      </w:r>
      <w:r w:rsidRPr="005B1792">
        <w:rPr>
          <w:rFonts w:ascii="Times" w:hAnsi="Times" w:cs="Times"/>
        </w:rPr>
        <w:t>.</w:t>
      </w:r>
      <w:r w:rsidRPr="005B1792">
        <w:rPr>
          <w:rFonts w:ascii="Times" w:hAnsi="Times" w:cs="Times"/>
          <w:szCs w:val="20"/>
        </w:rPr>
        <w:t>12-3</w:t>
      </w:r>
      <w:r w:rsidRPr="005B1792">
        <w:rPr>
          <w:rFonts w:ascii="Times" w:hAnsi="Times" w:cs="Times"/>
        </w:rPr>
        <w:t>.</w:t>
      </w:r>
      <w:r w:rsidRPr="005B1792">
        <w:rPr>
          <w:rFonts w:ascii="Times" w:hAnsi="Times" w:cs="Times"/>
          <w:szCs w:val="20"/>
        </w:rPr>
        <w:t>87), intimate partner violence during pregnancy (RR 2</w:t>
      </w:r>
      <w:r w:rsidRPr="005B1792">
        <w:rPr>
          <w:rFonts w:ascii="Times" w:hAnsi="Times" w:cs="Times"/>
        </w:rPr>
        <w:t>.</w:t>
      </w:r>
      <w:r w:rsidRPr="005B1792">
        <w:rPr>
          <w:rFonts w:ascii="Times" w:hAnsi="Times" w:cs="Times"/>
          <w:szCs w:val="20"/>
        </w:rPr>
        <w:t>81, 95% CI 2</w:t>
      </w:r>
      <w:r w:rsidRPr="005B1792">
        <w:rPr>
          <w:rFonts w:ascii="Times" w:hAnsi="Times" w:cs="Times"/>
        </w:rPr>
        <w:t>.</w:t>
      </w:r>
      <w:r w:rsidRPr="005B1792">
        <w:rPr>
          <w:rFonts w:ascii="Times" w:hAnsi="Times" w:cs="Times"/>
          <w:szCs w:val="20"/>
        </w:rPr>
        <w:t>11-3</w:t>
      </w:r>
      <w:r w:rsidRPr="005B1792">
        <w:rPr>
          <w:rFonts w:ascii="Times" w:hAnsi="Times" w:cs="Times"/>
        </w:rPr>
        <w:t>.</w:t>
      </w:r>
      <w:r w:rsidRPr="005B1792">
        <w:rPr>
          <w:rFonts w:ascii="Times" w:hAnsi="Times" w:cs="Times"/>
          <w:szCs w:val="20"/>
        </w:rPr>
        <w:t>74), smoking during pregnancy (OR 2</w:t>
      </w:r>
      <w:r w:rsidRPr="005B1792">
        <w:rPr>
          <w:rFonts w:ascii="Times" w:hAnsi="Times" w:cs="Times"/>
        </w:rPr>
        <w:t>.</w:t>
      </w:r>
      <w:r w:rsidRPr="005B1792">
        <w:rPr>
          <w:rFonts w:ascii="Times" w:hAnsi="Times" w:cs="Times"/>
          <w:szCs w:val="20"/>
        </w:rPr>
        <w:t>39, 95% CI 1</w:t>
      </w:r>
      <w:r w:rsidRPr="005B1792">
        <w:rPr>
          <w:rFonts w:ascii="Times" w:hAnsi="Times" w:cs="Times"/>
        </w:rPr>
        <w:t>.</w:t>
      </w:r>
      <w:r w:rsidRPr="005B1792">
        <w:rPr>
          <w:rFonts w:ascii="Times" w:hAnsi="Times" w:cs="Times"/>
          <w:szCs w:val="20"/>
        </w:rPr>
        <w:t>78-3</w:t>
      </w:r>
      <w:r w:rsidRPr="005B1792">
        <w:rPr>
          <w:rFonts w:ascii="Times" w:hAnsi="Times" w:cs="Times"/>
        </w:rPr>
        <w:t>.</w:t>
      </w:r>
      <w:r w:rsidRPr="005B1792">
        <w:rPr>
          <w:rFonts w:ascii="Times" w:hAnsi="Times" w:cs="Times"/>
          <w:szCs w:val="20"/>
        </w:rPr>
        <w:t>2), history of premenstrual syndrome (OR 2</w:t>
      </w:r>
      <w:r w:rsidRPr="005B1792">
        <w:rPr>
          <w:rFonts w:ascii="Times" w:hAnsi="Times" w:cs="Times"/>
        </w:rPr>
        <w:t>.</w:t>
      </w:r>
      <w:r w:rsidRPr="005B1792">
        <w:rPr>
          <w:rFonts w:ascii="Times" w:hAnsi="Times" w:cs="Times"/>
          <w:szCs w:val="20"/>
        </w:rPr>
        <w:t>2, 95% CI 1</w:t>
      </w:r>
      <w:r w:rsidRPr="005B1792">
        <w:rPr>
          <w:rFonts w:ascii="Times" w:hAnsi="Times" w:cs="Times"/>
        </w:rPr>
        <w:t>.</w:t>
      </w:r>
      <w:r w:rsidRPr="005B1792">
        <w:rPr>
          <w:rFonts w:ascii="Times" w:hAnsi="Times" w:cs="Times"/>
          <w:szCs w:val="20"/>
        </w:rPr>
        <w:t>81-2</w:t>
      </w:r>
      <w:r w:rsidRPr="005B1792">
        <w:rPr>
          <w:rFonts w:ascii="Times" w:hAnsi="Times" w:cs="Times"/>
        </w:rPr>
        <w:t>.</w:t>
      </w:r>
      <w:r w:rsidRPr="005B1792">
        <w:rPr>
          <w:rFonts w:ascii="Times" w:hAnsi="Times" w:cs="Times"/>
          <w:szCs w:val="20"/>
        </w:rPr>
        <w:t>68), any type of violence experience (OR 2</w:t>
      </w:r>
      <w:r w:rsidRPr="005B1792">
        <w:rPr>
          <w:rFonts w:ascii="Times" w:hAnsi="Times" w:cs="Times"/>
        </w:rPr>
        <w:t>.</w:t>
      </w:r>
      <w:r w:rsidRPr="005B1792">
        <w:rPr>
          <w:rFonts w:ascii="Times" w:hAnsi="Times" w:cs="Times"/>
          <w:szCs w:val="20"/>
        </w:rPr>
        <w:t>04, 95% CI 1</w:t>
      </w:r>
      <w:r w:rsidRPr="005B1792">
        <w:rPr>
          <w:rFonts w:ascii="Times" w:hAnsi="Times" w:cs="Times"/>
        </w:rPr>
        <w:t>.</w:t>
      </w:r>
      <w:r w:rsidRPr="005B1792">
        <w:rPr>
          <w:rFonts w:ascii="Times" w:hAnsi="Times" w:cs="Times"/>
          <w:szCs w:val="20"/>
        </w:rPr>
        <w:t>72-2</w:t>
      </w:r>
      <w:r w:rsidRPr="005B1792">
        <w:rPr>
          <w:rFonts w:ascii="Times" w:hAnsi="Times" w:cs="Times"/>
        </w:rPr>
        <w:t>.</w:t>
      </w:r>
      <w:r w:rsidRPr="005B1792">
        <w:rPr>
          <w:rFonts w:ascii="Times" w:hAnsi="Times" w:cs="Times"/>
          <w:szCs w:val="20"/>
        </w:rPr>
        <w:t>41), primiparity compared to multiparity (RR 1</w:t>
      </w:r>
      <w:r w:rsidRPr="005B1792">
        <w:rPr>
          <w:rFonts w:ascii="Times" w:hAnsi="Times" w:cs="Times"/>
        </w:rPr>
        <w:t>.</w:t>
      </w:r>
      <w:r w:rsidRPr="005B1792">
        <w:rPr>
          <w:rFonts w:ascii="Times" w:hAnsi="Times" w:cs="Times"/>
          <w:szCs w:val="20"/>
        </w:rPr>
        <w:t>76, 95% CI 1</w:t>
      </w:r>
      <w:r w:rsidRPr="005B1792">
        <w:rPr>
          <w:rFonts w:ascii="Times" w:hAnsi="Times" w:cs="Times"/>
        </w:rPr>
        <w:t>.</w:t>
      </w:r>
      <w:r w:rsidRPr="005B1792">
        <w:rPr>
          <w:rFonts w:ascii="Times" w:hAnsi="Times" w:cs="Times"/>
          <w:szCs w:val="20"/>
        </w:rPr>
        <w:t>59-1</w:t>
      </w:r>
      <w:r w:rsidRPr="005B1792">
        <w:rPr>
          <w:rFonts w:ascii="Times" w:hAnsi="Times" w:cs="Times"/>
        </w:rPr>
        <w:t>.</w:t>
      </w:r>
      <w:r w:rsidRPr="005B1792">
        <w:rPr>
          <w:rFonts w:ascii="Times" w:hAnsi="Times" w:cs="Times"/>
          <w:szCs w:val="20"/>
        </w:rPr>
        <w:t>96), and unintended pregnancy (OR 1</w:t>
      </w:r>
      <w:r w:rsidRPr="005B1792">
        <w:rPr>
          <w:rFonts w:ascii="Times" w:hAnsi="Times" w:cs="Times"/>
        </w:rPr>
        <w:t>.</w:t>
      </w:r>
      <w:r w:rsidRPr="005B1792">
        <w:rPr>
          <w:rFonts w:ascii="Times" w:hAnsi="Times" w:cs="Times"/>
          <w:szCs w:val="20"/>
        </w:rPr>
        <w:t>53, 95% CI 1</w:t>
      </w:r>
      <w:r w:rsidRPr="005B1792">
        <w:rPr>
          <w:rFonts w:ascii="Times" w:hAnsi="Times" w:cs="Times"/>
        </w:rPr>
        <w:t>.</w:t>
      </w:r>
      <w:r w:rsidRPr="005B1792">
        <w:rPr>
          <w:rFonts w:ascii="Times" w:hAnsi="Times" w:cs="Times"/>
          <w:szCs w:val="20"/>
        </w:rPr>
        <w:t>35-1</w:t>
      </w:r>
      <w:r w:rsidRPr="005B1792">
        <w:rPr>
          <w:rFonts w:ascii="Times" w:hAnsi="Times" w:cs="Times"/>
        </w:rPr>
        <w:t>.</w:t>
      </w:r>
      <w:r w:rsidRPr="005B1792">
        <w:rPr>
          <w:rFonts w:ascii="Times" w:hAnsi="Times" w:cs="Times"/>
          <w:szCs w:val="20"/>
        </w:rPr>
        <w:t xml:space="preserve">75). Remarkably, 4 of 9 (44%) factors with high level of evidence were related to violence against the mother. Other factors included preterm birth, pre-pregnancy obesity, cesarean section (class III), low income, poor social support, and poor marital relationship (class IV). Meanwhile, active husband participation in maternal healthcare/services during pregnancy and postpartum showed protective effects against </w:t>
      </w:r>
      <w:r w:rsidRPr="005B1792">
        <w:rPr>
          <w:rFonts w:ascii="Times" w:hAnsi="Times" w:cs="Times"/>
        </w:rPr>
        <w:t>postpartum depressive symptoms</w:t>
      </w:r>
      <w:r w:rsidRPr="005B1792">
        <w:rPr>
          <w:rFonts w:ascii="Times" w:hAnsi="Times" w:cs="Times"/>
          <w:szCs w:val="20"/>
        </w:rPr>
        <w:t xml:space="preserve"> with statistical significance (class IV).</w:t>
      </w:r>
    </w:p>
    <w:p w14:paraId="67A2164A" w14:textId="77777777" w:rsidR="00942FBB" w:rsidRPr="005B1792" w:rsidRDefault="00942FBB" w:rsidP="00CC2480">
      <w:pPr>
        <w:spacing w:line="360" w:lineRule="auto"/>
        <w:rPr>
          <w:rFonts w:ascii="Times" w:hAnsi="Times" w:cs="Times"/>
          <w:i/>
          <w:iCs/>
        </w:rPr>
      </w:pPr>
      <w:r w:rsidRPr="005B1792">
        <w:rPr>
          <w:rFonts w:ascii="Times" w:hAnsi="Times" w:cs="Times"/>
          <w:i/>
          <w:iCs/>
          <w:szCs w:val="20"/>
        </w:rPr>
        <w:t>3.3. Biomarkers</w:t>
      </w:r>
    </w:p>
    <w:p w14:paraId="503E099F" w14:textId="3F84FA06" w:rsidR="00942FBB" w:rsidRPr="005B1792" w:rsidRDefault="00942FBB" w:rsidP="00CC2480">
      <w:pPr>
        <w:spacing w:line="360" w:lineRule="auto"/>
        <w:ind w:firstLineChars="50" w:firstLine="100"/>
        <w:rPr>
          <w:rFonts w:ascii="Times" w:hAnsi="Times" w:cs="Times"/>
        </w:rPr>
      </w:pPr>
      <w:r w:rsidRPr="005B1792">
        <w:rPr>
          <w:rFonts w:ascii="Times" w:hAnsi="Times" w:cs="Times"/>
        </w:rPr>
        <w:t xml:space="preserve"> The nine biomarker meta-analyses covered 2018 cases with postpartum depressive symptoms (median 201 per meta-analysis, IQR 200-215, range 168-404) and 16757 total population (median 1793 per meta-analysis, IQR 1741-1793, range 1432-2375). All nine meta-analyses were based on cohorts, of which, four also included case-control or cross-sectional studies. The median number of study estimates was five (IQR 5-6, range 3-7). Effect metrics were either OR, RR, or Hedge’s g. Among nine associations, only three (33%) were statistically significant with p&lt;0.05, while there was no association with p&lt;0.0001. No association included more than 1000 cases with postpartum depressive symptoms, and only 3 of 9 (33%) associations showed no heterogeneity. All associations were available for Egger’s test and 7 of 9 (78%) showed no small study effect. However, all but one suggested a problem in the p-curve analysis. No association retained statistical significance with a 10% credibility ceiling and excluded the null value in </w:t>
      </w:r>
      <w:r w:rsidRPr="005B1792">
        <w:rPr>
          <w:rFonts w:ascii="Times" w:hAnsi="Times" w:cs="Times"/>
          <w:szCs w:val="20"/>
        </w:rPr>
        <w:t>the 95% prediction interval. Accordingly, no association was graded as convincing or highly suggestive evidence (Appendix p 19).</w:t>
      </w:r>
    </w:p>
    <w:p w14:paraId="7703F273" w14:textId="77777777" w:rsidR="00942FBB" w:rsidRPr="005B1792" w:rsidRDefault="00942FBB" w:rsidP="00CC2480">
      <w:pPr>
        <w:spacing w:line="360" w:lineRule="auto"/>
        <w:rPr>
          <w:rFonts w:ascii="Times" w:hAnsi="Times" w:cs="Times"/>
          <w:i/>
          <w:iCs/>
        </w:rPr>
      </w:pPr>
      <w:r w:rsidRPr="005B1792">
        <w:rPr>
          <w:rFonts w:ascii="Times" w:hAnsi="Times" w:cs="Times"/>
          <w:i/>
          <w:iCs/>
          <w:szCs w:val="20"/>
        </w:rPr>
        <w:t>3.4. AMSTAR 2 quality assessment</w:t>
      </w:r>
    </w:p>
    <w:p w14:paraId="6D790FE0" w14:textId="0B69DCC9" w:rsidR="00942FBB" w:rsidRPr="005B1792" w:rsidRDefault="00942FBB" w:rsidP="00CC2480">
      <w:pPr>
        <w:spacing w:line="360" w:lineRule="auto"/>
        <w:rPr>
          <w:rFonts w:ascii="Times" w:hAnsi="Times" w:cs="Times"/>
          <w:szCs w:val="20"/>
        </w:rPr>
      </w:pPr>
      <w:r w:rsidRPr="005B1792">
        <w:rPr>
          <w:rFonts w:ascii="Times" w:hAnsi="Times" w:cs="Times"/>
          <w:szCs w:val="20"/>
        </w:rPr>
        <w:t xml:space="preserve">  AMSTAR 2 quality assessment was available for all associations. Among 30 articles, 26 reported environmental risk/protective factors and four biomarkers. Of 26 meta-analysis articles on environmental risk/protective factors, only three (11%) were graded as high quality, two (8%) moderate, seven (27%) low, and 14 (54%) critically low. Of four meta-analysis articles on biomarkers, one (25%) was graded as low, and three (75%) were critically low. Among factors with a high level of evidence, only two (intimate partner violence experience and history of premenstrual syndrome) were graded as high quality.</w:t>
      </w:r>
    </w:p>
    <w:p w14:paraId="5862E601" w14:textId="77777777" w:rsidR="00942FBB" w:rsidRPr="00DC02D1" w:rsidRDefault="00942FBB" w:rsidP="00CC2480">
      <w:pPr>
        <w:spacing w:line="360" w:lineRule="auto"/>
        <w:rPr>
          <w:rFonts w:ascii="Times" w:hAnsi="Times" w:cs="Times"/>
          <w:i/>
          <w:iCs/>
          <w:szCs w:val="20"/>
        </w:rPr>
      </w:pPr>
      <w:r w:rsidRPr="00DC02D1">
        <w:rPr>
          <w:rFonts w:ascii="Times" w:hAnsi="Times" w:cs="Times"/>
          <w:i/>
          <w:iCs/>
          <w:szCs w:val="20"/>
        </w:rPr>
        <w:t>3.5 Certainty of evidence using</w:t>
      </w:r>
      <w:r w:rsidRPr="005B1792">
        <w:rPr>
          <w:rFonts w:ascii="Times" w:hAnsi="Times" w:cs="Times"/>
          <w:i/>
          <w:iCs/>
          <w:szCs w:val="20"/>
        </w:rPr>
        <w:t xml:space="preserve"> the</w:t>
      </w:r>
      <w:r w:rsidRPr="00DC02D1">
        <w:rPr>
          <w:rFonts w:ascii="Times" w:hAnsi="Times" w:cs="Times"/>
          <w:i/>
          <w:iCs/>
          <w:szCs w:val="20"/>
        </w:rPr>
        <w:t xml:space="preserve"> GRADE</w:t>
      </w:r>
      <w:r w:rsidRPr="005B1792">
        <w:rPr>
          <w:rFonts w:ascii="Times" w:hAnsi="Times" w:cs="Times"/>
          <w:i/>
          <w:iCs/>
          <w:szCs w:val="20"/>
        </w:rPr>
        <w:t xml:space="preserve"> method</w:t>
      </w:r>
    </w:p>
    <w:p w14:paraId="651EA847" w14:textId="595B1E3D" w:rsidR="00942FBB" w:rsidRPr="005B1792" w:rsidRDefault="00942FBB" w:rsidP="00CC2480">
      <w:pPr>
        <w:spacing w:line="360" w:lineRule="auto"/>
        <w:rPr>
          <w:rFonts w:ascii="Times" w:hAnsi="Times" w:cs="Times"/>
          <w:szCs w:val="20"/>
        </w:rPr>
      </w:pPr>
      <w:r w:rsidRPr="005B1792">
        <w:rPr>
          <w:rFonts w:ascii="Times" w:hAnsi="Times" w:cs="Times"/>
          <w:szCs w:val="20"/>
        </w:rPr>
        <w:t xml:space="preserve">  Certainty of evidence was assessed for each estimate based on the GRADE method (Table 1, Appendix p 19). Out of </w:t>
      </w:r>
      <w:r w:rsidRPr="005B1792">
        <w:rPr>
          <w:rFonts w:ascii="Times" w:hAnsi="Times" w:cs="Times"/>
        </w:rPr>
        <w:t>45 meta-analyses of environmental risk/protective factors, three (7%) were rated as moderate, 13 (29%) were low, and 29 (64%) were very low. Out of nine meta-analyses of biomarkers, one (11%) was rated as low and eight (89%) were very low.</w:t>
      </w:r>
      <w:r w:rsidRPr="005B1792">
        <w:rPr>
          <w:rFonts w:ascii="Times" w:hAnsi="Times" w:cs="Times"/>
          <w:szCs w:val="20"/>
        </w:rPr>
        <w:t xml:space="preserve"> </w:t>
      </w:r>
      <w:r w:rsidRPr="005B1792">
        <w:rPr>
          <w:rFonts w:ascii="Times" w:hAnsi="Times" w:cs="Times"/>
        </w:rPr>
        <w:t xml:space="preserve">Among </w:t>
      </w:r>
      <w:r w:rsidR="00BC24ED">
        <w:rPr>
          <w:rFonts w:ascii="Times" w:hAnsi="Times" w:cs="Times"/>
        </w:rPr>
        <w:t xml:space="preserve">the </w:t>
      </w:r>
      <w:r w:rsidRPr="005B1792">
        <w:rPr>
          <w:rFonts w:ascii="Times" w:hAnsi="Times" w:cs="Times"/>
        </w:rPr>
        <w:t xml:space="preserve">factors </w:t>
      </w:r>
      <w:r w:rsidRPr="005B1792">
        <w:rPr>
          <w:rFonts w:ascii="Times" w:hAnsi="Times" w:cs="Times"/>
          <w:szCs w:val="20"/>
        </w:rPr>
        <w:t>with a high level of evidence, only one (antenatal anxiety) was graded as moderate. Detailed information on the decision of certainty of evidence for each estimate is presented in appendix pp 25-27.</w:t>
      </w:r>
    </w:p>
    <w:p w14:paraId="642A858E" w14:textId="17A3F250" w:rsidR="00942FBB" w:rsidRPr="005B1792" w:rsidRDefault="00942FBB" w:rsidP="00CC2480">
      <w:pPr>
        <w:spacing w:line="360" w:lineRule="auto"/>
        <w:rPr>
          <w:rFonts w:ascii="Times" w:hAnsi="Times" w:cs="Times"/>
          <w:i/>
          <w:iCs/>
          <w:szCs w:val="20"/>
        </w:rPr>
      </w:pPr>
      <w:r w:rsidRPr="005B1792">
        <w:rPr>
          <w:rFonts w:ascii="Times" w:hAnsi="Times" w:cs="Times"/>
          <w:i/>
          <w:iCs/>
          <w:szCs w:val="20"/>
        </w:rPr>
        <w:lastRenderedPageBreak/>
        <w:t>3.6. Sensitivity analyses</w:t>
      </w:r>
    </w:p>
    <w:p w14:paraId="4E5289A7" w14:textId="475F91FE" w:rsidR="00942FBB" w:rsidRPr="005B1792" w:rsidRDefault="00942FBB" w:rsidP="00CC2480">
      <w:pPr>
        <w:spacing w:line="360" w:lineRule="auto"/>
        <w:rPr>
          <w:rFonts w:ascii="Times" w:hAnsi="Times" w:cs="Times"/>
          <w:szCs w:val="20"/>
        </w:rPr>
      </w:pPr>
      <w:r w:rsidRPr="005B1792">
        <w:rPr>
          <w:rFonts w:ascii="Times" w:hAnsi="Times" w:cs="Times"/>
          <w:szCs w:val="20"/>
        </w:rPr>
        <w:t xml:space="preserve">  Sensitivity analyses of the validated cutoff scores for meta-analyses with a high level of evidence (class I or II) were conducted. After excluding individual studies that used a lower cutoff than the validated one, 7 of 9 (78%) factors retained their level of evidence: antenatal anxiety (class I), intimate partner violence experience, intimate partner violence during pregnancy, smoking during pregnancy, history of premenstrual syndrome, any type of violence experience, and unintended pregnancy (class II), whereas the rest were downgraded to class III</w:t>
      </w:r>
      <w:r w:rsidRPr="005B1792">
        <w:rPr>
          <w:rFonts w:ascii="Times" w:hAnsi="Times" w:cs="Times"/>
        </w:rPr>
        <w:t xml:space="preserve"> or </w:t>
      </w:r>
      <w:r w:rsidRPr="005B1792">
        <w:rPr>
          <w:rFonts w:ascii="Times" w:hAnsi="Times" w:cs="Times"/>
          <w:szCs w:val="20"/>
        </w:rPr>
        <w:t xml:space="preserve">IV. Sensitivity analyses of 1) cohort (retrospective and prospective), 2) prospective cohort, and 3) adjusted study estimates for meta-analyses with a high level of evidence (class I or II) were also performed. In the cohort sensitivity analyses, five factors retained their level of evidence: antenatal anxiety, psychologic violence (class I), any type of violence experience, primiparity compared to multiparity, and unintended pregnancy (class II), </w:t>
      </w:r>
      <w:r w:rsidRPr="005B1792">
        <w:rPr>
          <w:rFonts w:ascii="Times" w:hAnsi="Times" w:cs="Times"/>
        </w:rPr>
        <w:t xml:space="preserve">whereas the rest were downgraded to </w:t>
      </w:r>
      <w:r w:rsidRPr="005B1792">
        <w:rPr>
          <w:rFonts w:ascii="Times" w:hAnsi="Times" w:cs="Times"/>
          <w:szCs w:val="20"/>
        </w:rPr>
        <w:t>class III</w:t>
      </w:r>
      <w:r w:rsidRPr="005B1792">
        <w:rPr>
          <w:rFonts w:ascii="Times" w:hAnsi="Times" w:cs="Times"/>
        </w:rPr>
        <w:t xml:space="preserve"> or </w:t>
      </w:r>
      <w:r w:rsidRPr="005B1792">
        <w:rPr>
          <w:rFonts w:ascii="Times" w:hAnsi="Times" w:cs="Times"/>
          <w:szCs w:val="20"/>
        </w:rPr>
        <w:t>IV,</w:t>
      </w:r>
      <w:r w:rsidRPr="005B1792">
        <w:rPr>
          <w:rFonts w:ascii="Times" w:hAnsi="Times" w:cs="Times"/>
        </w:rPr>
        <w:t xml:space="preserve"> or inappropriate for subgroup analysis since they included fewer than two cohort studies. In the prospective cohort subgroup analysis, the same factors retained the level of evidence except for antenatal anxiety (class </w:t>
      </w:r>
      <w:r w:rsidRPr="005B1792">
        <w:rPr>
          <w:rFonts w:ascii="Times" w:hAnsi="Times" w:cs="Times"/>
          <w:szCs w:val="20"/>
        </w:rPr>
        <w:t>I</w:t>
      </w:r>
      <w:r w:rsidRPr="005B1792">
        <w:rPr>
          <w:rFonts w:ascii="Times" w:hAnsi="Times" w:cs="Times"/>
        </w:rPr>
        <w:t xml:space="preserve"> to </w:t>
      </w:r>
      <w:r w:rsidRPr="005B1792">
        <w:rPr>
          <w:rFonts w:ascii="Times" w:hAnsi="Times" w:cs="Times"/>
          <w:szCs w:val="20"/>
        </w:rPr>
        <w:t>III)</w:t>
      </w:r>
      <w:r w:rsidRPr="005B1792">
        <w:rPr>
          <w:rFonts w:ascii="Times" w:hAnsi="Times" w:cs="Times"/>
        </w:rPr>
        <w:t>.</w:t>
      </w:r>
      <w:r w:rsidRPr="005B1792">
        <w:rPr>
          <w:rFonts w:ascii="Times" w:hAnsi="Times" w:cs="Times"/>
          <w:szCs w:val="20"/>
        </w:rPr>
        <w:t xml:space="preserve"> In the sensitivity analyses of </w:t>
      </w:r>
      <w:r w:rsidRPr="005B1792">
        <w:rPr>
          <w:rFonts w:ascii="Times" w:hAnsi="Times" w:cs="Times"/>
        </w:rPr>
        <w:t>adjusted study estimates</w:t>
      </w:r>
      <w:r w:rsidRPr="005B1792">
        <w:rPr>
          <w:rFonts w:ascii="Times" w:hAnsi="Times" w:cs="Times"/>
          <w:szCs w:val="20"/>
        </w:rPr>
        <w:t>, which was unavailable for one (intimate partner violence experience), 5 of 8 (63%) factors graded as class II: psychologic violence, intimate partner violence during pregnancy, any type of violence experience, primiparity compared to multiparity, and unintended pregnancy, whereas the rest were downgraded to class III</w:t>
      </w:r>
      <w:r w:rsidRPr="005B1792">
        <w:rPr>
          <w:rFonts w:ascii="Times" w:hAnsi="Times" w:cs="Times"/>
        </w:rPr>
        <w:t xml:space="preserve"> or </w:t>
      </w:r>
      <w:r w:rsidRPr="005B1792">
        <w:rPr>
          <w:rFonts w:ascii="Times" w:hAnsi="Times" w:cs="Times"/>
          <w:szCs w:val="20"/>
        </w:rPr>
        <w:t>IV. All statistical details of the sensitivity analyses are presented in appendix pp 20-21.</w:t>
      </w:r>
    </w:p>
    <w:p w14:paraId="4F77A92E" w14:textId="77777777" w:rsidR="00942FBB" w:rsidRPr="005B1792" w:rsidRDefault="00942FBB" w:rsidP="00CC2480">
      <w:pPr>
        <w:spacing w:line="360" w:lineRule="auto"/>
        <w:rPr>
          <w:rFonts w:ascii="Times" w:hAnsi="Times" w:cs="Times"/>
          <w:b/>
          <w:bCs/>
        </w:rPr>
      </w:pPr>
      <w:r w:rsidRPr="005B1792">
        <w:rPr>
          <w:rFonts w:ascii="Times" w:hAnsi="Times" w:cs="Times"/>
          <w:b/>
          <w:bCs/>
        </w:rPr>
        <w:t>4. Discussion</w:t>
      </w:r>
    </w:p>
    <w:p w14:paraId="3CA21790" w14:textId="77777777" w:rsidR="00942FBB" w:rsidRPr="005B1792" w:rsidRDefault="00942FBB" w:rsidP="00CC2480">
      <w:pPr>
        <w:spacing w:line="360" w:lineRule="auto"/>
        <w:rPr>
          <w:rFonts w:ascii="Times" w:hAnsi="Times" w:cs="Times"/>
          <w:i/>
          <w:iCs/>
        </w:rPr>
      </w:pPr>
      <w:r w:rsidRPr="005B1792">
        <w:rPr>
          <w:rFonts w:ascii="Times" w:hAnsi="Times" w:cs="Times"/>
          <w:i/>
          <w:iCs/>
        </w:rPr>
        <w:t>4.1. Summary of important results</w:t>
      </w:r>
    </w:p>
    <w:p w14:paraId="316EBE96" w14:textId="77777777" w:rsidR="00942FBB" w:rsidRPr="005B1792" w:rsidRDefault="00942FBB" w:rsidP="00154F7C">
      <w:pPr>
        <w:spacing w:line="360" w:lineRule="auto"/>
        <w:ind w:firstLine="195"/>
        <w:rPr>
          <w:rFonts w:ascii="Times" w:hAnsi="Times" w:cs="Times"/>
        </w:rPr>
      </w:pPr>
      <w:r w:rsidRPr="005B1792">
        <w:rPr>
          <w:rFonts w:ascii="Times" w:hAnsi="Times" w:cs="Times"/>
        </w:rPr>
        <w:t>To the best of our knowledge, this study is the first umbrella review based on the state-of-the-art evidence grading strategy, which systematically and quantitatively collected and assessed the hierarchy of evidence for environmental risk factors, protective factors, and biomarkers for postpartum depressive symptoms. Only nine associations of environmental risk factors showed evidence of high credibility (antenatal anxiety, psychological violence [class I], intimate partner violence experience, intimate partner violence during pregnancy, smoking during pregnancy, history of premenstrual syndrome, any type of violence experience, primiparity compared to multiparity, and unintended pregnancy [class II]).</w:t>
      </w:r>
    </w:p>
    <w:p w14:paraId="00926114" w14:textId="77777777" w:rsidR="00942FBB" w:rsidRPr="005B1792" w:rsidRDefault="00942FBB" w:rsidP="00CC2480">
      <w:pPr>
        <w:spacing w:line="360" w:lineRule="auto"/>
        <w:rPr>
          <w:rFonts w:ascii="Times" w:hAnsi="Times" w:cs="Times"/>
          <w:i/>
          <w:iCs/>
        </w:rPr>
      </w:pPr>
      <w:r w:rsidRPr="005B1792">
        <w:rPr>
          <w:rFonts w:ascii="Times" w:hAnsi="Times" w:cs="Times" w:hint="eastAsia"/>
          <w:i/>
          <w:iCs/>
        </w:rPr>
        <w:t>4</w:t>
      </w:r>
      <w:r w:rsidRPr="005B1792">
        <w:rPr>
          <w:rFonts w:ascii="Times" w:hAnsi="Times" w:cs="Times"/>
          <w:i/>
          <w:iCs/>
        </w:rPr>
        <w:t>.1.1 Strength of the present study</w:t>
      </w:r>
    </w:p>
    <w:p w14:paraId="289A74C6" w14:textId="17D17E1F" w:rsidR="00942FBB" w:rsidRPr="005B1792" w:rsidRDefault="00942FBB" w:rsidP="00DC02D1">
      <w:pPr>
        <w:spacing w:line="360" w:lineRule="auto"/>
        <w:rPr>
          <w:rFonts w:ascii="Times" w:hAnsi="Times" w:cs="Times"/>
        </w:rPr>
      </w:pPr>
      <w:r w:rsidRPr="00DC02D1">
        <w:rPr>
          <w:rFonts w:ascii="Times" w:hAnsi="Times" w:cs="Times"/>
        </w:rPr>
        <w:t xml:space="preserve">  Indeed, </w:t>
      </w:r>
      <w:r w:rsidRPr="005B1792">
        <w:rPr>
          <w:rFonts w:ascii="Times" w:hAnsi="Times" w:cs="Times"/>
        </w:rPr>
        <w:t xml:space="preserve">there are three previous studies </w:t>
      </w:r>
      <w:r w:rsidRPr="005B1792">
        <w:rPr>
          <w:rFonts w:ascii="Times" w:hAnsi="Times" w:cs="Times" w:hint="eastAsia"/>
        </w:rPr>
        <w:t>a</w:t>
      </w:r>
      <w:r w:rsidRPr="005B1792">
        <w:rPr>
          <w:rFonts w:ascii="Times" w:hAnsi="Times" w:cs="Times"/>
        </w:rPr>
        <w:t xml:space="preserve">ttempted to summarize the evidence on environmental risk factors of postpartum depressive symptoms </w:t>
      </w:r>
      <w:r w:rsidRPr="005B1792">
        <w:rPr>
          <w:rFonts w:ascii="Times" w:hAnsi="Times" w:cs="Times"/>
          <w:noProof/>
        </w:rPr>
        <w:t>(Gastaldon et al., 2022; Hutchens and Kearney, 2020; Zhao and Zhang, 2020)</w:t>
      </w:r>
      <w:r w:rsidRPr="005B1792">
        <w:rPr>
          <w:rFonts w:ascii="Times" w:hAnsi="Times" w:cs="Times"/>
        </w:rPr>
        <w:t xml:space="preserve">. However, two </w:t>
      </w:r>
      <w:r w:rsidR="00E70E08">
        <w:rPr>
          <w:rFonts w:ascii="Times" w:hAnsi="Times" w:cs="Times"/>
        </w:rPr>
        <w:t xml:space="preserve">reviews </w:t>
      </w:r>
      <w:r w:rsidRPr="005B1792">
        <w:rPr>
          <w:rFonts w:ascii="Times" w:hAnsi="Times" w:cs="Times"/>
          <w:noProof/>
        </w:rPr>
        <w:t>(Hutchens and Kearney, 2020; Zhao and Zhang, 2020)</w:t>
      </w:r>
      <w:r w:rsidRPr="005B1792">
        <w:rPr>
          <w:rFonts w:ascii="Times" w:hAnsi="Times" w:cs="Times"/>
        </w:rPr>
        <w:t xml:space="preserve"> did not </w:t>
      </w:r>
      <w:r w:rsidRPr="005B1792">
        <w:rPr>
          <w:rFonts w:ascii="Times" w:hAnsi="Times"/>
          <w:szCs w:val="20"/>
        </w:rPr>
        <w:t>apply a hierarchical system that can account for several types of biases</w:t>
      </w:r>
      <w:r w:rsidR="001A1768">
        <w:rPr>
          <w:rFonts w:ascii="Times" w:hAnsi="Times"/>
          <w:szCs w:val="20"/>
        </w:rPr>
        <w:t xml:space="preserve"> </w:t>
      </w:r>
      <w:r w:rsidRPr="005B1792">
        <w:rPr>
          <w:rFonts w:ascii="Times" w:hAnsi="Times"/>
          <w:noProof/>
          <w:szCs w:val="20"/>
        </w:rPr>
        <w:t>(Fusar-Poli and Radua, 2018)</w:t>
      </w:r>
      <w:r w:rsidRPr="005B1792">
        <w:rPr>
          <w:rFonts w:ascii="Times" w:hAnsi="Times"/>
          <w:szCs w:val="20"/>
        </w:rPr>
        <w:t xml:space="preserve">. Meanwhile, </w:t>
      </w:r>
      <w:proofErr w:type="spellStart"/>
      <w:r w:rsidRPr="005B1792">
        <w:rPr>
          <w:rFonts w:ascii="Times" w:hAnsi="Times"/>
          <w:szCs w:val="20"/>
        </w:rPr>
        <w:t>Gastaldon</w:t>
      </w:r>
      <w:proofErr w:type="spellEnd"/>
      <w:r w:rsidRPr="005B1792">
        <w:rPr>
          <w:rFonts w:ascii="Times" w:hAnsi="Times"/>
          <w:szCs w:val="20"/>
        </w:rPr>
        <w:t xml:space="preserve"> et al. </w:t>
      </w:r>
      <w:r w:rsidRPr="005B1792">
        <w:rPr>
          <w:rFonts w:ascii="Times" w:hAnsi="Times"/>
          <w:noProof/>
          <w:szCs w:val="20"/>
        </w:rPr>
        <w:t>(Gastaldon et al., 2022)</w:t>
      </w:r>
      <w:r w:rsidRPr="005B1792">
        <w:rPr>
          <w:rFonts w:ascii="Times" w:hAnsi="Times" w:cs="Times"/>
        </w:rPr>
        <w:t xml:space="preserve"> established a </w:t>
      </w:r>
      <w:r w:rsidRPr="005B1792">
        <w:rPr>
          <w:rFonts w:ascii="Times" w:hAnsi="Times"/>
        </w:rPr>
        <w:t xml:space="preserve">hierarchy of the evidence but </w:t>
      </w:r>
      <w:r w:rsidR="00A82E9B">
        <w:rPr>
          <w:rFonts w:ascii="Times" w:hAnsi="Times" w:cs="Times"/>
        </w:rPr>
        <w:t xml:space="preserve">reported </w:t>
      </w:r>
      <w:r w:rsidR="00C2570A">
        <w:rPr>
          <w:rFonts w:ascii="Times" w:hAnsi="Times" w:cs="Times"/>
        </w:rPr>
        <w:t xml:space="preserve">12 </w:t>
      </w:r>
      <w:r w:rsidRPr="005B1792">
        <w:rPr>
          <w:rFonts w:ascii="Times" w:hAnsi="Times"/>
        </w:rPr>
        <w:t>potential risk factors</w:t>
      </w:r>
      <w:r w:rsidR="00C2570A">
        <w:rPr>
          <w:rFonts w:ascii="Times" w:hAnsi="Times"/>
        </w:rPr>
        <w:t xml:space="preserve"> which </w:t>
      </w:r>
      <w:r w:rsidR="002218C2">
        <w:rPr>
          <w:rFonts w:ascii="Times" w:hAnsi="Times"/>
        </w:rPr>
        <w:t>is</w:t>
      </w:r>
      <w:r w:rsidR="00C2570A">
        <w:rPr>
          <w:rFonts w:ascii="Times" w:hAnsi="Times"/>
        </w:rPr>
        <w:t xml:space="preserve"> fewer than</w:t>
      </w:r>
      <w:r w:rsidRPr="005B1792">
        <w:rPr>
          <w:rFonts w:ascii="Times" w:hAnsi="Times" w:cs="Times"/>
        </w:rPr>
        <w:t xml:space="preserve"> 45 risk factors</w:t>
      </w:r>
      <w:r w:rsidR="00C2570A">
        <w:rPr>
          <w:rFonts w:ascii="Times" w:hAnsi="Times" w:cs="Times"/>
        </w:rPr>
        <w:t xml:space="preserve"> identified in our review</w:t>
      </w:r>
      <w:r w:rsidRPr="005B1792">
        <w:rPr>
          <w:rFonts w:ascii="Times" w:hAnsi="Times" w:cs="Times"/>
        </w:rPr>
        <w:t xml:space="preserve">. </w:t>
      </w:r>
      <w:r w:rsidR="00F82AE5">
        <w:rPr>
          <w:rFonts w:ascii="Times" w:hAnsi="Times" w:cs="Times"/>
        </w:rPr>
        <w:t xml:space="preserve">We also found two risk factors with convincing </w:t>
      </w:r>
      <w:r w:rsidRPr="005B1792">
        <w:rPr>
          <w:rFonts w:ascii="Times" w:hAnsi="Times" w:cs="Times"/>
        </w:rPr>
        <w:t>evidence (Class I)</w:t>
      </w:r>
      <w:r w:rsidR="00A14752">
        <w:rPr>
          <w:rFonts w:ascii="Times" w:hAnsi="Times" w:cs="Times"/>
        </w:rPr>
        <w:t xml:space="preserve"> </w:t>
      </w:r>
      <w:r w:rsidRPr="005B1792">
        <w:rPr>
          <w:rFonts w:ascii="Times" w:hAnsi="Times" w:cs="Times"/>
        </w:rPr>
        <w:t>(antenatal anxiety and psychological violence)</w:t>
      </w:r>
      <w:r w:rsidR="00A14752">
        <w:rPr>
          <w:rFonts w:ascii="Times" w:hAnsi="Times" w:cs="Times"/>
        </w:rPr>
        <w:t xml:space="preserve">, </w:t>
      </w:r>
      <w:r w:rsidR="00205173">
        <w:rPr>
          <w:rFonts w:ascii="Times" w:hAnsi="Times" w:cs="Times"/>
        </w:rPr>
        <w:t xml:space="preserve">whereas </w:t>
      </w:r>
      <w:proofErr w:type="spellStart"/>
      <w:r w:rsidR="00A14752">
        <w:rPr>
          <w:rFonts w:ascii="Times" w:hAnsi="Times" w:cs="Times"/>
        </w:rPr>
        <w:t>Gastaldon</w:t>
      </w:r>
      <w:proofErr w:type="spellEnd"/>
      <w:r w:rsidR="00A14752">
        <w:rPr>
          <w:rFonts w:ascii="Times" w:hAnsi="Times" w:cs="Times"/>
        </w:rPr>
        <w:t xml:space="preserve"> et al</w:t>
      </w:r>
      <w:r w:rsidR="00205173">
        <w:rPr>
          <w:rFonts w:ascii="Times" w:hAnsi="Times" w:cs="Times"/>
        </w:rPr>
        <w:t>. found non</w:t>
      </w:r>
      <w:r w:rsidR="004B7338">
        <w:rPr>
          <w:rFonts w:ascii="Times" w:hAnsi="Times" w:cs="Times"/>
        </w:rPr>
        <w:t>e</w:t>
      </w:r>
      <w:r w:rsidRPr="005B1792">
        <w:rPr>
          <w:rFonts w:ascii="Times" w:hAnsi="Times" w:cs="Times"/>
        </w:rPr>
        <w:t>.</w:t>
      </w:r>
      <w:r w:rsidR="00720D3B">
        <w:rPr>
          <w:rFonts w:ascii="Times" w:hAnsi="Times" w:cs="Times"/>
        </w:rPr>
        <w:t xml:space="preserve"> It should </w:t>
      </w:r>
      <w:r w:rsidR="00735E8B">
        <w:rPr>
          <w:rFonts w:ascii="Times" w:hAnsi="Times" w:cs="Times"/>
        </w:rPr>
        <w:t xml:space="preserve">also </w:t>
      </w:r>
      <w:r w:rsidR="00720D3B">
        <w:rPr>
          <w:rFonts w:ascii="Times" w:hAnsi="Times" w:cs="Times"/>
        </w:rPr>
        <w:t xml:space="preserve">be noted that the </w:t>
      </w:r>
      <w:r w:rsidR="00A27770">
        <w:rPr>
          <w:rFonts w:ascii="Times" w:hAnsi="Times" w:cs="Times"/>
        </w:rPr>
        <w:t>criteria for c</w:t>
      </w:r>
      <w:r w:rsidR="008C28A3">
        <w:rPr>
          <w:rFonts w:ascii="Times" w:hAnsi="Times" w:cs="Times"/>
        </w:rPr>
        <w:t xml:space="preserve">onvincing evidence (class </w:t>
      </w:r>
      <w:r w:rsidR="00BE6633" w:rsidRPr="005B1792">
        <w:rPr>
          <w:rFonts w:ascii="Times" w:hAnsi="Times" w:cs="Times"/>
          <w:szCs w:val="20"/>
        </w:rPr>
        <w:t>I</w:t>
      </w:r>
      <w:r w:rsidR="008C28A3">
        <w:rPr>
          <w:rFonts w:ascii="Times" w:hAnsi="Times" w:cs="Times"/>
        </w:rPr>
        <w:t>)</w:t>
      </w:r>
      <w:r w:rsidR="00A27770">
        <w:rPr>
          <w:rFonts w:ascii="Times" w:hAnsi="Times" w:cs="Times"/>
        </w:rPr>
        <w:t xml:space="preserve"> </w:t>
      </w:r>
      <w:r w:rsidR="00E85911">
        <w:rPr>
          <w:rFonts w:ascii="Times" w:hAnsi="Times" w:cs="Times"/>
        </w:rPr>
        <w:t xml:space="preserve">is </w:t>
      </w:r>
      <w:r w:rsidR="00BF128C">
        <w:rPr>
          <w:rFonts w:ascii="Times" w:hAnsi="Times" w:cs="Times"/>
        </w:rPr>
        <w:t>stricter</w:t>
      </w:r>
      <w:r w:rsidR="00E85911">
        <w:rPr>
          <w:rFonts w:ascii="Times" w:hAnsi="Times" w:cs="Times"/>
        </w:rPr>
        <w:t xml:space="preserve"> in our review than </w:t>
      </w:r>
      <w:r w:rsidR="006A3F75">
        <w:rPr>
          <w:rFonts w:ascii="Times" w:hAnsi="Times" w:cs="Times"/>
        </w:rPr>
        <w:t xml:space="preserve">the </w:t>
      </w:r>
      <w:r w:rsidR="00FE6204">
        <w:rPr>
          <w:rFonts w:ascii="Times" w:hAnsi="Times" w:cs="Times"/>
        </w:rPr>
        <w:t xml:space="preserve">review </w:t>
      </w:r>
      <w:r w:rsidR="00EF7A2A">
        <w:rPr>
          <w:rFonts w:ascii="Times" w:hAnsi="Times" w:cs="Times"/>
        </w:rPr>
        <w:t xml:space="preserve">by </w:t>
      </w:r>
      <w:proofErr w:type="spellStart"/>
      <w:r w:rsidR="00FE6204">
        <w:rPr>
          <w:rFonts w:ascii="Times" w:hAnsi="Times" w:cs="Times"/>
        </w:rPr>
        <w:t>Gastaldon</w:t>
      </w:r>
      <w:proofErr w:type="spellEnd"/>
      <w:r w:rsidR="00FE6204">
        <w:rPr>
          <w:rFonts w:ascii="Times" w:hAnsi="Times" w:cs="Times"/>
        </w:rPr>
        <w:t xml:space="preserve"> et al.</w:t>
      </w:r>
      <w:r w:rsidRPr="005B1792">
        <w:rPr>
          <w:rFonts w:ascii="Times" w:hAnsi="Times"/>
        </w:rPr>
        <w:t xml:space="preserve">, </w:t>
      </w:r>
      <w:r w:rsidR="00CF4D3F">
        <w:rPr>
          <w:rFonts w:ascii="Times" w:hAnsi="Times"/>
        </w:rPr>
        <w:t>given that</w:t>
      </w:r>
      <w:r w:rsidR="004750DA">
        <w:rPr>
          <w:rFonts w:ascii="Times" w:hAnsi="Times"/>
        </w:rPr>
        <w:t xml:space="preserve"> we </w:t>
      </w:r>
      <w:r w:rsidR="002A39E7">
        <w:rPr>
          <w:rFonts w:ascii="Times" w:hAnsi="Times"/>
        </w:rPr>
        <w:t xml:space="preserve">used </w:t>
      </w:r>
      <w:r w:rsidR="004750DA">
        <w:rPr>
          <w:rFonts w:ascii="Times" w:hAnsi="Times"/>
        </w:rPr>
        <w:lastRenderedPageBreak/>
        <w:t>10%</w:t>
      </w:r>
      <w:r w:rsidRPr="005B1792">
        <w:rPr>
          <w:rFonts w:ascii="Times" w:hAnsi="Times"/>
        </w:rPr>
        <w:t xml:space="preserve"> </w:t>
      </w:r>
      <w:r w:rsidRPr="005B1792">
        <w:rPr>
          <w:rFonts w:ascii="Times" w:hAnsi="Times" w:cs="Times"/>
          <w:szCs w:val="20"/>
        </w:rPr>
        <w:t>credibility ceilings test</w:t>
      </w:r>
      <w:r w:rsidRPr="005B1792">
        <w:rPr>
          <w:rFonts w:ascii="Times" w:hAnsi="Times" w:cs="Times"/>
        </w:rPr>
        <w:t>, which was introduced in</w:t>
      </w:r>
      <w:r w:rsidRPr="005B1792">
        <w:rPr>
          <w:rFonts w:ascii="Times" w:hAnsi="Times" w:cs="Times"/>
          <w:szCs w:val="20"/>
        </w:rPr>
        <w:t xml:space="preserve"> previous umbrella review</w:t>
      </w:r>
      <w:r w:rsidRPr="005B1792">
        <w:rPr>
          <w:rFonts w:ascii="Times" w:hAnsi="Times" w:cs="Times" w:hint="eastAsia"/>
          <w:szCs w:val="20"/>
        </w:rPr>
        <w:t>s</w:t>
      </w:r>
      <w:r w:rsidRPr="005B1792">
        <w:rPr>
          <w:rFonts w:ascii="Times" w:hAnsi="Times" w:cs="Times"/>
          <w:szCs w:val="20"/>
        </w:rPr>
        <w:t xml:space="preserve"> </w:t>
      </w:r>
      <w:r w:rsidRPr="005B1792">
        <w:rPr>
          <w:rFonts w:ascii="Times" w:hAnsi="Times" w:cs="Times"/>
          <w:noProof/>
          <w:szCs w:val="20"/>
        </w:rPr>
        <w:t>(Kim et al., 2020; Kim et al., 2019)</w:t>
      </w:r>
      <w:r w:rsidR="00B30B50">
        <w:rPr>
          <w:rFonts w:ascii="Times" w:hAnsi="Times" w:cs="Times"/>
          <w:noProof/>
          <w:szCs w:val="20"/>
        </w:rPr>
        <w:t xml:space="preserve">, and </w:t>
      </w:r>
      <w:r w:rsidR="00721156">
        <w:rPr>
          <w:rFonts w:ascii="Times" w:hAnsi="Times" w:cs="Times"/>
          <w:noProof/>
          <w:szCs w:val="20"/>
        </w:rPr>
        <w:t xml:space="preserve">we </w:t>
      </w:r>
      <w:r w:rsidR="006D0AFA" w:rsidRPr="005B1792">
        <w:rPr>
          <w:rFonts w:ascii="Times" w:hAnsi="Times" w:cs="Times"/>
          <w:szCs w:val="20"/>
        </w:rPr>
        <w:t xml:space="preserve">also </w:t>
      </w:r>
      <w:r w:rsidRPr="005B1792">
        <w:rPr>
          <w:rFonts w:ascii="Times" w:hAnsi="Times" w:cs="Times"/>
          <w:szCs w:val="20"/>
        </w:rPr>
        <w:t>used a novel p-curve analysis</w:t>
      </w:r>
      <w:r w:rsidR="006C3EB4">
        <w:rPr>
          <w:rFonts w:ascii="Times" w:hAnsi="Times" w:cs="Times"/>
          <w:szCs w:val="20"/>
        </w:rPr>
        <w:t xml:space="preserve"> to detect p hacking</w:t>
      </w:r>
      <w:r w:rsidRPr="005B1792">
        <w:rPr>
          <w:rFonts w:ascii="Times" w:hAnsi="Times" w:cs="Times"/>
          <w:szCs w:val="20"/>
        </w:rPr>
        <w:t xml:space="preserve">. Lastly, we </w:t>
      </w:r>
      <w:r w:rsidRPr="005B1792">
        <w:rPr>
          <w:rFonts w:ascii="Times" w:hAnsi="Times"/>
        </w:rPr>
        <w:t xml:space="preserve">endeavored to </w:t>
      </w:r>
      <w:r w:rsidRPr="005B1792">
        <w:rPr>
          <w:rFonts w:ascii="Times" w:hAnsi="Times" w:cs="Times"/>
          <w:szCs w:val="20"/>
        </w:rPr>
        <w:t>address</w:t>
      </w:r>
      <w:r w:rsidR="003A6317">
        <w:rPr>
          <w:rFonts w:ascii="Times" w:hAnsi="Times" w:cs="Times"/>
          <w:szCs w:val="20"/>
        </w:rPr>
        <w:t xml:space="preserve"> the</w:t>
      </w:r>
      <w:r w:rsidRPr="005B1792">
        <w:rPr>
          <w:rFonts w:ascii="Times" w:hAnsi="Times" w:cs="Times"/>
          <w:szCs w:val="20"/>
        </w:rPr>
        <w:t xml:space="preserve"> underlying biological and/or behavioral mechanisms in detail for each risk factors with high level of evidence (class </w:t>
      </w:r>
      <w:r w:rsidRPr="005B1792">
        <w:rPr>
          <w:rFonts w:ascii="Times" w:hAnsi="Times"/>
        </w:rPr>
        <w:t>I and II).</w:t>
      </w:r>
    </w:p>
    <w:p w14:paraId="487EA503" w14:textId="77777777" w:rsidR="00942FBB" w:rsidRPr="005B1792" w:rsidRDefault="00942FBB" w:rsidP="00CC2480">
      <w:pPr>
        <w:spacing w:line="360" w:lineRule="auto"/>
        <w:rPr>
          <w:rFonts w:ascii="Times" w:hAnsi="Times" w:cs="Times"/>
          <w:i/>
          <w:iCs/>
        </w:rPr>
      </w:pPr>
      <w:r w:rsidRPr="005B1792">
        <w:rPr>
          <w:rFonts w:ascii="Times" w:hAnsi="Times" w:cs="Times"/>
          <w:i/>
          <w:iCs/>
        </w:rPr>
        <w:t>4.2. Psychological violence, intimate partner violence experience, intimate partner violence during pregnancy, and any type of violence experience</w:t>
      </w:r>
    </w:p>
    <w:p w14:paraId="3D8D3473" w14:textId="5C7D149E" w:rsidR="00942FBB" w:rsidRPr="005B1792" w:rsidRDefault="00942FBB" w:rsidP="00CC2480">
      <w:pPr>
        <w:spacing w:line="360" w:lineRule="auto"/>
        <w:rPr>
          <w:rFonts w:ascii="Times" w:hAnsi="Times" w:cs="Times"/>
        </w:rPr>
      </w:pPr>
      <w:r w:rsidRPr="005B1792">
        <w:rPr>
          <w:rFonts w:ascii="Times" w:hAnsi="Times" w:cs="Times"/>
        </w:rPr>
        <w:t xml:space="preserve">  Various types of violence against the mother (psychological violence </w:t>
      </w:r>
      <w:r w:rsidRPr="005B1792">
        <w:rPr>
          <w:rFonts w:ascii="Times" w:hAnsi="Times" w:cs="Times"/>
          <w:noProof/>
        </w:rPr>
        <w:t>(Zhang et al., 2019)</w:t>
      </w:r>
      <w:r w:rsidRPr="005B1792">
        <w:rPr>
          <w:rFonts w:ascii="Times" w:hAnsi="Times" w:cs="Times"/>
        </w:rPr>
        <w:t xml:space="preserve"> [class I]; intimate partner violence experience </w:t>
      </w:r>
      <w:r w:rsidRPr="005B1792">
        <w:rPr>
          <w:rFonts w:ascii="Times" w:hAnsi="Times" w:cs="Times"/>
          <w:noProof/>
        </w:rPr>
        <w:t>(Howard et al., 2013)</w:t>
      </w:r>
      <w:r w:rsidRPr="005B1792">
        <w:rPr>
          <w:rFonts w:ascii="Times" w:hAnsi="Times" w:cs="Times"/>
        </w:rPr>
        <w:t xml:space="preserve">, intimate partner violence during pregnancy </w:t>
      </w:r>
      <w:r w:rsidRPr="005B1792">
        <w:rPr>
          <w:rFonts w:ascii="Times" w:hAnsi="Times" w:cs="Times"/>
          <w:noProof/>
        </w:rPr>
        <w:t>(Beydoun et al., 2012),</w:t>
      </w:r>
      <w:r w:rsidRPr="005B1792">
        <w:rPr>
          <w:rFonts w:ascii="Times" w:hAnsi="Times" w:cs="Times"/>
        </w:rPr>
        <w:t xml:space="preserve"> and any type of violence experience </w:t>
      </w:r>
      <w:r w:rsidRPr="005B1792">
        <w:rPr>
          <w:rFonts w:ascii="Times" w:hAnsi="Times" w:cs="Times"/>
          <w:noProof/>
        </w:rPr>
        <w:t>(Zhang et al., 2019)</w:t>
      </w:r>
      <w:r w:rsidRPr="005B1792">
        <w:rPr>
          <w:rFonts w:ascii="Times" w:hAnsi="Times" w:cs="Times"/>
        </w:rPr>
        <w:t xml:space="preserve"> [class II]) were associated with a higher risk of postpartum depressive symptoms. Of note, psychological violence was downgraded to class III in the sensitivity analysis of the validated cutoff scores, while others were not. Though the underlying mechanism is unclear, given that violence against the mother is a type of stress, stress-related neuroendocrine dysfunction and gene-stress interaction seem to be the most plausible explanations. The former suggests that the unbalanced secretion of glucocorticoids, the final product of the hypothalamic-pituitary-adrenal (HPA) axis, which is activated by a stress response, may affect psychological function, leading to depression </w:t>
      </w:r>
      <w:r w:rsidRPr="005B1792">
        <w:rPr>
          <w:rFonts w:ascii="Times" w:hAnsi="Times" w:cs="Times"/>
          <w:noProof/>
        </w:rPr>
        <w:t>(Brummelte and Galea, 2010; Meltzer-Brody, 2011)</w:t>
      </w:r>
      <w:r w:rsidRPr="005B1792">
        <w:rPr>
          <w:rFonts w:ascii="Times" w:hAnsi="Times" w:cs="Times"/>
        </w:rPr>
        <w:t xml:space="preserve">. The latter proposes that reduced activity of brain-derived neurotrophic factors resulting from stressful events may lead to the diminished function of brain regions, including those involved in emotional processing and cognition, and eventually, subsequent changes in mood and depression </w:t>
      </w:r>
      <w:r w:rsidRPr="005B1792">
        <w:rPr>
          <w:rFonts w:ascii="Times" w:hAnsi="Times" w:cs="Times"/>
          <w:noProof/>
        </w:rPr>
        <w:t>(Begni et al., 2017; Brunoni et al., 2008; Molendijk et al., 2014)</w:t>
      </w:r>
      <w:r w:rsidRPr="005B1792">
        <w:rPr>
          <w:rFonts w:ascii="Times" w:hAnsi="Times" w:cs="Times"/>
        </w:rPr>
        <w:t xml:space="preserve">. Notably, </w:t>
      </w:r>
      <w:proofErr w:type="gramStart"/>
      <w:r w:rsidRPr="005B1792">
        <w:rPr>
          <w:rFonts w:ascii="Times" w:hAnsi="Times" w:cs="Times"/>
        </w:rPr>
        <w:t>the majority of</w:t>
      </w:r>
      <w:proofErr w:type="gramEnd"/>
      <w:r w:rsidRPr="005B1792">
        <w:rPr>
          <w:rFonts w:ascii="Times" w:hAnsi="Times" w:cs="Times"/>
        </w:rPr>
        <w:t xml:space="preserve"> factors related to violence against the mother —including class I, II, and also others —had </w:t>
      </w:r>
      <w:r w:rsidRPr="005B1792">
        <w:rPr>
          <w:rFonts w:ascii="Times" w:hAnsi="Times" w:cs="Times" w:hint="eastAsia"/>
        </w:rPr>
        <w:t>effect</w:t>
      </w:r>
      <w:r w:rsidRPr="005B1792">
        <w:rPr>
          <w:rFonts w:ascii="Times" w:hAnsi="Times" w:cs="Times"/>
        </w:rPr>
        <w:t xml:space="preserve"> sizes larger than two. In this regard, the violence experience of the mother may be a robust predictor of postpartum depressive symptoms despite its somewhat large heterogeneity. These findings emphasize the necessity of screening for domestic and intimate partner violence and promoting maternal mental health.</w:t>
      </w:r>
    </w:p>
    <w:p w14:paraId="6D220587" w14:textId="77777777" w:rsidR="00942FBB" w:rsidRPr="005B1792" w:rsidRDefault="00942FBB" w:rsidP="00CC2480">
      <w:pPr>
        <w:spacing w:line="360" w:lineRule="auto"/>
        <w:rPr>
          <w:rFonts w:ascii="Times" w:hAnsi="Times" w:cs="Times"/>
          <w:i/>
          <w:iCs/>
        </w:rPr>
      </w:pPr>
      <w:r w:rsidRPr="005B1792">
        <w:rPr>
          <w:rFonts w:ascii="Times" w:hAnsi="Times" w:cs="Times"/>
          <w:i/>
          <w:iCs/>
        </w:rPr>
        <w:t>4.3. Antenatal anxiety</w:t>
      </w:r>
    </w:p>
    <w:p w14:paraId="4D3AFF82" w14:textId="14C139A1" w:rsidR="00942FBB" w:rsidRPr="005B1792" w:rsidRDefault="00942FBB" w:rsidP="008959D2">
      <w:pPr>
        <w:spacing w:line="360" w:lineRule="auto"/>
        <w:ind w:firstLine="195"/>
        <w:rPr>
          <w:rFonts w:ascii="Times" w:hAnsi="Times" w:cs="Times"/>
        </w:rPr>
      </w:pPr>
      <w:r w:rsidRPr="005B1792">
        <w:rPr>
          <w:rFonts w:ascii="Times" w:hAnsi="Times" w:cs="Times"/>
        </w:rPr>
        <w:t xml:space="preserve">Antenatal anxiety </w:t>
      </w:r>
      <w:r w:rsidRPr="005B1792">
        <w:rPr>
          <w:rFonts w:ascii="Times" w:hAnsi="Times" w:cs="Times"/>
          <w:noProof/>
        </w:rPr>
        <w:t>(Grigoriadis et al., 2019)</w:t>
      </w:r>
      <w:r w:rsidRPr="005B1792">
        <w:rPr>
          <w:rFonts w:ascii="Times" w:hAnsi="Times" w:cs="Times"/>
        </w:rPr>
        <w:t xml:space="preserve"> provided convincing evidence for increasing the risk of postpartum depressive symptoms with an effect size larger than two (OR 2.64, 95% CI 2.02-3.46), retaining convincing evidence in sensitivity analysis of the validated cutoff scores. Notably, antenatal anxiety showed moderate certainty of evidence according to the GRADE method even though its analysis only contained observational studies. It should be mentioned that the factor is simply anxiety, which represents symptoms rather than the disorder. Indeed, individual studies in the meta-analysis included not only those that used the diagnostic criteria of anxiety disorder but also those that used anxiety </w:t>
      </w:r>
      <w:r w:rsidRPr="005B1792">
        <w:rPr>
          <w:rFonts w:ascii="Times" w:hAnsi="Times" w:cs="Times" w:hint="eastAsia"/>
        </w:rPr>
        <w:t>questionnaire</w:t>
      </w:r>
      <w:r w:rsidRPr="005B1792">
        <w:rPr>
          <w:rFonts w:ascii="Times" w:hAnsi="Times" w:cs="Times"/>
        </w:rPr>
        <w:t xml:space="preserve"> scores (e.g., </w:t>
      </w:r>
      <w:r w:rsidRPr="005B1792">
        <w:rPr>
          <w:rFonts w:ascii="Times" w:hAnsi="Times" w:cs="Times" w:hint="eastAsia"/>
        </w:rPr>
        <w:t>state-trait</w:t>
      </w:r>
      <w:r w:rsidRPr="005B1792">
        <w:rPr>
          <w:rFonts w:ascii="Times" w:hAnsi="Times" w:cs="Times"/>
        </w:rPr>
        <w:t xml:space="preserve"> anxiety inventory-trait score itself) or an additional cut-off system (e.g., </w:t>
      </w:r>
      <w:r w:rsidRPr="005B1792">
        <w:rPr>
          <w:rFonts w:ascii="Times" w:hAnsi="Times" w:cs="Times" w:hint="eastAsia"/>
        </w:rPr>
        <w:t>state-trait</w:t>
      </w:r>
      <w:r w:rsidRPr="005B1792">
        <w:rPr>
          <w:rFonts w:ascii="Times" w:hAnsi="Times" w:cs="Times"/>
        </w:rPr>
        <w:t xml:space="preserve"> anxiety inventory-trait score &gt; 45). Of note, the latter distinguished excessively anxious mothers from those experiencing anxiety of a normal range by setting certain cutoff scores such as one standard deviation above the mean or the top 25</w:t>
      </w:r>
      <w:r w:rsidRPr="005B1792">
        <w:rPr>
          <w:rFonts w:ascii="Times" w:hAnsi="Times" w:cs="Times"/>
          <w:vertAlign w:val="superscript"/>
        </w:rPr>
        <w:t>th</w:t>
      </w:r>
      <w:r w:rsidRPr="005B1792">
        <w:rPr>
          <w:rFonts w:ascii="Times" w:hAnsi="Times" w:cs="Times"/>
        </w:rPr>
        <w:t xml:space="preserve"> percentile. In terms of anxiety disorders, antenatal social phobia </w:t>
      </w:r>
      <w:r w:rsidRPr="005B1792">
        <w:rPr>
          <w:rFonts w:ascii="Times" w:hAnsi="Times" w:cs="Times"/>
          <w:noProof/>
        </w:rPr>
        <w:t>(Coelho et al., 2011)</w:t>
      </w:r>
      <w:r w:rsidRPr="005B1792">
        <w:rPr>
          <w:rFonts w:ascii="Times" w:hAnsi="Times" w:cs="Times"/>
        </w:rPr>
        <w:t xml:space="preserve">, generalized anxiety disorder </w:t>
      </w:r>
      <w:r w:rsidRPr="005B1792">
        <w:rPr>
          <w:rFonts w:ascii="Times" w:hAnsi="Times" w:cs="Times"/>
          <w:noProof/>
        </w:rPr>
        <w:t>(Coelho et al., 2011)</w:t>
      </w:r>
      <w:r w:rsidRPr="005B1792">
        <w:rPr>
          <w:rFonts w:ascii="Times" w:hAnsi="Times" w:cs="Times"/>
        </w:rPr>
        <w:t xml:space="preserve">, and panic disorder </w:t>
      </w:r>
      <w:r w:rsidRPr="005B1792">
        <w:rPr>
          <w:rFonts w:ascii="Times" w:hAnsi="Times" w:cs="Times"/>
          <w:noProof/>
        </w:rPr>
        <w:t>(Rambelli et al., 2010)</w:t>
      </w:r>
      <w:r w:rsidRPr="005B1792">
        <w:rPr>
          <w:rFonts w:ascii="Times" w:hAnsi="Times" w:cs="Times"/>
        </w:rPr>
        <w:t xml:space="preserve"> are also suggested to be independent risk factors for postpartum depressive symptoms </w:t>
      </w:r>
      <w:r w:rsidRPr="005B1792">
        <w:rPr>
          <w:rFonts w:ascii="Times" w:hAnsi="Times" w:cs="Times"/>
        </w:rPr>
        <w:lastRenderedPageBreak/>
        <w:t xml:space="preserve">respectively. Although robust biological mechanisms have yet to be identified, it is important to point out that 1) anxiety symptoms are frequently reported in pregnancy and often even considered a typical experience of pregnancy, and 2) problematic anxiety symptoms in pregnancy were not well distinguished from normal anxiety, and thereby the anxiety symptoms of mothers should not simply </w:t>
      </w:r>
      <w:proofErr w:type="gramStart"/>
      <w:r w:rsidRPr="005B1792">
        <w:rPr>
          <w:rFonts w:ascii="Times" w:hAnsi="Times" w:cs="Times"/>
        </w:rPr>
        <w:t>be considered to be</w:t>
      </w:r>
      <w:proofErr w:type="gramEnd"/>
      <w:r w:rsidRPr="005B1792">
        <w:rPr>
          <w:rFonts w:ascii="Times" w:hAnsi="Times" w:cs="Times"/>
        </w:rPr>
        <w:t xml:space="preserve"> a normal adaptive part of pregnancy. </w:t>
      </w:r>
    </w:p>
    <w:p w14:paraId="6B68F49E" w14:textId="77777777" w:rsidR="00942FBB" w:rsidRPr="005B1792" w:rsidRDefault="00942FBB" w:rsidP="00CC2480">
      <w:pPr>
        <w:spacing w:line="360" w:lineRule="auto"/>
        <w:rPr>
          <w:rFonts w:ascii="Times" w:hAnsi="Times" w:cs="Times"/>
          <w:i/>
          <w:iCs/>
        </w:rPr>
      </w:pPr>
      <w:r w:rsidRPr="005B1792">
        <w:rPr>
          <w:rFonts w:ascii="Times" w:hAnsi="Times" w:cs="Times"/>
          <w:i/>
          <w:iCs/>
        </w:rPr>
        <w:t>4.4. Smoking during pregnancy</w:t>
      </w:r>
    </w:p>
    <w:p w14:paraId="347D3BCC" w14:textId="3A81709C" w:rsidR="00942FBB" w:rsidRPr="005B1792" w:rsidRDefault="00942FBB" w:rsidP="00CA4669">
      <w:pPr>
        <w:spacing w:line="360" w:lineRule="auto"/>
        <w:ind w:firstLine="195"/>
        <w:rPr>
          <w:rFonts w:ascii="Times" w:hAnsi="Times" w:cs="Times"/>
        </w:rPr>
      </w:pPr>
      <w:r w:rsidRPr="005B1792">
        <w:rPr>
          <w:rFonts w:ascii="Times" w:hAnsi="Times" w:cs="Times"/>
        </w:rPr>
        <w:t xml:space="preserve">Smoking during pregnancy </w:t>
      </w:r>
      <w:r w:rsidRPr="005B1792">
        <w:rPr>
          <w:rFonts w:ascii="Times" w:hAnsi="Times" w:cs="Times"/>
          <w:noProof/>
        </w:rPr>
        <w:t>(Chen et al., 2019)</w:t>
      </w:r>
      <w:r w:rsidRPr="005B1792">
        <w:rPr>
          <w:rFonts w:ascii="Times" w:hAnsi="Times" w:cs="Times"/>
        </w:rPr>
        <w:t xml:space="preserve"> was associated with an increased risk of postpartum depressive symptoms with highly suggestive evidence, retaining the level of evidence in sensitivity analysis of the validated cutoff scores while downgraded to weak in other sensitivity analyses. Regarding its biological mechanisms, it has been proposed that smoking may have anti-estrogenic effects by disrupting endogenous estrogen biosynthesis and bioavailability </w:t>
      </w:r>
      <w:r w:rsidRPr="005B1792">
        <w:rPr>
          <w:rFonts w:ascii="Times" w:hAnsi="Times" w:cs="Times"/>
          <w:noProof/>
        </w:rPr>
        <w:t>(Baron, 1984; Ruan and Mueck, 2015)</w:t>
      </w:r>
      <w:r w:rsidRPr="005B1792">
        <w:rPr>
          <w:rFonts w:ascii="Times" w:hAnsi="Times" w:cs="Times"/>
        </w:rPr>
        <w:t xml:space="preserve">, given that women are prone to mood fluctuation during the period when hormone levels (especially sex steroid hormones such as estrogen and progesterone) change rapidly </w:t>
      </w:r>
      <w:r w:rsidRPr="005B1792">
        <w:rPr>
          <w:rFonts w:ascii="Times" w:hAnsi="Times" w:cs="Times"/>
          <w:noProof/>
        </w:rPr>
        <w:t>(Schiller et al., 2015)</w:t>
      </w:r>
      <w:r w:rsidRPr="005B1792">
        <w:rPr>
          <w:rFonts w:ascii="Times" w:hAnsi="Times" w:cs="Times"/>
        </w:rPr>
        <w:t xml:space="preserve">. HPA axis activation due to immune system alteration </w:t>
      </w:r>
      <w:r w:rsidRPr="005B1792">
        <w:rPr>
          <w:rFonts w:ascii="Times" w:hAnsi="Times" w:cs="Times"/>
          <w:noProof/>
        </w:rPr>
        <w:t>(Lee et al., 2012; McEvoy et al., 2015; Pace and Miller, 2009)</w:t>
      </w:r>
      <w:r w:rsidRPr="005B1792">
        <w:rPr>
          <w:rFonts w:ascii="Times" w:hAnsi="Times" w:cs="Times"/>
        </w:rPr>
        <w:t>,</w:t>
      </w:r>
      <w:r w:rsidRPr="005B1792">
        <w:rPr>
          <w:rFonts w:ascii="Times" w:hAnsi="Times" w:cs="Times"/>
          <w:noProof/>
        </w:rPr>
        <w:t xml:space="preserve"> </w:t>
      </w:r>
      <w:r w:rsidRPr="005B1792">
        <w:rPr>
          <w:rFonts w:ascii="Times" w:hAnsi="Times" w:cs="Times"/>
        </w:rPr>
        <w:t xml:space="preserve">increased oxidative stress </w:t>
      </w:r>
      <w:r w:rsidRPr="005B1792">
        <w:rPr>
          <w:rFonts w:ascii="Times" w:hAnsi="Times" w:cs="Times"/>
          <w:noProof/>
        </w:rPr>
        <w:t>(Black et al., 2015; Yanbaeva et al., 2007)</w:t>
      </w:r>
      <w:r w:rsidRPr="005B1792">
        <w:rPr>
          <w:rFonts w:ascii="Times" w:hAnsi="Times" w:cs="Times"/>
        </w:rPr>
        <w:t xml:space="preserve">, and nicotine acetylcholine receptors </w:t>
      </w:r>
      <w:r w:rsidRPr="005B1792">
        <w:rPr>
          <w:rFonts w:ascii="Times" w:hAnsi="Times" w:cs="Times"/>
          <w:noProof/>
        </w:rPr>
        <w:t>(Philip et al., 2010)</w:t>
      </w:r>
      <w:r w:rsidRPr="005B1792">
        <w:rPr>
          <w:rFonts w:ascii="Times" w:hAnsi="Times" w:cs="Times"/>
        </w:rPr>
        <w:t xml:space="preserve"> induced by smoking are other potential mechanisms. Meanwhile, numerous investigations have been conducted regarding the various smoking cessation patterns and corresponding risk of postpartum depressive symptoms. </w:t>
      </w:r>
      <w:proofErr w:type="spellStart"/>
      <w:r w:rsidRPr="005B1792">
        <w:rPr>
          <w:rFonts w:ascii="Times" w:hAnsi="Times" w:cs="Times"/>
        </w:rPr>
        <w:t>Salimi</w:t>
      </w:r>
      <w:proofErr w:type="spellEnd"/>
      <w:r w:rsidRPr="005B1792">
        <w:rPr>
          <w:rFonts w:ascii="Times" w:hAnsi="Times" w:cs="Times"/>
        </w:rPr>
        <w:t xml:space="preserve"> et al. </w:t>
      </w:r>
      <w:r w:rsidRPr="005B1792">
        <w:rPr>
          <w:rFonts w:ascii="Times" w:hAnsi="Times" w:cs="Times"/>
          <w:noProof/>
        </w:rPr>
        <w:t>(Salimi et al., 2015)</w:t>
      </w:r>
      <w:r w:rsidRPr="005B1792">
        <w:rPr>
          <w:rFonts w:ascii="Times" w:hAnsi="Times" w:cs="Times"/>
        </w:rPr>
        <w:t xml:space="preserve"> reported the odds of postpartum depressive symptoms in women who quit smoking during the final 3 months of pregnancy but resumed after parturition (OR 1.28, 1.06-1.53) and who did not quit at all (OR 1.48, 1.26-1.73) compared to those who quit during the final 3 months of pregnancy and remained non-smokers after parturition. Although using a less rigorous definition of postpartum depression, this finding demonstrates that smoking cessation is important not only before or during pregnancy but also in the postpartum period to prevent postpartum depressive symptoms. In addition, passive smoking should also be avoided </w:t>
      </w:r>
      <w:r w:rsidRPr="005B1792">
        <w:rPr>
          <w:rFonts w:ascii="Times" w:hAnsi="Times" w:cs="Times"/>
          <w:noProof/>
        </w:rPr>
        <w:t>(Song et al., 2019)</w:t>
      </w:r>
      <w:r w:rsidRPr="005B1792">
        <w:rPr>
          <w:rFonts w:ascii="Times" w:hAnsi="Times" w:cs="Times"/>
        </w:rPr>
        <w:t xml:space="preserve">. Potential confounders of the association should be accounted for, such as prenatal stressful events which may be associated with both smoking and postpartum depressive symptoms </w:t>
      </w:r>
      <w:r w:rsidRPr="005B1792">
        <w:rPr>
          <w:rFonts w:ascii="Times" w:hAnsi="Times" w:cs="Times"/>
          <w:noProof/>
        </w:rPr>
        <w:t>(Kassel et al., 2003; Necho et al., 2020)</w:t>
      </w:r>
      <w:r w:rsidRPr="005B1792">
        <w:rPr>
          <w:rFonts w:ascii="Times" w:hAnsi="Times" w:cs="Times"/>
        </w:rPr>
        <w:t>.</w:t>
      </w:r>
    </w:p>
    <w:p w14:paraId="436BD840" w14:textId="77777777" w:rsidR="00942FBB" w:rsidRPr="005B1792" w:rsidRDefault="00942FBB" w:rsidP="00CC2480">
      <w:pPr>
        <w:spacing w:line="360" w:lineRule="auto"/>
        <w:rPr>
          <w:rFonts w:ascii="Times" w:hAnsi="Times" w:cs="Times"/>
          <w:i/>
          <w:iCs/>
        </w:rPr>
      </w:pPr>
      <w:r w:rsidRPr="005B1792">
        <w:rPr>
          <w:rFonts w:ascii="Times" w:hAnsi="Times" w:cs="Times"/>
          <w:i/>
          <w:iCs/>
        </w:rPr>
        <w:t>4.5. History of premenstrual syndrome</w:t>
      </w:r>
    </w:p>
    <w:p w14:paraId="1B53F29C" w14:textId="06158C53" w:rsidR="00942FBB" w:rsidRPr="005B1792" w:rsidRDefault="00942FBB" w:rsidP="00CC2480">
      <w:pPr>
        <w:spacing w:line="360" w:lineRule="auto"/>
        <w:ind w:firstLine="195"/>
        <w:rPr>
          <w:rFonts w:ascii="Times" w:hAnsi="Times" w:cs="Times"/>
        </w:rPr>
      </w:pPr>
      <w:r w:rsidRPr="005B1792">
        <w:rPr>
          <w:rFonts w:ascii="Times" w:hAnsi="Times" w:cs="Times"/>
        </w:rPr>
        <w:t xml:space="preserve">History of premenstrual syndrome </w:t>
      </w:r>
      <w:r w:rsidRPr="005B1792">
        <w:rPr>
          <w:rFonts w:ascii="Times" w:hAnsi="Times" w:cs="Times"/>
          <w:noProof/>
        </w:rPr>
        <w:t xml:space="preserve">(Cao et al., 2020) </w:t>
      </w:r>
      <w:r w:rsidRPr="005B1792">
        <w:rPr>
          <w:rFonts w:ascii="Times" w:hAnsi="Times" w:cs="Times"/>
        </w:rPr>
        <w:t xml:space="preserve">was associated with an increased risk of postpartum depressive symptoms with highly suggestive evidence, retaining the level of evidence in sensitivity analysis of the validated cutoff scores while downgraded to weak in other sensitivity analyses. This association is noteworthy because premenstrual syndrome has a high prevalence of around 70% </w:t>
      </w:r>
      <w:r w:rsidRPr="005B1792">
        <w:rPr>
          <w:rFonts w:ascii="Times" w:hAnsi="Times" w:cs="Times"/>
          <w:noProof/>
        </w:rPr>
        <w:t>(Ranjbaran et al., 2017)</w:t>
      </w:r>
      <w:r w:rsidRPr="005B1792">
        <w:rPr>
          <w:rFonts w:ascii="Times" w:hAnsi="Times" w:cs="Times"/>
        </w:rPr>
        <w:t xml:space="preserve">. Regarding its underlying mechanisms, increased sensitivity to hormonal fluctuation has been suggested to be the most plausible one </w:t>
      </w:r>
      <w:r w:rsidRPr="005B1792">
        <w:rPr>
          <w:rFonts w:ascii="Times" w:hAnsi="Times" w:cs="Times"/>
          <w:noProof/>
        </w:rPr>
        <w:t>(Schiller et al., 2016; Yonkers et al., 2008)</w:t>
      </w:r>
      <w:r w:rsidRPr="005B1792">
        <w:rPr>
          <w:rFonts w:ascii="Times" w:hAnsi="Times" w:cs="Times"/>
        </w:rPr>
        <w:t xml:space="preserve">. Two reproductive steroid hormones, estrogen and progesterone, may play a major role </w:t>
      </w:r>
      <w:r w:rsidRPr="005B1792">
        <w:rPr>
          <w:rFonts w:ascii="Times" w:hAnsi="Times" w:cs="Times"/>
          <w:noProof/>
        </w:rPr>
        <w:t>(Schiller et al., 2016; Stoner et al., 2017)</w:t>
      </w:r>
      <w:r w:rsidRPr="005B1792">
        <w:rPr>
          <w:rFonts w:ascii="Times" w:hAnsi="Times" w:cs="Times"/>
        </w:rPr>
        <w:t xml:space="preserve">. The levels of both hormones increase before the luteal phase and during pregnancy but rapidly </w:t>
      </w:r>
      <w:r w:rsidRPr="005B1792">
        <w:rPr>
          <w:rFonts w:ascii="Times" w:hAnsi="Times" w:cs="Times" w:hint="eastAsia"/>
        </w:rPr>
        <w:t>decrease</w:t>
      </w:r>
      <w:r w:rsidRPr="005B1792">
        <w:rPr>
          <w:rFonts w:ascii="Times" w:hAnsi="Times" w:cs="Times"/>
        </w:rPr>
        <w:t xml:space="preserve"> in the luteal phase and after parturition, and this kind of fluctuation contributes to the development of the premenstrual syndrome and postpartum depressive symptoms respectively, in those vulnerable to it </w:t>
      </w:r>
      <w:r w:rsidRPr="005B1792">
        <w:rPr>
          <w:rFonts w:ascii="Times" w:hAnsi="Times" w:cs="Times"/>
          <w:noProof/>
        </w:rPr>
        <w:t>(Bloch et al., 2000; Franz, 1988)</w:t>
      </w:r>
      <w:r w:rsidRPr="005B1792">
        <w:rPr>
          <w:rFonts w:ascii="Times" w:hAnsi="Times" w:cs="Times"/>
        </w:rPr>
        <w:t xml:space="preserve">. It should be emphasized that hormonal </w:t>
      </w:r>
      <w:r w:rsidRPr="005B1792">
        <w:rPr>
          <w:rFonts w:ascii="Times" w:hAnsi="Times" w:cs="Times"/>
        </w:rPr>
        <w:lastRenderedPageBreak/>
        <w:t xml:space="preserve">fluctuation itself in patients with premenstrual syndrome or postpartum depressive symptoms is not the issue as these patients have been found to have a normal hormone level, rather, the problem is patients’ vulnerability to hormonal fluctuation </w:t>
      </w:r>
      <w:r w:rsidRPr="005B1792">
        <w:rPr>
          <w:rFonts w:ascii="Times" w:hAnsi="Times" w:cs="Times"/>
          <w:noProof/>
        </w:rPr>
        <w:t>(Rubinow and Schmidt, 2006)</w:t>
      </w:r>
      <w:r w:rsidRPr="005B1792">
        <w:rPr>
          <w:rFonts w:ascii="Times" w:hAnsi="Times" w:cs="Times"/>
        </w:rPr>
        <w:t xml:space="preserve">. Although this may not appliable to late-onset postpartum depressive symptoms since the hormones level recovers to a </w:t>
      </w:r>
      <w:r w:rsidRPr="005B1792">
        <w:rPr>
          <w:rFonts w:ascii="Times" w:hAnsi="Times" w:cs="Times" w:hint="eastAsia"/>
        </w:rPr>
        <w:t>steady state</w:t>
      </w:r>
      <w:r w:rsidRPr="005B1792">
        <w:rPr>
          <w:rFonts w:ascii="Times" w:hAnsi="Times" w:cs="Times"/>
        </w:rPr>
        <w:t xml:space="preserve">, this explanation seems to be most persuasive given that depression is more prevalent in women from puberty to menopause than in men of the same age, but this is reversed in childhood or after menopause </w:t>
      </w:r>
      <w:r w:rsidRPr="005B1792">
        <w:rPr>
          <w:rFonts w:ascii="Times" w:hAnsi="Times" w:cs="Times"/>
          <w:noProof/>
        </w:rPr>
        <w:t>(Bebbington et al., 2003; Birmaher et al., 1996; Jung et al., 2015)</w:t>
      </w:r>
      <w:r w:rsidRPr="005B1792">
        <w:rPr>
          <w:rFonts w:ascii="Times" w:hAnsi="Times" w:cs="Times"/>
        </w:rPr>
        <w:t xml:space="preserve">. Meanwhile, other mechanisms have also been proposed such as inadequate vitamin D status </w:t>
      </w:r>
      <w:r w:rsidRPr="005B1792">
        <w:rPr>
          <w:rFonts w:ascii="Times" w:hAnsi="Times" w:cs="Times"/>
          <w:noProof/>
        </w:rPr>
        <w:t xml:space="preserve">(Jarosz and El-Sohemy, 2019; Wang et al., 2018) </w:t>
      </w:r>
      <w:r w:rsidRPr="005B1792">
        <w:rPr>
          <w:rFonts w:ascii="Times" w:hAnsi="Times" w:cs="Times"/>
        </w:rPr>
        <w:t xml:space="preserve">and cytokine effects </w:t>
      </w:r>
      <w:r w:rsidRPr="005B1792">
        <w:rPr>
          <w:rFonts w:ascii="Times" w:hAnsi="Times" w:cs="Times"/>
          <w:noProof/>
        </w:rPr>
        <w:t>(Stoner et al., 2017)</w:t>
      </w:r>
      <w:r w:rsidRPr="005B1792">
        <w:rPr>
          <w:rFonts w:ascii="Times" w:hAnsi="Times" w:cs="Times"/>
        </w:rPr>
        <w:t>.</w:t>
      </w:r>
    </w:p>
    <w:p w14:paraId="7E8EF899" w14:textId="77777777" w:rsidR="00942FBB" w:rsidRPr="005B1792" w:rsidRDefault="00942FBB" w:rsidP="00CC2480">
      <w:pPr>
        <w:spacing w:line="360" w:lineRule="auto"/>
        <w:rPr>
          <w:rFonts w:ascii="Times" w:hAnsi="Times" w:cs="Times"/>
          <w:i/>
          <w:iCs/>
        </w:rPr>
      </w:pPr>
      <w:r w:rsidRPr="005B1792">
        <w:rPr>
          <w:rFonts w:ascii="Times" w:hAnsi="Times" w:cs="Times"/>
          <w:i/>
          <w:iCs/>
        </w:rPr>
        <w:t>4.6. Primiparity compared to multiparity</w:t>
      </w:r>
    </w:p>
    <w:p w14:paraId="4DE4130C" w14:textId="4FCE4B88" w:rsidR="00942FBB" w:rsidRPr="005B1792" w:rsidRDefault="00942FBB" w:rsidP="00F87612">
      <w:pPr>
        <w:spacing w:line="360" w:lineRule="auto"/>
        <w:ind w:firstLine="195"/>
        <w:rPr>
          <w:rFonts w:ascii="Times" w:hAnsi="Times" w:cs="Times"/>
        </w:rPr>
      </w:pPr>
      <w:r w:rsidRPr="005B1792">
        <w:rPr>
          <w:rFonts w:ascii="Times" w:hAnsi="Times" w:cs="Times"/>
        </w:rPr>
        <w:t xml:space="preserve">Primiparity </w:t>
      </w:r>
      <w:r w:rsidRPr="005B1792">
        <w:rPr>
          <w:rFonts w:ascii="Times" w:hAnsi="Times" w:cs="Times"/>
          <w:noProof/>
        </w:rPr>
        <w:t>(Tokumitsu et al., 2020)</w:t>
      </w:r>
      <w:r w:rsidRPr="005B1792">
        <w:rPr>
          <w:rFonts w:ascii="Times" w:hAnsi="Times" w:cs="Times"/>
        </w:rPr>
        <w:t xml:space="preserve"> is associated with a higher risk of postpartum depressive symptoms compared to multiparity with highly suggestive evidence, which was confirmed in all subgroup analyses except for the validated cutoff score analysis. Indeed, several reasons have been suggested as </w:t>
      </w:r>
      <w:r w:rsidRPr="005B1792">
        <w:rPr>
          <w:rFonts w:ascii="Times" w:hAnsi="Times" w:cs="Times" w:hint="eastAsia"/>
        </w:rPr>
        <w:t>to</w:t>
      </w:r>
      <w:r w:rsidRPr="005B1792">
        <w:rPr>
          <w:rFonts w:ascii="Times" w:hAnsi="Times" w:cs="Times"/>
        </w:rPr>
        <w:t xml:space="preserve"> why postpartum depressive symptoms are more prevalent in primiparity than multiparity. First, multiparity may be more experienced in adapting to stress or other adversities accompanied by pregnancy and parturition. Second, given that history of postpartum depression may be another risk factor for postpartum depressive symptoms despite its low level of evidence (class </w:t>
      </w:r>
      <w:r w:rsidRPr="005B1792">
        <w:rPr>
          <w:rFonts w:ascii="Times" w:hAnsi="Times" w:cs="Times"/>
          <w:szCs w:val="20"/>
        </w:rPr>
        <w:t>IV</w:t>
      </w:r>
      <w:r w:rsidRPr="005B1792">
        <w:rPr>
          <w:rFonts w:ascii="Times" w:hAnsi="Times" w:cs="Times"/>
        </w:rPr>
        <w:t xml:space="preserve">) </w:t>
      </w:r>
      <w:r w:rsidRPr="005B1792">
        <w:rPr>
          <w:rFonts w:ascii="Times" w:hAnsi="Times" w:cs="Times"/>
          <w:noProof/>
        </w:rPr>
        <w:t>(Desta et al., 2021)</w:t>
      </w:r>
      <w:r w:rsidRPr="005B1792">
        <w:rPr>
          <w:rFonts w:ascii="Times" w:hAnsi="Times" w:cs="Times"/>
        </w:rPr>
        <w:t xml:space="preserve">, those who have experienced postpartum depression may endeavor not to endure it again by receiving psychological education, taking preventive measures against depression, or being reluctant to conceive again. Third, primiparous women are at an increased risk of having anxiety and sexual problems, which may eventually lead to postpartum depressive symptoms </w:t>
      </w:r>
      <w:r w:rsidRPr="005B1792">
        <w:rPr>
          <w:rFonts w:ascii="Times" w:hAnsi="Times" w:cs="Times"/>
          <w:noProof/>
        </w:rPr>
        <w:t>(Martínez-Galiano et al., 2019).</w:t>
      </w:r>
      <w:r w:rsidRPr="005B1792">
        <w:rPr>
          <w:rFonts w:ascii="Times" w:hAnsi="Times" w:cs="Times"/>
        </w:rPr>
        <w:t xml:space="preserve"> Although the aforementioned factors may not fully account for the association and other unidentified factors may exist, this association might have major implications for healthcare professionals or national health care planners by alerting them to the necessity of paying more attention to mothers who become pregnant for the first time.</w:t>
      </w:r>
    </w:p>
    <w:p w14:paraId="41BB8ACD" w14:textId="77777777" w:rsidR="00942FBB" w:rsidRPr="005B1792" w:rsidRDefault="00942FBB" w:rsidP="00CC2480">
      <w:pPr>
        <w:spacing w:line="360" w:lineRule="auto"/>
        <w:rPr>
          <w:rFonts w:ascii="Times" w:hAnsi="Times" w:cs="Times"/>
          <w:i/>
          <w:iCs/>
        </w:rPr>
      </w:pPr>
      <w:r w:rsidRPr="005B1792">
        <w:rPr>
          <w:rFonts w:ascii="Times" w:hAnsi="Times" w:cs="Times"/>
          <w:i/>
          <w:iCs/>
        </w:rPr>
        <w:t>4.7. Unintended pregnancy</w:t>
      </w:r>
    </w:p>
    <w:p w14:paraId="52C8B356" w14:textId="538CCEAA" w:rsidR="00942FBB" w:rsidRPr="005B1792" w:rsidRDefault="00942FBB" w:rsidP="00CC2480">
      <w:pPr>
        <w:spacing w:line="360" w:lineRule="auto"/>
        <w:ind w:firstLine="195"/>
        <w:rPr>
          <w:rFonts w:ascii="Times" w:hAnsi="Times" w:cs="Times"/>
        </w:rPr>
      </w:pPr>
      <w:r w:rsidRPr="005B1792">
        <w:rPr>
          <w:rFonts w:ascii="Times" w:hAnsi="Times" w:cs="Times"/>
        </w:rPr>
        <w:t xml:space="preserve">Unintended pregnancy </w:t>
      </w:r>
      <w:r w:rsidRPr="005B1792">
        <w:rPr>
          <w:rFonts w:ascii="Times" w:hAnsi="Times" w:cs="Times"/>
          <w:noProof/>
        </w:rPr>
        <w:t xml:space="preserve">(Qiu et al., 2020) </w:t>
      </w:r>
      <w:r w:rsidRPr="005B1792">
        <w:rPr>
          <w:rFonts w:ascii="Times" w:hAnsi="Times" w:cs="Times"/>
        </w:rPr>
        <w:t xml:space="preserve">provided highly suggestive evidence for higher risk of postpartum depressive symptoms, which was confirmed in all sensitivity analyses. In the regard that women who conceive unintentionally seem to experience psychosocial stress due to concerns after pregnancy such as interruptions in their education, career, or other life aspirations </w:t>
      </w:r>
      <w:r w:rsidRPr="005B1792">
        <w:rPr>
          <w:rFonts w:ascii="Times" w:hAnsi="Times" w:cs="Times"/>
          <w:noProof/>
        </w:rPr>
        <w:t>(Faisal-Cury et al., 2017; Steinberg and Rubin, 2014)</w:t>
      </w:r>
      <w:r w:rsidRPr="005B1792">
        <w:rPr>
          <w:rFonts w:ascii="Times" w:hAnsi="Times" w:cs="Times"/>
        </w:rPr>
        <w:t xml:space="preserve">, stress-related neuroendocrine dysfunction and gene-stress interaction seems to be the two most plausible biological mechanisms that underlie the association between unintended pregnancy and postpartum depressive symptoms. A detailed explanation of these suggested mechanisms has already been mentioned above. Further, other behavioral mechanisms have also been suggested. First, mothers conceive without intention tend to start late and seldom complete prenatal care, which can be detrimental to maternal mental health </w:t>
      </w:r>
      <w:r w:rsidRPr="005B1792">
        <w:rPr>
          <w:rFonts w:ascii="Times" w:hAnsi="Times" w:cs="Times"/>
          <w:noProof/>
        </w:rPr>
        <w:t>(Karaçam et al., 2011)</w:t>
      </w:r>
      <w:r w:rsidRPr="005B1792">
        <w:rPr>
          <w:rFonts w:ascii="Times" w:hAnsi="Times" w:cs="Times"/>
        </w:rPr>
        <w:t xml:space="preserve">. Second, a pregnancy that is unexpected and thus unplanned may result in adjustment stress in the mother, leading to concerns about maternal and fetal health and even conflicts regarding maintaining versus terminating the pregnancy </w:t>
      </w:r>
      <w:r w:rsidRPr="005B1792">
        <w:rPr>
          <w:rFonts w:ascii="Times" w:hAnsi="Times" w:cs="Times"/>
          <w:noProof/>
        </w:rPr>
        <w:t>(Faisal-Cury et al., 2017)</w:t>
      </w:r>
      <w:r w:rsidRPr="005B1792">
        <w:rPr>
          <w:rFonts w:ascii="Times" w:hAnsi="Times" w:cs="Times"/>
        </w:rPr>
        <w:t xml:space="preserve">. Third, mothers with unintended pregnancies tend to smoke more and take fewer vitamins than </w:t>
      </w:r>
      <w:r w:rsidRPr="005B1792">
        <w:rPr>
          <w:rFonts w:ascii="Times" w:hAnsi="Times" w:cs="Times"/>
        </w:rPr>
        <w:lastRenderedPageBreak/>
        <w:t xml:space="preserve">those who have planned pregnancies, which plausibly explains their higher risk of postpartum depressive symptoms given that smoking </w:t>
      </w:r>
      <w:r w:rsidRPr="005B1792">
        <w:rPr>
          <w:rFonts w:ascii="Times" w:hAnsi="Times" w:cs="Times"/>
          <w:noProof/>
        </w:rPr>
        <w:t>(Chen et al., 2019)</w:t>
      </w:r>
      <w:r w:rsidRPr="005B1792">
        <w:rPr>
          <w:rFonts w:ascii="Times" w:hAnsi="Times" w:cs="Times"/>
        </w:rPr>
        <w:t xml:space="preserve"> and lack of vitamin D supplementation </w:t>
      </w:r>
      <w:r w:rsidRPr="005B1792">
        <w:rPr>
          <w:rFonts w:ascii="Times" w:hAnsi="Times" w:cs="Times"/>
          <w:noProof/>
        </w:rPr>
        <w:t xml:space="preserve">(Sheikh et al., 2017) </w:t>
      </w:r>
      <w:r w:rsidRPr="005B1792">
        <w:rPr>
          <w:rFonts w:ascii="Times" w:hAnsi="Times" w:cs="Times"/>
        </w:rPr>
        <w:t>were significantly associated with postpartum depressive symptoms.</w:t>
      </w:r>
    </w:p>
    <w:p w14:paraId="7894D46A" w14:textId="77777777" w:rsidR="00942FBB" w:rsidRPr="005B1792" w:rsidRDefault="00942FBB" w:rsidP="00CC2480">
      <w:pPr>
        <w:spacing w:line="360" w:lineRule="auto"/>
        <w:rPr>
          <w:rFonts w:ascii="Times" w:hAnsi="Times" w:cs="Times"/>
          <w:i/>
          <w:iCs/>
        </w:rPr>
      </w:pPr>
      <w:r w:rsidRPr="005B1792">
        <w:rPr>
          <w:rFonts w:ascii="Times" w:hAnsi="Times" w:cs="Times"/>
          <w:i/>
          <w:iCs/>
        </w:rPr>
        <w:t>4.8. Limitations</w:t>
      </w:r>
    </w:p>
    <w:p w14:paraId="00A5CF1D" w14:textId="05D1F440" w:rsidR="00942FBB" w:rsidRPr="005B1792" w:rsidRDefault="00942FBB" w:rsidP="00EE5EA3">
      <w:pPr>
        <w:spacing w:line="360" w:lineRule="auto"/>
        <w:ind w:firstLine="195"/>
        <w:rPr>
          <w:rFonts w:ascii="Times" w:hAnsi="Times"/>
        </w:rPr>
      </w:pPr>
      <w:r w:rsidRPr="005B1792">
        <w:rPr>
          <w:rFonts w:ascii="Times" w:hAnsi="Times" w:cs="Times"/>
        </w:rPr>
        <w:t xml:space="preserve">The present study has some limitations. First, </w:t>
      </w:r>
      <w:r w:rsidRPr="005B1792">
        <w:rPr>
          <w:rFonts w:ascii="Times" w:hAnsi="Times" w:cs="Times" w:hint="eastAsia"/>
        </w:rPr>
        <w:t>since</w:t>
      </w:r>
      <w:r w:rsidRPr="005B1792">
        <w:rPr>
          <w:rFonts w:ascii="Times" w:hAnsi="Times" w:cs="Times"/>
        </w:rPr>
        <w:t xml:space="preserve"> </w:t>
      </w:r>
      <w:r w:rsidRPr="005B1792">
        <w:rPr>
          <w:rFonts w:ascii="Times" w:hAnsi="Times" w:cs="Times" w:hint="eastAsia"/>
        </w:rPr>
        <w:t>all</w:t>
      </w:r>
      <w:r w:rsidRPr="005B1792">
        <w:rPr>
          <w:rFonts w:ascii="Times" w:hAnsi="Times" w:cs="Times"/>
        </w:rPr>
        <w:t xml:space="preserve"> </w:t>
      </w:r>
      <w:r w:rsidRPr="005B1792">
        <w:rPr>
          <w:rFonts w:ascii="Times" w:hAnsi="Times" w:cs="Times" w:hint="eastAsia"/>
        </w:rPr>
        <w:t>meta-analyses</w:t>
      </w:r>
      <w:r w:rsidRPr="005B1792">
        <w:rPr>
          <w:rFonts w:ascii="Times" w:hAnsi="Times" w:cs="Times"/>
        </w:rPr>
        <w:t xml:space="preserve"> </w:t>
      </w:r>
      <w:r w:rsidRPr="005B1792">
        <w:rPr>
          <w:rFonts w:ascii="Times" w:hAnsi="Times" w:cs="Times" w:hint="eastAsia"/>
        </w:rPr>
        <w:t>were</w:t>
      </w:r>
      <w:r w:rsidRPr="005B1792">
        <w:rPr>
          <w:rFonts w:ascii="Times" w:hAnsi="Times" w:cs="Times"/>
        </w:rPr>
        <w:t xml:space="preserve"> </w:t>
      </w:r>
      <w:r w:rsidRPr="005B1792">
        <w:rPr>
          <w:rFonts w:ascii="Times" w:hAnsi="Times" w:cs="Times" w:hint="eastAsia"/>
        </w:rPr>
        <w:t>based</w:t>
      </w:r>
      <w:r w:rsidRPr="005B1792">
        <w:rPr>
          <w:rFonts w:ascii="Times" w:hAnsi="Times" w:cs="Times"/>
        </w:rPr>
        <w:t xml:space="preserve"> </w:t>
      </w:r>
      <w:r w:rsidRPr="005B1792">
        <w:rPr>
          <w:rFonts w:ascii="Times" w:hAnsi="Times" w:cs="Times" w:hint="eastAsia"/>
        </w:rPr>
        <w:t>on</w:t>
      </w:r>
      <w:r w:rsidRPr="005B1792">
        <w:rPr>
          <w:rFonts w:ascii="Times" w:hAnsi="Times" w:cs="Times"/>
        </w:rPr>
        <w:t xml:space="preserve"> observational studies</w:t>
      </w:r>
      <w:r w:rsidRPr="005B1792">
        <w:rPr>
          <w:rFonts w:ascii="Times" w:hAnsi="Times" w:cs="Times" w:hint="eastAsia"/>
        </w:rPr>
        <w:t>,</w:t>
      </w:r>
      <w:r w:rsidRPr="005B1792">
        <w:rPr>
          <w:rFonts w:ascii="Times" w:hAnsi="Times" w:cs="Times"/>
        </w:rPr>
        <w:t xml:space="preserve"> </w:t>
      </w:r>
      <w:r w:rsidRPr="005B1792">
        <w:rPr>
          <w:rFonts w:ascii="Times" w:hAnsi="Times" w:cs="Times" w:hint="eastAsia"/>
        </w:rPr>
        <w:t>reported</w:t>
      </w:r>
      <w:r w:rsidRPr="005B1792">
        <w:rPr>
          <w:rFonts w:ascii="Times" w:hAnsi="Times" w:cs="Times"/>
        </w:rPr>
        <w:t xml:space="preserve"> </w:t>
      </w:r>
      <w:r w:rsidRPr="005B1792">
        <w:rPr>
          <w:rFonts w:ascii="Times" w:hAnsi="Times" w:cs="Times" w:hint="eastAsia"/>
        </w:rPr>
        <w:t>associations</w:t>
      </w:r>
      <w:r w:rsidRPr="005B1792">
        <w:rPr>
          <w:rFonts w:ascii="Times" w:hAnsi="Times" w:cs="Times"/>
        </w:rPr>
        <w:t xml:space="preserve"> </w:t>
      </w:r>
      <w:r w:rsidRPr="005B1792">
        <w:rPr>
          <w:rFonts w:ascii="Times" w:hAnsi="Times" w:cs="Times" w:hint="eastAsia"/>
        </w:rPr>
        <w:t>do</w:t>
      </w:r>
      <w:r w:rsidRPr="005B1792">
        <w:rPr>
          <w:rFonts w:ascii="Times" w:hAnsi="Times" w:cs="Times"/>
        </w:rPr>
        <w:t xml:space="preserve"> </w:t>
      </w:r>
      <w:r w:rsidRPr="005B1792">
        <w:rPr>
          <w:rFonts w:ascii="Times" w:hAnsi="Times" w:cs="Times" w:hint="eastAsia"/>
        </w:rPr>
        <w:t>not</w:t>
      </w:r>
      <w:r w:rsidRPr="005B1792">
        <w:rPr>
          <w:rFonts w:ascii="Times" w:hAnsi="Times" w:cs="Times"/>
        </w:rPr>
        <w:t xml:space="preserve"> necessarily imply causality </w:t>
      </w:r>
      <w:r w:rsidRPr="005B1792">
        <w:rPr>
          <w:rFonts w:ascii="Times" w:hAnsi="Times" w:cs="Times" w:hint="eastAsia"/>
        </w:rPr>
        <w:t>and</w:t>
      </w:r>
      <w:r w:rsidRPr="005B1792">
        <w:rPr>
          <w:rFonts w:ascii="Times" w:hAnsi="Times" w:cs="Times"/>
        </w:rPr>
        <w:t xml:space="preserve"> </w:t>
      </w:r>
      <w:r w:rsidRPr="005B1792">
        <w:rPr>
          <w:rFonts w:ascii="Times" w:hAnsi="Times" w:cs="Times" w:hint="eastAsia"/>
        </w:rPr>
        <w:t>w</w:t>
      </w:r>
      <w:r w:rsidRPr="005B1792">
        <w:rPr>
          <w:rFonts w:ascii="Times" w:hAnsi="Times" w:cs="Times"/>
        </w:rPr>
        <w:t>e could not completely exclude potential confounders, which requires a caution in interpreting the findings</w:t>
      </w:r>
      <w:r w:rsidRPr="005B1792">
        <w:rPr>
          <w:rFonts w:ascii="Times" w:hAnsi="Times" w:cs="Times" w:hint="eastAsia"/>
        </w:rPr>
        <w:t>.</w:t>
      </w:r>
      <w:r w:rsidRPr="005B1792">
        <w:rPr>
          <w:rFonts w:ascii="Times" w:hAnsi="Times" w:cs="Times"/>
        </w:rPr>
        <w:t xml:space="preserve"> </w:t>
      </w:r>
      <w:r w:rsidRPr="005B1792">
        <w:rPr>
          <w:rFonts w:ascii="Times" w:hAnsi="Times"/>
        </w:rPr>
        <w:t xml:space="preserve">Second, most of the identified associations showed large heterogeneity. This may be due to the unstandardized way in which variables have been operationalized as well as various cutoff points for determining postpartum depression. Meanwhile, the </w:t>
      </w:r>
      <w:r w:rsidRPr="005B1792">
        <w:rPr>
          <w:rFonts w:ascii="Times" w:hAnsi="Times"/>
          <w:szCs w:val="20"/>
        </w:rPr>
        <w:t>operationalization of environmental factors may be also inconsistent across studies</w:t>
      </w:r>
      <w:r w:rsidRPr="005B1792">
        <w:rPr>
          <w:rFonts w:ascii="Times" w:hAnsi="Times" w:cs="Arial"/>
          <w:color w:val="000000" w:themeColor="text1"/>
          <w:szCs w:val="20"/>
          <w:shd w:val="clear" w:color="auto" w:fill="FFFFFF"/>
        </w:rPr>
        <w:t xml:space="preserve">. </w:t>
      </w:r>
      <w:r w:rsidRPr="005B1792">
        <w:rPr>
          <w:rFonts w:ascii="Times" w:hAnsi="Times" w:cs="Arial" w:hint="eastAsia"/>
          <w:color w:val="000000" w:themeColor="text1"/>
          <w:szCs w:val="20"/>
          <w:shd w:val="clear" w:color="auto" w:fill="FFFFFF"/>
        </w:rPr>
        <w:t>Third,</w:t>
      </w:r>
      <w:r w:rsidRPr="005B1792">
        <w:rPr>
          <w:rFonts w:ascii="Times" w:hAnsi="Times" w:cs="Arial"/>
          <w:color w:val="000000" w:themeColor="text1"/>
          <w:szCs w:val="20"/>
          <w:shd w:val="clear" w:color="auto" w:fill="FFFFFF"/>
        </w:rPr>
        <w:t xml:space="preserve"> </w:t>
      </w:r>
      <w:r w:rsidRPr="005B1792">
        <w:rPr>
          <w:rFonts w:ascii="Times" w:hAnsi="Times" w:hint="eastAsia"/>
        </w:rPr>
        <w:t>a</w:t>
      </w:r>
      <w:r w:rsidRPr="005B1792">
        <w:rPr>
          <w:rFonts w:ascii="Times" w:hAnsi="Times"/>
        </w:rPr>
        <w:t xml:space="preserve"> </w:t>
      </w:r>
      <w:r w:rsidRPr="005B1792">
        <w:rPr>
          <w:rFonts w:ascii="Times" w:hAnsi="Times" w:hint="eastAsia"/>
        </w:rPr>
        <w:t>large</w:t>
      </w:r>
      <w:r w:rsidRPr="005B1792">
        <w:rPr>
          <w:rFonts w:ascii="Times" w:hAnsi="Times"/>
        </w:rPr>
        <w:t xml:space="preserve"> </w:t>
      </w:r>
      <w:r w:rsidRPr="005B1792">
        <w:rPr>
          <w:rFonts w:ascii="Times" w:hAnsi="Times" w:hint="eastAsia"/>
        </w:rPr>
        <w:t>portion</w:t>
      </w:r>
      <w:r w:rsidRPr="005B1792">
        <w:rPr>
          <w:rFonts w:ascii="Times" w:hAnsi="Times"/>
        </w:rPr>
        <w:t xml:space="preserve"> </w:t>
      </w:r>
      <w:r w:rsidRPr="005B1792">
        <w:rPr>
          <w:rFonts w:ascii="Times" w:hAnsi="Times" w:hint="eastAsia"/>
        </w:rPr>
        <w:t>of</w:t>
      </w:r>
      <w:r w:rsidRPr="005B1792">
        <w:rPr>
          <w:rFonts w:ascii="Times" w:hAnsi="Times"/>
        </w:rPr>
        <w:t xml:space="preserve"> </w:t>
      </w:r>
      <w:r w:rsidRPr="005B1792">
        <w:rPr>
          <w:rFonts w:ascii="Times" w:hAnsi="Times" w:hint="eastAsia"/>
        </w:rPr>
        <w:t>meta-analyses</w:t>
      </w:r>
      <w:r w:rsidRPr="005B1792">
        <w:rPr>
          <w:rFonts w:ascii="Times" w:hAnsi="Times"/>
        </w:rPr>
        <w:t xml:space="preserve"> </w:t>
      </w:r>
      <w:r w:rsidRPr="005B1792">
        <w:rPr>
          <w:rFonts w:ascii="Times" w:hAnsi="Times" w:hint="eastAsia"/>
        </w:rPr>
        <w:t>showed</w:t>
      </w:r>
      <w:r w:rsidRPr="005B1792">
        <w:rPr>
          <w:rFonts w:ascii="Times" w:hAnsi="Times"/>
        </w:rPr>
        <w:t xml:space="preserve"> “</w:t>
      </w:r>
      <w:r w:rsidRPr="005B1792">
        <w:rPr>
          <w:rFonts w:ascii="Times" w:hAnsi="Times" w:hint="eastAsia"/>
        </w:rPr>
        <w:t>low</w:t>
      </w:r>
      <w:r w:rsidRPr="005B1792">
        <w:rPr>
          <w:rFonts w:ascii="Times" w:hAnsi="Times"/>
        </w:rPr>
        <w:t xml:space="preserve">” </w:t>
      </w:r>
      <w:r w:rsidRPr="005B1792">
        <w:rPr>
          <w:rFonts w:ascii="Times" w:hAnsi="Times" w:hint="eastAsia"/>
        </w:rPr>
        <w:t>or</w:t>
      </w:r>
      <w:r w:rsidRPr="005B1792">
        <w:rPr>
          <w:rFonts w:ascii="Times" w:hAnsi="Times"/>
        </w:rPr>
        <w:t xml:space="preserve"> “</w:t>
      </w:r>
      <w:r w:rsidRPr="005B1792">
        <w:rPr>
          <w:rFonts w:ascii="Times" w:hAnsi="Times" w:hint="eastAsia"/>
        </w:rPr>
        <w:t>critically</w:t>
      </w:r>
      <w:r w:rsidRPr="005B1792">
        <w:rPr>
          <w:rFonts w:ascii="Times" w:hAnsi="Times"/>
        </w:rPr>
        <w:t xml:space="preserve"> </w:t>
      </w:r>
      <w:r w:rsidRPr="005B1792">
        <w:rPr>
          <w:rFonts w:ascii="Times" w:hAnsi="Times" w:hint="eastAsia"/>
        </w:rPr>
        <w:t>low</w:t>
      </w:r>
      <w:r w:rsidRPr="005B1792">
        <w:rPr>
          <w:rFonts w:ascii="Times" w:hAnsi="Times"/>
        </w:rPr>
        <w:t xml:space="preserve">” </w:t>
      </w:r>
      <w:r w:rsidRPr="005B1792">
        <w:rPr>
          <w:rFonts w:ascii="Times" w:hAnsi="Times" w:hint="eastAsia"/>
        </w:rPr>
        <w:t>methodological</w:t>
      </w:r>
      <w:r w:rsidRPr="005B1792">
        <w:rPr>
          <w:rFonts w:ascii="Times" w:hAnsi="Times"/>
        </w:rPr>
        <w:t xml:space="preserve"> </w:t>
      </w:r>
      <w:r w:rsidRPr="005B1792">
        <w:rPr>
          <w:rFonts w:ascii="Times" w:hAnsi="Times" w:hint="eastAsia"/>
        </w:rPr>
        <w:t>quality.</w:t>
      </w:r>
      <w:r w:rsidRPr="005B1792">
        <w:rPr>
          <w:rFonts w:ascii="Times" w:hAnsi="Times"/>
        </w:rPr>
        <w:t xml:space="preserve"> </w:t>
      </w:r>
      <w:r w:rsidRPr="005B1792">
        <w:rPr>
          <w:rFonts w:ascii="Times" w:hAnsi="Times" w:hint="eastAsia"/>
        </w:rPr>
        <w:t>Majority</w:t>
      </w:r>
      <w:r w:rsidRPr="005B1792">
        <w:rPr>
          <w:rFonts w:ascii="Times" w:hAnsi="Times"/>
        </w:rPr>
        <w:t xml:space="preserve"> </w:t>
      </w:r>
      <w:r w:rsidRPr="005B1792">
        <w:rPr>
          <w:rFonts w:ascii="Times" w:hAnsi="Times" w:hint="eastAsia"/>
        </w:rPr>
        <w:t>of</w:t>
      </w:r>
      <w:r w:rsidRPr="005B1792">
        <w:rPr>
          <w:rFonts w:ascii="Times" w:hAnsi="Times"/>
        </w:rPr>
        <w:t xml:space="preserve"> </w:t>
      </w:r>
      <w:r w:rsidRPr="005B1792">
        <w:rPr>
          <w:rFonts w:ascii="Times" w:hAnsi="Times" w:hint="eastAsia"/>
        </w:rPr>
        <w:t>them</w:t>
      </w:r>
      <w:r w:rsidRPr="005B1792">
        <w:rPr>
          <w:rFonts w:ascii="Times" w:hAnsi="Times"/>
        </w:rPr>
        <w:t xml:space="preserve"> </w:t>
      </w:r>
      <w:r w:rsidRPr="005B1792">
        <w:rPr>
          <w:rFonts w:ascii="Times" w:hAnsi="Times" w:hint="eastAsia"/>
        </w:rPr>
        <w:t>did</w:t>
      </w:r>
      <w:r w:rsidRPr="005B1792">
        <w:rPr>
          <w:rFonts w:ascii="Times" w:hAnsi="Times"/>
        </w:rPr>
        <w:t xml:space="preserve"> </w:t>
      </w:r>
      <w:r w:rsidRPr="005B1792">
        <w:rPr>
          <w:rFonts w:ascii="Times" w:hAnsi="Times" w:hint="eastAsia"/>
        </w:rPr>
        <w:t>not</w:t>
      </w:r>
      <w:r w:rsidRPr="005B1792">
        <w:rPr>
          <w:rFonts w:ascii="Times" w:hAnsi="Times"/>
        </w:rPr>
        <w:t xml:space="preserve"> </w:t>
      </w:r>
      <w:r w:rsidRPr="005B1792">
        <w:rPr>
          <w:rFonts w:ascii="Times" w:hAnsi="Times" w:hint="eastAsia"/>
        </w:rPr>
        <w:t>report</w:t>
      </w:r>
      <w:r w:rsidRPr="005B1792">
        <w:rPr>
          <w:rFonts w:ascii="Times" w:hAnsi="Times"/>
        </w:rPr>
        <w:t xml:space="preserve"> </w:t>
      </w:r>
      <w:r w:rsidRPr="005B1792">
        <w:rPr>
          <w:rFonts w:ascii="Times" w:hAnsi="Times" w:hint="eastAsia"/>
        </w:rPr>
        <w:t>a</w:t>
      </w:r>
      <w:r w:rsidRPr="005B1792">
        <w:rPr>
          <w:rFonts w:ascii="Times" w:hAnsi="Times"/>
        </w:rPr>
        <w:t xml:space="preserve"> </w:t>
      </w:r>
      <w:r w:rsidRPr="005B1792">
        <w:rPr>
          <w:rFonts w:ascii="Times" w:hAnsi="Times" w:hint="eastAsia"/>
        </w:rPr>
        <w:t>protocol</w:t>
      </w:r>
      <w:r w:rsidRPr="005B1792">
        <w:rPr>
          <w:rFonts w:ascii="Times" w:hAnsi="Times"/>
        </w:rPr>
        <w:t xml:space="preserve"> </w:t>
      </w:r>
      <w:r w:rsidRPr="005B1792">
        <w:rPr>
          <w:rFonts w:ascii="Times" w:hAnsi="Times" w:hint="eastAsia"/>
        </w:rPr>
        <w:t>before</w:t>
      </w:r>
      <w:r w:rsidRPr="005B1792">
        <w:rPr>
          <w:rFonts w:ascii="Times" w:hAnsi="Times"/>
        </w:rPr>
        <w:t xml:space="preserve"> </w:t>
      </w:r>
      <w:r w:rsidRPr="005B1792">
        <w:rPr>
          <w:rFonts w:ascii="Times" w:hAnsi="Times" w:hint="eastAsia"/>
        </w:rPr>
        <w:t>conducting</w:t>
      </w:r>
      <w:r w:rsidRPr="005B1792">
        <w:rPr>
          <w:rFonts w:ascii="Times" w:hAnsi="Times"/>
        </w:rPr>
        <w:t xml:space="preserve"> </w:t>
      </w:r>
      <w:r w:rsidRPr="005B1792">
        <w:rPr>
          <w:rFonts w:ascii="Times" w:hAnsi="Times" w:hint="eastAsia"/>
        </w:rPr>
        <w:t>a</w:t>
      </w:r>
      <w:r w:rsidRPr="005B1792">
        <w:rPr>
          <w:rFonts w:ascii="Times" w:hAnsi="Times"/>
        </w:rPr>
        <w:t xml:space="preserve"> review and </w:t>
      </w:r>
      <w:r w:rsidRPr="005B1792">
        <w:rPr>
          <w:rFonts w:ascii="Times" w:hAnsi="Times" w:hint="eastAsia"/>
        </w:rPr>
        <w:t>did</w:t>
      </w:r>
      <w:r w:rsidRPr="005B1792">
        <w:rPr>
          <w:rFonts w:ascii="Times" w:hAnsi="Times"/>
        </w:rPr>
        <w:t xml:space="preserve"> </w:t>
      </w:r>
      <w:r w:rsidRPr="005B1792">
        <w:rPr>
          <w:rFonts w:ascii="Times" w:hAnsi="Times" w:hint="eastAsia"/>
        </w:rPr>
        <w:t>not</w:t>
      </w:r>
      <w:r w:rsidRPr="005B1792">
        <w:rPr>
          <w:rFonts w:ascii="Times" w:hAnsi="Times"/>
        </w:rPr>
        <w:t xml:space="preserve"> </w:t>
      </w:r>
      <w:r w:rsidRPr="005B1792">
        <w:rPr>
          <w:rFonts w:ascii="Times" w:hAnsi="Times" w:hint="eastAsia"/>
        </w:rPr>
        <w:t>provide</w:t>
      </w:r>
      <w:r w:rsidRPr="005B1792">
        <w:rPr>
          <w:rFonts w:ascii="Times" w:hAnsi="Times"/>
        </w:rPr>
        <w:t xml:space="preserve"> </w:t>
      </w:r>
      <w:r w:rsidRPr="005B1792">
        <w:rPr>
          <w:rFonts w:ascii="Times" w:hAnsi="Times" w:hint="eastAsia"/>
        </w:rPr>
        <w:t>the</w:t>
      </w:r>
      <w:r w:rsidRPr="005B1792">
        <w:rPr>
          <w:rFonts w:ascii="Times" w:hAnsi="Times"/>
        </w:rPr>
        <w:t xml:space="preserve"> </w:t>
      </w:r>
      <w:r w:rsidRPr="005B1792">
        <w:rPr>
          <w:rFonts w:ascii="Times" w:hAnsi="Times" w:hint="eastAsia"/>
        </w:rPr>
        <w:t>list</w:t>
      </w:r>
      <w:r w:rsidRPr="005B1792">
        <w:rPr>
          <w:rFonts w:ascii="Times" w:hAnsi="Times"/>
        </w:rPr>
        <w:t xml:space="preserve"> </w:t>
      </w:r>
      <w:r w:rsidRPr="005B1792">
        <w:rPr>
          <w:rFonts w:ascii="Times" w:hAnsi="Times" w:hint="eastAsia"/>
        </w:rPr>
        <w:t>of</w:t>
      </w:r>
      <w:r w:rsidRPr="005B1792">
        <w:rPr>
          <w:rFonts w:ascii="Times" w:hAnsi="Times"/>
        </w:rPr>
        <w:t xml:space="preserve"> </w:t>
      </w:r>
      <w:r w:rsidRPr="005B1792">
        <w:rPr>
          <w:rFonts w:ascii="Times" w:hAnsi="Times" w:hint="eastAsia"/>
        </w:rPr>
        <w:t>excluded</w:t>
      </w:r>
      <w:r w:rsidRPr="005B1792">
        <w:rPr>
          <w:rFonts w:ascii="Times" w:hAnsi="Times"/>
        </w:rPr>
        <w:t xml:space="preserve"> </w:t>
      </w:r>
      <w:r w:rsidRPr="005B1792">
        <w:rPr>
          <w:rFonts w:ascii="Times" w:hAnsi="Times" w:hint="eastAsia"/>
        </w:rPr>
        <w:t>articles</w:t>
      </w:r>
      <w:r w:rsidRPr="005B1792">
        <w:rPr>
          <w:rFonts w:ascii="Times" w:hAnsi="Times"/>
        </w:rPr>
        <w:t xml:space="preserve"> </w:t>
      </w:r>
      <w:r w:rsidRPr="005B1792">
        <w:rPr>
          <w:rFonts w:ascii="Times" w:hAnsi="Times" w:hint="eastAsia"/>
        </w:rPr>
        <w:t>and</w:t>
      </w:r>
      <w:r w:rsidRPr="005B1792">
        <w:rPr>
          <w:rFonts w:ascii="Times" w:hAnsi="Times"/>
        </w:rPr>
        <w:t xml:space="preserve"> </w:t>
      </w:r>
      <w:r w:rsidRPr="005B1792">
        <w:rPr>
          <w:rFonts w:ascii="Times" w:hAnsi="Times" w:hint="eastAsia"/>
        </w:rPr>
        <w:t>exclusion</w:t>
      </w:r>
      <w:r w:rsidRPr="005B1792">
        <w:rPr>
          <w:rFonts w:ascii="Times" w:hAnsi="Times"/>
        </w:rPr>
        <w:t xml:space="preserve"> </w:t>
      </w:r>
      <w:r w:rsidRPr="005B1792">
        <w:rPr>
          <w:rFonts w:ascii="Times" w:hAnsi="Times" w:hint="eastAsia"/>
        </w:rPr>
        <w:t>reason.</w:t>
      </w:r>
      <w:r w:rsidRPr="005B1792">
        <w:rPr>
          <w:rFonts w:ascii="Times" w:hAnsi="Times"/>
        </w:rPr>
        <w:t xml:space="preserve"> </w:t>
      </w:r>
      <w:r w:rsidRPr="005B1792">
        <w:rPr>
          <w:rFonts w:ascii="Times" w:hAnsi="Times" w:hint="eastAsia"/>
        </w:rPr>
        <w:t>Fourth</w:t>
      </w:r>
      <w:r w:rsidRPr="005B1792">
        <w:rPr>
          <w:rFonts w:ascii="Times" w:hAnsi="Times"/>
        </w:rPr>
        <w:t>, we could only address the associations which were synthesized by meta-analyses; that is, we may have inevitably missed some important factors.</w:t>
      </w:r>
      <w:r w:rsidRPr="005B1792">
        <w:t xml:space="preserve"> </w:t>
      </w:r>
      <w:r w:rsidRPr="005B1792">
        <w:rPr>
          <w:rFonts w:ascii="Times" w:hAnsi="Times"/>
        </w:rPr>
        <w:t>Besides, although the most current concept of “perinatal depression” includes both prenatal and postnatal maternal depression, which does not allow the discrimination between intrauterine and postnatal effects, we focused on the sole postpartum depressive symptoms. We may miss some factors related to both maternal/newborn outcomes and interventions that may directly affect and modulate the magnitude of the effects of the candidate environmental factors and biomarkers appraised herein. However, this is an intrinsic limitation since our study was based on previous meta-analyses that only focused on postpartum depression</w:t>
      </w:r>
      <w:r w:rsidRPr="005B1792">
        <w:rPr>
          <w:rFonts w:ascii="Times" w:hAnsi="Times" w:hint="eastAsia"/>
        </w:rPr>
        <w:t>.</w:t>
      </w:r>
    </w:p>
    <w:p w14:paraId="74072E86" w14:textId="77777777" w:rsidR="00942FBB" w:rsidRPr="005B1792" w:rsidRDefault="00942FBB" w:rsidP="00CC2480">
      <w:pPr>
        <w:spacing w:line="360" w:lineRule="auto"/>
        <w:rPr>
          <w:rFonts w:ascii="Times" w:hAnsi="Times" w:cs="Times"/>
          <w:b/>
          <w:bCs/>
        </w:rPr>
      </w:pPr>
      <w:r w:rsidRPr="005B1792">
        <w:rPr>
          <w:rFonts w:ascii="Times" w:hAnsi="Times" w:cs="Times"/>
          <w:b/>
          <w:bCs/>
        </w:rPr>
        <w:t>5. Conclusions</w:t>
      </w:r>
    </w:p>
    <w:p w14:paraId="5290C437" w14:textId="77777777" w:rsidR="00942FBB" w:rsidRPr="005B1792" w:rsidRDefault="00942FBB" w:rsidP="00CC2480">
      <w:pPr>
        <w:spacing w:line="360" w:lineRule="auto"/>
        <w:ind w:firstLine="195"/>
        <w:rPr>
          <w:rFonts w:ascii="Times" w:hAnsi="Times" w:cs="Times"/>
          <w:szCs w:val="20"/>
        </w:rPr>
      </w:pPr>
      <w:r w:rsidRPr="005B1792">
        <w:rPr>
          <w:rFonts w:ascii="Times" w:hAnsi="Times" w:cs="Times"/>
          <w:szCs w:val="20"/>
        </w:rPr>
        <w:t>Our umbrella review identified convincing evidence indicating that antenatal anxiety and psychological violence are robustly associated with postpartum depressive symptoms, while no associated protective factors or biomarkers showed robust evidence. Since these associations cannot imply causality, further well-designed primary studies with the ICD/DSM-established operationalization of postpartum depression are needed to confirm these findings.</w:t>
      </w:r>
    </w:p>
    <w:p w14:paraId="16C448D3" w14:textId="77777777" w:rsidR="00942FBB" w:rsidRPr="005B1792" w:rsidRDefault="00942FBB" w:rsidP="00CC2480">
      <w:pPr>
        <w:spacing w:line="360" w:lineRule="auto"/>
        <w:rPr>
          <w:rFonts w:ascii="Times" w:hAnsi="Times" w:cs="Times"/>
          <w:szCs w:val="20"/>
        </w:rPr>
      </w:pPr>
    </w:p>
    <w:p w14:paraId="1C000A7C" w14:textId="77777777" w:rsidR="00942FBB" w:rsidRPr="005B1792" w:rsidRDefault="00942FBB">
      <w:pPr>
        <w:widowControl/>
        <w:wordWrap/>
        <w:autoSpaceDE/>
        <w:autoSpaceDN/>
        <w:spacing w:after="0" w:line="240" w:lineRule="auto"/>
        <w:ind w:firstLineChars="100" w:firstLine="200"/>
        <w:jc w:val="left"/>
        <w:rPr>
          <w:rFonts w:ascii="Times" w:hAnsi="Times" w:cs="Times"/>
          <w:b/>
          <w:bCs/>
          <w:szCs w:val="20"/>
        </w:rPr>
      </w:pPr>
      <w:r w:rsidRPr="005B1792">
        <w:rPr>
          <w:rFonts w:ascii="Times" w:hAnsi="Times" w:cs="Times"/>
          <w:b/>
          <w:bCs/>
          <w:szCs w:val="20"/>
        </w:rPr>
        <w:br w:type="page"/>
      </w:r>
    </w:p>
    <w:p w14:paraId="129B9322" w14:textId="4768900B" w:rsidR="00942FBB" w:rsidRPr="005B1792" w:rsidRDefault="00942FBB" w:rsidP="00CC2480">
      <w:pPr>
        <w:spacing w:line="360" w:lineRule="auto"/>
        <w:rPr>
          <w:rFonts w:ascii="Times" w:hAnsi="Times" w:cs="Times"/>
          <w:szCs w:val="20"/>
        </w:rPr>
      </w:pPr>
      <w:r w:rsidRPr="005B1792">
        <w:rPr>
          <w:rFonts w:ascii="Times" w:hAnsi="Times" w:cs="Times"/>
          <w:b/>
          <w:bCs/>
          <w:szCs w:val="20"/>
        </w:rPr>
        <w:lastRenderedPageBreak/>
        <w:t>Acknowledgements</w:t>
      </w:r>
      <w:r w:rsidRPr="005B1792">
        <w:rPr>
          <w:rFonts w:ascii="Times" w:hAnsi="Times" w:cs="Times"/>
          <w:szCs w:val="20"/>
        </w:rPr>
        <w:t xml:space="preserve"> There was no funding source for this study.</w:t>
      </w:r>
    </w:p>
    <w:p w14:paraId="26F8629C" w14:textId="77777777" w:rsidR="00942FBB" w:rsidRPr="005B1792" w:rsidRDefault="00942FBB" w:rsidP="00CC2480">
      <w:pPr>
        <w:spacing w:line="360" w:lineRule="auto"/>
        <w:rPr>
          <w:rFonts w:ascii="Times" w:hAnsi="Times" w:cs="Times"/>
          <w:szCs w:val="20"/>
        </w:rPr>
      </w:pPr>
      <w:r w:rsidRPr="005B1792">
        <w:rPr>
          <w:rFonts w:ascii="Times" w:hAnsi="Times" w:cs="Times"/>
          <w:b/>
          <w:bCs/>
          <w:szCs w:val="20"/>
        </w:rPr>
        <w:t xml:space="preserve">Competing interests </w:t>
      </w:r>
      <w:r w:rsidRPr="005B1792">
        <w:rPr>
          <w:rFonts w:ascii="Times" w:hAnsi="Times" w:cs="Times"/>
          <w:szCs w:val="20"/>
        </w:rPr>
        <w:t xml:space="preserve">All authors have completed the ICMJE uniform disclosure form at www.icmje.org/coi_disclosure.pdf and declare: GSP is supported by Alicia </w:t>
      </w:r>
      <w:proofErr w:type="spellStart"/>
      <w:r w:rsidRPr="005B1792">
        <w:rPr>
          <w:rFonts w:ascii="Times" w:hAnsi="Times" w:cs="Times"/>
          <w:szCs w:val="20"/>
        </w:rPr>
        <w:t>Koplowitz</w:t>
      </w:r>
      <w:proofErr w:type="spellEnd"/>
      <w:r w:rsidRPr="005B1792">
        <w:rPr>
          <w:rFonts w:ascii="Times" w:hAnsi="Times" w:cs="Times"/>
          <w:szCs w:val="20"/>
        </w:rPr>
        <w:t xml:space="preserve"> Foundation and Janssen </w:t>
      </w:r>
      <w:proofErr w:type="spellStart"/>
      <w:r w:rsidRPr="005B1792">
        <w:rPr>
          <w:rFonts w:ascii="Times" w:hAnsi="Times" w:cs="Times"/>
          <w:szCs w:val="20"/>
        </w:rPr>
        <w:t>Cilaq</w:t>
      </w:r>
      <w:proofErr w:type="spellEnd"/>
      <w:r w:rsidRPr="005B1792">
        <w:rPr>
          <w:rFonts w:ascii="Times" w:hAnsi="Times" w:cs="Times"/>
          <w:szCs w:val="20"/>
        </w:rPr>
        <w:t xml:space="preserve">. BS is supported by a National Institute for Health Research (NIHR) Advanced Fellowship (301206, 2021-20216). BS is a lead/co-investigator the following active grants 1) NIHR program grant: Supporting Physical and Activity through Co-production in people with Severe Mental Illness (SPACES,2021-2027); 2) TB multimorbidity with the Medical Research Council (GCRF call (2020-2022); 3) Determinants of MLTCs among young adults with mental disorders: a data-linkage study, Guy's &amp; St Thomas' Charity (2020-2022); 4) Mechanisms underlying the role of gut-microbiota in exercise-induced changes in cognitive function in middle-age, Reta Lila Weston Trust For Medical Research (2021-2024); 5) Improving Outcomes in Mental and Physical Multi-morbidity and Developing Research Capacity (IMPACT) in South Asia, NIHR Global Research program grant (2017-2022). BS also works at King’s College London; disseminating and publishing evidence is integral to his employment (although his salary is wholly covered by the above fellowship). BS also works clinically with people that use mental health services in the National Health Service (NHS). BS has published a book on exercise and mental illness and is on the Editorial board of Ageing Research Reviews, Mental Health and Physical Activity, The Journal of Evidence Based Medicine and The Brazilian Journal of Psychiatry. BS has received honorarium for advisory work from ASICS Europe BV &amp; Parachute BH for work unrelated to this project. The views expressed are those of the author(s) and not necessarily those of mentioned above, the NHS, the NIHR, the Department of Health and Social Care, the MRC or GSTT. </w:t>
      </w:r>
    </w:p>
    <w:p w14:paraId="21EBC5C1" w14:textId="6293F8EA" w:rsidR="00942FBB" w:rsidRPr="005B1792" w:rsidRDefault="00942FBB" w:rsidP="00CC2480">
      <w:pPr>
        <w:spacing w:line="360" w:lineRule="auto"/>
        <w:rPr>
          <w:rFonts w:ascii="Times" w:hAnsi="Times" w:cs="Times"/>
          <w:szCs w:val="20"/>
        </w:rPr>
      </w:pPr>
      <w:r w:rsidRPr="00DC02D1">
        <w:rPr>
          <w:rFonts w:ascii="Times" w:hAnsi="Times" w:cs="Times"/>
          <w:b/>
          <w:bCs/>
          <w:szCs w:val="20"/>
        </w:rPr>
        <w:t>Data sharing</w:t>
      </w:r>
      <w:r w:rsidRPr="005B1792">
        <w:rPr>
          <w:rFonts w:ascii="Times" w:hAnsi="Times" w:cs="Times"/>
          <w:szCs w:val="20"/>
        </w:rPr>
        <w:t xml:space="preserve"> All data used in this study were from publicly available articles.</w:t>
      </w:r>
    </w:p>
    <w:p w14:paraId="6D0E30BD" w14:textId="77777777" w:rsidR="00942FBB" w:rsidRPr="005B1792" w:rsidRDefault="00942FBB" w:rsidP="00F97EFE">
      <w:pPr>
        <w:spacing w:line="360" w:lineRule="auto"/>
        <w:rPr>
          <w:rFonts w:ascii="Times" w:hAnsi="Times" w:cs="Times"/>
          <w:b/>
          <w:bCs/>
          <w:szCs w:val="20"/>
        </w:rPr>
      </w:pPr>
      <w:r w:rsidRPr="005B1792">
        <w:rPr>
          <w:rFonts w:ascii="Times" w:hAnsi="Times" w:cs="Times"/>
          <w:b/>
          <w:bCs/>
          <w:szCs w:val="20"/>
        </w:rPr>
        <w:t>Appendix</w:t>
      </w:r>
      <w:r w:rsidRPr="005B1792">
        <w:rPr>
          <w:rFonts w:ascii="Times" w:hAnsi="Times" w:cs="Times" w:hint="eastAsia"/>
          <w:b/>
          <w:bCs/>
          <w:szCs w:val="20"/>
        </w:rPr>
        <w:t xml:space="preserve"> </w:t>
      </w:r>
      <w:r w:rsidRPr="005B1792">
        <w:rPr>
          <w:rFonts w:ascii="Times" w:hAnsi="Times" w:cs="Times"/>
          <w:szCs w:val="20"/>
        </w:rPr>
        <w:t xml:space="preserve">Supplementary material on this article can be found, in the online version. </w:t>
      </w:r>
    </w:p>
    <w:p w14:paraId="42C85AFC" w14:textId="77777777" w:rsidR="006B2607" w:rsidRPr="005B1792" w:rsidRDefault="006B2607">
      <w:pPr>
        <w:widowControl/>
        <w:wordWrap/>
        <w:autoSpaceDE/>
        <w:autoSpaceDN/>
        <w:spacing w:after="0" w:line="240" w:lineRule="auto"/>
        <w:ind w:firstLineChars="100" w:firstLine="200"/>
        <w:jc w:val="left"/>
        <w:rPr>
          <w:rFonts w:ascii="Times" w:hAnsi="Times" w:cs="Times"/>
          <w:b/>
          <w:bCs/>
        </w:rPr>
      </w:pPr>
      <w:r w:rsidRPr="005B1792">
        <w:rPr>
          <w:rFonts w:ascii="Times" w:hAnsi="Times" w:cs="Times"/>
          <w:b/>
          <w:bCs/>
        </w:rPr>
        <w:br w:type="page"/>
      </w:r>
    </w:p>
    <w:p w14:paraId="000E0238" w14:textId="7AF021E8" w:rsidR="00942FBB" w:rsidRPr="005B1792" w:rsidRDefault="00942FBB" w:rsidP="00CC2480">
      <w:pPr>
        <w:spacing w:line="360" w:lineRule="auto"/>
        <w:rPr>
          <w:rFonts w:ascii="Times" w:hAnsi="Times" w:cs="Times"/>
          <w:b/>
          <w:bCs/>
        </w:rPr>
      </w:pPr>
      <w:r w:rsidRPr="005B1792">
        <w:rPr>
          <w:rFonts w:ascii="Times" w:hAnsi="Times" w:cs="Times" w:hint="eastAsia"/>
          <w:b/>
          <w:bCs/>
        </w:rPr>
        <w:lastRenderedPageBreak/>
        <w:t>R</w:t>
      </w:r>
      <w:r w:rsidRPr="005B1792">
        <w:rPr>
          <w:rFonts w:ascii="Times" w:hAnsi="Times" w:cs="Times"/>
          <w:b/>
          <w:bCs/>
        </w:rPr>
        <w:t>eferences</w:t>
      </w:r>
    </w:p>
    <w:p w14:paraId="6394C160" w14:textId="77777777" w:rsidR="00942FBB" w:rsidRPr="005B1792" w:rsidRDefault="00942FBB" w:rsidP="00942FBB">
      <w:pPr>
        <w:rPr>
          <w:rFonts w:ascii="Times" w:hAnsi="Times" w:cs="Times"/>
          <w:noProof/>
          <w:szCs w:val="20"/>
        </w:rPr>
      </w:pPr>
      <w:r w:rsidRPr="005B1792">
        <w:rPr>
          <w:rFonts w:ascii="Times" w:hAnsi="Times" w:cs="Times"/>
          <w:noProof/>
          <w:szCs w:val="20"/>
        </w:rPr>
        <w:t>Azami, M., Badfar, G., Khalighi, Z., Qasemi, P., Shohani, M., Soleymani, A., Abbasalizadeh, S., 2019a. The association between anemia and postpartum depression: A systematic review and meta-analysis. Caspian J Intern Med 10, 115-124.</w:t>
      </w:r>
    </w:p>
    <w:p w14:paraId="5CCB670D" w14:textId="77777777" w:rsidR="00942FBB" w:rsidRPr="005B1792" w:rsidRDefault="00942FBB" w:rsidP="00942FBB">
      <w:pPr>
        <w:rPr>
          <w:rFonts w:ascii="Times" w:hAnsi="Times" w:cs="Times"/>
          <w:noProof/>
          <w:szCs w:val="20"/>
        </w:rPr>
      </w:pPr>
      <w:r w:rsidRPr="005B1792">
        <w:rPr>
          <w:rFonts w:ascii="Times" w:hAnsi="Times" w:cs="Times"/>
          <w:noProof/>
          <w:szCs w:val="20"/>
        </w:rPr>
        <w:t>Azami, M., Badfar, G., Soleymani, A., Rahmati, S., 2019b. The association between gestational diabetes and postpartum depression: A systematic review and meta-analysis. Diabetes Res Clin Pract 149, 147-155.</w:t>
      </w:r>
    </w:p>
    <w:p w14:paraId="023D3C23" w14:textId="77777777" w:rsidR="00942FBB" w:rsidRPr="005B1792" w:rsidRDefault="00942FBB" w:rsidP="00942FBB">
      <w:pPr>
        <w:rPr>
          <w:rFonts w:ascii="Times" w:hAnsi="Times" w:cs="Times"/>
          <w:noProof/>
          <w:szCs w:val="20"/>
        </w:rPr>
      </w:pPr>
      <w:r w:rsidRPr="005B1792">
        <w:rPr>
          <w:rFonts w:ascii="Times" w:hAnsi="Times" w:cs="Times"/>
          <w:noProof/>
          <w:szCs w:val="20"/>
        </w:rPr>
        <w:t>Bacchus, L.J., Ranganathan, M., Watts, C., Devries, K., 2018. Recent intimate partner violence against women and health: a systematic review and meta-analysis of cohort studies. BMJ Open 8, e019995.</w:t>
      </w:r>
    </w:p>
    <w:p w14:paraId="0238B919" w14:textId="77777777" w:rsidR="00942FBB" w:rsidRPr="005B1792" w:rsidRDefault="00942FBB" w:rsidP="00942FBB">
      <w:pPr>
        <w:rPr>
          <w:rFonts w:ascii="Times" w:hAnsi="Times" w:cs="Times"/>
          <w:noProof/>
          <w:szCs w:val="20"/>
        </w:rPr>
      </w:pPr>
      <w:r w:rsidRPr="005B1792">
        <w:rPr>
          <w:rFonts w:ascii="Times" w:hAnsi="Times" w:cs="Times"/>
          <w:noProof/>
          <w:szCs w:val="20"/>
        </w:rPr>
        <w:t>Balshem, H., Helfand, M., Schünemann, H.J., Oxman, A.D., Kunz, R., Brozek, J., Vist, G.E., Falck-Ytter, Y., Meerpohl, J., Norris, S., Guyatt, G.H., 2011. GRADE guidelines: 3. Rating the quality of evidence. J Clin Epidemiol 64, 401-406.</w:t>
      </w:r>
    </w:p>
    <w:p w14:paraId="5521B845" w14:textId="77777777" w:rsidR="00942FBB" w:rsidRPr="005B1792" w:rsidRDefault="00942FBB" w:rsidP="00942FBB">
      <w:pPr>
        <w:rPr>
          <w:rFonts w:ascii="Times" w:hAnsi="Times" w:cs="Times"/>
          <w:noProof/>
          <w:szCs w:val="20"/>
        </w:rPr>
      </w:pPr>
      <w:r w:rsidRPr="005B1792">
        <w:rPr>
          <w:rFonts w:ascii="Times" w:hAnsi="Times" w:cs="Times"/>
          <w:noProof/>
          <w:szCs w:val="20"/>
        </w:rPr>
        <w:t>Banti, S., Mauri, M., Oppo, A., Borri, C., Rambelli, C., Ramacciotti, D., Montagnani, M.S., Camilleri, V., Cortopassi, S., Rucci, P., Cassano, G.B., 2011. From the third month of pregnancy to 1 year postpartum. Prevalence, incidence, recurrence, and new onset of depression. Results from the perinatal depression-research &amp; screening unit study. Compr Psychiatry 52, 343-351.</w:t>
      </w:r>
    </w:p>
    <w:p w14:paraId="09A704C9" w14:textId="77777777" w:rsidR="00942FBB" w:rsidRPr="005B1792" w:rsidRDefault="00942FBB" w:rsidP="00942FBB">
      <w:pPr>
        <w:rPr>
          <w:rFonts w:ascii="Times" w:hAnsi="Times" w:cs="Times"/>
          <w:noProof/>
          <w:szCs w:val="20"/>
        </w:rPr>
      </w:pPr>
      <w:r w:rsidRPr="005B1792">
        <w:rPr>
          <w:rFonts w:ascii="Times" w:hAnsi="Times" w:cs="Times"/>
          <w:noProof/>
          <w:szCs w:val="20"/>
        </w:rPr>
        <w:t>Baron, J.A., 1984. Smoking and estrogen-related disease. Am J Epidemiol 119, 9-22.</w:t>
      </w:r>
    </w:p>
    <w:p w14:paraId="676F370F" w14:textId="77777777" w:rsidR="00942FBB" w:rsidRPr="005B1792" w:rsidRDefault="00942FBB" w:rsidP="00942FBB">
      <w:pPr>
        <w:rPr>
          <w:rFonts w:ascii="Times" w:hAnsi="Times" w:cs="Times"/>
          <w:noProof/>
          <w:szCs w:val="20"/>
        </w:rPr>
      </w:pPr>
      <w:r w:rsidRPr="005B1792">
        <w:rPr>
          <w:rFonts w:ascii="Times" w:hAnsi="Times" w:cs="Times"/>
          <w:noProof/>
          <w:szCs w:val="20"/>
        </w:rPr>
        <w:t>Bebbington, P., Dunn, G., Jenkins, R., Lewis, G., Brugha, T., Farrell, M., Meltzer, H., 2003. The influence of age and sex on the prevalence of depressive conditions: report from the National Survey of Psychiatric Morbidity. Int Rev Psychiatry 15, 74-83.</w:t>
      </w:r>
    </w:p>
    <w:p w14:paraId="30A02273" w14:textId="77777777" w:rsidR="00942FBB" w:rsidRPr="005B1792" w:rsidRDefault="00942FBB" w:rsidP="00942FBB">
      <w:pPr>
        <w:rPr>
          <w:rFonts w:ascii="Times" w:hAnsi="Times" w:cs="Times"/>
          <w:noProof/>
          <w:szCs w:val="20"/>
        </w:rPr>
      </w:pPr>
      <w:r w:rsidRPr="005B1792">
        <w:rPr>
          <w:rFonts w:ascii="Times" w:hAnsi="Times" w:cs="Times"/>
          <w:noProof/>
          <w:szCs w:val="20"/>
        </w:rPr>
        <w:t>Begni, V., Riva, M.A., Cattaneo, A., 2017. Cellular and molecular mechanisms of the brain-derived neurotrophic factor in physiological and pathological conditions. Clin Sci (Lond) 131, 123-138.</w:t>
      </w:r>
    </w:p>
    <w:p w14:paraId="0A56741E" w14:textId="77777777" w:rsidR="00942FBB" w:rsidRPr="005B1792" w:rsidRDefault="00942FBB" w:rsidP="00942FBB">
      <w:pPr>
        <w:rPr>
          <w:rFonts w:ascii="Times" w:hAnsi="Times" w:cs="Times"/>
          <w:noProof/>
          <w:szCs w:val="20"/>
        </w:rPr>
      </w:pPr>
      <w:r w:rsidRPr="005B1792">
        <w:rPr>
          <w:rFonts w:ascii="Times" w:hAnsi="Times" w:cs="Times"/>
          <w:noProof/>
          <w:szCs w:val="20"/>
        </w:rPr>
        <w:t>Belbasis, L., Bellou, V., Evangelou, E., Ioannidis, J.P., Tzoulaki, I., 2015. Environmental risk factors and multiple sclerosis: an umbrella review of systematic reviews and meta-analyses. Lancet Neurol 14, 263-273.</w:t>
      </w:r>
    </w:p>
    <w:p w14:paraId="31B14A50" w14:textId="77777777" w:rsidR="00942FBB" w:rsidRPr="005B1792" w:rsidRDefault="00942FBB" w:rsidP="00942FBB">
      <w:pPr>
        <w:rPr>
          <w:rFonts w:ascii="Times" w:hAnsi="Times" w:cs="Times"/>
          <w:noProof/>
          <w:szCs w:val="20"/>
        </w:rPr>
      </w:pPr>
      <w:r w:rsidRPr="005B1792">
        <w:rPr>
          <w:rFonts w:ascii="Times" w:hAnsi="Times" w:cs="Times"/>
          <w:noProof/>
          <w:szCs w:val="20"/>
        </w:rPr>
        <w:t>Bellou, V., Belbasis, L., Tzoulaki, I., Middleton, L.T., Ioannidis, J.P.A., Evangelou, E., 2017. Systematic evaluation of the associations between environmental risk factors and dementia: An umbrella review of systematic reviews and meta-analyses. Alzheimers Dement 13, 406-418.</w:t>
      </w:r>
    </w:p>
    <w:p w14:paraId="797CA75D" w14:textId="77777777" w:rsidR="00942FBB" w:rsidRPr="005B1792" w:rsidRDefault="00942FBB" w:rsidP="00942FBB">
      <w:pPr>
        <w:rPr>
          <w:rFonts w:ascii="Times" w:hAnsi="Times" w:cs="Times"/>
          <w:noProof/>
          <w:szCs w:val="20"/>
        </w:rPr>
      </w:pPr>
      <w:r w:rsidRPr="005B1792">
        <w:rPr>
          <w:rFonts w:ascii="Times" w:hAnsi="Times" w:cs="Times"/>
          <w:noProof/>
          <w:szCs w:val="20"/>
        </w:rPr>
        <w:t>Beydoun, H.A., Beydoun, M.A., Kaufman, J.S., Lo, B., Zonderman, A.B., 2012. Intimate partner violence against adult women and its association with major depressive disorder, depressive symptoms and postpartum depression: a systematic review and meta-analysis. Soc Sci Med 75, 959-975.</w:t>
      </w:r>
    </w:p>
    <w:p w14:paraId="3E2DA5DA" w14:textId="77777777" w:rsidR="00942FBB" w:rsidRPr="005B1792" w:rsidRDefault="00942FBB" w:rsidP="00942FBB">
      <w:pPr>
        <w:rPr>
          <w:rFonts w:ascii="Times" w:hAnsi="Times" w:cs="Times"/>
          <w:noProof/>
          <w:szCs w:val="20"/>
        </w:rPr>
      </w:pPr>
      <w:r w:rsidRPr="005B1792">
        <w:rPr>
          <w:rFonts w:ascii="Times" w:hAnsi="Times" w:cs="Times"/>
          <w:noProof/>
          <w:szCs w:val="20"/>
        </w:rPr>
        <w:t>Birmaher, B., Ryan, N.D., Williamson, D.E., Brent, D.A., Kaufman, J., Dahl, R.E., Perel, J., Nelson, B., 1996. Childhood and adolescent depression: a review of the past 10 years. Part I. J Am Acad Child Adolesc Psychiatry 35, 1427-1439.</w:t>
      </w:r>
    </w:p>
    <w:p w14:paraId="78407AD4" w14:textId="77777777" w:rsidR="00942FBB" w:rsidRPr="005B1792" w:rsidRDefault="00942FBB" w:rsidP="00942FBB">
      <w:pPr>
        <w:rPr>
          <w:rFonts w:ascii="Times" w:hAnsi="Times" w:cs="Times"/>
          <w:noProof/>
          <w:szCs w:val="20"/>
        </w:rPr>
      </w:pPr>
      <w:r w:rsidRPr="005B1792">
        <w:rPr>
          <w:rFonts w:ascii="Times" w:hAnsi="Times" w:cs="Times"/>
          <w:noProof/>
          <w:szCs w:val="20"/>
        </w:rPr>
        <w:t>Black, C.N., Bot, M., Scheffer, P.G., Cuijpers, P., Penninx, B.W., 2015. Is depression associated with increased oxidative stress? A systematic review and meta-analysis. Psychoneuroendocrinology 51, 164-175.</w:t>
      </w:r>
    </w:p>
    <w:p w14:paraId="5CB500AA" w14:textId="77777777" w:rsidR="00942FBB" w:rsidRPr="005B1792" w:rsidRDefault="00942FBB" w:rsidP="00942FBB">
      <w:pPr>
        <w:rPr>
          <w:rFonts w:ascii="Times" w:hAnsi="Times" w:cs="Times"/>
          <w:noProof/>
          <w:szCs w:val="20"/>
        </w:rPr>
      </w:pPr>
      <w:r w:rsidRPr="005B1792">
        <w:rPr>
          <w:rFonts w:ascii="Times" w:hAnsi="Times" w:cs="Times"/>
          <w:noProof/>
          <w:szCs w:val="20"/>
        </w:rPr>
        <w:t>Bloch, M., Schmidt, P.J., Danaceau, M., Murphy, J., Nieman, L., Rubinow, D.R., 2000. Effects of gonadal steroids in women with a history of postpartum depression. Am J Psychiatry 157, 924-930.</w:t>
      </w:r>
    </w:p>
    <w:p w14:paraId="26E75818" w14:textId="77777777" w:rsidR="00942FBB" w:rsidRPr="005B1792" w:rsidRDefault="00942FBB" w:rsidP="00942FBB">
      <w:pPr>
        <w:rPr>
          <w:rFonts w:ascii="Times" w:hAnsi="Times" w:cs="Times"/>
          <w:noProof/>
          <w:szCs w:val="20"/>
        </w:rPr>
      </w:pPr>
      <w:r w:rsidRPr="005B1792">
        <w:rPr>
          <w:rFonts w:ascii="Times" w:hAnsi="Times" w:cs="Times"/>
          <w:noProof/>
          <w:szCs w:val="20"/>
        </w:rPr>
        <w:t>Brummelte, S., Galea, L.A., 2010. Depression during pregnancy and postpartum: contribution of stress and ovarian hormones. Prog Neuropsychopharmacol Biol Psychiatry 34, 766-776.</w:t>
      </w:r>
    </w:p>
    <w:p w14:paraId="142B5E7F" w14:textId="77777777" w:rsidR="00942FBB" w:rsidRPr="005B1792" w:rsidRDefault="00942FBB" w:rsidP="00942FBB">
      <w:pPr>
        <w:rPr>
          <w:rFonts w:ascii="Times" w:hAnsi="Times" w:cs="Times"/>
          <w:noProof/>
          <w:szCs w:val="20"/>
        </w:rPr>
      </w:pPr>
      <w:r w:rsidRPr="005B1792">
        <w:rPr>
          <w:rFonts w:ascii="Times" w:hAnsi="Times" w:cs="Times"/>
          <w:noProof/>
          <w:szCs w:val="20"/>
        </w:rPr>
        <w:t>Brunoni, A.R., Lopes, M., Fregni, F., 2008. A systematic review and meta-analysis of clinical studies on major depression and BDNF levels: implications for the role of neuroplasticity in depression. Int J Neuropsychopharmacol 11, 1169-1180.</w:t>
      </w:r>
    </w:p>
    <w:p w14:paraId="5ED4F671" w14:textId="77777777" w:rsidR="00942FBB" w:rsidRPr="005B1792" w:rsidRDefault="00942FBB" w:rsidP="00942FBB">
      <w:pPr>
        <w:rPr>
          <w:rFonts w:ascii="Times" w:hAnsi="Times" w:cs="Times"/>
          <w:noProof/>
          <w:szCs w:val="20"/>
        </w:rPr>
      </w:pPr>
      <w:r w:rsidRPr="005B1792">
        <w:rPr>
          <w:rFonts w:ascii="Times" w:hAnsi="Times" w:cs="Times"/>
          <w:noProof/>
          <w:szCs w:val="20"/>
        </w:rPr>
        <w:lastRenderedPageBreak/>
        <w:t>Cao, S., Jones, M., Tooth, L., Mishra, G.D., 2020. History of premenstrual syndrome and development of postpartum depression: A systematic review and meta-analysis. J Psychiatr Res 121, 82-90.</w:t>
      </w:r>
    </w:p>
    <w:p w14:paraId="2AFF31C2" w14:textId="77777777" w:rsidR="00942FBB" w:rsidRPr="005B1792" w:rsidRDefault="00942FBB" w:rsidP="00942FBB">
      <w:pPr>
        <w:rPr>
          <w:rFonts w:ascii="Times" w:hAnsi="Times" w:cs="Times"/>
          <w:noProof/>
          <w:szCs w:val="20"/>
        </w:rPr>
      </w:pPr>
      <w:r w:rsidRPr="005B1792">
        <w:rPr>
          <w:rFonts w:ascii="Times" w:hAnsi="Times" w:cs="Times"/>
          <w:noProof/>
          <w:szCs w:val="20"/>
        </w:rPr>
        <w:t>Chen, H.L., Cai, J.Y., Zha, M.L., Shen, W.Q., 2019. Prenatal smoking and postpartum depression: a meta-analysis. J Psychosom Obstet Gynaecol 40, 97-105.</w:t>
      </w:r>
    </w:p>
    <w:p w14:paraId="1B2497C0" w14:textId="77777777" w:rsidR="00942FBB" w:rsidRPr="005B1792" w:rsidRDefault="00942FBB" w:rsidP="00942FBB">
      <w:pPr>
        <w:rPr>
          <w:rFonts w:ascii="Times" w:hAnsi="Times" w:cs="Times"/>
          <w:noProof/>
          <w:szCs w:val="20"/>
        </w:rPr>
      </w:pPr>
      <w:r w:rsidRPr="005B1792">
        <w:rPr>
          <w:rFonts w:ascii="Times" w:hAnsi="Times" w:cs="Times"/>
          <w:noProof/>
          <w:szCs w:val="20"/>
        </w:rPr>
        <w:t>Cochran, W.G., 1954. The combination of estimates from different experiments. Biometrics 10, 101-129.</w:t>
      </w:r>
    </w:p>
    <w:p w14:paraId="65DE6409" w14:textId="77777777" w:rsidR="00942FBB" w:rsidRPr="005B1792" w:rsidRDefault="00942FBB" w:rsidP="00942FBB">
      <w:pPr>
        <w:rPr>
          <w:rFonts w:ascii="Times" w:hAnsi="Times" w:cs="Times"/>
          <w:noProof/>
          <w:szCs w:val="20"/>
        </w:rPr>
      </w:pPr>
      <w:r w:rsidRPr="005B1792">
        <w:rPr>
          <w:rFonts w:ascii="Times" w:hAnsi="Times" w:cs="Times"/>
          <w:noProof/>
          <w:szCs w:val="20"/>
        </w:rPr>
        <w:t>Coelho, H.F., Murray, L., Royal-Lawson, M., Cooper, P.J., 2011. Antenatal anxiety disorder as a predictor of postnatal depression: a longitudinal study. J Affect Disord 129, 348-353.</w:t>
      </w:r>
    </w:p>
    <w:p w14:paraId="1FB08B75" w14:textId="77777777" w:rsidR="00942FBB" w:rsidRPr="005B1792" w:rsidRDefault="00942FBB" w:rsidP="00942FBB">
      <w:pPr>
        <w:rPr>
          <w:rFonts w:ascii="Times" w:hAnsi="Times" w:cs="Times"/>
          <w:noProof/>
          <w:szCs w:val="20"/>
        </w:rPr>
      </w:pPr>
      <w:r w:rsidRPr="005B1792">
        <w:rPr>
          <w:rFonts w:ascii="Times" w:hAnsi="Times" w:cs="Times"/>
          <w:noProof/>
          <w:szCs w:val="20"/>
        </w:rPr>
        <w:t>Dachew, B.A., Ayano, G., Betts, K., Alati, R., 2021. The impact of pre-pregnancy BMI on maternal depressive and anxiety symptoms during pregnancy and the postpartum period: A systematic review and meta-analysis. J Affect Disord 281, 321-330.</w:t>
      </w:r>
    </w:p>
    <w:p w14:paraId="52E2C758" w14:textId="77777777" w:rsidR="00942FBB" w:rsidRPr="005B1792" w:rsidRDefault="00942FBB" w:rsidP="00942FBB">
      <w:pPr>
        <w:rPr>
          <w:rFonts w:ascii="Times" w:hAnsi="Times" w:cs="Times"/>
          <w:noProof/>
          <w:szCs w:val="20"/>
        </w:rPr>
      </w:pPr>
      <w:r w:rsidRPr="005B1792">
        <w:rPr>
          <w:rFonts w:ascii="Times" w:hAnsi="Times" w:cs="Times"/>
          <w:noProof/>
          <w:szCs w:val="20"/>
        </w:rPr>
        <w:t>Dadi, A.F., Akalu, T.Y., Baraki, A.G., Wolde, H.F., 2020. Epidemiology of postnatal depression and its associated factors in Africa: A systematic review and meta-analysis. PLoS One 15, e0231940.</w:t>
      </w:r>
    </w:p>
    <w:p w14:paraId="61064B84" w14:textId="77777777" w:rsidR="00942FBB" w:rsidRPr="005B1792" w:rsidRDefault="00942FBB" w:rsidP="00942FBB">
      <w:pPr>
        <w:rPr>
          <w:rFonts w:ascii="Times" w:hAnsi="Times" w:cs="Times"/>
          <w:noProof/>
          <w:szCs w:val="20"/>
        </w:rPr>
      </w:pPr>
      <w:r w:rsidRPr="005B1792">
        <w:rPr>
          <w:rFonts w:ascii="Times" w:hAnsi="Times" w:cs="Times"/>
          <w:noProof/>
          <w:szCs w:val="20"/>
        </w:rPr>
        <w:t>de Paula Eduardo, J.A.F., de Rezende, M.G., Menezes, P.R., Del-Ben, C.M., 2019. Preterm birth as a risk factor for postpartum depression: A systematic review and meta-analysis. J Affect Disord 259, 392-403.</w:t>
      </w:r>
    </w:p>
    <w:p w14:paraId="498BEAE8" w14:textId="77777777" w:rsidR="00942FBB" w:rsidRPr="005B1792" w:rsidRDefault="00942FBB" w:rsidP="00942FBB">
      <w:pPr>
        <w:rPr>
          <w:rFonts w:ascii="Times" w:hAnsi="Times" w:cs="Times"/>
          <w:noProof/>
          <w:szCs w:val="20"/>
        </w:rPr>
      </w:pPr>
      <w:r w:rsidRPr="005B1792">
        <w:rPr>
          <w:rFonts w:ascii="Times" w:hAnsi="Times" w:cs="Times"/>
          <w:noProof/>
          <w:szCs w:val="20"/>
        </w:rPr>
        <w:t>Desta, M., Memiah, P., Kassie, B., Ketema, D.B., Amha, H., Getaneh, T., Sintayehu, M., 2021. Postpartum depression and its association with intimate partner violence and inadequate social support in Ethiopia: a systematic review and meta-analysis. J Affect Disord 279, 737-748.</w:t>
      </w:r>
    </w:p>
    <w:p w14:paraId="17BFABF6" w14:textId="77777777" w:rsidR="00942FBB" w:rsidRPr="005B1792" w:rsidRDefault="00942FBB" w:rsidP="00942FBB">
      <w:pPr>
        <w:rPr>
          <w:rFonts w:ascii="Times" w:hAnsi="Times" w:cs="Times"/>
          <w:noProof/>
          <w:szCs w:val="20"/>
        </w:rPr>
      </w:pPr>
      <w:r w:rsidRPr="005B1792">
        <w:rPr>
          <w:rFonts w:ascii="Times" w:hAnsi="Times" w:cs="Times"/>
          <w:noProof/>
          <w:szCs w:val="20"/>
        </w:rPr>
        <w:t>Egger, M., Davey Smith, G., Schneider, M., Minder, C., 1997. Bias in meta-analysis detected by a simple, graphical test. Bmj 315, 629-634.</w:t>
      </w:r>
    </w:p>
    <w:p w14:paraId="2F34C280" w14:textId="77777777" w:rsidR="00942FBB" w:rsidRPr="005B1792" w:rsidRDefault="00942FBB" w:rsidP="00942FBB">
      <w:pPr>
        <w:rPr>
          <w:rFonts w:ascii="Times" w:hAnsi="Times" w:cs="Times"/>
          <w:noProof/>
          <w:szCs w:val="20"/>
        </w:rPr>
      </w:pPr>
      <w:r w:rsidRPr="005B1792">
        <w:rPr>
          <w:rFonts w:ascii="Times" w:hAnsi="Times" w:cs="Times"/>
          <w:noProof/>
          <w:szCs w:val="20"/>
        </w:rPr>
        <w:t>Faisal-Cury, A., Menezes, P.R., Quayle, J., Matijasevich, A., 2017. Unplanned pregnancy and risk of maternal depression: secondary data analysis from a prospective pregnancy cohort. Psychol Health Med 22, 65-74.</w:t>
      </w:r>
    </w:p>
    <w:p w14:paraId="161682F1" w14:textId="77777777" w:rsidR="00942FBB" w:rsidRPr="005B1792" w:rsidRDefault="00942FBB" w:rsidP="00942FBB">
      <w:pPr>
        <w:rPr>
          <w:rFonts w:ascii="Times" w:hAnsi="Times" w:cs="Times"/>
          <w:noProof/>
          <w:szCs w:val="20"/>
        </w:rPr>
      </w:pPr>
      <w:r w:rsidRPr="005B1792">
        <w:rPr>
          <w:rFonts w:ascii="Times" w:hAnsi="Times" w:cs="Times"/>
          <w:noProof/>
          <w:szCs w:val="20"/>
        </w:rPr>
        <w:t>Falah-Hassani, K., Shiri, R., Vigod, S., Dennis, C.L., 2015. Prevalence of postpartum depression among immigrant women: A systematic review and meta-analysis. J Psychiatr Res 70, 67-82.</w:t>
      </w:r>
    </w:p>
    <w:p w14:paraId="78AA143D" w14:textId="77777777" w:rsidR="00942FBB" w:rsidRPr="005B1792" w:rsidRDefault="00942FBB" w:rsidP="00942FBB">
      <w:pPr>
        <w:rPr>
          <w:rFonts w:ascii="Times" w:hAnsi="Times" w:cs="Times"/>
          <w:noProof/>
          <w:szCs w:val="20"/>
        </w:rPr>
      </w:pPr>
      <w:r w:rsidRPr="005B1792">
        <w:rPr>
          <w:rFonts w:ascii="Times" w:hAnsi="Times" w:cs="Times"/>
          <w:noProof/>
          <w:szCs w:val="20"/>
        </w:rPr>
        <w:t>Field, T., 2010. Postpartum depression effects on early interactions, parenting, and safety practices: a review. Infant Behav Dev 33, 1-6.</w:t>
      </w:r>
    </w:p>
    <w:p w14:paraId="2FD76D4F" w14:textId="77777777" w:rsidR="00942FBB" w:rsidRPr="005B1792" w:rsidRDefault="00942FBB" w:rsidP="00942FBB">
      <w:pPr>
        <w:rPr>
          <w:rFonts w:ascii="Times" w:hAnsi="Times" w:cs="Times"/>
          <w:noProof/>
          <w:szCs w:val="20"/>
        </w:rPr>
      </w:pPr>
      <w:r w:rsidRPr="005B1792">
        <w:rPr>
          <w:rFonts w:ascii="Times" w:hAnsi="Times" w:cs="Times"/>
          <w:noProof/>
          <w:szCs w:val="20"/>
        </w:rPr>
        <w:t>Franz, W.B., 3rd, 1988. Basic review: endocrinology of the normal menstrual cycle. Prim Care 15, 607-616.</w:t>
      </w:r>
    </w:p>
    <w:p w14:paraId="768940FE" w14:textId="77777777" w:rsidR="00942FBB" w:rsidRPr="005B1792" w:rsidRDefault="00942FBB" w:rsidP="00942FBB">
      <w:pPr>
        <w:rPr>
          <w:rFonts w:ascii="Times" w:hAnsi="Times" w:cs="Times"/>
          <w:noProof/>
          <w:szCs w:val="20"/>
        </w:rPr>
      </w:pPr>
      <w:r w:rsidRPr="005B1792">
        <w:rPr>
          <w:rFonts w:ascii="Times" w:hAnsi="Times" w:cs="Times"/>
          <w:noProof/>
          <w:szCs w:val="20"/>
        </w:rPr>
        <w:t>Fusar-Poli, P., Radua, J., 2018. Ten simple rules for conducting umbrella reviews. Evid Based Ment Health 21, 95-100.</w:t>
      </w:r>
    </w:p>
    <w:p w14:paraId="0A8F538D" w14:textId="77777777" w:rsidR="00942FBB" w:rsidRPr="005B1792" w:rsidRDefault="00942FBB" w:rsidP="00942FBB">
      <w:pPr>
        <w:rPr>
          <w:rFonts w:ascii="Times" w:hAnsi="Times" w:cs="Times"/>
          <w:noProof/>
          <w:szCs w:val="20"/>
        </w:rPr>
      </w:pPr>
      <w:r w:rsidRPr="005B1792">
        <w:rPr>
          <w:rFonts w:ascii="Times" w:hAnsi="Times" w:cs="Times"/>
          <w:noProof/>
          <w:szCs w:val="20"/>
        </w:rPr>
        <w:t>Gastaldon, C., Solmi, M., Correll, C.U., Barbui, C., Schoretsanitis, G., 2022. Risk factors of postpartum depression and depressive symptoms: umbrella review of current evidence from systematic reviews and meta-analyses of observational studies. Br J Psychiatry, 1-12.</w:t>
      </w:r>
    </w:p>
    <w:p w14:paraId="378504B1" w14:textId="77777777" w:rsidR="00942FBB" w:rsidRPr="005B1792" w:rsidRDefault="00942FBB" w:rsidP="00942FBB">
      <w:pPr>
        <w:rPr>
          <w:rFonts w:ascii="Times" w:hAnsi="Times" w:cs="Times"/>
          <w:noProof/>
          <w:szCs w:val="20"/>
        </w:rPr>
      </w:pPr>
      <w:r w:rsidRPr="005B1792">
        <w:rPr>
          <w:rFonts w:ascii="Times" w:hAnsi="Times" w:cs="Times"/>
          <w:noProof/>
          <w:szCs w:val="20"/>
        </w:rPr>
        <w:t>Gavin, N.I., Gaynes, B.N., Lohr, K.N., Meltzer-Brody, S., Gartlehner, G., Swinson, T., 2005. Perinatal depression: a systematic review of prevalence and incidence. Obstet Gynecol 106, 1071-1083.</w:t>
      </w:r>
    </w:p>
    <w:p w14:paraId="0511C42F" w14:textId="77777777" w:rsidR="00942FBB" w:rsidRPr="005B1792" w:rsidRDefault="00942FBB" w:rsidP="00942FBB">
      <w:pPr>
        <w:rPr>
          <w:rFonts w:ascii="Times" w:hAnsi="Times" w:cs="Times"/>
          <w:noProof/>
          <w:szCs w:val="20"/>
        </w:rPr>
      </w:pPr>
      <w:r w:rsidRPr="005B1792">
        <w:rPr>
          <w:rFonts w:ascii="Times" w:hAnsi="Times" w:cs="Times"/>
          <w:noProof/>
          <w:szCs w:val="20"/>
        </w:rPr>
        <w:t>Goodman, S.H., Rouse, M.H., Connell, A.M., Broth, M.R., Hall, C.M., Heyward, D., 2011. Maternal depression and child psychopathology: a meta-analytic review. Clin Child Fam Psychol Rev 14, 1-27.</w:t>
      </w:r>
    </w:p>
    <w:p w14:paraId="159FF64D" w14:textId="77777777" w:rsidR="00942FBB" w:rsidRPr="005B1792" w:rsidRDefault="00942FBB" w:rsidP="00942FBB">
      <w:pPr>
        <w:rPr>
          <w:rFonts w:ascii="Times" w:hAnsi="Times" w:cs="Times"/>
          <w:noProof/>
          <w:szCs w:val="20"/>
        </w:rPr>
      </w:pPr>
      <w:r w:rsidRPr="005B1792">
        <w:rPr>
          <w:rFonts w:ascii="Times" w:hAnsi="Times" w:cs="Times"/>
          <w:noProof/>
          <w:szCs w:val="20"/>
        </w:rPr>
        <w:t>Gressier, F., Guillard, V., Cazas, O., Falissard, B., Glangeaud-Freudenthal, N.M., Sutter-Dallay, A.L., 2017. Risk factors for suicide attempt in pregnancy and the post-partum period in women with serious mental illnesses. J Psychiatr Res 84, 284-291.</w:t>
      </w:r>
    </w:p>
    <w:p w14:paraId="34B8966E" w14:textId="77777777" w:rsidR="00942FBB" w:rsidRPr="005B1792" w:rsidRDefault="00942FBB" w:rsidP="00942FBB">
      <w:pPr>
        <w:rPr>
          <w:rFonts w:ascii="Times" w:hAnsi="Times" w:cs="Times"/>
          <w:noProof/>
          <w:szCs w:val="20"/>
        </w:rPr>
      </w:pPr>
      <w:r w:rsidRPr="005B1792">
        <w:rPr>
          <w:rFonts w:ascii="Times" w:hAnsi="Times" w:cs="Times"/>
          <w:noProof/>
          <w:szCs w:val="20"/>
        </w:rPr>
        <w:t>Grigoriadis, S., Graves, L., Peer, M., Mamisashvili, L., Tomlinson, G., Vigod, S.N., Dennis, C.L., Steiner, M., Brown, C., Cheung, A., Dawson, H., Rector, N.A., Guenette, M., Richter, M., 2019. A systematic review and meta-analysis of the effects of antenatal anxiety on postpartum outcomes. Arch Womens Ment Health 22, 543-</w:t>
      </w:r>
      <w:r w:rsidRPr="005B1792">
        <w:rPr>
          <w:rFonts w:ascii="Times" w:hAnsi="Times" w:cs="Times"/>
          <w:noProof/>
          <w:szCs w:val="20"/>
        </w:rPr>
        <w:lastRenderedPageBreak/>
        <w:t>556.</w:t>
      </w:r>
    </w:p>
    <w:p w14:paraId="286FC51E" w14:textId="77777777" w:rsidR="00942FBB" w:rsidRPr="005B1792" w:rsidRDefault="00942FBB" w:rsidP="00942FBB">
      <w:pPr>
        <w:rPr>
          <w:rFonts w:ascii="Times" w:hAnsi="Times" w:cs="Times"/>
          <w:noProof/>
          <w:szCs w:val="20"/>
        </w:rPr>
      </w:pPr>
      <w:r w:rsidRPr="005B1792">
        <w:rPr>
          <w:rFonts w:ascii="Times" w:hAnsi="Times" w:cs="Times"/>
          <w:noProof/>
          <w:szCs w:val="20"/>
        </w:rPr>
        <w:t>Gump, B.B., Reihman, J., Stewart, P., Lonky, E., Darvill, T., Granger, D.A., Matthews, K.A., 2009. Trajectories of maternal depressive symptoms over her child's life span: relation to adrenocortical, cardiovascular, and emotional functioning in children. Dev Psychopathol 21, 207-225.</w:t>
      </w:r>
    </w:p>
    <w:p w14:paraId="62E9CA7E" w14:textId="77777777" w:rsidR="00942FBB" w:rsidRPr="005B1792" w:rsidRDefault="00942FBB" w:rsidP="00942FBB">
      <w:pPr>
        <w:rPr>
          <w:rFonts w:ascii="Times" w:hAnsi="Times" w:cs="Times"/>
          <w:noProof/>
          <w:szCs w:val="20"/>
        </w:rPr>
      </w:pPr>
      <w:r w:rsidRPr="005B1792">
        <w:rPr>
          <w:rFonts w:ascii="Times" w:hAnsi="Times" w:cs="Times"/>
          <w:noProof/>
          <w:szCs w:val="20"/>
        </w:rPr>
        <w:t>Higgins, J.P., Thompson, S.G., Spiegelhalter, D.J., 2009. A re-evaluation of random-effects meta-analysis. J R Stat Soc Ser A Stat Soc 172, 137-159.</w:t>
      </w:r>
    </w:p>
    <w:p w14:paraId="3E0A1F43" w14:textId="77777777" w:rsidR="00942FBB" w:rsidRPr="005B1792" w:rsidRDefault="00942FBB" w:rsidP="00942FBB">
      <w:pPr>
        <w:rPr>
          <w:rFonts w:ascii="Times" w:hAnsi="Times" w:cs="Times"/>
          <w:noProof/>
          <w:szCs w:val="20"/>
        </w:rPr>
      </w:pPr>
      <w:r w:rsidRPr="005B1792">
        <w:rPr>
          <w:rFonts w:ascii="Times" w:hAnsi="Times" w:cs="Times"/>
          <w:noProof/>
          <w:szCs w:val="20"/>
        </w:rPr>
        <w:t>Howard, L.M., Oram, S., Galley, H., Trevillion, K., Feder, G., 2013. Domestic violence and perinatal mental disorders: a systematic review and meta-analysis. PLoS Med 10, e1001452.</w:t>
      </w:r>
    </w:p>
    <w:p w14:paraId="255E1EDD" w14:textId="77777777" w:rsidR="00942FBB" w:rsidRPr="005B1792" w:rsidRDefault="00942FBB" w:rsidP="00942FBB">
      <w:pPr>
        <w:rPr>
          <w:rFonts w:ascii="Times" w:hAnsi="Times" w:cs="Times"/>
          <w:noProof/>
          <w:szCs w:val="20"/>
        </w:rPr>
      </w:pPr>
      <w:r w:rsidRPr="005B1792">
        <w:rPr>
          <w:rFonts w:ascii="Times" w:hAnsi="Times" w:cs="Times"/>
          <w:noProof/>
          <w:szCs w:val="20"/>
        </w:rPr>
        <w:t>Hutchens, B.F., Kearney, J., 2020. Risk Factors for Postpartum Depression: An Umbrella Review. J Midwifery Womens Health 65, 96-108.</w:t>
      </w:r>
    </w:p>
    <w:p w14:paraId="26D2CFBD" w14:textId="77777777" w:rsidR="00942FBB" w:rsidRPr="005B1792" w:rsidRDefault="00942FBB" w:rsidP="00942FBB">
      <w:pPr>
        <w:rPr>
          <w:rFonts w:ascii="Times" w:hAnsi="Times" w:cs="Times"/>
          <w:noProof/>
          <w:szCs w:val="20"/>
        </w:rPr>
      </w:pPr>
      <w:r w:rsidRPr="005B1792">
        <w:rPr>
          <w:rFonts w:ascii="Times" w:hAnsi="Times" w:cs="Times"/>
          <w:noProof/>
          <w:szCs w:val="20"/>
        </w:rPr>
        <w:t>Ioannidis, J.P., 2005. Why most published research findings are false. PLoS Med 2, e124.</w:t>
      </w:r>
    </w:p>
    <w:p w14:paraId="00785C22" w14:textId="77777777" w:rsidR="00942FBB" w:rsidRPr="005B1792" w:rsidRDefault="00942FBB" w:rsidP="00942FBB">
      <w:pPr>
        <w:rPr>
          <w:rFonts w:ascii="Times" w:hAnsi="Times" w:cs="Times"/>
          <w:noProof/>
          <w:szCs w:val="20"/>
        </w:rPr>
      </w:pPr>
      <w:r w:rsidRPr="005B1792">
        <w:rPr>
          <w:rFonts w:ascii="Times" w:hAnsi="Times" w:cs="Times"/>
          <w:noProof/>
          <w:szCs w:val="20"/>
        </w:rPr>
        <w:t>Ioannidis, J.P., 2008. Why most discovered true associations are inflated. Epidemiology 19, 640-648.</w:t>
      </w:r>
    </w:p>
    <w:p w14:paraId="247328FE" w14:textId="77777777" w:rsidR="00942FBB" w:rsidRPr="005B1792" w:rsidRDefault="00942FBB" w:rsidP="00942FBB">
      <w:pPr>
        <w:rPr>
          <w:rFonts w:ascii="Times" w:hAnsi="Times" w:cs="Times"/>
          <w:noProof/>
          <w:szCs w:val="20"/>
        </w:rPr>
      </w:pPr>
      <w:r w:rsidRPr="005B1792">
        <w:rPr>
          <w:rFonts w:ascii="Times" w:hAnsi="Times" w:cs="Times"/>
          <w:noProof/>
          <w:szCs w:val="20"/>
        </w:rPr>
        <w:t>Ioannidis, J.P., Tarone, R., McLaughlin, J.K., 2011. The false-positive to false-negative ratio in epidemiologic studies. Epidemiology 22, 450-456.</w:t>
      </w:r>
    </w:p>
    <w:p w14:paraId="70F86B4B" w14:textId="77777777" w:rsidR="00942FBB" w:rsidRPr="005B1792" w:rsidRDefault="00942FBB" w:rsidP="00942FBB">
      <w:pPr>
        <w:rPr>
          <w:rFonts w:ascii="Times" w:hAnsi="Times" w:cs="Times"/>
          <w:noProof/>
          <w:szCs w:val="20"/>
        </w:rPr>
      </w:pPr>
      <w:r w:rsidRPr="005B1792">
        <w:rPr>
          <w:rFonts w:ascii="Times" w:hAnsi="Times" w:cs="Times"/>
          <w:noProof/>
          <w:szCs w:val="20"/>
        </w:rPr>
        <w:t>Jarosz, A.C., El-Sohemy, A., 2019. Association between Vitamin D Status and Premenstrual Symptoms. J Acad Nutr Diet 119, 115-123.</w:t>
      </w:r>
    </w:p>
    <w:p w14:paraId="05390B7B" w14:textId="77777777" w:rsidR="00942FBB" w:rsidRPr="005B1792" w:rsidRDefault="00942FBB" w:rsidP="00942FBB">
      <w:pPr>
        <w:rPr>
          <w:rFonts w:ascii="Times" w:hAnsi="Times" w:cs="Times"/>
          <w:noProof/>
          <w:szCs w:val="20"/>
        </w:rPr>
      </w:pPr>
      <w:r w:rsidRPr="005B1792">
        <w:rPr>
          <w:rFonts w:ascii="Times" w:hAnsi="Times" w:cs="Times"/>
          <w:noProof/>
          <w:szCs w:val="20"/>
        </w:rPr>
        <w:t>Jones, P., Arango, C., Dragioti, E., Solmi, M., Cortese, S., Katharina, K., Murray, R., 2021. Risk and protective factors for mental disorders beyond genetics: an evidence-based atlas (in press). World Psychiatry.</w:t>
      </w:r>
    </w:p>
    <w:p w14:paraId="787A26DA" w14:textId="77777777" w:rsidR="00942FBB" w:rsidRPr="005B1792" w:rsidRDefault="00942FBB" w:rsidP="00942FBB">
      <w:pPr>
        <w:rPr>
          <w:rFonts w:ascii="Times" w:hAnsi="Times" w:cs="Times"/>
          <w:noProof/>
          <w:szCs w:val="20"/>
        </w:rPr>
      </w:pPr>
      <w:r w:rsidRPr="005B1792">
        <w:rPr>
          <w:rFonts w:ascii="Times" w:hAnsi="Times" w:cs="Times"/>
          <w:noProof/>
          <w:szCs w:val="20"/>
        </w:rPr>
        <w:t>Jung, S.J., Shin, A., Kang, D., 2015. Menarche age, menopause age and other reproductive factors in association with post-menopausal onset depression: Results from Health Examinees Study (HEXA). J Affect Disord 187, 127-135.</w:t>
      </w:r>
    </w:p>
    <w:p w14:paraId="013169BE" w14:textId="77777777" w:rsidR="00942FBB" w:rsidRPr="005B1792" w:rsidRDefault="00942FBB" w:rsidP="00942FBB">
      <w:pPr>
        <w:rPr>
          <w:rFonts w:ascii="Times" w:hAnsi="Times" w:cs="Times"/>
          <w:noProof/>
          <w:szCs w:val="20"/>
        </w:rPr>
      </w:pPr>
      <w:r w:rsidRPr="005B1792">
        <w:rPr>
          <w:rFonts w:ascii="Times" w:hAnsi="Times" w:cs="Times"/>
          <w:noProof/>
          <w:szCs w:val="20"/>
        </w:rPr>
        <w:t>Kang, S.Y., Kim, H.B., Sunwoo, S., 2020. Association between anemia and maternal depression: A systematic review and meta-analysis. J Psychiatr Res 122, 88-96.</w:t>
      </w:r>
    </w:p>
    <w:p w14:paraId="5FB24AE7" w14:textId="77777777" w:rsidR="00942FBB" w:rsidRPr="005B1792" w:rsidRDefault="00942FBB" w:rsidP="00942FBB">
      <w:pPr>
        <w:rPr>
          <w:rFonts w:ascii="Times" w:hAnsi="Times" w:cs="Times"/>
          <w:noProof/>
          <w:szCs w:val="20"/>
        </w:rPr>
      </w:pPr>
      <w:r w:rsidRPr="005B1792">
        <w:rPr>
          <w:rFonts w:ascii="Times" w:hAnsi="Times" w:cs="Times"/>
          <w:noProof/>
          <w:szCs w:val="20"/>
        </w:rPr>
        <w:t>Karaçam, Z., Onel, K., Gerçek, E., 2011. Effects of unplanned pregnancy on maternal health in Turkey. Midwifery 27, 288-293.</w:t>
      </w:r>
    </w:p>
    <w:p w14:paraId="55F0788D" w14:textId="77777777" w:rsidR="00942FBB" w:rsidRPr="005B1792" w:rsidRDefault="00942FBB" w:rsidP="00942FBB">
      <w:pPr>
        <w:rPr>
          <w:rFonts w:ascii="Times" w:hAnsi="Times" w:cs="Times"/>
          <w:noProof/>
          <w:szCs w:val="20"/>
        </w:rPr>
      </w:pPr>
      <w:r w:rsidRPr="005B1792">
        <w:rPr>
          <w:rFonts w:ascii="Times" w:hAnsi="Times" w:cs="Times"/>
          <w:noProof/>
          <w:szCs w:val="20"/>
        </w:rPr>
        <w:t>Kassel, J.D., Stroud, L.R., Paronis, C.A., 2003. Smoking, stress, and negative affect: correlation, causation, and context across stages of smoking. Psychol Bull 129, 270-304.</w:t>
      </w:r>
    </w:p>
    <w:p w14:paraId="054DAF77" w14:textId="77777777" w:rsidR="00942FBB" w:rsidRPr="005B1792" w:rsidRDefault="00942FBB" w:rsidP="00942FBB">
      <w:pPr>
        <w:rPr>
          <w:rFonts w:ascii="Times" w:hAnsi="Times" w:cs="Times"/>
          <w:noProof/>
          <w:szCs w:val="20"/>
        </w:rPr>
      </w:pPr>
      <w:r w:rsidRPr="005B1792">
        <w:rPr>
          <w:rFonts w:ascii="Times" w:hAnsi="Times" w:cs="Times"/>
          <w:noProof/>
          <w:szCs w:val="20"/>
        </w:rPr>
        <w:t>Kim, J.H., Kim, J.Y., Lee, J., Jeong, G.H., Lee, E., Lee, S., Lee, K.H., Kronbichler, A., Stubbs, B., Solmi, M., Koyanagi, A., Hong, S.H., Dragioti, E., Jacob, L., Brunoni, A.R., Carvalho, A.F., Radua, J., Thompson, T., Smith, L., Oh, H., Yang, L., Grabovac, I., Schuch, F., Fornaro, M., Stickley, A., Rais, T.B., Salazar de Pablo, G., Shin, J.I., Fusar-Poli, P., 2020. Environmental risk factors, protective factors, and peripheral biomarkers for ADHD: an umbrella review. Lancet Psychiatry 7, 955-970.</w:t>
      </w:r>
    </w:p>
    <w:p w14:paraId="10510D79" w14:textId="77777777" w:rsidR="00942FBB" w:rsidRPr="005B1792" w:rsidRDefault="00942FBB" w:rsidP="00942FBB">
      <w:pPr>
        <w:rPr>
          <w:rFonts w:ascii="Times" w:hAnsi="Times" w:cs="Times"/>
          <w:noProof/>
          <w:szCs w:val="20"/>
        </w:rPr>
      </w:pPr>
      <w:r w:rsidRPr="005B1792">
        <w:rPr>
          <w:rFonts w:ascii="Times" w:hAnsi="Times" w:cs="Times"/>
          <w:noProof/>
          <w:szCs w:val="20"/>
        </w:rPr>
        <w:t>Kim, J.Y., Son, M.J., Son, C.Y., Radua, J., Eisenhut, M., Gressier, F., Koyanagi, A., Carvalho, A.F., Stubbs, B., Solmi, M., Rais, T.B., Lee, K.H., Kronbichler, A., Dragioti, E., Shin, J.I., Fusar-Poli, P., 2019. Environmental risk factors and biomarkers for autism spectrum disorder: an umbrella review of the evidence. Lancet Psychiatry 6, 590-600.</w:t>
      </w:r>
    </w:p>
    <w:p w14:paraId="107E9900" w14:textId="77777777" w:rsidR="00942FBB" w:rsidRPr="005B1792" w:rsidRDefault="00942FBB" w:rsidP="00942FBB">
      <w:pPr>
        <w:rPr>
          <w:rFonts w:ascii="Times" w:hAnsi="Times" w:cs="Times"/>
          <w:noProof/>
          <w:szCs w:val="20"/>
        </w:rPr>
      </w:pPr>
      <w:r w:rsidRPr="005B1792">
        <w:rPr>
          <w:rFonts w:ascii="Times" w:hAnsi="Times" w:cs="Times"/>
          <w:noProof/>
          <w:szCs w:val="20"/>
        </w:rPr>
        <w:t>Kountanis, J.A., Vahabzadeh, C., Bauer, S., Muzik, M., Cassidy, R., Aman, C., MacEachern, M., Bauer, M.E., 2020. Labor epidural analgesia and the risk of postpartum depression: A meta-analysis of observational studies. J Clin Anesth 61, 109658.</w:t>
      </w:r>
    </w:p>
    <w:p w14:paraId="63C057C2" w14:textId="77777777" w:rsidR="00942FBB" w:rsidRPr="005B1792" w:rsidRDefault="00942FBB" w:rsidP="00942FBB">
      <w:pPr>
        <w:rPr>
          <w:rFonts w:ascii="Times" w:hAnsi="Times" w:cs="Times"/>
          <w:noProof/>
          <w:szCs w:val="20"/>
        </w:rPr>
      </w:pPr>
      <w:r w:rsidRPr="005B1792">
        <w:rPr>
          <w:rFonts w:ascii="Times" w:hAnsi="Times" w:cs="Times"/>
          <w:noProof/>
          <w:szCs w:val="20"/>
        </w:rPr>
        <w:t>Lee, J., Taneja, V., Vassallo, R., 2012. Cigarette smoking and inflammation: cellular and molecular mechanisms. J Dent Res 91, 142-149.</w:t>
      </w:r>
    </w:p>
    <w:p w14:paraId="64F3A79C" w14:textId="77777777" w:rsidR="00942FBB" w:rsidRPr="005B1792" w:rsidRDefault="00942FBB" w:rsidP="00942FBB">
      <w:pPr>
        <w:rPr>
          <w:rFonts w:ascii="Times" w:hAnsi="Times" w:cs="Times"/>
          <w:noProof/>
          <w:szCs w:val="20"/>
        </w:rPr>
      </w:pPr>
      <w:r w:rsidRPr="005B1792">
        <w:rPr>
          <w:rFonts w:ascii="Times" w:hAnsi="Times" w:cs="Times"/>
          <w:noProof/>
          <w:szCs w:val="20"/>
        </w:rPr>
        <w:lastRenderedPageBreak/>
        <w:t>Lin, P.Y., Chang, C.H., Chong, M.F., Chen, H., Su, K.P., 2017. Polyunsaturated Fatty Acids in Perinatal Depression: A Systematic Review and Meta-analysis. Biol Psychiatry 82, 560-569.</w:t>
      </w:r>
    </w:p>
    <w:p w14:paraId="7271E85B" w14:textId="77777777" w:rsidR="00942FBB" w:rsidRPr="005B1792" w:rsidRDefault="00942FBB" w:rsidP="00942FBB">
      <w:pPr>
        <w:rPr>
          <w:rFonts w:ascii="Times" w:hAnsi="Times" w:cs="Times"/>
          <w:noProof/>
          <w:szCs w:val="20"/>
        </w:rPr>
      </w:pPr>
      <w:r w:rsidRPr="005B1792">
        <w:rPr>
          <w:rFonts w:ascii="Times" w:hAnsi="Times" w:cs="Times"/>
          <w:noProof/>
          <w:szCs w:val="20"/>
        </w:rPr>
        <w:t>Mahon, P.B., Payne, J.L., MacKinnon, D.F., Mondimore, F.M., Goes, F.S., Schweizer, B., Jancic, D., Coryell, W.H., Holmans, P.A., Shi, J., Knowles, J.A., Scheftner, W.A., Weissman, M.M., Levinson, D.F., DePaulo, J.R., Jr., Zandi, P.P., Potash, J.B., 2009. Genome-wide linkage and follow-up association study of postpartum mood symptoms. Am J Psychiatry 166, 1229-1237.</w:t>
      </w:r>
    </w:p>
    <w:p w14:paraId="16EBDF5A" w14:textId="77777777" w:rsidR="00942FBB" w:rsidRPr="005B1792" w:rsidRDefault="00942FBB" w:rsidP="00942FBB">
      <w:pPr>
        <w:rPr>
          <w:rFonts w:ascii="Times" w:hAnsi="Times" w:cs="Times"/>
          <w:noProof/>
          <w:szCs w:val="20"/>
        </w:rPr>
      </w:pPr>
      <w:r w:rsidRPr="005B1792">
        <w:rPr>
          <w:rFonts w:ascii="Times" w:hAnsi="Times" w:cs="Times"/>
          <w:noProof/>
          <w:szCs w:val="20"/>
        </w:rPr>
        <w:t>Martínez-Galiano, J.M., Hernández-Martínez, A., Rodríguez-Almagro, J., Delgado-Rodríguez, M., Gómez-Salgado, J., 2019. Relationship between parity and the problems that appear in the postpartum period. Sci Rep 9, 11763.</w:t>
      </w:r>
    </w:p>
    <w:p w14:paraId="71E42F92" w14:textId="77777777" w:rsidR="00942FBB" w:rsidRPr="005B1792" w:rsidRDefault="00942FBB" w:rsidP="00942FBB">
      <w:pPr>
        <w:rPr>
          <w:rFonts w:ascii="Times" w:hAnsi="Times" w:cs="Times"/>
          <w:noProof/>
          <w:szCs w:val="20"/>
        </w:rPr>
      </w:pPr>
      <w:r w:rsidRPr="005B1792">
        <w:rPr>
          <w:rFonts w:ascii="Times" w:hAnsi="Times" w:cs="Times"/>
          <w:noProof/>
          <w:szCs w:val="20"/>
        </w:rPr>
        <w:t>McEvoy, J.W., Nasir, K., DeFilippis, A.P., Lima, J.A., Bluemke, D.A., Hundley, W.G., Barr, R.G., Budoff, M.J., Szklo, M., Navas-Acien, A., Polak, J.F., Blumenthal, R.S., Post, W.S., Blaha, M.J., 2015. Relationship of cigarette smoking with inflammation and subclinical vascular disease: the Multi-Ethnic Study of Atherosclerosis. Arterioscler Thromb Vasc Biol 35, 1002-1010.</w:t>
      </w:r>
    </w:p>
    <w:p w14:paraId="5A01F6DD" w14:textId="77777777" w:rsidR="00942FBB" w:rsidRPr="005B1792" w:rsidRDefault="00942FBB" w:rsidP="00942FBB">
      <w:pPr>
        <w:rPr>
          <w:rFonts w:ascii="Times" w:hAnsi="Times" w:cs="Times"/>
          <w:noProof/>
          <w:szCs w:val="20"/>
        </w:rPr>
      </w:pPr>
      <w:r w:rsidRPr="005B1792">
        <w:rPr>
          <w:rFonts w:ascii="Times" w:hAnsi="Times" w:cs="Times"/>
          <w:noProof/>
          <w:szCs w:val="20"/>
        </w:rPr>
        <w:t>Meltzer-Brody, S., 2011. New insights into perinatal depression: pathogenesis and treatment during pregnancy and postpartum. Dialogues Clin Neurosci 13, 89-100.</w:t>
      </w:r>
    </w:p>
    <w:p w14:paraId="18685BD2" w14:textId="77777777" w:rsidR="00942FBB" w:rsidRPr="005B1792" w:rsidRDefault="00942FBB" w:rsidP="00942FBB">
      <w:pPr>
        <w:rPr>
          <w:rFonts w:ascii="Times" w:hAnsi="Times" w:cs="Times"/>
          <w:noProof/>
          <w:szCs w:val="20"/>
        </w:rPr>
      </w:pPr>
      <w:r w:rsidRPr="005B1792">
        <w:rPr>
          <w:rFonts w:ascii="Times" w:hAnsi="Times" w:cs="Times"/>
          <w:noProof/>
          <w:szCs w:val="20"/>
        </w:rPr>
        <w:t>Minaldi, E., D'Andrea, S., Castellini, C., Martorella, A., Francavilla, F., Francavilla, S., Barbonetti, A., 2020. Thyroid autoimmunity and risk of post-partum depression: a systematic review and meta-analysis of longitudinal studies. J Endocrinol Invest 43, 271-277.</w:t>
      </w:r>
    </w:p>
    <w:p w14:paraId="76975177" w14:textId="77777777" w:rsidR="00942FBB" w:rsidRPr="005B1792" w:rsidRDefault="00942FBB" w:rsidP="00942FBB">
      <w:pPr>
        <w:rPr>
          <w:rFonts w:ascii="Times" w:hAnsi="Times" w:cs="Times"/>
          <w:noProof/>
          <w:szCs w:val="20"/>
        </w:rPr>
      </w:pPr>
      <w:r w:rsidRPr="005B1792">
        <w:rPr>
          <w:rFonts w:ascii="Times" w:hAnsi="Times" w:cs="Times"/>
          <w:noProof/>
          <w:szCs w:val="20"/>
        </w:rPr>
        <w:t>Moameri, H., Ostadghaderi, M., Khatooni, E., Doosti-Irani, A., 2019. Association of postpartum depression and cesarean section: A systematic review and meta-analysis. Clinical Epidemiology and Global Health 7, 471-480.</w:t>
      </w:r>
    </w:p>
    <w:p w14:paraId="261D3BB1" w14:textId="77777777" w:rsidR="00942FBB" w:rsidRPr="005B1792" w:rsidRDefault="00942FBB" w:rsidP="00942FBB">
      <w:pPr>
        <w:rPr>
          <w:rFonts w:ascii="Times" w:hAnsi="Times" w:cs="Times"/>
          <w:noProof/>
          <w:szCs w:val="20"/>
        </w:rPr>
      </w:pPr>
      <w:r w:rsidRPr="005B1792">
        <w:rPr>
          <w:rFonts w:ascii="Times" w:hAnsi="Times" w:cs="Times"/>
          <w:noProof/>
          <w:szCs w:val="20"/>
        </w:rPr>
        <w:t>Molendijk, M.L., Spinhoven, P., Polak, M., Bus, B.A., Penninx, B.W., Elzinga, B.M., 2014. Serum BDNF concentrations as peripheral manifestations of depression: evidence from a systematic review and meta-analyses on 179 associations (N=9484). Mol Psychiatry 19, 791-800.</w:t>
      </w:r>
    </w:p>
    <w:p w14:paraId="4A87B9B6" w14:textId="77777777" w:rsidR="00942FBB" w:rsidRPr="005B1792" w:rsidRDefault="00942FBB" w:rsidP="00942FBB">
      <w:pPr>
        <w:rPr>
          <w:rFonts w:ascii="Times" w:hAnsi="Times" w:cs="Times"/>
          <w:noProof/>
          <w:szCs w:val="20"/>
        </w:rPr>
      </w:pPr>
      <w:r w:rsidRPr="005B1792">
        <w:rPr>
          <w:rFonts w:ascii="Times" w:hAnsi="Times" w:cs="Times"/>
          <w:noProof/>
          <w:szCs w:val="20"/>
        </w:rPr>
        <w:t>Molyneaux, E., Poston, L., Ashurst-Williams, S., Howard, L.M., 2014. Obesity and mental disorders during pregnancy and postpartum: a systematic review and meta-analysis. Obstet Gynecol 123, 857-867.</w:t>
      </w:r>
    </w:p>
    <w:p w14:paraId="53EC4EBC" w14:textId="77777777" w:rsidR="00942FBB" w:rsidRPr="005B1792" w:rsidRDefault="00942FBB" w:rsidP="00942FBB">
      <w:pPr>
        <w:rPr>
          <w:rFonts w:ascii="Times" w:hAnsi="Times" w:cs="Times"/>
          <w:noProof/>
          <w:szCs w:val="20"/>
        </w:rPr>
      </w:pPr>
      <w:r w:rsidRPr="005B1792">
        <w:rPr>
          <w:rFonts w:ascii="Times" w:hAnsi="Times" w:cs="Times"/>
          <w:noProof/>
          <w:szCs w:val="20"/>
        </w:rPr>
        <w:t>Necho, M., Abadisharew, M., Getachew, Y., 2020. A Systematic Review and Meta-analysis of Depression in Postpartum Women in a Low-income Country; Ethiopia, 2020. The Open Public Health Journal 13.</w:t>
      </w:r>
    </w:p>
    <w:p w14:paraId="2B957769" w14:textId="77777777" w:rsidR="00942FBB" w:rsidRPr="005B1792" w:rsidRDefault="00942FBB" w:rsidP="00942FBB">
      <w:pPr>
        <w:rPr>
          <w:rFonts w:ascii="Times" w:hAnsi="Times" w:cs="Times"/>
          <w:noProof/>
          <w:szCs w:val="20"/>
        </w:rPr>
      </w:pPr>
      <w:r w:rsidRPr="005B1792">
        <w:rPr>
          <w:rFonts w:ascii="Times" w:hAnsi="Times" w:cs="Times"/>
          <w:noProof/>
          <w:szCs w:val="20"/>
        </w:rPr>
        <w:t>O'Hara, M.W., McCabe, J.E., 2013. Postpartum depression: current status and future directions. Annu Rev Clin Psychol 9, 379-407.</w:t>
      </w:r>
    </w:p>
    <w:p w14:paraId="2012CD50" w14:textId="77777777" w:rsidR="00942FBB" w:rsidRPr="005B1792" w:rsidRDefault="00942FBB" w:rsidP="00942FBB">
      <w:pPr>
        <w:rPr>
          <w:rFonts w:ascii="Times" w:hAnsi="Times" w:cs="Times"/>
          <w:noProof/>
          <w:szCs w:val="20"/>
        </w:rPr>
      </w:pPr>
      <w:r w:rsidRPr="005B1792">
        <w:rPr>
          <w:rFonts w:ascii="Times" w:hAnsi="Times" w:cs="Times"/>
          <w:noProof/>
          <w:szCs w:val="20"/>
        </w:rPr>
        <w:t>Pace, T.W., Miller, A.H., 2009. Cytokines and glucocorticoid receptor signaling. Relevance to major depression. Ann N Y Acad Sci 1179, 86-105.</w:t>
      </w:r>
    </w:p>
    <w:p w14:paraId="0C5B4B8F" w14:textId="77777777" w:rsidR="00942FBB" w:rsidRPr="005B1792" w:rsidRDefault="00942FBB" w:rsidP="00942FBB">
      <w:pPr>
        <w:rPr>
          <w:rFonts w:ascii="Times" w:hAnsi="Times" w:cs="Times"/>
          <w:noProof/>
          <w:szCs w:val="20"/>
        </w:rPr>
      </w:pPr>
      <w:r w:rsidRPr="005B1792">
        <w:rPr>
          <w:rFonts w:ascii="Times" w:hAnsi="Times" w:cs="Times"/>
          <w:noProof/>
          <w:szCs w:val="20"/>
        </w:rPr>
        <w:t>Page, M.J., McKenzie, J.E., Bossuyt, P.M., Boutron, I., Hoffmann, T.C., Mulrow, C.D., Shamseer, L., Tetzlaff, J.M., Akl, E.A., Brennan, S.E., Chou, R., Glanville, J., Grimshaw, J.M., Hróbjartsson, A., Lalu, M.M., Li, T., Loder, E.W., Mayo-Wilson, E., McDonald, S., McGuinness, L.A., Stewart, L.A., Thomas, J., Tricco, A.C., Welch, V.A., Whiting, P., Moher, D., 2021. The PRISMA 2020 statement: an updated guideline for reporting systematic reviews. Bmj 372, n71.</w:t>
      </w:r>
    </w:p>
    <w:p w14:paraId="256E6A18" w14:textId="77777777" w:rsidR="00942FBB" w:rsidRPr="005B1792" w:rsidRDefault="00942FBB" w:rsidP="00942FBB">
      <w:pPr>
        <w:rPr>
          <w:rFonts w:ascii="Times" w:hAnsi="Times" w:cs="Times"/>
          <w:noProof/>
          <w:szCs w:val="20"/>
        </w:rPr>
      </w:pPr>
      <w:r w:rsidRPr="005B1792">
        <w:rPr>
          <w:rFonts w:ascii="Times" w:hAnsi="Times" w:cs="Times"/>
          <w:noProof/>
          <w:szCs w:val="20"/>
        </w:rPr>
        <w:t>Papatheodorou, S.I., Tsilidis, K.K., Evangelou, E., Ioannidis, J.P., 2015. Application of credibility ceilings probes the robustness of meta-analyses of biomarkers and cancer risk. J Clin Epidemiol 68, 163-174.</w:t>
      </w:r>
    </w:p>
    <w:p w14:paraId="17E8D697" w14:textId="77777777" w:rsidR="00942FBB" w:rsidRPr="005B1792" w:rsidRDefault="00942FBB" w:rsidP="00942FBB">
      <w:pPr>
        <w:rPr>
          <w:rFonts w:ascii="Times" w:hAnsi="Times" w:cs="Times"/>
          <w:noProof/>
          <w:szCs w:val="20"/>
        </w:rPr>
      </w:pPr>
      <w:r w:rsidRPr="005B1792">
        <w:rPr>
          <w:rFonts w:ascii="Times" w:hAnsi="Times" w:cs="Times"/>
          <w:noProof/>
          <w:szCs w:val="20"/>
        </w:rPr>
        <w:t>Payne, J.L., Maguire, J., 2019. Pathophysiological mechanisms implicated in postpartum depression. Front Neuroendocrinol 52, 165-180.</w:t>
      </w:r>
    </w:p>
    <w:p w14:paraId="5A7D175A" w14:textId="77777777" w:rsidR="00942FBB" w:rsidRPr="005B1792" w:rsidRDefault="00942FBB" w:rsidP="00942FBB">
      <w:pPr>
        <w:rPr>
          <w:rFonts w:ascii="Times" w:hAnsi="Times" w:cs="Times"/>
          <w:noProof/>
          <w:szCs w:val="20"/>
        </w:rPr>
      </w:pPr>
      <w:r w:rsidRPr="005B1792">
        <w:rPr>
          <w:rFonts w:ascii="Times" w:hAnsi="Times" w:cs="Times"/>
          <w:noProof/>
          <w:szCs w:val="20"/>
        </w:rPr>
        <w:t>Pearson, R.M., Evans, J., Kounali, D., Lewis, G., Heron, J., Ramchandani, P.G., O'Connor, T.G., Stein, A., 2013. Maternal depression during pregnancy and the postnatal period: risks and possible mechanisms for offspring depression at age 18 years. JAMA Psychiatry 70, 1312-1319.</w:t>
      </w:r>
    </w:p>
    <w:p w14:paraId="0BF5AFE4" w14:textId="77777777" w:rsidR="00942FBB" w:rsidRPr="005B1792" w:rsidRDefault="00942FBB" w:rsidP="00942FBB">
      <w:pPr>
        <w:rPr>
          <w:rFonts w:ascii="Times" w:hAnsi="Times" w:cs="Times"/>
          <w:noProof/>
          <w:szCs w:val="20"/>
        </w:rPr>
      </w:pPr>
      <w:r w:rsidRPr="005B1792">
        <w:rPr>
          <w:rFonts w:ascii="Times" w:hAnsi="Times" w:cs="Times"/>
          <w:noProof/>
          <w:szCs w:val="20"/>
        </w:rPr>
        <w:lastRenderedPageBreak/>
        <w:t>Philip, N.S., Carpenter, L.L., Tyrka, A.R., Price, L.H., 2010. Nicotinic acetylcholine receptors and depression: a review of the preclinical and clinical literature. Psychopharmacology (Berl) 212, 1-12.</w:t>
      </w:r>
    </w:p>
    <w:p w14:paraId="6B696949" w14:textId="77777777" w:rsidR="00942FBB" w:rsidRPr="005B1792" w:rsidRDefault="00942FBB" w:rsidP="00942FBB">
      <w:pPr>
        <w:rPr>
          <w:rFonts w:ascii="Times" w:hAnsi="Times" w:cs="Times"/>
          <w:noProof/>
          <w:szCs w:val="20"/>
        </w:rPr>
      </w:pPr>
      <w:r w:rsidRPr="005B1792">
        <w:rPr>
          <w:rFonts w:ascii="Times" w:hAnsi="Times" w:cs="Times"/>
          <w:noProof/>
          <w:szCs w:val="20"/>
        </w:rPr>
        <w:t>Qiu, X., Zhang, S., Sun, X., Li, H., Wang, D., 2020. Unintended pregnancy and postpartum depression: A meta-analysis of cohort and case-control studies. J Psychosom Res 138, 110259.</w:t>
      </w:r>
    </w:p>
    <w:p w14:paraId="45F8FCD8" w14:textId="77777777" w:rsidR="00942FBB" w:rsidRPr="005B1792" w:rsidRDefault="00942FBB" w:rsidP="00942FBB">
      <w:pPr>
        <w:rPr>
          <w:rFonts w:ascii="Times" w:hAnsi="Times" w:cs="Times"/>
          <w:noProof/>
          <w:szCs w:val="20"/>
        </w:rPr>
      </w:pPr>
      <w:r w:rsidRPr="005B1792">
        <w:rPr>
          <w:rFonts w:ascii="Times" w:hAnsi="Times" w:cs="Times"/>
          <w:noProof/>
          <w:szCs w:val="20"/>
        </w:rPr>
        <w:t>Rambelli, C., Montagnani, M.S., Oppo, A., Banti, S., Borri, C., Cortopassi, C., Ramacciotti, D., Camilleri, V., Mula, M., Cassano, G.B., Mauri, M., 2010. Panic disorder as a risk factor for post-partum depression: Results from the Perinatal Depression-Research &amp; Screening Unit (PND-ReScU) study. J Affect Disord 122, 139-143.</w:t>
      </w:r>
    </w:p>
    <w:p w14:paraId="7C08D6E3" w14:textId="77777777" w:rsidR="00942FBB" w:rsidRPr="005B1792" w:rsidRDefault="00942FBB" w:rsidP="00942FBB">
      <w:pPr>
        <w:rPr>
          <w:rFonts w:ascii="Times" w:hAnsi="Times" w:cs="Times"/>
          <w:noProof/>
          <w:szCs w:val="20"/>
        </w:rPr>
      </w:pPr>
      <w:r w:rsidRPr="005B1792">
        <w:rPr>
          <w:rFonts w:ascii="Times" w:hAnsi="Times" w:cs="Times"/>
          <w:noProof/>
          <w:szCs w:val="20"/>
        </w:rPr>
        <w:t>Ranjbaran, M., Omani Samani, R., Almasi-Hashiani, A., Matourypour, P., Moini, A., 2017. Prevalence of premenstrual syndrome in Iran: A systematic review and meta-analysis. Int J Reprod Biomed 15, 679-686.</w:t>
      </w:r>
    </w:p>
    <w:p w14:paraId="7A28BC4C" w14:textId="77777777" w:rsidR="00942FBB" w:rsidRPr="005B1792" w:rsidRDefault="00942FBB" w:rsidP="00942FBB">
      <w:pPr>
        <w:rPr>
          <w:rFonts w:ascii="Times" w:hAnsi="Times" w:cs="Times"/>
          <w:noProof/>
          <w:szCs w:val="20"/>
        </w:rPr>
      </w:pPr>
      <w:r w:rsidRPr="005B1792">
        <w:rPr>
          <w:rFonts w:ascii="Times" w:hAnsi="Times" w:cs="Times"/>
          <w:noProof/>
          <w:szCs w:val="20"/>
        </w:rPr>
        <w:t>Robertson, E., Grace, S., Wallington, T., Stewart, D.E., 2004. Antenatal risk factors for postpartum depression: a synthesis of recent literature. Gen Hosp Psychiatry 26, 289-295.</w:t>
      </w:r>
    </w:p>
    <w:p w14:paraId="07CC96F0" w14:textId="77777777" w:rsidR="00942FBB" w:rsidRPr="005B1792" w:rsidRDefault="00942FBB" w:rsidP="00942FBB">
      <w:pPr>
        <w:rPr>
          <w:rFonts w:ascii="Times" w:hAnsi="Times" w:cs="Times"/>
          <w:noProof/>
          <w:szCs w:val="20"/>
        </w:rPr>
      </w:pPr>
      <w:r w:rsidRPr="005B1792">
        <w:rPr>
          <w:rFonts w:ascii="Times" w:hAnsi="Times" w:cs="Times"/>
          <w:noProof/>
          <w:szCs w:val="20"/>
        </w:rPr>
        <w:t>Ruan, X., Mueck, A.O., 2015. Impact of smoking on estrogenic efficacy. Climacteric 18, 38-46.</w:t>
      </w:r>
    </w:p>
    <w:p w14:paraId="4EC73B3F" w14:textId="77777777" w:rsidR="00942FBB" w:rsidRPr="005B1792" w:rsidRDefault="00942FBB" w:rsidP="00942FBB">
      <w:pPr>
        <w:rPr>
          <w:rFonts w:ascii="Times" w:hAnsi="Times" w:cs="Times"/>
          <w:noProof/>
          <w:szCs w:val="20"/>
        </w:rPr>
      </w:pPr>
      <w:r w:rsidRPr="005B1792">
        <w:rPr>
          <w:rFonts w:ascii="Times" w:hAnsi="Times" w:cs="Times"/>
          <w:noProof/>
          <w:szCs w:val="20"/>
        </w:rPr>
        <w:t>Rubinow, D.R., Schmidt, P.J., 2006. Gonadal steroid regulation of mood: the lessons of premenstrual syndrome. Front Neuroendocrinol 27, 210-216.</w:t>
      </w:r>
    </w:p>
    <w:p w14:paraId="4C38B35B" w14:textId="77777777" w:rsidR="00942FBB" w:rsidRPr="005B1792" w:rsidRDefault="00942FBB" w:rsidP="00942FBB">
      <w:pPr>
        <w:rPr>
          <w:rFonts w:ascii="Times" w:hAnsi="Times" w:cs="Times"/>
          <w:noProof/>
          <w:szCs w:val="20"/>
        </w:rPr>
      </w:pPr>
      <w:r w:rsidRPr="005B1792">
        <w:rPr>
          <w:rFonts w:ascii="Times" w:hAnsi="Times" w:cs="Times"/>
          <w:noProof/>
          <w:szCs w:val="20"/>
        </w:rPr>
        <w:t>Salanti, G., Ioannidis, J.P., 2009. Synthesis of observational studies should consider credibility ceilings. J Clin Epidemiol 62, 115-122.</w:t>
      </w:r>
    </w:p>
    <w:p w14:paraId="3645913C" w14:textId="77777777" w:rsidR="00942FBB" w:rsidRPr="005B1792" w:rsidRDefault="00942FBB" w:rsidP="00942FBB">
      <w:pPr>
        <w:rPr>
          <w:rFonts w:ascii="Times" w:hAnsi="Times" w:cs="Times"/>
          <w:noProof/>
          <w:szCs w:val="20"/>
        </w:rPr>
      </w:pPr>
      <w:r w:rsidRPr="005B1792">
        <w:rPr>
          <w:rFonts w:ascii="Times" w:hAnsi="Times" w:cs="Times"/>
          <w:noProof/>
          <w:szCs w:val="20"/>
        </w:rPr>
        <w:t>Salimi, S., Terplan, M., Cheng, D., Chisolm, M.S., 2015. The Relationship Between Postpartum Depression and Perinatal Cigarette Smoking: An Analysis of PRAMS Data. J Subst Abuse Treat 56, 34-38.</w:t>
      </w:r>
    </w:p>
    <w:p w14:paraId="25E18935" w14:textId="77777777" w:rsidR="00942FBB" w:rsidRPr="005B1792" w:rsidRDefault="00942FBB" w:rsidP="00942FBB">
      <w:pPr>
        <w:rPr>
          <w:rFonts w:ascii="Times" w:hAnsi="Times" w:cs="Times"/>
          <w:noProof/>
          <w:szCs w:val="20"/>
        </w:rPr>
      </w:pPr>
      <w:r w:rsidRPr="005B1792">
        <w:rPr>
          <w:rFonts w:ascii="Times" w:hAnsi="Times" w:cs="Times"/>
          <w:noProof/>
          <w:szCs w:val="20"/>
        </w:rPr>
        <w:t>Salmela-Aro, K., Nurmi, J.E., Saisto, T., Halmesmaki, E., 2001. Goal reconstruction and depressive symptoms during the transition to motherhood: evidence from two cross-lagged longitudinal studies. J Pers Soc Psychol 81, 1144-1159.</w:t>
      </w:r>
    </w:p>
    <w:p w14:paraId="58598AFF" w14:textId="77777777" w:rsidR="00942FBB" w:rsidRPr="005B1792" w:rsidRDefault="00942FBB" w:rsidP="00942FBB">
      <w:pPr>
        <w:rPr>
          <w:rFonts w:ascii="Times" w:hAnsi="Times" w:cs="Times"/>
          <w:noProof/>
          <w:szCs w:val="20"/>
        </w:rPr>
      </w:pPr>
      <w:r w:rsidRPr="005B1792">
        <w:rPr>
          <w:rFonts w:ascii="Times" w:hAnsi="Times" w:cs="Times"/>
          <w:noProof/>
          <w:szCs w:val="20"/>
        </w:rPr>
        <w:t>Schiller, C.E., Johnson, S.L., Abate, A.C., Schmidt, P.J., Rubinow, D.R., 2016. Reproductive Steroid Regulation of Mood and Behavior. Compr Physiol 6, 1135-1160.</w:t>
      </w:r>
    </w:p>
    <w:p w14:paraId="7E36432E" w14:textId="77777777" w:rsidR="00942FBB" w:rsidRPr="005B1792" w:rsidRDefault="00942FBB" w:rsidP="00942FBB">
      <w:pPr>
        <w:rPr>
          <w:rFonts w:ascii="Times" w:hAnsi="Times" w:cs="Times"/>
          <w:noProof/>
          <w:szCs w:val="20"/>
        </w:rPr>
      </w:pPr>
      <w:r w:rsidRPr="005B1792">
        <w:rPr>
          <w:rFonts w:ascii="Times" w:hAnsi="Times" w:cs="Times"/>
          <w:noProof/>
          <w:szCs w:val="20"/>
        </w:rPr>
        <w:t>Schiller, C.E., Meltzer-Brody, S., Rubinow, D.R., 2015. The role of reproductive hormones in postpartum depression. CNS Spectr 20, 48-59.</w:t>
      </w:r>
    </w:p>
    <w:p w14:paraId="02BC4728" w14:textId="77777777" w:rsidR="00942FBB" w:rsidRPr="005B1792" w:rsidRDefault="00942FBB" w:rsidP="00942FBB">
      <w:pPr>
        <w:rPr>
          <w:rFonts w:ascii="Times" w:hAnsi="Times" w:cs="Times"/>
          <w:noProof/>
          <w:szCs w:val="20"/>
        </w:rPr>
      </w:pPr>
      <w:r w:rsidRPr="005B1792">
        <w:rPr>
          <w:rFonts w:ascii="Times" w:hAnsi="Times" w:cs="Times"/>
          <w:noProof/>
          <w:szCs w:val="20"/>
        </w:rPr>
        <w:t>Segman, R.H., Goltser-Dubner, T., Weiner, I., Canetti, L., Galili-Weisstub, E., Milwidsky, A., Pablov, V., Friedman, N., Hochner-Celnikier, D., 2010. Blood mononuclear cell gene expression signature of postpartum depression. Mol Psychiatry 15, 93-100, 102.</w:t>
      </w:r>
    </w:p>
    <w:p w14:paraId="0C027E5C" w14:textId="77777777" w:rsidR="00942FBB" w:rsidRPr="005B1792" w:rsidRDefault="00942FBB" w:rsidP="00942FBB">
      <w:pPr>
        <w:rPr>
          <w:rFonts w:ascii="Times" w:hAnsi="Times" w:cs="Times"/>
          <w:noProof/>
          <w:szCs w:val="20"/>
        </w:rPr>
      </w:pPr>
      <w:r w:rsidRPr="005B1792">
        <w:rPr>
          <w:rFonts w:ascii="Times" w:hAnsi="Times" w:cs="Times"/>
          <w:noProof/>
          <w:szCs w:val="20"/>
        </w:rPr>
        <w:t>Shea, B.J., Reeves, B.C., Wells, G., Thuku, M., Hamel, C., Moran, J., Moher, D., Tugwell, P., Welch, V., Kristjansson, E., 2017. AMSTAR 2: a critical appraisal tool for systematic reviews that include randomised or non-randomised studies of healthcare interventions, or both. bmj 358.</w:t>
      </w:r>
    </w:p>
    <w:p w14:paraId="56B64512" w14:textId="77777777" w:rsidR="00942FBB" w:rsidRPr="005B1792" w:rsidRDefault="00942FBB" w:rsidP="00942FBB">
      <w:pPr>
        <w:rPr>
          <w:rFonts w:ascii="Times" w:hAnsi="Times" w:cs="Times"/>
          <w:noProof/>
          <w:szCs w:val="20"/>
        </w:rPr>
      </w:pPr>
      <w:r w:rsidRPr="005B1792">
        <w:rPr>
          <w:rFonts w:ascii="Times" w:hAnsi="Times" w:cs="Times"/>
          <w:noProof/>
          <w:szCs w:val="20"/>
        </w:rPr>
        <w:t>Sheikh, M., Hantoushzadeh, S., Shariat, M., Farahani, Z., Ebrahiminasab, O., 2017. The efficacy of early iron supplementation on postpartum depression, a randomized double-blind placebo-controlled trial. Eur J Nutr 56, 901-908.</w:t>
      </w:r>
    </w:p>
    <w:p w14:paraId="2984B679" w14:textId="77777777" w:rsidR="00942FBB" w:rsidRPr="005B1792" w:rsidRDefault="00942FBB" w:rsidP="00942FBB">
      <w:pPr>
        <w:rPr>
          <w:rFonts w:ascii="Times" w:hAnsi="Times" w:cs="Times"/>
          <w:noProof/>
          <w:szCs w:val="20"/>
        </w:rPr>
      </w:pPr>
      <w:r w:rsidRPr="005B1792">
        <w:rPr>
          <w:rFonts w:ascii="Times" w:hAnsi="Times" w:cs="Times"/>
          <w:noProof/>
          <w:szCs w:val="20"/>
        </w:rPr>
        <w:t>Simonsohn, U., Nelson, L.D., Simmons, J.P., 2014a. p-Curve and Effect Size: Correcting for Publication Bias Using Only Significant Results. Perspect Psychol Sci 9, 666-681.</w:t>
      </w:r>
    </w:p>
    <w:p w14:paraId="6358FC92" w14:textId="77777777" w:rsidR="00942FBB" w:rsidRPr="005B1792" w:rsidRDefault="00942FBB" w:rsidP="00942FBB">
      <w:pPr>
        <w:rPr>
          <w:rFonts w:ascii="Times" w:hAnsi="Times" w:cs="Times"/>
          <w:noProof/>
          <w:szCs w:val="20"/>
        </w:rPr>
      </w:pPr>
      <w:r w:rsidRPr="005B1792">
        <w:rPr>
          <w:rFonts w:ascii="Times" w:hAnsi="Times" w:cs="Times"/>
          <w:noProof/>
          <w:szCs w:val="20"/>
        </w:rPr>
        <w:t>Simonsohn, U., Nelson, L.D., Simmons, J.P., 2014b. P-curve: a key to the file-drawer. J Exp Psychol Gen 143, 534-547.</w:t>
      </w:r>
    </w:p>
    <w:p w14:paraId="67DE6B37" w14:textId="77777777" w:rsidR="00942FBB" w:rsidRPr="005B1792" w:rsidRDefault="00942FBB" w:rsidP="00942FBB">
      <w:pPr>
        <w:rPr>
          <w:rFonts w:ascii="Times" w:hAnsi="Times" w:cs="Times"/>
          <w:noProof/>
          <w:szCs w:val="20"/>
        </w:rPr>
      </w:pPr>
      <w:r w:rsidRPr="005B1792">
        <w:rPr>
          <w:rFonts w:ascii="Times" w:hAnsi="Times" w:cs="Times"/>
          <w:noProof/>
          <w:szCs w:val="20"/>
        </w:rPr>
        <w:t>Song, C., Li, W., Leng, J., Wang, L., Li, W., Shi, F., Liu, G., Zhou, J., Yang, X., 2019. Passive smoking and postpartum depression among Chinese women: A prospective cohort study in Tianjin, China. Women Health 59, 281-293.</w:t>
      </w:r>
    </w:p>
    <w:p w14:paraId="5AC418B0" w14:textId="77777777" w:rsidR="00942FBB" w:rsidRPr="005B1792" w:rsidRDefault="00942FBB" w:rsidP="00942FBB">
      <w:pPr>
        <w:rPr>
          <w:rFonts w:ascii="Times" w:hAnsi="Times" w:cs="Times"/>
          <w:noProof/>
          <w:szCs w:val="20"/>
        </w:rPr>
      </w:pPr>
      <w:r w:rsidRPr="005B1792">
        <w:rPr>
          <w:rFonts w:ascii="Times" w:hAnsi="Times" w:cs="Times"/>
          <w:noProof/>
          <w:szCs w:val="20"/>
        </w:rPr>
        <w:lastRenderedPageBreak/>
        <w:t>Steinberg, J.R., Rubin, L.R., 2014. Psychological Aspects of Contraception, Unintended Pregnancy, and Abortion. Policy Insights Behav Brain Sci 1, 239-247.</w:t>
      </w:r>
    </w:p>
    <w:p w14:paraId="2FF3ED82" w14:textId="77777777" w:rsidR="00942FBB" w:rsidRPr="005B1792" w:rsidRDefault="00942FBB" w:rsidP="00942FBB">
      <w:pPr>
        <w:rPr>
          <w:rFonts w:ascii="Times" w:hAnsi="Times" w:cs="Times"/>
          <w:noProof/>
          <w:szCs w:val="20"/>
        </w:rPr>
      </w:pPr>
      <w:r w:rsidRPr="005B1792">
        <w:rPr>
          <w:rFonts w:ascii="Times" w:hAnsi="Times" w:cs="Times"/>
          <w:noProof/>
          <w:szCs w:val="20"/>
        </w:rPr>
        <w:t>Sterne, J.A., Davey Smith, G., 2001. Sifting the evidence-what's wrong with significance tests? Bmj 322, 226-231.</w:t>
      </w:r>
    </w:p>
    <w:p w14:paraId="3BEB5856" w14:textId="77777777" w:rsidR="00942FBB" w:rsidRPr="005B1792" w:rsidRDefault="00942FBB" w:rsidP="00942FBB">
      <w:pPr>
        <w:rPr>
          <w:rFonts w:ascii="Times" w:hAnsi="Times" w:cs="Times"/>
          <w:noProof/>
          <w:szCs w:val="20"/>
        </w:rPr>
      </w:pPr>
      <w:r w:rsidRPr="005B1792">
        <w:rPr>
          <w:rFonts w:ascii="Times" w:hAnsi="Times" w:cs="Times"/>
          <w:noProof/>
          <w:szCs w:val="20"/>
        </w:rPr>
        <w:t>Stewart, D.E., Vigod, S., 2016. Postpartum Depression. N Engl J Med 375, 2177-2186.</w:t>
      </w:r>
    </w:p>
    <w:p w14:paraId="4EA8B95A" w14:textId="77777777" w:rsidR="00942FBB" w:rsidRPr="005B1792" w:rsidRDefault="00942FBB" w:rsidP="00942FBB">
      <w:pPr>
        <w:rPr>
          <w:rFonts w:ascii="Times" w:hAnsi="Times" w:cs="Times"/>
          <w:noProof/>
          <w:szCs w:val="20"/>
        </w:rPr>
      </w:pPr>
      <w:r w:rsidRPr="005B1792">
        <w:rPr>
          <w:rFonts w:ascii="Times" w:hAnsi="Times" w:cs="Times"/>
          <w:noProof/>
          <w:szCs w:val="20"/>
        </w:rPr>
        <w:t>Stoner, R., Camilleri, V., Calleja-Agius, J., Schembri-Wismayer, P., 2017. The cytokine-hormone axis - the link between premenstrual syndrome and postpartum depression. Gynecol Endocrinol 33, 588-592.</w:t>
      </w:r>
    </w:p>
    <w:p w14:paraId="39DB90EE" w14:textId="77777777" w:rsidR="00942FBB" w:rsidRPr="005B1792" w:rsidRDefault="00942FBB" w:rsidP="00942FBB">
      <w:pPr>
        <w:rPr>
          <w:rFonts w:ascii="Times" w:hAnsi="Times" w:cs="Times"/>
          <w:noProof/>
          <w:szCs w:val="20"/>
        </w:rPr>
      </w:pPr>
      <w:r w:rsidRPr="005B1792">
        <w:rPr>
          <w:rFonts w:ascii="Times" w:hAnsi="Times" w:cs="Times"/>
          <w:noProof/>
          <w:szCs w:val="20"/>
        </w:rPr>
        <w:t>Tan, Q., Liu, S., Chen, D., 2021. Poor vitamin D status and the risk of maternal depression: a dose-response meta-analysis of observational studies. Public Health Nutr 24, 2161-2170.</w:t>
      </w:r>
    </w:p>
    <w:p w14:paraId="3753CF21" w14:textId="77777777" w:rsidR="00942FBB" w:rsidRPr="005B1792" w:rsidRDefault="00942FBB" w:rsidP="00942FBB">
      <w:pPr>
        <w:rPr>
          <w:rFonts w:ascii="Times" w:hAnsi="Times" w:cs="Times"/>
          <w:noProof/>
          <w:szCs w:val="20"/>
        </w:rPr>
      </w:pPr>
      <w:r w:rsidRPr="005B1792">
        <w:rPr>
          <w:rFonts w:ascii="Times" w:hAnsi="Times" w:cs="Times"/>
          <w:noProof/>
          <w:szCs w:val="20"/>
        </w:rPr>
        <w:t>Tokumitsu, K., Sugawara, N., Maruo, K., Suzuki, T., Shimoda, K., Yasui-Furukori, N., 2020. Prevalence of perinatal depression among Japanese women: a meta-analysis. Ann Gen Psychiatry 19, 41.</w:t>
      </w:r>
    </w:p>
    <w:p w14:paraId="253E0892" w14:textId="77777777" w:rsidR="00942FBB" w:rsidRPr="005B1792" w:rsidRDefault="00942FBB" w:rsidP="00942FBB">
      <w:pPr>
        <w:rPr>
          <w:rFonts w:ascii="Times" w:hAnsi="Times" w:cs="Times"/>
          <w:noProof/>
          <w:szCs w:val="20"/>
        </w:rPr>
      </w:pPr>
      <w:r w:rsidRPr="005B1792">
        <w:rPr>
          <w:rFonts w:ascii="Times" w:hAnsi="Times" w:cs="Times"/>
          <w:noProof/>
          <w:szCs w:val="20"/>
        </w:rPr>
        <w:t>Tolossa, T., Fetensa, G., Yilma, M.T., Abadiga, M., Wakuma, B., Besho, M., Fekadu, G., Etafa, W., 2020. Postpartum depression and associated factors among postpartum women in Ethiopia: a systematic review and meta-analysis, 2020. Public Health Rev 41, 21.</w:t>
      </w:r>
    </w:p>
    <w:p w14:paraId="57DB8BE0" w14:textId="77777777" w:rsidR="00942FBB" w:rsidRPr="005B1792" w:rsidRDefault="00942FBB" w:rsidP="00942FBB">
      <w:pPr>
        <w:rPr>
          <w:rFonts w:ascii="Times" w:hAnsi="Times" w:cs="Times"/>
          <w:noProof/>
          <w:szCs w:val="20"/>
        </w:rPr>
      </w:pPr>
      <w:r w:rsidRPr="005B1792">
        <w:rPr>
          <w:rFonts w:ascii="Times" w:hAnsi="Times" w:cs="Times"/>
          <w:noProof/>
          <w:szCs w:val="20"/>
        </w:rPr>
        <w:t>Wang, J., Liu, N., Sun, W., Chen, D., Zhao, J., Zhang, W., 2018. Association between vitamin D deficiency and antepartum and postpartum depression: a systematic review and meta-analysis of longitudinal studies. Arch Gynecol Obstet 298, 1045-1059.</w:t>
      </w:r>
    </w:p>
    <w:p w14:paraId="1C91EB1E" w14:textId="77777777" w:rsidR="00942FBB" w:rsidRPr="005B1792" w:rsidRDefault="00942FBB" w:rsidP="00942FBB">
      <w:pPr>
        <w:rPr>
          <w:rFonts w:ascii="Times" w:hAnsi="Times" w:cs="Times"/>
          <w:noProof/>
          <w:szCs w:val="20"/>
        </w:rPr>
      </w:pPr>
      <w:r w:rsidRPr="005B1792">
        <w:rPr>
          <w:rFonts w:ascii="Times" w:hAnsi="Times" w:cs="Times"/>
          <w:noProof/>
          <w:szCs w:val="20"/>
        </w:rPr>
        <w:t>Yanbaeva, D.G., Dentener, M.A., Creutzberg, E.C., Wesseling, G., Wouters, E.F., 2007. Systemic effects of smoking. Chest 131, 1557-1566.</w:t>
      </w:r>
    </w:p>
    <w:p w14:paraId="24F5901A" w14:textId="77777777" w:rsidR="00942FBB" w:rsidRPr="005B1792" w:rsidRDefault="00942FBB" w:rsidP="00942FBB">
      <w:pPr>
        <w:rPr>
          <w:rFonts w:ascii="Times" w:hAnsi="Times" w:cs="Times"/>
          <w:noProof/>
          <w:szCs w:val="20"/>
        </w:rPr>
      </w:pPr>
      <w:r w:rsidRPr="005B1792">
        <w:rPr>
          <w:rFonts w:ascii="Times" w:hAnsi="Times" w:cs="Times"/>
          <w:noProof/>
          <w:szCs w:val="20"/>
        </w:rPr>
        <w:t>Yang, Z., Zhu, Z., Wang, C., Zhang, F., Zeng, H., 2020. Association between adverse perinatal outcomes and sleep disturbances during pregnancy: a systematic review and meta-analysis. J Matern Fetal Neonatal Med, 1-9.</w:t>
      </w:r>
    </w:p>
    <w:p w14:paraId="7BA603BE" w14:textId="77777777" w:rsidR="00942FBB" w:rsidRPr="005B1792" w:rsidRDefault="00942FBB" w:rsidP="00942FBB">
      <w:pPr>
        <w:rPr>
          <w:rFonts w:ascii="Times" w:hAnsi="Times" w:cs="Times"/>
          <w:noProof/>
          <w:szCs w:val="20"/>
        </w:rPr>
      </w:pPr>
      <w:r w:rsidRPr="005B1792">
        <w:rPr>
          <w:rFonts w:ascii="Times" w:hAnsi="Times" w:cs="Times"/>
          <w:noProof/>
          <w:szCs w:val="20"/>
        </w:rPr>
        <w:t>Yargawa, J., Leonardi-Bee, J., 2015. Male involvement and maternal health outcomes: systematic review and meta-analysis. J Epidemiol Community Health 69, 604-612.</w:t>
      </w:r>
    </w:p>
    <w:p w14:paraId="2AEA891C" w14:textId="77777777" w:rsidR="00942FBB" w:rsidRPr="005B1792" w:rsidRDefault="00942FBB" w:rsidP="00942FBB">
      <w:pPr>
        <w:rPr>
          <w:rFonts w:ascii="Times" w:hAnsi="Times" w:cs="Times"/>
          <w:noProof/>
          <w:szCs w:val="20"/>
        </w:rPr>
      </w:pPr>
      <w:r w:rsidRPr="005B1792">
        <w:rPr>
          <w:rFonts w:ascii="Times" w:hAnsi="Times" w:cs="Times"/>
          <w:noProof/>
          <w:szCs w:val="20"/>
        </w:rPr>
        <w:t>Ye, Z., Wang, L., Yang, T., Chen, L.Z., Wang, T., Chen, L., Zhao, L., Zhang, S., Luo, L., Qin, J., 2020. Gender of infant and risk of postpartum depression: a meta-analysis based on cohort and case-control studies. J Matern Fetal Neonatal Med, 1-10.</w:t>
      </w:r>
    </w:p>
    <w:p w14:paraId="029ABF08" w14:textId="77777777" w:rsidR="00942FBB" w:rsidRPr="005B1792" w:rsidRDefault="00942FBB" w:rsidP="00942FBB">
      <w:pPr>
        <w:rPr>
          <w:rFonts w:ascii="Times" w:hAnsi="Times" w:cs="Times"/>
          <w:noProof/>
          <w:szCs w:val="20"/>
        </w:rPr>
      </w:pPr>
      <w:r w:rsidRPr="005B1792">
        <w:rPr>
          <w:rFonts w:ascii="Times" w:hAnsi="Times" w:cs="Times"/>
          <w:noProof/>
          <w:szCs w:val="20"/>
        </w:rPr>
        <w:t>Yonkers, K.A., O'Brien, P.M., Eriksson, E., 2008. Premenstrual syndrome. Lancet 371, 1200-1210.</w:t>
      </w:r>
    </w:p>
    <w:p w14:paraId="059F50CE" w14:textId="77777777" w:rsidR="00942FBB" w:rsidRPr="005B1792" w:rsidRDefault="00942FBB" w:rsidP="00942FBB">
      <w:pPr>
        <w:rPr>
          <w:rFonts w:ascii="Times" w:hAnsi="Times" w:cs="Times"/>
          <w:noProof/>
          <w:szCs w:val="20"/>
        </w:rPr>
      </w:pPr>
      <w:r w:rsidRPr="005B1792">
        <w:rPr>
          <w:rFonts w:ascii="Times" w:hAnsi="Times" w:cs="Times"/>
          <w:noProof/>
          <w:szCs w:val="20"/>
        </w:rPr>
        <w:t>Zhang, S., Wang, L., Yang, T., Chen, L., Qiu, X., Wang, T., Chen, L., Zhao, L., Ye, Z., Zheng, Z., Qin, J., 2019. Maternal violence experiences and risk of postpartum depression: A meta-analysis of cohort studies. Eur Psychiatry 55, 90-101.</w:t>
      </w:r>
    </w:p>
    <w:p w14:paraId="4BEB9979" w14:textId="77777777" w:rsidR="00942FBB" w:rsidRPr="005B1792" w:rsidRDefault="00942FBB" w:rsidP="00942FBB">
      <w:pPr>
        <w:rPr>
          <w:rFonts w:ascii="Times" w:hAnsi="Times" w:cs="Times"/>
          <w:noProof/>
          <w:szCs w:val="20"/>
        </w:rPr>
      </w:pPr>
      <w:r w:rsidRPr="005B1792">
        <w:rPr>
          <w:rFonts w:ascii="Times" w:hAnsi="Times" w:cs="Times"/>
          <w:noProof/>
          <w:szCs w:val="20"/>
        </w:rPr>
        <w:t>Zhao, X.H., Zhang, Z.H., 2020. Risk factors for postpartum depression: An evidence-based systematic review of systematic reviews and meta-analyses. Asian J Psychiatr 53, 102353.</w:t>
      </w:r>
    </w:p>
    <w:p w14:paraId="286B8EFD" w14:textId="77777777" w:rsidR="00942FBB" w:rsidRPr="005B1792" w:rsidRDefault="00942FBB" w:rsidP="00942FBB">
      <w:pPr>
        <w:rPr>
          <w:rFonts w:ascii="Times" w:hAnsi="Times" w:cs="Times"/>
          <w:noProof/>
          <w:szCs w:val="20"/>
        </w:rPr>
      </w:pPr>
      <w:r w:rsidRPr="005B1792">
        <w:rPr>
          <w:rFonts w:ascii="Times" w:hAnsi="Times" w:cs="Times"/>
          <w:noProof/>
          <w:szCs w:val="20"/>
        </w:rPr>
        <w:t>Zhu, Q.Y., Huang, D.S., Lv, J.D., Guan, P., Bai, X.H., 2019. Prevalence of perinatal depression among HIV-positive women: a systematic review and meta-analysis. BMC Psychiatry 19, 330.</w:t>
      </w:r>
    </w:p>
    <w:p w14:paraId="3477C6F5" w14:textId="77777777" w:rsidR="00942FBB" w:rsidRPr="005B1792" w:rsidRDefault="00942FBB" w:rsidP="00CC2480">
      <w:pPr>
        <w:spacing w:line="360" w:lineRule="auto"/>
        <w:rPr>
          <w:rFonts w:ascii="Times" w:hAnsi="Times" w:cs="Times"/>
          <w:b/>
          <w:bCs/>
        </w:rPr>
      </w:pPr>
    </w:p>
    <w:p w14:paraId="721869B6" w14:textId="77777777" w:rsidR="00942FBB" w:rsidRPr="005B1792" w:rsidRDefault="00942FBB" w:rsidP="00CC2480">
      <w:pPr>
        <w:spacing w:line="360" w:lineRule="auto"/>
        <w:rPr>
          <w:rFonts w:ascii="Times" w:hAnsi="Times" w:cs="Times"/>
          <w:b/>
          <w:bCs/>
        </w:rPr>
      </w:pPr>
      <w:r w:rsidRPr="005B1792">
        <w:rPr>
          <w:rFonts w:ascii="Times" w:hAnsi="Times" w:cs="Times" w:hint="eastAsia"/>
          <w:b/>
          <w:bCs/>
        </w:rPr>
        <w:t>F</w:t>
      </w:r>
      <w:r w:rsidRPr="005B1792">
        <w:rPr>
          <w:rFonts w:ascii="Times" w:hAnsi="Times" w:cs="Times"/>
          <w:b/>
          <w:bCs/>
        </w:rPr>
        <w:t>igure captions</w:t>
      </w:r>
    </w:p>
    <w:p w14:paraId="2D9C6840" w14:textId="77777777" w:rsidR="00942FBB" w:rsidRPr="00DC02D1" w:rsidRDefault="00942FBB" w:rsidP="00C00EDB">
      <w:pPr>
        <w:pStyle w:val="EndNoteBibliography"/>
        <w:wordWrap/>
        <w:spacing w:line="360" w:lineRule="auto"/>
        <w:rPr>
          <w:rFonts w:ascii="Times" w:hAnsi="Times" w:cs="Times"/>
        </w:rPr>
      </w:pPr>
      <w:r w:rsidRPr="00DC02D1">
        <w:rPr>
          <w:rFonts w:ascii="Times" w:hAnsi="Times" w:cs="Times"/>
        </w:rPr>
        <w:t>Figure 1. PRISMA flow chart of study selection</w:t>
      </w:r>
    </w:p>
    <w:p w14:paraId="64581FE9" w14:textId="77777777" w:rsidR="00942FBB" w:rsidRPr="005B1792" w:rsidRDefault="00942FBB" w:rsidP="00CC2480">
      <w:pPr>
        <w:spacing w:line="360" w:lineRule="auto"/>
        <w:rPr>
          <w:rFonts w:ascii="Times" w:hAnsi="Times" w:cs="Times"/>
          <w:szCs w:val="20"/>
        </w:rPr>
      </w:pPr>
      <w:r w:rsidRPr="005B1792">
        <w:rPr>
          <w:rFonts w:ascii="Times" w:hAnsi="Times" w:cs="Times"/>
          <w:szCs w:val="20"/>
        </w:rPr>
        <w:t>Figure 2. Summary estimates of environmental risk and protective factors for postpartum depressive symptoms</w:t>
      </w:r>
    </w:p>
    <w:p w14:paraId="23CD247C" w14:textId="1B574EF0" w:rsidR="00942FBB" w:rsidRPr="005B1792" w:rsidRDefault="00942FBB">
      <w:pPr>
        <w:widowControl/>
        <w:wordWrap/>
        <w:autoSpaceDE/>
        <w:autoSpaceDN/>
        <w:rPr>
          <w:rFonts w:ascii="Times" w:hAnsi="Times" w:cs="Times"/>
          <w:b/>
          <w:bCs/>
        </w:rPr>
        <w:sectPr w:rsidR="00942FBB" w:rsidRPr="005B1792" w:rsidSect="000017E1">
          <w:footerReference w:type="default" r:id="rId8"/>
          <w:pgSz w:w="11906" w:h="16838"/>
          <w:pgMar w:top="1701" w:right="1440" w:bottom="1440" w:left="1440" w:header="851" w:footer="992" w:gutter="0"/>
          <w:cols w:space="425"/>
          <w:docGrid w:linePitch="360"/>
        </w:sectPr>
      </w:pPr>
    </w:p>
    <w:p w14:paraId="0FFD5FAC" w14:textId="77777777" w:rsidR="00942FBB" w:rsidRPr="005B1792" w:rsidRDefault="00942FBB" w:rsidP="001B2AF5">
      <w:pPr>
        <w:pStyle w:val="EndNoteBibliography"/>
        <w:wordWrap/>
        <w:spacing w:line="360" w:lineRule="auto"/>
        <w:rPr>
          <w:rFonts w:ascii="Times" w:hAnsi="Times" w:cs="Times"/>
          <w:b/>
          <w:bCs/>
        </w:rPr>
      </w:pPr>
      <w:r w:rsidRPr="005B1792">
        <w:rPr>
          <w:rFonts w:ascii="Times" w:hAnsi="Times" w:cs="Times" w:hint="eastAsia"/>
          <w:b/>
          <w:bCs/>
        </w:rPr>
        <w:lastRenderedPageBreak/>
        <w:t>Figure</w:t>
      </w:r>
      <w:r w:rsidRPr="005B1792">
        <w:rPr>
          <w:rFonts w:ascii="Times" w:hAnsi="Times" w:cs="Times"/>
          <w:b/>
          <w:bCs/>
        </w:rPr>
        <w:t xml:space="preserve"> </w:t>
      </w:r>
      <w:r w:rsidRPr="005B1792">
        <w:rPr>
          <w:rFonts w:ascii="Times" w:hAnsi="Times" w:cs="Times" w:hint="eastAsia"/>
          <w:b/>
          <w:bCs/>
        </w:rPr>
        <w:t>1.</w:t>
      </w:r>
      <w:r w:rsidRPr="005B1792">
        <w:rPr>
          <w:rFonts w:ascii="Times" w:hAnsi="Times" w:cs="Times"/>
          <w:b/>
          <w:bCs/>
        </w:rPr>
        <w:t xml:space="preserve"> PRISMA flow chart of study selection</w:t>
      </w:r>
    </w:p>
    <w:p w14:paraId="064C0CEC" w14:textId="1D91B7CA" w:rsidR="00942FBB" w:rsidRPr="005B1792" w:rsidRDefault="00942FBB" w:rsidP="001B2AF5">
      <w:pPr>
        <w:pStyle w:val="EndNoteBibliography"/>
        <w:wordWrap/>
        <w:spacing w:line="360" w:lineRule="auto"/>
        <w:rPr>
          <w:rFonts w:ascii="Times" w:hAnsi="Times" w:cs="Times"/>
        </w:rPr>
      </w:pPr>
      <w:r w:rsidRPr="005B1792">
        <w:rPr>
          <w:rFonts w:ascii="Times" w:hAnsi="Times" w:cs="Times"/>
          <w:kern w:val="0"/>
          <w:sz w:val="22"/>
        </w:rPr>
        <mc:AlternateContent>
          <mc:Choice Requires="wps">
            <w:drawing>
              <wp:anchor distT="0" distB="0" distL="114300" distR="114300" simplePos="0" relativeHeight="251677696" behindDoc="0" locked="0" layoutInCell="1" allowOverlap="1" wp14:anchorId="29274352" wp14:editId="624E7874">
                <wp:simplePos x="0" y="0"/>
                <wp:positionH relativeFrom="column">
                  <wp:posOffset>5266690</wp:posOffset>
                </wp:positionH>
                <wp:positionV relativeFrom="paragraph">
                  <wp:posOffset>71755</wp:posOffset>
                </wp:positionV>
                <wp:extent cx="4344670" cy="262890"/>
                <wp:effectExtent l="8890" t="14605" r="8890" b="8255"/>
                <wp:wrapNone/>
                <wp:docPr id="32" name="순서도: 대체 처리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4670" cy="262890"/>
                        </a:xfrm>
                        <a:prstGeom prst="flowChartAlternateProcess">
                          <a:avLst/>
                        </a:prstGeom>
                        <a:solidFill>
                          <a:srgbClr val="FFC000"/>
                        </a:solidFill>
                        <a:ln w="12700">
                          <a:solidFill>
                            <a:srgbClr val="BA8C00"/>
                          </a:solidFill>
                          <a:miter lim="800000"/>
                          <a:headEnd/>
                          <a:tailEnd/>
                        </a:ln>
                      </wps:spPr>
                      <wps:txbx>
                        <w:txbxContent>
                          <w:p w14:paraId="096DBDC0" w14:textId="77777777" w:rsidR="00942FBB" w:rsidRPr="00612992" w:rsidRDefault="00942FBB" w:rsidP="001B2AF5">
                            <w:pPr>
                              <w:spacing w:after="0" w:line="240" w:lineRule="auto"/>
                              <w:jc w:val="center"/>
                              <w:rPr>
                                <w:rFonts w:ascii="Times" w:hAnsi="Times" w:cs="Times"/>
                                <w:b/>
                                <w:color w:val="000000"/>
                                <w:sz w:val="18"/>
                                <w:szCs w:val="18"/>
                              </w:rPr>
                            </w:pPr>
                            <w:r w:rsidRPr="00612992">
                              <w:rPr>
                                <w:rFonts w:ascii="Times" w:hAnsi="Times" w:cs="Times"/>
                                <w:b/>
                                <w:color w:val="000000"/>
                                <w:sz w:val="18"/>
                                <w:szCs w:val="18"/>
                              </w:rPr>
                              <w:t>Identification of studies via other methods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29274352"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순서도: 대체 처리 32" o:spid="_x0000_s1026" type="#_x0000_t176" style="position:absolute;left:0;text-align:left;margin-left:414.7pt;margin-top:5.65pt;width:342.1pt;height:20.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" fillcolor="#ffc000" strokecolor="#ba8c00" strokeweight="1pt">
                <v:textbox>
                  <w:txbxContent>
                    <w:p w14:paraId="096DBDC0" w14:textId="77777777" w:rsidR="00942FBB" w:rsidRPr="00612992" w:rsidRDefault="00942FBB" w:rsidP="001B2AF5">
                      <w:pPr>
                        <w:spacing w:after="0" w:line="240" w:lineRule="auto"/>
                        <w:jc w:val="center"/>
                        <w:rPr>
                          <w:rFonts w:ascii="Times" w:hAnsi="Times" w:cs="Times"/>
                          <w:b/>
                          <w:color w:val="000000"/>
                          <w:sz w:val="18"/>
                          <w:szCs w:val="18"/>
                        </w:rPr>
                      </w:pPr>
                      <w:r w:rsidRPr="00612992">
                        <w:rPr>
                          <w:rFonts w:ascii="Times" w:hAnsi="Times" w:cs="Times"/>
                          <w:b/>
                          <w:color w:val="000000"/>
                          <w:sz w:val="18"/>
                          <w:szCs w:val="18"/>
                        </w:rPr>
                        <w:t>Identification of studies via other methods</w:t>
                      </w:r>
                    </w:p>
                  </w:txbxContent>
                </v:textbox>
              </v:shape>
            </w:pict>
          </mc:Fallback>
        </mc:AlternateContent>
      </w:r>
      <w:r w:rsidRPr="005B1792">
        <w:rPr>
          <w:rFonts w:ascii="Times" w:hAnsi="Times" w:cs="Times"/>
          <w:kern w:val="0"/>
          <w:sz w:val="22"/>
        </w:rPr>
        <mc:AlternateContent>
          <mc:Choice Requires="wps">
            <w:drawing>
              <wp:anchor distT="0" distB="0" distL="114300" distR="114300" simplePos="0" relativeHeight="251676672" behindDoc="0" locked="0" layoutInCell="1" allowOverlap="1" wp14:anchorId="776FE7E8" wp14:editId="1B20B375">
                <wp:simplePos x="0" y="0"/>
                <wp:positionH relativeFrom="column">
                  <wp:posOffset>566420</wp:posOffset>
                </wp:positionH>
                <wp:positionV relativeFrom="paragraph">
                  <wp:posOffset>73660</wp:posOffset>
                </wp:positionV>
                <wp:extent cx="4345305" cy="263525"/>
                <wp:effectExtent l="13970" t="6985" r="12700" b="15240"/>
                <wp:wrapNone/>
                <wp:docPr id="31" name="순서도: 대체 처리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5305" cy="263525"/>
                        </a:xfrm>
                        <a:prstGeom prst="flowChartAlternateProcess">
                          <a:avLst/>
                        </a:prstGeom>
                        <a:solidFill>
                          <a:srgbClr val="FFC000"/>
                        </a:solidFill>
                        <a:ln w="12700">
                          <a:solidFill>
                            <a:srgbClr val="BA8C00"/>
                          </a:solidFill>
                          <a:miter lim="800000"/>
                          <a:headEnd/>
                          <a:tailEnd/>
                        </a:ln>
                      </wps:spPr>
                      <wps:txbx>
                        <w:txbxContent>
                          <w:p w14:paraId="10C8F17E" w14:textId="77777777" w:rsidR="00942FBB" w:rsidRPr="00612992" w:rsidRDefault="00942FBB" w:rsidP="001B2AF5">
                            <w:pPr>
                              <w:spacing w:after="0" w:line="240" w:lineRule="auto"/>
                              <w:jc w:val="center"/>
                              <w:rPr>
                                <w:rFonts w:ascii="Times" w:hAnsi="Times" w:cs="Times"/>
                                <w:b/>
                                <w:color w:val="000000"/>
                                <w:sz w:val="18"/>
                                <w:szCs w:val="18"/>
                              </w:rPr>
                            </w:pPr>
                            <w:r w:rsidRPr="00612992">
                              <w:rPr>
                                <w:rFonts w:ascii="Times" w:hAnsi="Times" w:cs="Times"/>
                                <w:b/>
                                <w:color w:val="000000"/>
                                <w:sz w:val="18"/>
                                <w:szCs w:val="18"/>
                              </w:rPr>
                              <w:t>Identification of studies via databases and registers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76FE7E8" id="순서도: 대체 처리 31" o:spid="_x0000_s1027" type="#_x0000_t176" style="position:absolute;left:0;text-align:left;margin-left:44.6pt;margin-top:5.8pt;width:342.15pt;height:20.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" fillcolor="#ffc000" strokecolor="#ba8c00" strokeweight="1pt">
                <v:textbox>
                  <w:txbxContent>
                    <w:p w14:paraId="10C8F17E" w14:textId="77777777" w:rsidR="00942FBB" w:rsidRPr="00612992" w:rsidRDefault="00942FBB" w:rsidP="001B2AF5">
                      <w:pPr>
                        <w:spacing w:after="0" w:line="240" w:lineRule="auto"/>
                        <w:jc w:val="center"/>
                        <w:rPr>
                          <w:rFonts w:ascii="Times" w:hAnsi="Times" w:cs="Times"/>
                          <w:b/>
                          <w:color w:val="000000"/>
                          <w:sz w:val="18"/>
                          <w:szCs w:val="18"/>
                        </w:rPr>
                      </w:pPr>
                      <w:r w:rsidRPr="00612992">
                        <w:rPr>
                          <w:rFonts w:ascii="Times" w:hAnsi="Times" w:cs="Times"/>
                          <w:b/>
                          <w:color w:val="000000"/>
                          <w:sz w:val="18"/>
                          <w:szCs w:val="18"/>
                        </w:rPr>
                        <w:t>Identification of studies via databases and registers</w:t>
                      </w:r>
                    </w:p>
                  </w:txbxContent>
                </v:textbox>
              </v:shape>
            </w:pict>
          </mc:Fallback>
        </mc:AlternateContent>
      </w:r>
    </w:p>
    <w:p w14:paraId="2E987F7E"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2B5FE2BC" w14:textId="104BE2FE"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r w:rsidRPr="005B1792">
        <w:rPr>
          <w:rFonts w:ascii="Times" w:eastAsia="Malgun Gothic" w:hAnsi="Times" w:cs="Times"/>
          <w:noProof/>
          <w:kern w:val="0"/>
          <w:sz w:val="22"/>
        </w:rPr>
        <mc:AlternateContent>
          <mc:Choice Requires="wps">
            <w:drawing>
              <wp:anchor distT="0" distB="0" distL="114300" distR="114300" simplePos="0" relativeHeight="251667456" behindDoc="0" locked="0" layoutInCell="1" allowOverlap="1" wp14:anchorId="509152DD" wp14:editId="7224CD70">
                <wp:simplePos x="0" y="0"/>
                <wp:positionH relativeFrom="column">
                  <wp:posOffset>5255895</wp:posOffset>
                </wp:positionH>
                <wp:positionV relativeFrom="paragraph">
                  <wp:posOffset>78740</wp:posOffset>
                </wp:positionV>
                <wp:extent cx="1887220" cy="1243330"/>
                <wp:effectExtent l="7620" t="12065" r="10160" b="11430"/>
                <wp:wrapNone/>
                <wp:docPr id="30" name="직사각형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7220" cy="124333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0117861"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Records identified from:</w:t>
                            </w:r>
                          </w:p>
                          <w:p w14:paraId="3943C727" w14:textId="77777777" w:rsidR="00942FBB" w:rsidRPr="00612992" w:rsidRDefault="00942FBB" w:rsidP="001B2AF5">
                            <w:pPr>
                              <w:spacing w:after="0" w:line="240" w:lineRule="auto"/>
                              <w:ind w:left="284"/>
                              <w:rPr>
                                <w:rFonts w:ascii="Times" w:hAnsi="Times" w:cs="Times"/>
                                <w:color w:val="000000"/>
                                <w:sz w:val="18"/>
                                <w:szCs w:val="20"/>
                              </w:rPr>
                            </w:pPr>
                            <w:r w:rsidRPr="00612992">
                              <w:rPr>
                                <w:rFonts w:ascii="Times" w:hAnsi="Times" w:cs="Times"/>
                                <w:color w:val="000000"/>
                                <w:sz w:val="18"/>
                                <w:szCs w:val="20"/>
                              </w:rPr>
                              <w:t xml:space="preserve">Citation searching (n = </w:t>
                            </w:r>
                            <w:r w:rsidRPr="00612992">
                              <w:rPr>
                                <w:rFonts w:ascii="Times" w:hAnsi="Times" w:cs="Times"/>
                                <w:color w:val="000000"/>
                                <w:sz w:val="18"/>
                                <w:szCs w:val="20"/>
                                <w:lang w:val="x-none" w:bidi="x-none"/>
                              </w:rPr>
                              <w:t>69</w:t>
                            </w:r>
                            <w:r w:rsidRPr="00612992">
                              <w:rPr>
                                <w:rFonts w:ascii="Times" w:hAnsi="Times" w:cs="Times"/>
                                <w:color w:val="000000"/>
                                <w:sz w:val="18"/>
                                <w:szCs w:val="20"/>
                              </w:rPr>
                              <w:t>)</w:t>
                            </w:r>
                          </w:p>
                          <w:p w14:paraId="783BF98F" w14:textId="77777777" w:rsidR="00942FBB" w:rsidRPr="00612992" w:rsidRDefault="00942FBB" w:rsidP="001B2AF5">
                            <w:pPr>
                              <w:spacing w:after="0" w:line="240" w:lineRule="auto"/>
                              <w:ind w:left="284"/>
                              <w:rPr>
                                <w:rFonts w:ascii="Times" w:hAnsi="Times" w:cs="Times"/>
                                <w:color w:val="000000"/>
                                <w:sz w:val="18"/>
                                <w:szCs w:val="20"/>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09152DD" id="직사각형 30" o:spid="_x0000_s1028" style="position:absolute;margin-left:413.85pt;margin-top:6.2pt;width:148.6pt;height:97.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" filled="f">
                <v:textbox>
                  <w:txbxContent>
                    <w:p w14:paraId="00117861"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Records identified from:</w:t>
                      </w:r>
                    </w:p>
                    <w:p w14:paraId="3943C727" w14:textId="77777777" w:rsidR="00942FBB" w:rsidRPr="00612992" w:rsidRDefault="00942FBB" w:rsidP="001B2AF5">
                      <w:pPr>
                        <w:spacing w:after="0" w:line="240" w:lineRule="auto"/>
                        <w:ind w:left="284"/>
                        <w:rPr>
                          <w:rFonts w:ascii="Times" w:hAnsi="Times" w:cs="Times"/>
                          <w:color w:val="000000"/>
                          <w:sz w:val="18"/>
                          <w:szCs w:val="20"/>
                        </w:rPr>
                      </w:pPr>
                      <w:r w:rsidRPr="00612992">
                        <w:rPr>
                          <w:rFonts w:ascii="Times" w:hAnsi="Times" w:cs="Times"/>
                          <w:color w:val="000000"/>
                          <w:sz w:val="18"/>
                          <w:szCs w:val="20"/>
                        </w:rPr>
                        <w:t xml:space="preserve">Citation searching (n = </w:t>
                      </w:r>
                      <w:r w:rsidRPr="00612992">
                        <w:rPr>
                          <w:rFonts w:ascii="Times" w:hAnsi="Times" w:cs="Times"/>
                          <w:color w:val="000000"/>
                          <w:sz w:val="18"/>
                          <w:szCs w:val="20"/>
                          <w:lang w:val="x-none" w:bidi="x-none"/>
                        </w:rPr>
                        <w:t>69</w:t>
                      </w:r>
                      <w:r w:rsidRPr="00612992">
                        <w:rPr>
                          <w:rFonts w:ascii="Times" w:hAnsi="Times" w:cs="Times"/>
                          <w:color w:val="000000"/>
                          <w:sz w:val="18"/>
                          <w:szCs w:val="20"/>
                        </w:rPr>
                        <w:t>)</w:t>
                      </w:r>
                    </w:p>
                    <w:p w14:paraId="783BF98F" w14:textId="77777777" w:rsidR="00942FBB" w:rsidRPr="00612992" w:rsidRDefault="00942FBB" w:rsidP="001B2AF5">
                      <w:pPr>
                        <w:spacing w:after="0" w:line="240" w:lineRule="auto"/>
                        <w:ind w:left="284"/>
                        <w:rPr>
                          <w:rFonts w:ascii="Times" w:hAnsi="Times" w:cs="Times"/>
                          <w:color w:val="000000"/>
                          <w:sz w:val="18"/>
                          <w:szCs w:val="20"/>
                        </w:rPr>
                      </w:pPr>
                    </w:p>
                  </w:txbxContent>
                </v:textbox>
              </v:rect>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60288" behindDoc="0" locked="0" layoutInCell="1" allowOverlap="1" wp14:anchorId="08EA23C6" wp14:editId="196B0D91">
                <wp:simplePos x="0" y="0"/>
                <wp:positionH relativeFrom="column">
                  <wp:posOffset>3039110</wp:posOffset>
                </wp:positionH>
                <wp:positionV relativeFrom="paragraph">
                  <wp:posOffset>76835</wp:posOffset>
                </wp:positionV>
                <wp:extent cx="1887220" cy="1242695"/>
                <wp:effectExtent l="10160" t="10160" r="7620" b="13970"/>
                <wp:wrapNone/>
                <wp:docPr id="29" name="직사각형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7220" cy="12426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69ACF17"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Records removed </w:t>
                            </w:r>
                            <w:r w:rsidRPr="00612992">
                              <w:rPr>
                                <w:rFonts w:ascii="Times" w:hAnsi="Times" w:cs="Times"/>
                                <w:i/>
                                <w:iCs/>
                                <w:color w:val="000000"/>
                                <w:sz w:val="18"/>
                                <w:szCs w:val="20"/>
                              </w:rPr>
                              <w:t>before screening</w:t>
                            </w:r>
                            <w:r w:rsidRPr="00612992">
                              <w:rPr>
                                <w:rFonts w:ascii="Times" w:hAnsi="Times" w:cs="Times"/>
                                <w:color w:val="000000"/>
                                <w:sz w:val="18"/>
                                <w:szCs w:val="20"/>
                              </w:rPr>
                              <w:t>:</w:t>
                            </w:r>
                          </w:p>
                          <w:p w14:paraId="7C075B27"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 xml:space="preserve">Duplicate records removed (n = </w:t>
                            </w:r>
                            <w:r w:rsidRPr="00612992">
                              <w:rPr>
                                <w:rFonts w:ascii="Times" w:hAnsi="Times" w:cs="Times"/>
                                <w:color w:val="000000"/>
                                <w:sz w:val="18"/>
                                <w:szCs w:val="20"/>
                                <w:lang w:val="x-none" w:bidi="x-none"/>
                              </w:rPr>
                              <w:t>352</w:t>
                            </w:r>
                            <w:r w:rsidRPr="00612992">
                              <w:rPr>
                                <w:rFonts w:ascii="Times" w:hAnsi="Times" w:cs="Times"/>
                                <w:color w:val="000000"/>
                                <w:sz w:val="18"/>
                                <w:szCs w:val="20"/>
                              </w:rPr>
                              <w:t>)</w:t>
                            </w:r>
                          </w:p>
                          <w:p w14:paraId="4140D10B"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 xml:space="preserve">Records marked as ineligible by automation tools (n = </w:t>
                            </w:r>
                            <w:r w:rsidRPr="00612992">
                              <w:rPr>
                                <w:rFonts w:ascii="Times" w:hAnsi="Times" w:cs="Times"/>
                                <w:color w:val="000000"/>
                                <w:sz w:val="18"/>
                                <w:szCs w:val="20"/>
                                <w:lang w:val="x-none" w:bidi="x-none"/>
                              </w:rPr>
                              <w:t>0</w:t>
                            </w:r>
                            <w:r w:rsidRPr="00612992">
                              <w:rPr>
                                <w:rFonts w:ascii="Times" w:hAnsi="Times" w:cs="Times"/>
                                <w:color w:val="000000"/>
                                <w:sz w:val="18"/>
                                <w:szCs w:val="20"/>
                              </w:rPr>
                              <w:t>)</w:t>
                            </w:r>
                          </w:p>
                          <w:p w14:paraId="6EA05FCC"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 xml:space="preserve">Records removed for other reasons (n = </w:t>
                            </w:r>
                            <w:r w:rsidRPr="00612992">
                              <w:rPr>
                                <w:rFonts w:ascii="Times" w:hAnsi="Times" w:cs="Times"/>
                                <w:color w:val="000000"/>
                                <w:sz w:val="18"/>
                                <w:szCs w:val="20"/>
                                <w:lang w:val="x-none" w:bidi="x-none"/>
                              </w:rPr>
                              <w:t>0</w:t>
                            </w:r>
                            <w:r w:rsidRPr="00612992">
                              <w:rPr>
                                <w:rFonts w:ascii="Times" w:hAnsi="Times" w:cs="Times"/>
                                <w:color w:val="000000"/>
                                <w:sz w:val="18"/>
                                <w:szCs w:val="20"/>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8EA23C6" id="직사각형 29" o:spid="_x0000_s1029" style="position:absolute;margin-left:239.3pt;margin-top:6.05pt;width:148.6pt;height:97.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" filled="f">
                <v:textbox>
                  <w:txbxContent>
                    <w:p w14:paraId="069ACF17"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Records removed </w:t>
                      </w:r>
                      <w:r w:rsidRPr="00612992">
                        <w:rPr>
                          <w:rFonts w:ascii="Times" w:hAnsi="Times" w:cs="Times"/>
                          <w:i/>
                          <w:iCs/>
                          <w:color w:val="000000"/>
                          <w:sz w:val="18"/>
                          <w:szCs w:val="20"/>
                        </w:rPr>
                        <w:t>before screening</w:t>
                      </w:r>
                      <w:r w:rsidRPr="00612992">
                        <w:rPr>
                          <w:rFonts w:ascii="Times" w:hAnsi="Times" w:cs="Times"/>
                          <w:color w:val="000000"/>
                          <w:sz w:val="18"/>
                          <w:szCs w:val="20"/>
                        </w:rPr>
                        <w:t>:</w:t>
                      </w:r>
                    </w:p>
                    <w:p w14:paraId="7C075B27"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 xml:space="preserve">Duplicate records removed (n = </w:t>
                      </w:r>
                      <w:r w:rsidRPr="00612992">
                        <w:rPr>
                          <w:rFonts w:ascii="Times" w:hAnsi="Times" w:cs="Times"/>
                          <w:color w:val="000000"/>
                          <w:sz w:val="18"/>
                          <w:szCs w:val="20"/>
                          <w:lang w:val="x-none" w:bidi="x-none"/>
                        </w:rPr>
                        <w:t>352</w:t>
                      </w:r>
                      <w:r w:rsidRPr="00612992">
                        <w:rPr>
                          <w:rFonts w:ascii="Times" w:hAnsi="Times" w:cs="Times"/>
                          <w:color w:val="000000"/>
                          <w:sz w:val="18"/>
                          <w:szCs w:val="20"/>
                        </w:rPr>
                        <w:t>)</w:t>
                      </w:r>
                    </w:p>
                    <w:p w14:paraId="4140D10B"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 xml:space="preserve">Records marked as ineligible by automation tools (n = </w:t>
                      </w:r>
                      <w:r w:rsidRPr="00612992">
                        <w:rPr>
                          <w:rFonts w:ascii="Times" w:hAnsi="Times" w:cs="Times"/>
                          <w:color w:val="000000"/>
                          <w:sz w:val="18"/>
                          <w:szCs w:val="20"/>
                          <w:lang w:val="x-none" w:bidi="x-none"/>
                        </w:rPr>
                        <w:t>0</w:t>
                      </w:r>
                      <w:r w:rsidRPr="00612992">
                        <w:rPr>
                          <w:rFonts w:ascii="Times" w:hAnsi="Times" w:cs="Times"/>
                          <w:color w:val="000000"/>
                          <w:sz w:val="18"/>
                          <w:szCs w:val="20"/>
                        </w:rPr>
                        <w:t>)</w:t>
                      </w:r>
                    </w:p>
                    <w:p w14:paraId="6EA05FCC"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 xml:space="preserve">Records removed for other reasons (n = </w:t>
                      </w:r>
                      <w:r w:rsidRPr="00612992">
                        <w:rPr>
                          <w:rFonts w:ascii="Times" w:hAnsi="Times" w:cs="Times"/>
                          <w:color w:val="000000"/>
                          <w:sz w:val="18"/>
                          <w:szCs w:val="20"/>
                          <w:lang w:val="x-none" w:bidi="x-none"/>
                        </w:rPr>
                        <w:t>0</w:t>
                      </w:r>
                      <w:r w:rsidRPr="00612992">
                        <w:rPr>
                          <w:rFonts w:ascii="Times" w:hAnsi="Times" w:cs="Times"/>
                          <w:color w:val="000000"/>
                          <w:sz w:val="18"/>
                          <w:szCs w:val="20"/>
                        </w:rPr>
                        <w:t>)</w:t>
                      </w:r>
                    </w:p>
                  </w:txbxContent>
                </v:textbox>
              </v:rect>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59264" behindDoc="0" locked="0" layoutInCell="1" allowOverlap="1" wp14:anchorId="3AF434B7" wp14:editId="45971D6F">
                <wp:simplePos x="0" y="0"/>
                <wp:positionH relativeFrom="column">
                  <wp:posOffset>559435</wp:posOffset>
                </wp:positionH>
                <wp:positionV relativeFrom="paragraph">
                  <wp:posOffset>76835</wp:posOffset>
                </wp:positionV>
                <wp:extent cx="1887220" cy="1243330"/>
                <wp:effectExtent l="6985" t="10160" r="10795" b="13335"/>
                <wp:wrapNone/>
                <wp:docPr id="28" name="직사각형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7220" cy="124333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FF205ED"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Records identified from:</w:t>
                            </w:r>
                          </w:p>
                          <w:p w14:paraId="52DA087F"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PubMed/MEDLINE (n=407)</w:t>
                            </w:r>
                          </w:p>
                          <w:p w14:paraId="1184E135"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Embase (n=333)</w:t>
                            </w:r>
                          </w:p>
                          <w:p w14:paraId="31C06567"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Cochrane Database of Systematic Reviews (n=66)</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AF434B7" id="직사각형 28" o:spid="_x0000_s1030" style="position:absolute;margin-left:44.05pt;margin-top:6.05pt;width:148.6pt;height:97.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" filled="f">
                <v:textbox>
                  <w:txbxContent>
                    <w:p w14:paraId="0FF205ED"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Records identified from:</w:t>
                      </w:r>
                    </w:p>
                    <w:p w14:paraId="52DA087F"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PubMed/MEDLINE (n=407)</w:t>
                      </w:r>
                    </w:p>
                    <w:p w14:paraId="1184E135"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Embase (n=333)</w:t>
                      </w:r>
                    </w:p>
                    <w:p w14:paraId="31C06567"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Cochrane Database of Systematic Reviews (n=66)</w:t>
                      </w:r>
                    </w:p>
                  </w:txbxContent>
                </v:textbox>
              </v:rect>
            </w:pict>
          </mc:Fallback>
        </mc:AlternateContent>
      </w:r>
    </w:p>
    <w:p w14:paraId="188A1799"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04B7FF22" w14:textId="364F33CB"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r w:rsidRPr="005B1792">
        <w:rPr>
          <w:rFonts w:ascii="Times" w:eastAsia="Malgun Gothic" w:hAnsi="Times" w:cs="Times"/>
          <w:noProof/>
          <w:kern w:val="0"/>
          <w:sz w:val="22"/>
        </w:rPr>
        <mc:AlternateContent>
          <mc:Choice Requires="wps">
            <w:drawing>
              <wp:anchor distT="0" distB="0" distL="114300" distR="114300" simplePos="0" relativeHeight="251678720" behindDoc="0" locked="0" layoutInCell="1" allowOverlap="1" wp14:anchorId="5150F3B4" wp14:editId="29A22C10">
                <wp:simplePos x="0" y="0"/>
                <wp:positionH relativeFrom="column">
                  <wp:posOffset>-403860</wp:posOffset>
                </wp:positionH>
                <wp:positionV relativeFrom="paragraph">
                  <wp:posOffset>222250</wp:posOffset>
                </wp:positionV>
                <wp:extent cx="1276350" cy="262890"/>
                <wp:effectExtent l="7620" t="10795" r="5715" b="8255"/>
                <wp:wrapNone/>
                <wp:docPr id="27" name="순서도: 대체 처리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1276350" cy="262890"/>
                        </a:xfrm>
                        <a:prstGeom prst="flowChartAlternateProcess">
                          <a:avLst/>
                        </a:prstGeom>
                        <a:solidFill>
                          <a:srgbClr val="9CC3E6"/>
                        </a:solidFill>
                        <a:ln w="9525">
                          <a:solidFill>
                            <a:srgbClr val="000000"/>
                          </a:solidFill>
                          <a:miter lim="800000"/>
                          <a:headEnd/>
                          <a:tailEnd/>
                        </a:ln>
                      </wps:spPr>
                      <wps:txbx>
                        <w:txbxContent>
                          <w:p w14:paraId="1B079C58" w14:textId="77777777" w:rsidR="00942FBB" w:rsidRPr="00612992" w:rsidRDefault="00942FBB" w:rsidP="001B2AF5">
                            <w:pPr>
                              <w:spacing w:after="0" w:line="240" w:lineRule="auto"/>
                              <w:jc w:val="center"/>
                              <w:rPr>
                                <w:rFonts w:ascii="Times" w:hAnsi="Times" w:cs="Times"/>
                                <w:b/>
                                <w:color w:val="000000"/>
                                <w:sz w:val="18"/>
                                <w:szCs w:val="18"/>
                              </w:rPr>
                            </w:pPr>
                            <w:r w:rsidRPr="00612992">
                              <w:rPr>
                                <w:rFonts w:ascii="Times" w:hAnsi="Times" w:cs="Times"/>
                                <w:b/>
                                <w:color w:val="000000"/>
                                <w:sz w:val="18"/>
                                <w:szCs w:val="18"/>
                              </w:rPr>
                              <w:t>Identification</w:t>
                            </w:r>
                          </w:p>
                        </w:txbxContent>
                      </wps:txbx>
                      <wps:bodyPr rot="0" vert="eaVert"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150F3B4" id="순서도: 대체 처리 27" o:spid="_x0000_s1031" type="#_x0000_t176" style="position:absolute;margin-left:-31.8pt;margin-top:17.5pt;width:100.5pt;height:20.7pt;rotation:-9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" fillcolor="#9cc3e6">
                <v:textbox style="layout-flow:vertical-ideographic">
                  <w:txbxContent>
                    <w:p w14:paraId="1B079C58" w14:textId="77777777" w:rsidR="00942FBB" w:rsidRPr="00612992" w:rsidRDefault="00942FBB" w:rsidP="001B2AF5">
                      <w:pPr>
                        <w:spacing w:after="0" w:line="240" w:lineRule="auto"/>
                        <w:jc w:val="center"/>
                        <w:rPr>
                          <w:rFonts w:ascii="Times" w:hAnsi="Times" w:cs="Times"/>
                          <w:b/>
                          <w:color w:val="000000"/>
                          <w:sz w:val="18"/>
                          <w:szCs w:val="18"/>
                        </w:rPr>
                      </w:pPr>
                      <w:r w:rsidRPr="00612992">
                        <w:rPr>
                          <w:rFonts w:ascii="Times" w:hAnsi="Times" w:cs="Times"/>
                          <w:b/>
                          <w:color w:val="000000"/>
                          <w:sz w:val="18"/>
                          <w:szCs w:val="18"/>
                        </w:rPr>
                        <w:t>Identification</w:t>
                      </w:r>
                    </w:p>
                  </w:txbxContent>
                </v:textbox>
              </v:shape>
            </w:pict>
          </mc:Fallback>
        </mc:AlternateContent>
      </w:r>
    </w:p>
    <w:p w14:paraId="21C377D2"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62D87D2B" w14:textId="198378F0"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r w:rsidRPr="005B1792">
        <w:rPr>
          <w:rFonts w:ascii="Times" w:eastAsia="Malgun Gothic" w:hAnsi="Times" w:cs="Times"/>
          <w:noProof/>
          <w:kern w:val="0"/>
          <w:sz w:val="22"/>
        </w:rPr>
        <mc:AlternateContent>
          <mc:Choice Requires="wps">
            <w:drawing>
              <wp:anchor distT="0" distB="0" distL="114300" distR="114300" simplePos="0" relativeHeight="251671552" behindDoc="0" locked="0" layoutInCell="1" allowOverlap="1" wp14:anchorId="4D813C53" wp14:editId="71F4262C">
                <wp:simplePos x="0" y="0"/>
                <wp:positionH relativeFrom="column">
                  <wp:posOffset>2453640</wp:posOffset>
                </wp:positionH>
                <wp:positionV relativeFrom="paragraph">
                  <wp:posOffset>9525</wp:posOffset>
                </wp:positionV>
                <wp:extent cx="563880" cy="0"/>
                <wp:effectExtent l="5715" t="57150" r="20955" b="57150"/>
                <wp:wrapNone/>
                <wp:docPr id="26" name="직선 화살표 연결선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880" cy="0"/>
                        </a:xfrm>
                        <a:prstGeom prst="straightConnector1">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C5F7FA2" id="_x0000_t32" coordsize="21600,21600" o:spt="32" o:oned="t" path="m,l21600,21600e" filled="f">
                <v:path arrowok="t" fillok="f" o:connecttype="none"/>
                <o:lock v:ext="edit" shapetype="t"/>
              </v:shapetype>
              <v:shape id="직선 화살표 연결선 26" o:spid="_x0000_s1026" type="#_x0000_t32" style="position:absolute;left:0;text-align:left;margin-left:193.2pt;margin-top:.75pt;width:44.4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">
                <v:stroke endarrow="block" joinstyle="miter"/>
              </v:shape>
            </w:pict>
          </mc:Fallback>
        </mc:AlternateContent>
      </w:r>
    </w:p>
    <w:p w14:paraId="2646B835"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02159E14"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125E0A0F" w14:textId="674D7E81"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r w:rsidRPr="005B1792">
        <w:rPr>
          <w:rFonts w:ascii="Times" w:eastAsia="Malgun Gothic" w:hAnsi="Times" w:cs="Times"/>
          <w:noProof/>
          <w:kern w:val="0"/>
          <w:sz w:val="22"/>
        </w:rPr>
        <mc:AlternateContent>
          <mc:Choice Requires="wps">
            <w:drawing>
              <wp:anchor distT="0" distB="0" distL="114300" distR="114300" simplePos="0" relativeHeight="251691008" behindDoc="0" locked="0" layoutInCell="1" allowOverlap="1" wp14:anchorId="3E696703" wp14:editId="6CA1AFD6">
                <wp:simplePos x="0" y="0"/>
                <wp:positionH relativeFrom="column">
                  <wp:posOffset>6191250</wp:posOffset>
                </wp:positionH>
                <wp:positionV relativeFrom="paragraph">
                  <wp:posOffset>132080</wp:posOffset>
                </wp:positionV>
                <wp:extent cx="0" cy="1086485"/>
                <wp:effectExtent l="57150" t="8255" r="57150" b="19685"/>
                <wp:wrapNone/>
                <wp:docPr id="25" name="직선 화살표 연결선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86485"/>
                        </a:xfrm>
                        <a:prstGeom prst="straightConnector1">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68A445" id="직선 화살표 연결선 25" o:spid="_x0000_s1026" type="#_x0000_t32" style="position:absolute;left:0;text-align:left;margin-left:487.5pt;margin-top:10.4pt;width:0;height:85.5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">
                <v:stroke endarrow="block" joinstyle="miter"/>
              </v:shape>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81792" behindDoc="0" locked="0" layoutInCell="1" allowOverlap="1" wp14:anchorId="11E3851A" wp14:editId="607600B3">
                <wp:simplePos x="0" y="0"/>
                <wp:positionH relativeFrom="column">
                  <wp:posOffset>1400175</wp:posOffset>
                </wp:positionH>
                <wp:positionV relativeFrom="paragraph">
                  <wp:posOffset>128905</wp:posOffset>
                </wp:positionV>
                <wp:extent cx="0" cy="281305"/>
                <wp:effectExtent l="57150" t="5080" r="57150" b="18415"/>
                <wp:wrapNone/>
                <wp:docPr id="24" name="직선 화살표 연결선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1305"/>
                        </a:xfrm>
                        <a:prstGeom prst="straightConnector1">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F52177" id="직선 화살표 연결선 24" o:spid="_x0000_s1026" type="#_x0000_t32" style="position:absolute;left:0;text-align:left;margin-left:110.25pt;margin-top:10.15pt;width:0;height:22.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">
                <v:stroke endarrow="block" joinstyle="miter"/>
              </v:shape>
            </w:pict>
          </mc:Fallback>
        </mc:AlternateContent>
      </w:r>
    </w:p>
    <w:p w14:paraId="3CB49C0C"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77D3447C" w14:textId="65036F98"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r w:rsidRPr="005B1792">
        <w:rPr>
          <w:rFonts w:ascii="Times" w:eastAsia="Malgun Gothic" w:hAnsi="Times" w:cs="Times"/>
          <w:noProof/>
          <w:kern w:val="0"/>
          <w:sz w:val="22"/>
        </w:rPr>
        <mc:AlternateContent>
          <mc:Choice Requires="wps">
            <w:drawing>
              <wp:anchor distT="0" distB="0" distL="114300" distR="114300" simplePos="0" relativeHeight="251672576" behindDoc="0" locked="0" layoutInCell="1" allowOverlap="1" wp14:anchorId="2A05AD18" wp14:editId="36CE31EF">
                <wp:simplePos x="0" y="0"/>
                <wp:positionH relativeFrom="column">
                  <wp:posOffset>2453640</wp:posOffset>
                </wp:positionH>
                <wp:positionV relativeFrom="paragraph">
                  <wp:posOffset>328295</wp:posOffset>
                </wp:positionV>
                <wp:extent cx="563245" cy="0"/>
                <wp:effectExtent l="5715" t="61595" r="21590" b="52705"/>
                <wp:wrapNone/>
                <wp:docPr id="23" name="직선 화살표 연결선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245" cy="0"/>
                        </a:xfrm>
                        <a:prstGeom prst="straightConnector1">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7415D2" id="직선 화살표 연결선 23" o:spid="_x0000_s1026" type="#_x0000_t32" style="position:absolute;left:0;text-align:left;margin-left:193.2pt;margin-top:25.85pt;width:44.35pt;height: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">
                <v:stroke endarrow="block" joinstyle="miter"/>
              </v:shape>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61312" behindDoc="0" locked="0" layoutInCell="1" allowOverlap="1" wp14:anchorId="1F5E6ADA" wp14:editId="0435FC8C">
                <wp:simplePos x="0" y="0"/>
                <wp:positionH relativeFrom="column">
                  <wp:posOffset>559435</wp:posOffset>
                </wp:positionH>
                <wp:positionV relativeFrom="paragraph">
                  <wp:posOffset>74930</wp:posOffset>
                </wp:positionV>
                <wp:extent cx="1887220" cy="526415"/>
                <wp:effectExtent l="6985" t="8255" r="10795" b="8255"/>
                <wp:wrapNone/>
                <wp:docPr id="22" name="직사각형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7220" cy="5264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75F8E73"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Records screened</w:t>
                            </w:r>
                          </w:p>
                          <w:p w14:paraId="77E8918A"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(n =</w:t>
                            </w:r>
                            <w:r w:rsidRPr="00612992">
                              <w:rPr>
                                <w:rFonts w:ascii="Times" w:hAnsi="Times" w:cs="Times"/>
                                <w:color w:val="000000"/>
                                <w:sz w:val="18"/>
                                <w:szCs w:val="20"/>
                                <w:lang w:val="x-none" w:bidi="x-none"/>
                              </w:rPr>
                              <w:t xml:space="preserve"> 454</w:t>
                            </w:r>
                            <w:r w:rsidRPr="00612992">
                              <w:rPr>
                                <w:rFonts w:ascii="Times" w:hAnsi="Times" w:cs="Times"/>
                                <w:color w:val="000000"/>
                                <w:sz w:val="18"/>
                                <w:szCs w:val="20"/>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F5E6ADA" id="직사각형 22" o:spid="_x0000_s1032" style="position:absolute;margin-left:44.05pt;margin-top:5.9pt;width:148.6pt;height:41.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" filled="f">
                <v:textbox>
                  <w:txbxContent>
                    <w:p w14:paraId="075F8E73"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Records screened</w:t>
                      </w:r>
                    </w:p>
                    <w:p w14:paraId="77E8918A"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(n =</w:t>
                      </w:r>
                      <w:r w:rsidRPr="00612992">
                        <w:rPr>
                          <w:rFonts w:ascii="Times" w:hAnsi="Times" w:cs="Times"/>
                          <w:color w:val="000000"/>
                          <w:sz w:val="18"/>
                          <w:szCs w:val="20"/>
                          <w:lang w:val="x-none" w:bidi="x-none"/>
                        </w:rPr>
                        <w:t xml:space="preserve"> 454</w:t>
                      </w:r>
                      <w:r w:rsidRPr="00612992">
                        <w:rPr>
                          <w:rFonts w:ascii="Times" w:hAnsi="Times" w:cs="Times"/>
                          <w:color w:val="000000"/>
                          <w:sz w:val="18"/>
                          <w:szCs w:val="20"/>
                        </w:rPr>
                        <w:t>)</w:t>
                      </w:r>
                    </w:p>
                  </w:txbxContent>
                </v:textbox>
              </v:rect>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62336" behindDoc="0" locked="0" layoutInCell="1" allowOverlap="1" wp14:anchorId="2626480D" wp14:editId="25A6CF40">
                <wp:simplePos x="0" y="0"/>
                <wp:positionH relativeFrom="column">
                  <wp:posOffset>3048000</wp:posOffset>
                </wp:positionH>
                <wp:positionV relativeFrom="paragraph">
                  <wp:posOffset>74930</wp:posOffset>
                </wp:positionV>
                <wp:extent cx="1887220" cy="526415"/>
                <wp:effectExtent l="9525" t="8255" r="8255" b="8255"/>
                <wp:wrapNone/>
                <wp:docPr id="21" name="직사각형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7220" cy="5264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B610020"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Records excluded</w:t>
                            </w:r>
                          </w:p>
                          <w:p w14:paraId="534EBEDD"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310</w:t>
                            </w:r>
                            <w:r w:rsidRPr="00612992">
                              <w:rPr>
                                <w:rFonts w:ascii="Times" w:hAnsi="Times" w:cs="Times"/>
                                <w:color w:val="000000"/>
                                <w:sz w:val="18"/>
                                <w:szCs w:val="20"/>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626480D" id="직사각형 21" o:spid="_x0000_s1033" style="position:absolute;margin-left:240pt;margin-top:5.9pt;width:148.6pt;height:41.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" filled="f">
                <v:textbox>
                  <w:txbxContent>
                    <w:p w14:paraId="7B610020"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Records excluded</w:t>
                      </w:r>
                    </w:p>
                    <w:p w14:paraId="534EBEDD"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310</w:t>
                      </w:r>
                      <w:r w:rsidRPr="00612992">
                        <w:rPr>
                          <w:rFonts w:ascii="Times" w:hAnsi="Times" w:cs="Times"/>
                          <w:color w:val="000000"/>
                          <w:sz w:val="18"/>
                          <w:szCs w:val="20"/>
                        </w:rPr>
                        <w:t>)</w:t>
                      </w:r>
                    </w:p>
                  </w:txbxContent>
                </v:textbox>
              </v:rect>
            </w:pict>
          </mc:Fallback>
        </mc:AlternateContent>
      </w:r>
    </w:p>
    <w:p w14:paraId="7EF737DD"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6D270BFF"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0E043970" w14:textId="547470A8"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r w:rsidRPr="005B1792">
        <w:rPr>
          <w:rFonts w:ascii="Times" w:eastAsia="Malgun Gothic" w:hAnsi="Times" w:cs="Times"/>
          <w:noProof/>
          <w:kern w:val="0"/>
          <w:sz w:val="22"/>
        </w:rPr>
        <mc:AlternateContent>
          <mc:Choice Requires="wps">
            <w:drawing>
              <wp:anchor distT="0" distB="0" distL="114300" distR="114300" simplePos="0" relativeHeight="251682816" behindDoc="0" locked="0" layoutInCell="1" allowOverlap="1" wp14:anchorId="0B698A64" wp14:editId="6AEEE462">
                <wp:simplePos x="0" y="0"/>
                <wp:positionH relativeFrom="column">
                  <wp:posOffset>1400175</wp:posOffset>
                </wp:positionH>
                <wp:positionV relativeFrom="paragraph">
                  <wp:posOffset>99695</wp:posOffset>
                </wp:positionV>
                <wp:extent cx="0" cy="281305"/>
                <wp:effectExtent l="57150" t="13970" r="57150" b="19050"/>
                <wp:wrapNone/>
                <wp:docPr id="20" name="직선 화살표 연결선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1305"/>
                        </a:xfrm>
                        <a:prstGeom prst="straightConnector1">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60C3C6" id="직선 화살표 연결선 20" o:spid="_x0000_s1026" type="#_x0000_t32" style="position:absolute;left:0;text-align:left;margin-left:110.25pt;margin-top:7.85pt;width:0;height:22.1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">
                <v:stroke endarrow="block" joinstyle="miter"/>
              </v:shape>
            </w:pict>
          </mc:Fallback>
        </mc:AlternateContent>
      </w:r>
    </w:p>
    <w:p w14:paraId="531C44A5"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7E82484D" w14:textId="3D3D8F1E"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r w:rsidRPr="005B1792">
        <w:rPr>
          <w:rFonts w:ascii="Times" w:eastAsia="Malgun Gothic" w:hAnsi="Times" w:cs="Times"/>
          <w:noProof/>
          <w:kern w:val="0"/>
          <w:sz w:val="22"/>
        </w:rPr>
        <mc:AlternateContent>
          <mc:Choice Requires="wps">
            <w:drawing>
              <wp:anchor distT="0" distB="0" distL="114300" distR="114300" simplePos="0" relativeHeight="251664384" behindDoc="0" locked="0" layoutInCell="1" allowOverlap="1" wp14:anchorId="69BC7D6F" wp14:editId="7F24F2A6">
                <wp:simplePos x="0" y="0"/>
                <wp:positionH relativeFrom="column">
                  <wp:posOffset>3070860</wp:posOffset>
                </wp:positionH>
                <wp:positionV relativeFrom="paragraph">
                  <wp:posOffset>1270</wp:posOffset>
                </wp:positionV>
                <wp:extent cx="1887220" cy="526415"/>
                <wp:effectExtent l="13335" t="10795" r="13970" b="5715"/>
                <wp:wrapNone/>
                <wp:docPr id="19" name="직사각형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7220" cy="5264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CCA4AFC"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not retrieved</w:t>
                            </w:r>
                          </w:p>
                          <w:p w14:paraId="17AB7772"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0</w:t>
                            </w:r>
                            <w:r w:rsidRPr="00612992">
                              <w:rPr>
                                <w:rFonts w:ascii="Times" w:hAnsi="Times" w:cs="Times"/>
                                <w:color w:val="000000"/>
                                <w:sz w:val="18"/>
                                <w:szCs w:val="20"/>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9BC7D6F" id="직사각형 19" o:spid="_x0000_s1034" style="position:absolute;margin-left:241.8pt;margin-top:.1pt;width:148.6pt;height:41.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" filled="f">
                <v:textbox>
                  <w:txbxContent>
                    <w:p w14:paraId="1CCA4AFC"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not retrieved</w:t>
                      </w:r>
                    </w:p>
                    <w:p w14:paraId="17AB7772"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0</w:t>
                      </w:r>
                      <w:r w:rsidRPr="00612992">
                        <w:rPr>
                          <w:rFonts w:ascii="Times" w:hAnsi="Times" w:cs="Times"/>
                          <w:color w:val="000000"/>
                          <w:sz w:val="18"/>
                          <w:szCs w:val="20"/>
                        </w:rPr>
                        <w:t>)</w:t>
                      </w:r>
                    </w:p>
                  </w:txbxContent>
                </v:textbox>
              </v:rect>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87936" behindDoc="0" locked="0" layoutInCell="1" allowOverlap="1" wp14:anchorId="477DB6A7" wp14:editId="3CD4F152">
                <wp:simplePos x="0" y="0"/>
                <wp:positionH relativeFrom="column">
                  <wp:posOffset>7752715</wp:posOffset>
                </wp:positionH>
                <wp:positionV relativeFrom="paragraph">
                  <wp:posOffset>62865</wp:posOffset>
                </wp:positionV>
                <wp:extent cx="1887220" cy="526415"/>
                <wp:effectExtent l="8890" t="5715" r="8890" b="10795"/>
                <wp:wrapNone/>
                <wp:docPr id="18" name="직사각형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7220" cy="5264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93CD031"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not retrieved</w:t>
                            </w:r>
                          </w:p>
                          <w:p w14:paraId="0D0BDB0B"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0</w:t>
                            </w:r>
                            <w:r w:rsidRPr="00612992">
                              <w:rPr>
                                <w:rFonts w:ascii="Times" w:hAnsi="Times" w:cs="Times"/>
                                <w:color w:val="000000"/>
                                <w:sz w:val="18"/>
                                <w:szCs w:val="20"/>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77DB6A7" id="직사각형 18" o:spid="_x0000_s1035" style="position:absolute;margin-left:610.45pt;margin-top:4.95pt;width:148.6pt;height:41.4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" filled="f">
                <v:textbox>
                  <w:txbxContent>
                    <w:p w14:paraId="593CD031"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not retrieved</w:t>
                      </w:r>
                    </w:p>
                    <w:p w14:paraId="0D0BDB0B"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0</w:t>
                      </w:r>
                      <w:r w:rsidRPr="00612992">
                        <w:rPr>
                          <w:rFonts w:ascii="Times" w:hAnsi="Times" w:cs="Times"/>
                          <w:color w:val="000000"/>
                          <w:sz w:val="18"/>
                          <w:szCs w:val="20"/>
                        </w:rPr>
                        <w:t>)</w:t>
                      </w:r>
                    </w:p>
                  </w:txbxContent>
                </v:textbox>
              </v:rect>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86912" behindDoc="0" locked="0" layoutInCell="1" allowOverlap="1" wp14:anchorId="503AA9A9" wp14:editId="758B8E2F">
                <wp:simplePos x="0" y="0"/>
                <wp:positionH relativeFrom="column">
                  <wp:posOffset>5270500</wp:posOffset>
                </wp:positionH>
                <wp:positionV relativeFrom="paragraph">
                  <wp:posOffset>56515</wp:posOffset>
                </wp:positionV>
                <wp:extent cx="1887220" cy="526415"/>
                <wp:effectExtent l="12700" t="8890" r="5080" b="7620"/>
                <wp:wrapNone/>
                <wp:docPr id="17" name="직사각형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7220" cy="5264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69FE392"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sought for retrieval</w:t>
                            </w:r>
                          </w:p>
                          <w:p w14:paraId="6EEA588A"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69</w:t>
                            </w:r>
                            <w:r w:rsidRPr="00612992">
                              <w:rPr>
                                <w:rFonts w:ascii="Times" w:hAnsi="Times" w:cs="Times"/>
                                <w:color w:val="000000"/>
                                <w:sz w:val="18"/>
                                <w:szCs w:val="20"/>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03AA9A9" id="직사각형 17" o:spid="_x0000_s1036" style="position:absolute;margin-left:415pt;margin-top:4.45pt;width:148.6pt;height:41.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" filled="f">
                <v:textbox>
                  <w:txbxContent>
                    <w:p w14:paraId="769FE392"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sought for retrieval</w:t>
                      </w:r>
                    </w:p>
                    <w:p w14:paraId="6EEA588A"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69</w:t>
                      </w:r>
                      <w:r w:rsidRPr="00612992">
                        <w:rPr>
                          <w:rFonts w:ascii="Times" w:hAnsi="Times" w:cs="Times"/>
                          <w:color w:val="000000"/>
                          <w:sz w:val="18"/>
                          <w:szCs w:val="20"/>
                        </w:rPr>
                        <w:t>)</w:t>
                      </w:r>
                    </w:p>
                  </w:txbxContent>
                </v:textbox>
              </v:rect>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63360" behindDoc="0" locked="0" layoutInCell="1" allowOverlap="1" wp14:anchorId="05DAA075" wp14:editId="2F4A53E4">
                <wp:simplePos x="0" y="0"/>
                <wp:positionH relativeFrom="column">
                  <wp:posOffset>560705</wp:posOffset>
                </wp:positionH>
                <wp:positionV relativeFrom="paragraph">
                  <wp:posOffset>47625</wp:posOffset>
                </wp:positionV>
                <wp:extent cx="1887220" cy="526415"/>
                <wp:effectExtent l="8255" t="9525" r="9525" b="6985"/>
                <wp:wrapNone/>
                <wp:docPr id="16" name="직사각형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7220" cy="5264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4582310"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sought for retrieval</w:t>
                            </w:r>
                          </w:p>
                          <w:p w14:paraId="3445EF62"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(n =</w:t>
                            </w:r>
                            <w:r w:rsidRPr="00612992">
                              <w:rPr>
                                <w:rFonts w:ascii="Times" w:hAnsi="Times" w:cs="Times"/>
                                <w:color w:val="000000"/>
                                <w:sz w:val="18"/>
                                <w:szCs w:val="20"/>
                                <w:lang w:val="x-none" w:bidi="x-none"/>
                              </w:rPr>
                              <w:t xml:space="preserve"> 144</w:t>
                            </w:r>
                            <w:r w:rsidRPr="00612992">
                              <w:rPr>
                                <w:rFonts w:ascii="Times" w:hAnsi="Times" w:cs="Times"/>
                                <w:color w:val="000000"/>
                                <w:sz w:val="18"/>
                                <w:szCs w:val="20"/>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5DAA075" id="직사각형 16" o:spid="_x0000_s1037" style="position:absolute;margin-left:44.15pt;margin-top:3.75pt;width:148.6pt;height:41.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" filled="f">
                <v:textbox>
                  <w:txbxContent>
                    <w:p w14:paraId="34582310"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sought for retrieval</w:t>
                      </w:r>
                    </w:p>
                    <w:p w14:paraId="3445EF62"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(n =</w:t>
                      </w:r>
                      <w:r w:rsidRPr="00612992">
                        <w:rPr>
                          <w:rFonts w:ascii="Times" w:hAnsi="Times" w:cs="Times"/>
                          <w:color w:val="000000"/>
                          <w:sz w:val="18"/>
                          <w:szCs w:val="20"/>
                          <w:lang w:val="x-none" w:bidi="x-none"/>
                        </w:rPr>
                        <w:t xml:space="preserve"> 144</w:t>
                      </w:r>
                      <w:r w:rsidRPr="00612992">
                        <w:rPr>
                          <w:rFonts w:ascii="Times" w:hAnsi="Times" w:cs="Times"/>
                          <w:color w:val="000000"/>
                          <w:sz w:val="18"/>
                          <w:szCs w:val="20"/>
                        </w:rPr>
                        <w:t>)</w:t>
                      </w:r>
                    </w:p>
                  </w:txbxContent>
                </v:textbox>
              </v:rect>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73600" behindDoc="0" locked="0" layoutInCell="1" allowOverlap="1" wp14:anchorId="51810BD2" wp14:editId="5EAF67C1">
                <wp:simplePos x="0" y="0"/>
                <wp:positionH relativeFrom="column">
                  <wp:posOffset>2463165</wp:posOffset>
                </wp:positionH>
                <wp:positionV relativeFrom="paragraph">
                  <wp:posOffset>320675</wp:posOffset>
                </wp:positionV>
                <wp:extent cx="563245" cy="0"/>
                <wp:effectExtent l="5715" t="53975" r="21590" b="60325"/>
                <wp:wrapNone/>
                <wp:docPr id="15" name="직선 화살표 연결선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245" cy="0"/>
                        </a:xfrm>
                        <a:prstGeom prst="straightConnector1">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3106DE" id="직선 화살표 연결선 15" o:spid="_x0000_s1026" type="#_x0000_t32" style="position:absolute;left:0;text-align:left;margin-left:193.95pt;margin-top:25.25pt;width:44.35pt;height: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">
                <v:stroke endarrow="block" joinstyle="miter"/>
              </v:shape>
            </w:pict>
          </mc:Fallback>
        </mc:AlternateContent>
      </w:r>
    </w:p>
    <w:p w14:paraId="671CB46C" w14:textId="6C75D200"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r w:rsidRPr="005B1792">
        <w:rPr>
          <w:rFonts w:ascii="Times" w:eastAsia="Malgun Gothic" w:hAnsi="Times" w:cs="Times"/>
          <w:noProof/>
          <w:kern w:val="0"/>
          <w:sz w:val="22"/>
        </w:rPr>
        <mc:AlternateContent>
          <mc:Choice Requires="wps">
            <w:drawing>
              <wp:anchor distT="0" distB="0" distL="114300" distR="114300" simplePos="0" relativeHeight="251679744" behindDoc="0" locked="0" layoutInCell="1" allowOverlap="1" wp14:anchorId="0A2C499B" wp14:editId="601087C3">
                <wp:simplePos x="0" y="0"/>
                <wp:positionH relativeFrom="column">
                  <wp:posOffset>-1002665</wp:posOffset>
                </wp:positionH>
                <wp:positionV relativeFrom="paragraph">
                  <wp:posOffset>153035</wp:posOffset>
                </wp:positionV>
                <wp:extent cx="2466975" cy="262890"/>
                <wp:effectExtent l="13970" t="12700" r="8890" b="6350"/>
                <wp:wrapNone/>
                <wp:docPr id="14" name="순서도: 대체 처리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2466975" cy="262890"/>
                        </a:xfrm>
                        <a:prstGeom prst="flowChartAlternateProcess">
                          <a:avLst/>
                        </a:prstGeom>
                        <a:solidFill>
                          <a:srgbClr val="9CC3E6"/>
                        </a:solidFill>
                        <a:ln w="9525">
                          <a:solidFill>
                            <a:srgbClr val="000000"/>
                          </a:solidFill>
                          <a:miter lim="800000"/>
                          <a:headEnd/>
                          <a:tailEnd/>
                        </a:ln>
                      </wps:spPr>
                      <wps:txbx>
                        <w:txbxContent>
                          <w:p w14:paraId="08C7619B" w14:textId="77777777" w:rsidR="00942FBB" w:rsidRPr="00612992" w:rsidRDefault="00942FBB" w:rsidP="001B2AF5">
                            <w:pPr>
                              <w:spacing w:after="0" w:line="240" w:lineRule="auto"/>
                              <w:jc w:val="center"/>
                              <w:rPr>
                                <w:rFonts w:ascii="Times" w:hAnsi="Times" w:cs="Times"/>
                                <w:b/>
                                <w:color w:val="000000"/>
                                <w:sz w:val="18"/>
                                <w:szCs w:val="18"/>
                              </w:rPr>
                            </w:pPr>
                            <w:r w:rsidRPr="00612992">
                              <w:rPr>
                                <w:rFonts w:ascii="Times" w:hAnsi="Times" w:cs="Times"/>
                                <w:b/>
                                <w:color w:val="000000"/>
                                <w:sz w:val="18"/>
                                <w:szCs w:val="18"/>
                              </w:rPr>
                              <w:t>Screening</w:t>
                            </w:r>
                          </w:p>
                          <w:p w14:paraId="63F82131" w14:textId="77777777" w:rsidR="00942FBB" w:rsidRPr="00612992" w:rsidRDefault="00942FBB" w:rsidP="001B2AF5">
                            <w:pPr>
                              <w:spacing w:after="0" w:line="240" w:lineRule="auto"/>
                              <w:rPr>
                                <w:rFonts w:ascii="Times" w:hAnsi="Times" w:cs="Times"/>
                                <w:b/>
                                <w:color w:val="000000"/>
                                <w:sz w:val="18"/>
                                <w:szCs w:val="18"/>
                              </w:rPr>
                            </w:pPr>
                          </w:p>
                        </w:txbxContent>
                      </wps:txbx>
                      <wps:bodyPr rot="0" vert="eaVert"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A2C499B" id="순서도: 대체 처리 14" o:spid="_x0000_s1038" type="#_x0000_t176" style="position:absolute;margin-left:-78.95pt;margin-top:12.05pt;width:194.25pt;height:20.7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" fillcolor="#9cc3e6">
                <v:textbox style="layout-flow:vertical-ideographic">
                  <w:txbxContent>
                    <w:p w14:paraId="08C7619B" w14:textId="77777777" w:rsidR="00942FBB" w:rsidRPr="00612992" w:rsidRDefault="00942FBB" w:rsidP="001B2AF5">
                      <w:pPr>
                        <w:spacing w:after="0" w:line="240" w:lineRule="auto"/>
                        <w:jc w:val="center"/>
                        <w:rPr>
                          <w:rFonts w:ascii="Times" w:hAnsi="Times" w:cs="Times"/>
                          <w:b/>
                          <w:color w:val="000000"/>
                          <w:sz w:val="18"/>
                          <w:szCs w:val="18"/>
                        </w:rPr>
                      </w:pPr>
                      <w:r w:rsidRPr="00612992">
                        <w:rPr>
                          <w:rFonts w:ascii="Times" w:hAnsi="Times" w:cs="Times"/>
                          <w:b/>
                          <w:color w:val="000000"/>
                          <w:sz w:val="18"/>
                          <w:szCs w:val="18"/>
                        </w:rPr>
                        <w:t>Screening</w:t>
                      </w:r>
                    </w:p>
                    <w:p w14:paraId="63F82131" w14:textId="77777777" w:rsidR="00942FBB" w:rsidRPr="00612992" w:rsidRDefault="00942FBB" w:rsidP="001B2AF5">
                      <w:pPr>
                        <w:spacing w:after="0" w:line="240" w:lineRule="auto"/>
                        <w:rPr>
                          <w:rFonts w:ascii="Times" w:hAnsi="Times" w:cs="Times"/>
                          <w:b/>
                          <w:color w:val="000000"/>
                          <w:sz w:val="18"/>
                          <w:szCs w:val="18"/>
                        </w:rPr>
                      </w:pPr>
                    </w:p>
                  </w:txbxContent>
                </v:textbox>
              </v:shape>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88960" behindDoc="0" locked="0" layoutInCell="1" allowOverlap="1" wp14:anchorId="7535367A" wp14:editId="1577E314">
                <wp:simplePos x="0" y="0"/>
                <wp:positionH relativeFrom="column">
                  <wp:posOffset>7172960</wp:posOffset>
                </wp:positionH>
                <wp:positionV relativeFrom="paragraph">
                  <wp:posOffset>159385</wp:posOffset>
                </wp:positionV>
                <wp:extent cx="563245" cy="0"/>
                <wp:effectExtent l="10160" t="54610" r="17145" b="59690"/>
                <wp:wrapNone/>
                <wp:docPr id="13" name="직선 화살표 연결선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245" cy="0"/>
                        </a:xfrm>
                        <a:prstGeom prst="straightConnector1">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D71E93" id="직선 화살표 연결선 13" o:spid="_x0000_s1026" type="#_x0000_t32" style="position:absolute;left:0;text-align:left;margin-left:564.8pt;margin-top:12.55pt;width:44.35pt;height: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">
                <v:stroke endarrow="block" joinstyle="miter"/>
              </v:shape>
            </w:pict>
          </mc:Fallback>
        </mc:AlternateContent>
      </w:r>
    </w:p>
    <w:p w14:paraId="53427637"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37BDF3CC" w14:textId="3D85374B"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r w:rsidRPr="005B1792">
        <w:rPr>
          <w:rFonts w:ascii="Times" w:eastAsia="Malgun Gothic" w:hAnsi="Times" w:cs="Times"/>
          <w:noProof/>
          <w:kern w:val="0"/>
          <w:sz w:val="22"/>
        </w:rPr>
        <mc:AlternateContent>
          <mc:Choice Requires="wps">
            <w:drawing>
              <wp:anchor distT="0" distB="0" distL="114300" distR="114300" simplePos="0" relativeHeight="251666432" behindDoc="0" locked="0" layoutInCell="1" allowOverlap="1" wp14:anchorId="334F3A60" wp14:editId="017F52FD">
                <wp:simplePos x="0" y="0"/>
                <wp:positionH relativeFrom="column">
                  <wp:posOffset>3068320</wp:posOffset>
                </wp:positionH>
                <wp:positionV relativeFrom="paragraph">
                  <wp:posOffset>112395</wp:posOffset>
                </wp:positionV>
                <wp:extent cx="1887220" cy="1926590"/>
                <wp:effectExtent l="10795" t="7620" r="6985" b="8890"/>
                <wp:wrapNone/>
                <wp:docPr id="12" name="직사각형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7220" cy="192659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10697B0"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excluded:</w:t>
                            </w:r>
                          </w:p>
                          <w:p w14:paraId="34F5FF93"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Did not present sufficient data for re-analysis (n=2</w:t>
                            </w:r>
                            <w:r w:rsidRPr="00612992">
                              <w:rPr>
                                <w:rFonts w:ascii="Times" w:hAnsi="Times" w:cs="Times"/>
                                <w:color w:val="000000"/>
                                <w:sz w:val="18"/>
                                <w:szCs w:val="20"/>
                                <w:lang w:val="x-none" w:bidi="x-none"/>
                              </w:rPr>
                              <w:t>4</w:t>
                            </w:r>
                            <w:r w:rsidRPr="00612992">
                              <w:rPr>
                                <w:rFonts w:ascii="Times" w:hAnsi="Times" w:cs="Times"/>
                                <w:color w:val="000000"/>
                                <w:sz w:val="18"/>
                                <w:szCs w:val="20"/>
                              </w:rPr>
                              <w:t>)</w:t>
                            </w:r>
                          </w:p>
                          <w:p w14:paraId="5C5A6C90"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Were not meta-analyses conducted with systematic methods (n=30)</w:t>
                            </w:r>
                          </w:p>
                          <w:p w14:paraId="1403B911"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Did not study risk factors, protective factors of biomarkers of postpartum depression (n=26)</w:t>
                            </w:r>
                          </w:p>
                          <w:p w14:paraId="6DDF721A"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Out of scope (n=2</w:t>
                            </w:r>
                            <w:r w:rsidRPr="00612992">
                              <w:rPr>
                                <w:rFonts w:ascii="Times" w:hAnsi="Times" w:cs="Times"/>
                                <w:color w:val="000000"/>
                                <w:sz w:val="18"/>
                                <w:szCs w:val="20"/>
                                <w:lang w:val="x-none" w:bidi="x-none"/>
                              </w:rPr>
                              <w:t>7</w:t>
                            </w:r>
                            <w:r w:rsidRPr="00612992">
                              <w:rPr>
                                <w:rFonts w:ascii="Times" w:hAnsi="Times" w:cs="Times"/>
                                <w:color w:val="000000"/>
                                <w:sz w:val="18"/>
                                <w:szCs w:val="20"/>
                              </w:rPr>
                              <w:t>)</w:t>
                            </w:r>
                          </w:p>
                          <w:p w14:paraId="302940BD"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Another larger meta-analysis was included (n=7)</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34F3A60" id="직사각형 12" o:spid="_x0000_s1039" style="position:absolute;margin-left:241.6pt;margin-top:8.85pt;width:148.6pt;height:151.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" filled="f">
                <v:textbox>
                  <w:txbxContent>
                    <w:p w14:paraId="410697B0"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excluded:</w:t>
                      </w:r>
                    </w:p>
                    <w:p w14:paraId="34F5FF93"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Did not present sufficient data for re-analysis (n=2</w:t>
                      </w:r>
                      <w:r w:rsidRPr="00612992">
                        <w:rPr>
                          <w:rFonts w:ascii="Times" w:hAnsi="Times" w:cs="Times"/>
                          <w:color w:val="000000"/>
                          <w:sz w:val="18"/>
                          <w:szCs w:val="20"/>
                          <w:lang w:val="x-none" w:bidi="x-none"/>
                        </w:rPr>
                        <w:t>4</w:t>
                      </w:r>
                      <w:r w:rsidRPr="00612992">
                        <w:rPr>
                          <w:rFonts w:ascii="Times" w:hAnsi="Times" w:cs="Times"/>
                          <w:color w:val="000000"/>
                          <w:sz w:val="18"/>
                          <w:szCs w:val="20"/>
                        </w:rPr>
                        <w:t>)</w:t>
                      </w:r>
                    </w:p>
                    <w:p w14:paraId="5C5A6C90"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Were not meta-analyses conducted with systematic methods (n=30)</w:t>
                      </w:r>
                    </w:p>
                    <w:p w14:paraId="1403B911"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Did not study risk factors, protective factors of biomarkers of postpartum depression (n=26)</w:t>
                      </w:r>
                    </w:p>
                    <w:p w14:paraId="6DDF721A"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Out of scope (n=2</w:t>
                      </w:r>
                      <w:r w:rsidRPr="00612992">
                        <w:rPr>
                          <w:rFonts w:ascii="Times" w:hAnsi="Times" w:cs="Times"/>
                          <w:color w:val="000000"/>
                          <w:sz w:val="18"/>
                          <w:szCs w:val="20"/>
                          <w:lang w:val="x-none" w:bidi="x-none"/>
                        </w:rPr>
                        <w:t>7</w:t>
                      </w:r>
                      <w:r w:rsidRPr="00612992">
                        <w:rPr>
                          <w:rFonts w:ascii="Times" w:hAnsi="Times" w:cs="Times"/>
                          <w:color w:val="000000"/>
                          <w:sz w:val="18"/>
                          <w:szCs w:val="20"/>
                        </w:rPr>
                        <w:t>)</w:t>
                      </w:r>
                    </w:p>
                    <w:p w14:paraId="302940BD"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Another larger meta-analysis was included (n=7)</w:t>
                      </w:r>
                    </w:p>
                  </w:txbxContent>
                </v:textbox>
              </v:rect>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89984" behindDoc="0" locked="0" layoutInCell="1" allowOverlap="1" wp14:anchorId="0C9F6CC9" wp14:editId="5B1D0953">
                <wp:simplePos x="0" y="0"/>
                <wp:positionH relativeFrom="column">
                  <wp:posOffset>6191250</wp:posOffset>
                </wp:positionH>
                <wp:positionV relativeFrom="paragraph">
                  <wp:posOffset>66040</wp:posOffset>
                </wp:positionV>
                <wp:extent cx="0" cy="281305"/>
                <wp:effectExtent l="57150" t="8890" r="57150" b="14605"/>
                <wp:wrapNone/>
                <wp:docPr id="11" name="직선 화살표 연결선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1305"/>
                        </a:xfrm>
                        <a:prstGeom prst="straightConnector1">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63EDBF" id="직선 화살표 연결선 11" o:spid="_x0000_s1026" type="#_x0000_t32" style="position:absolute;left:0;text-align:left;margin-left:487.5pt;margin-top:5.2pt;width:0;height:22.1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">
                <v:stroke endarrow="block" joinstyle="miter"/>
              </v:shape>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83840" behindDoc="0" locked="0" layoutInCell="1" allowOverlap="1" wp14:anchorId="03FBA43D" wp14:editId="67D86351">
                <wp:simplePos x="0" y="0"/>
                <wp:positionH relativeFrom="column">
                  <wp:posOffset>1409700</wp:posOffset>
                </wp:positionH>
                <wp:positionV relativeFrom="paragraph">
                  <wp:posOffset>56515</wp:posOffset>
                </wp:positionV>
                <wp:extent cx="0" cy="281305"/>
                <wp:effectExtent l="57150" t="8890" r="57150" b="14605"/>
                <wp:wrapNone/>
                <wp:docPr id="10" name="직선 화살표 연결선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1305"/>
                        </a:xfrm>
                        <a:prstGeom prst="straightConnector1">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7BEABF" id="직선 화살표 연결선 10" o:spid="_x0000_s1026" type="#_x0000_t32" style="position:absolute;left:0;text-align:left;margin-left:111pt;margin-top:4.45pt;width:0;height:22.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">
                <v:stroke endarrow="block" joinstyle="miter"/>
              </v:shape>
            </w:pict>
          </mc:Fallback>
        </mc:AlternateContent>
      </w:r>
    </w:p>
    <w:p w14:paraId="0D3EAE75"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38B76DB6" w14:textId="43FB528A"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r w:rsidRPr="005B1792">
        <w:rPr>
          <w:rFonts w:ascii="Times" w:eastAsia="Malgun Gothic" w:hAnsi="Times" w:cs="Times"/>
          <w:noProof/>
          <w:kern w:val="0"/>
          <w:sz w:val="22"/>
        </w:rPr>
        <mc:AlternateContent>
          <mc:Choice Requires="wps">
            <w:drawing>
              <wp:anchor distT="0" distB="0" distL="114300" distR="114300" simplePos="0" relativeHeight="251668480" behindDoc="0" locked="0" layoutInCell="1" allowOverlap="1" wp14:anchorId="73670C3D" wp14:editId="534D7CFD">
                <wp:simplePos x="0" y="0"/>
                <wp:positionH relativeFrom="column">
                  <wp:posOffset>5264150</wp:posOffset>
                </wp:positionH>
                <wp:positionV relativeFrom="paragraph">
                  <wp:posOffset>21590</wp:posOffset>
                </wp:positionV>
                <wp:extent cx="1887220" cy="526415"/>
                <wp:effectExtent l="6350" t="12065" r="11430" b="13970"/>
                <wp:wrapNone/>
                <wp:docPr id="9" name="직사각형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7220" cy="5264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82F53F8"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assessed for eligibility</w:t>
                            </w:r>
                          </w:p>
                          <w:p w14:paraId="6AB5217D"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0</w:t>
                            </w:r>
                            <w:r w:rsidRPr="00612992">
                              <w:rPr>
                                <w:rFonts w:ascii="Times" w:hAnsi="Times" w:cs="Times"/>
                                <w:color w:val="000000"/>
                                <w:sz w:val="18"/>
                                <w:szCs w:val="20"/>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3670C3D" id="직사각형 9" o:spid="_x0000_s1040" style="position:absolute;margin-left:414.5pt;margin-top:1.7pt;width:148.6pt;height:41.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" filled="f">
                <v:textbox>
                  <w:txbxContent>
                    <w:p w14:paraId="182F53F8"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assessed for eligibility</w:t>
                      </w:r>
                    </w:p>
                    <w:p w14:paraId="6AB5217D"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0</w:t>
                      </w:r>
                      <w:r w:rsidRPr="00612992">
                        <w:rPr>
                          <w:rFonts w:ascii="Times" w:hAnsi="Times" w:cs="Times"/>
                          <w:color w:val="000000"/>
                          <w:sz w:val="18"/>
                          <w:szCs w:val="20"/>
                        </w:rPr>
                        <w:t>)</w:t>
                      </w:r>
                    </w:p>
                  </w:txbxContent>
                </v:textbox>
              </v:rect>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69504" behindDoc="0" locked="0" layoutInCell="1" allowOverlap="1" wp14:anchorId="5EC0E76D" wp14:editId="297B218E">
                <wp:simplePos x="0" y="0"/>
                <wp:positionH relativeFrom="column">
                  <wp:posOffset>7755255</wp:posOffset>
                </wp:positionH>
                <wp:positionV relativeFrom="paragraph">
                  <wp:posOffset>29845</wp:posOffset>
                </wp:positionV>
                <wp:extent cx="1887220" cy="1104900"/>
                <wp:effectExtent l="11430" t="10795" r="6350" b="8255"/>
                <wp:wrapNone/>
                <wp:docPr id="8" name="직사각형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7220" cy="1104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B6E974D"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excluded:</w:t>
                            </w:r>
                          </w:p>
                          <w:p w14:paraId="6CAF50B8"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Already identified via databases (n=69)</w:t>
                            </w:r>
                          </w:p>
                          <w:p w14:paraId="1CB88454" w14:textId="77777777" w:rsidR="00942FBB" w:rsidRPr="00612992" w:rsidRDefault="00942FBB" w:rsidP="001B2AF5">
                            <w:pPr>
                              <w:spacing w:after="0" w:line="240" w:lineRule="auto"/>
                              <w:ind w:left="284"/>
                              <w:rPr>
                                <w:rFonts w:ascii="Times" w:hAnsi="Times" w:cs="Times"/>
                                <w:color w:val="000000"/>
                                <w:sz w:val="18"/>
                                <w:szCs w:val="20"/>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EC0E76D" id="직사각형 8" o:spid="_x0000_s1041" style="position:absolute;margin-left:610.65pt;margin-top:2.35pt;width:148.6pt;height:8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" filled="f">
                <v:textbox>
                  <w:txbxContent>
                    <w:p w14:paraId="4B6E974D"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excluded:</w:t>
                      </w:r>
                    </w:p>
                    <w:p w14:paraId="6CAF50B8" w14:textId="77777777" w:rsidR="00942FBB" w:rsidRPr="00612992" w:rsidRDefault="00942FBB" w:rsidP="00DC02D1">
                      <w:pPr>
                        <w:spacing w:after="0" w:line="240" w:lineRule="auto"/>
                        <w:ind w:left="284"/>
                        <w:jc w:val="left"/>
                        <w:rPr>
                          <w:rFonts w:ascii="Times" w:hAnsi="Times" w:cs="Times"/>
                          <w:color w:val="000000"/>
                          <w:sz w:val="18"/>
                          <w:szCs w:val="20"/>
                        </w:rPr>
                      </w:pPr>
                      <w:r w:rsidRPr="00612992">
                        <w:rPr>
                          <w:rFonts w:ascii="Times" w:hAnsi="Times" w:cs="Times"/>
                          <w:color w:val="000000"/>
                          <w:sz w:val="18"/>
                          <w:szCs w:val="20"/>
                        </w:rPr>
                        <w:t>Already identified via databases (n=69)</w:t>
                      </w:r>
                    </w:p>
                    <w:p w14:paraId="1CB88454" w14:textId="77777777" w:rsidR="00942FBB" w:rsidRPr="00612992" w:rsidRDefault="00942FBB" w:rsidP="001B2AF5">
                      <w:pPr>
                        <w:spacing w:after="0" w:line="240" w:lineRule="auto"/>
                        <w:ind w:left="284"/>
                        <w:rPr>
                          <w:rFonts w:ascii="Times" w:hAnsi="Times" w:cs="Times"/>
                          <w:color w:val="000000"/>
                          <w:sz w:val="18"/>
                          <w:szCs w:val="20"/>
                        </w:rPr>
                      </w:pPr>
                    </w:p>
                  </w:txbxContent>
                </v:textbox>
              </v:rect>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74624" behindDoc="0" locked="0" layoutInCell="1" allowOverlap="1" wp14:anchorId="73C32012" wp14:editId="1FB24A6D">
                <wp:simplePos x="0" y="0"/>
                <wp:positionH relativeFrom="column">
                  <wp:posOffset>2476500</wp:posOffset>
                </wp:positionH>
                <wp:positionV relativeFrom="paragraph">
                  <wp:posOffset>294640</wp:posOffset>
                </wp:positionV>
                <wp:extent cx="563245" cy="0"/>
                <wp:effectExtent l="9525" t="56515" r="17780" b="57785"/>
                <wp:wrapNone/>
                <wp:docPr id="7" name="직선 화살표 연결선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245" cy="0"/>
                        </a:xfrm>
                        <a:prstGeom prst="straightConnector1">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0FAF99" id="직선 화살표 연결선 7" o:spid="_x0000_s1026" type="#_x0000_t32" style="position:absolute;left:0;text-align:left;margin-left:195pt;margin-top:23.2pt;width:44.35pt;height:0;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">
                <v:stroke endarrow="block" joinstyle="miter"/>
              </v:shape>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65408" behindDoc="0" locked="0" layoutInCell="1" allowOverlap="1" wp14:anchorId="15DE030E" wp14:editId="0127E032">
                <wp:simplePos x="0" y="0"/>
                <wp:positionH relativeFrom="column">
                  <wp:posOffset>561975</wp:posOffset>
                </wp:positionH>
                <wp:positionV relativeFrom="paragraph">
                  <wp:posOffset>13335</wp:posOffset>
                </wp:positionV>
                <wp:extent cx="1887220" cy="526415"/>
                <wp:effectExtent l="9525" t="13335" r="8255" b="12700"/>
                <wp:wrapNone/>
                <wp:docPr id="6" name="직사각형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7220" cy="5264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85DB5FE"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assessed for eligibility</w:t>
                            </w:r>
                          </w:p>
                          <w:p w14:paraId="3E1BC197"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144</w:t>
                            </w:r>
                            <w:r w:rsidRPr="00612992">
                              <w:rPr>
                                <w:rFonts w:ascii="Times" w:hAnsi="Times" w:cs="Times"/>
                                <w:color w:val="000000"/>
                                <w:sz w:val="18"/>
                                <w:szCs w:val="20"/>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5DE030E" id="직사각형 6" o:spid="_x0000_s1042" style="position:absolute;margin-left:44.25pt;margin-top:1.05pt;width:148.6pt;height:41.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" filled="f">
                <v:textbox>
                  <w:txbxContent>
                    <w:p w14:paraId="785DB5FE"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assessed for eligibility</w:t>
                      </w:r>
                    </w:p>
                    <w:p w14:paraId="3E1BC197"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144</w:t>
                      </w:r>
                      <w:r w:rsidRPr="00612992">
                        <w:rPr>
                          <w:rFonts w:ascii="Times" w:hAnsi="Times" w:cs="Times"/>
                          <w:color w:val="000000"/>
                          <w:sz w:val="18"/>
                          <w:szCs w:val="20"/>
                        </w:rPr>
                        <w:t>)</w:t>
                      </w:r>
                    </w:p>
                  </w:txbxContent>
                </v:textbox>
              </v:rect>
            </w:pict>
          </mc:Fallback>
        </mc:AlternateContent>
      </w:r>
    </w:p>
    <w:p w14:paraId="6FF8A339" w14:textId="761112D3"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r w:rsidRPr="005B1792">
        <w:rPr>
          <w:rFonts w:ascii="Times" w:eastAsia="Malgun Gothic" w:hAnsi="Times" w:cs="Times"/>
          <w:noProof/>
          <w:kern w:val="0"/>
          <w:sz w:val="22"/>
        </w:rPr>
        <mc:AlternateContent>
          <mc:Choice Requires="wps">
            <w:drawing>
              <wp:anchor distT="0" distB="0" distL="114300" distR="114300" simplePos="0" relativeHeight="251675648" behindDoc="0" locked="0" layoutInCell="1" allowOverlap="1" wp14:anchorId="71D082CD" wp14:editId="6736EBDB">
                <wp:simplePos x="0" y="0"/>
                <wp:positionH relativeFrom="column">
                  <wp:posOffset>7174865</wp:posOffset>
                </wp:positionH>
                <wp:positionV relativeFrom="paragraph">
                  <wp:posOffset>128270</wp:posOffset>
                </wp:positionV>
                <wp:extent cx="563245" cy="0"/>
                <wp:effectExtent l="12065" t="61595" r="15240" b="52705"/>
                <wp:wrapNone/>
                <wp:docPr id="5" name="직선 화살표 연결선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245" cy="0"/>
                        </a:xfrm>
                        <a:prstGeom prst="straightConnector1">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785B62" id="직선 화살표 연결선 5" o:spid="_x0000_s1026" type="#_x0000_t32" style="position:absolute;left:0;text-align:left;margin-left:564.95pt;margin-top:10.1pt;width:44.35pt;height: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">
                <v:stroke endarrow="block" joinstyle="miter"/>
              </v:shape>
            </w:pict>
          </mc:Fallback>
        </mc:AlternateContent>
      </w:r>
    </w:p>
    <w:p w14:paraId="309AC62E"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3CB1B1F2" w14:textId="780EE1B3"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r w:rsidRPr="005B1792">
        <w:rPr>
          <w:rFonts w:ascii="Times" w:eastAsia="Malgun Gothic" w:hAnsi="Times" w:cs="Times"/>
          <w:noProof/>
          <w:kern w:val="0"/>
          <w:sz w:val="22"/>
        </w:rPr>
        <mc:AlternateContent>
          <mc:Choice Requires="wps">
            <w:drawing>
              <wp:anchor distT="0" distB="0" distL="114300" distR="114300" simplePos="0" relativeHeight="251684864" behindDoc="0" locked="0" layoutInCell="1" allowOverlap="1" wp14:anchorId="41031FD4" wp14:editId="2FE8D7BE">
                <wp:simplePos x="0" y="0"/>
                <wp:positionH relativeFrom="column">
                  <wp:posOffset>2424430</wp:posOffset>
                </wp:positionH>
                <wp:positionV relativeFrom="paragraph">
                  <wp:posOffset>35560</wp:posOffset>
                </wp:positionV>
                <wp:extent cx="3765550" cy="1310640"/>
                <wp:effectExtent l="14605" t="6985" r="10795" b="53975"/>
                <wp:wrapNone/>
                <wp:docPr id="4" name="연결선: 꺾임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765550" cy="1310640"/>
                        </a:xfrm>
                        <a:prstGeom prst="bentConnector3">
                          <a:avLst>
                            <a:gd name="adj1" fmla="val 46"/>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BF793BF" id="_x0000_t34" coordsize="21600,21600" o:spt="34" o:oned="t" adj="10800" path="m,l@0,0@0,21600,21600,21600e" filled="f">
                <v:stroke joinstyle="miter"/>
                <v:formulas>
                  <v:f eqn="val #0"/>
                </v:formulas>
                <v:path arrowok="t" fillok="f" o:connecttype="none"/>
                <v:handles>
                  <v:h position="#0,center"/>
                </v:handles>
                <o:lock v:ext="edit" shapetype="t"/>
              </v:shapetype>
              <v:shape id="연결선: 꺾임 4" o:spid="_x0000_s1026" type="#_x0000_t34" style="position:absolute;left:0;text-align:left;margin-left:190.9pt;margin-top:2.8pt;width:296.5pt;height:103.2pt;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" adj="10">
                <v:stroke endarrow="block"/>
              </v:shape>
            </w:pict>
          </mc:Fallback>
        </mc:AlternateContent>
      </w:r>
      <w:r w:rsidRPr="005B1792">
        <w:rPr>
          <w:rFonts w:ascii="Times" w:eastAsia="Malgun Gothic" w:hAnsi="Times" w:cs="Times"/>
          <w:noProof/>
          <w:kern w:val="0"/>
          <w:sz w:val="22"/>
        </w:rPr>
        <mc:AlternateContent>
          <mc:Choice Requires="wps">
            <w:drawing>
              <wp:anchor distT="0" distB="0" distL="114300" distR="114300" simplePos="0" relativeHeight="251685888" behindDoc="0" locked="0" layoutInCell="1" allowOverlap="1" wp14:anchorId="12A951B1" wp14:editId="04AFB996">
                <wp:simplePos x="0" y="0"/>
                <wp:positionH relativeFrom="column">
                  <wp:posOffset>1400810</wp:posOffset>
                </wp:positionH>
                <wp:positionV relativeFrom="paragraph">
                  <wp:posOffset>29210</wp:posOffset>
                </wp:positionV>
                <wp:extent cx="0" cy="746125"/>
                <wp:effectExtent l="57785" t="10160" r="56515" b="15240"/>
                <wp:wrapNone/>
                <wp:docPr id="3" name="직선 화살표 연결선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46125"/>
                        </a:xfrm>
                        <a:prstGeom prst="straightConnector1">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D5C007" id="직선 화살표 연결선 3" o:spid="_x0000_s1026" type="#_x0000_t32" style="position:absolute;left:0;text-align:left;margin-left:110.3pt;margin-top:2.3pt;width:0;height:58.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">
                <v:stroke endarrow="block" joinstyle="miter"/>
              </v:shape>
            </w:pict>
          </mc:Fallback>
        </mc:AlternateContent>
      </w:r>
    </w:p>
    <w:p w14:paraId="08046596"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2BB9E8B6"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162150F5"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172B7B62" w14:textId="7AFE5B83"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r w:rsidRPr="005B1792">
        <w:rPr>
          <w:rFonts w:ascii="Times" w:eastAsia="Malgun Gothic" w:hAnsi="Times" w:cs="Times"/>
          <w:noProof/>
          <w:kern w:val="0"/>
          <w:sz w:val="22"/>
        </w:rPr>
        <mc:AlternateContent>
          <mc:Choice Requires="wps">
            <w:drawing>
              <wp:anchor distT="0" distB="0" distL="114300" distR="114300" simplePos="0" relativeHeight="251670528" behindDoc="0" locked="0" layoutInCell="1" allowOverlap="1" wp14:anchorId="646F7181" wp14:editId="22623CAE">
                <wp:simplePos x="0" y="0"/>
                <wp:positionH relativeFrom="column">
                  <wp:posOffset>540385</wp:posOffset>
                </wp:positionH>
                <wp:positionV relativeFrom="paragraph">
                  <wp:posOffset>110490</wp:posOffset>
                </wp:positionV>
                <wp:extent cx="1887220" cy="990600"/>
                <wp:effectExtent l="6985" t="5715" r="10795" b="13335"/>
                <wp:wrapNone/>
                <wp:docPr id="2" name="직사각형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7220" cy="9906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D0C46B6"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Studies included in review</w:t>
                            </w:r>
                          </w:p>
                          <w:p w14:paraId="5B01A1E3"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30</w:t>
                            </w:r>
                            <w:r w:rsidRPr="00612992">
                              <w:rPr>
                                <w:rFonts w:ascii="Times" w:hAnsi="Times" w:cs="Times"/>
                                <w:color w:val="000000"/>
                                <w:sz w:val="18"/>
                                <w:szCs w:val="20"/>
                              </w:rPr>
                              <w:t>)</w:t>
                            </w:r>
                          </w:p>
                          <w:p w14:paraId="68AC5F59"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of included studies</w:t>
                            </w:r>
                          </w:p>
                          <w:p w14:paraId="37D2CA06"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54</w:t>
                            </w:r>
                            <w:r w:rsidRPr="00612992">
                              <w:rPr>
                                <w:rFonts w:ascii="Times" w:hAnsi="Times" w:cs="Times"/>
                                <w:color w:val="000000"/>
                                <w:sz w:val="18"/>
                                <w:szCs w:val="20"/>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46F7181" id="직사각형 2" o:spid="_x0000_s1043" style="position:absolute;margin-left:42.55pt;margin-top:8.7pt;width:148.6pt;height:7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" filled="f">
                <v:textbox>
                  <w:txbxContent>
                    <w:p w14:paraId="7D0C46B6"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Studies included in review</w:t>
                      </w:r>
                    </w:p>
                    <w:p w14:paraId="5B01A1E3"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30</w:t>
                      </w:r>
                      <w:r w:rsidRPr="00612992">
                        <w:rPr>
                          <w:rFonts w:ascii="Times" w:hAnsi="Times" w:cs="Times"/>
                          <w:color w:val="000000"/>
                          <w:sz w:val="18"/>
                          <w:szCs w:val="20"/>
                        </w:rPr>
                        <w:t>)</w:t>
                      </w:r>
                    </w:p>
                    <w:p w14:paraId="68AC5F59"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Reports of included studies</w:t>
                      </w:r>
                    </w:p>
                    <w:p w14:paraId="37D2CA06" w14:textId="77777777" w:rsidR="00942FBB" w:rsidRPr="00612992" w:rsidRDefault="00942FBB" w:rsidP="001B2AF5">
                      <w:pPr>
                        <w:spacing w:after="0" w:line="240" w:lineRule="auto"/>
                        <w:rPr>
                          <w:rFonts w:ascii="Times" w:hAnsi="Times" w:cs="Times"/>
                          <w:color w:val="000000"/>
                          <w:sz w:val="18"/>
                          <w:szCs w:val="20"/>
                        </w:rPr>
                      </w:pPr>
                      <w:r w:rsidRPr="00612992">
                        <w:rPr>
                          <w:rFonts w:ascii="Times" w:hAnsi="Times" w:cs="Times"/>
                          <w:color w:val="000000"/>
                          <w:sz w:val="18"/>
                          <w:szCs w:val="20"/>
                        </w:rPr>
                        <w:t xml:space="preserve">(n = </w:t>
                      </w:r>
                      <w:r w:rsidRPr="00612992">
                        <w:rPr>
                          <w:rFonts w:ascii="Times" w:hAnsi="Times" w:cs="Times"/>
                          <w:color w:val="000000"/>
                          <w:sz w:val="18"/>
                          <w:szCs w:val="20"/>
                          <w:lang w:val="x-none" w:bidi="x-none"/>
                        </w:rPr>
                        <w:t>54</w:t>
                      </w:r>
                      <w:r w:rsidRPr="00612992">
                        <w:rPr>
                          <w:rFonts w:ascii="Times" w:hAnsi="Times" w:cs="Times"/>
                          <w:color w:val="000000"/>
                          <w:sz w:val="18"/>
                          <w:szCs w:val="20"/>
                        </w:rPr>
                        <w:t>)</w:t>
                      </w:r>
                    </w:p>
                  </w:txbxContent>
                </v:textbox>
              </v:rect>
            </w:pict>
          </mc:Fallback>
        </mc:AlternateContent>
      </w:r>
    </w:p>
    <w:p w14:paraId="7A2910CD"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14767D24" w14:textId="26A852A0"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r w:rsidRPr="005B1792">
        <w:rPr>
          <w:rFonts w:ascii="Times" w:eastAsia="Malgun Gothic" w:hAnsi="Times" w:cs="Times"/>
          <w:noProof/>
          <w:kern w:val="0"/>
          <w:sz w:val="22"/>
        </w:rPr>
        <mc:AlternateContent>
          <mc:Choice Requires="wps">
            <w:drawing>
              <wp:anchor distT="0" distB="0" distL="114300" distR="114300" simplePos="0" relativeHeight="251680768" behindDoc="0" locked="0" layoutInCell="1" allowOverlap="1" wp14:anchorId="2DBE9862" wp14:editId="03E8B1C9">
                <wp:simplePos x="0" y="0"/>
                <wp:positionH relativeFrom="column">
                  <wp:posOffset>-415925</wp:posOffset>
                </wp:positionH>
                <wp:positionV relativeFrom="paragraph">
                  <wp:posOffset>51435</wp:posOffset>
                </wp:positionV>
                <wp:extent cx="1327150" cy="262890"/>
                <wp:effectExtent l="11430" t="5080" r="11430" b="10795"/>
                <wp:wrapNone/>
                <wp:docPr id="1" name="순서도: 대체 처리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1327150" cy="262890"/>
                        </a:xfrm>
                        <a:prstGeom prst="flowChartAlternateProcess">
                          <a:avLst/>
                        </a:prstGeom>
                        <a:solidFill>
                          <a:srgbClr val="9CC3E6"/>
                        </a:solidFill>
                        <a:ln w="9525">
                          <a:solidFill>
                            <a:srgbClr val="000000"/>
                          </a:solidFill>
                          <a:miter lim="800000"/>
                          <a:headEnd/>
                          <a:tailEnd/>
                        </a:ln>
                      </wps:spPr>
                      <wps:txbx>
                        <w:txbxContent>
                          <w:p w14:paraId="2442DF13" w14:textId="77777777" w:rsidR="00942FBB" w:rsidRPr="00612992" w:rsidRDefault="00942FBB" w:rsidP="001B2AF5">
                            <w:pPr>
                              <w:spacing w:after="0" w:line="240" w:lineRule="auto"/>
                              <w:jc w:val="center"/>
                              <w:rPr>
                                <w:rFonts w:ascii="Times" w:hAnsi="Times" w:cs="Times"/>
                                <w:b/>
                                <w:color w:val="000000"/>
                                <w:sz w:val="18"/>
                                <w:szCs w:val="18"/>
                              </w:rPr>
                            </w:pPr>
                            <w:r w:rsidRPr="00612992">
                              <w:rPr>
                                <w:rFonts w:ascii="Times" w:hAnsi="Times" w:cs="Times"/>
                                <w:b/>
                                <w:color w:val="000000"/>
                                <w:sz w:val="18"/>
                                <w:szCs w:val="18"/>
                              </w:rPr>
                              <w:t>Included</w:t>
                            </w:r>
                          </w:p>
                        </w:txbxContent>
                      </wps:txbx>
                      <wps:bodyPr rot="0" vert="eaVert"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DBE9862" id="순서도: 대체 처리 1" o:spid="_x0000_s1044" type="#_x0000_t176" style="position:absolute;margin-left:-32.75pt;margin-top:4.05pt;width:104.5pt;height:20.7pt;rotation:-90;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" fillcolor="#9cc3e6">
                <v:textbox style="layout-flow:vertical-ideographic">
                  <w:txbxContent>
                    <w:p w14:paraId="2442DF13" w14:textId="77777777" w:rsidR="00942FBB" w:rsidRPr="00612992" w:rsidRDefault="00942FBB" w:rsidP="001B2AF5">
                      <w:pPr>
                        <w:spacing w:after="0" w:line="240" w:lineRule="auto"/>
                        <w:jc w:val="center"/>
                        <w:rPr>
                          <w:rFonts w:ascii="Times" w:hAnsi="Times" w:cs="Times"/>
                          <w:b/>
                          <w:color w:val="000000"/>
                          <w:sz w:val="18"/>
                          <w:szCs w:val="18"/>
                        </w:rPr>
                      </w:pPr>
                      <w:r w:rsidRPr="00612992">
                        <w:rPr>
                          <w:rFonts w:ascii="Times" w:hAnsi="Times" w:cs="Times"/>
                          <w:b/>
                          <w:color w:val="000000"/>
                          <w:sz w:val="18"/>
                          <w:szCs w:val="18"/>
                        </w:rPr>
                        <w:t>Included</w:t>
                      </w:r>
                    </w:p>
                  </w:txbxContent>
                </v:textbox>
              </v:shape>
            </w:pict>
          </mc:Fallback>
        </mc:AlternateContent>
      </w:r>
    </w:p>
    <w:p w14:paraId="20AB7A83"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pPr>
    </w:p>
    <w:p w14:paraId="6D87C269" w14:textId="77777777" w:rsidR="00942FBB" w:rsidRPr="005B1792" w:rsidRDefault="00942FBB" w:rsidP="001B2AF5">
      <w:pPr>
        <w:widowControl/>
        <w:wordWrap/>
        <w:autoSpaceDE/>
        <w:autoSpaceDN/>
        <w:spacing w:after="0" w:line="240" w:lineRule="auto"/>
        <w:jc w:val="left"/>
        <w:rPr>
          <w:rFonts w:ascii="Times" w:eastAsia="Malgun Gothic" w:hAnsi="Times" w:cs="Times"/>
          <w:kern w:val="0"/>
          <w:sz w:val="22"/>
        </w:rPr>
        <w:sectPr w:rsidR="00942FBB" w:rsidRPr="005B1792" w:rsidSect="001B2AF5">
          <w:pgSz w:w="16838" w:h="11906" w:orient="landscape"/>
          <w:pgMar w:top="720" w:right="720" w:bottom="720" w:left="720" w:header="851" w:footer="992" w:gutter="0"/>
          <w:cols w:space="425"/>
          <w:docGrid w:linePitch="360"/>
        </w:sectPr>
      </w:pPr>
    </w:p>
    <w:p w14:paraId="0C3A39A6" w14:textId="77777777" w:rsidR="00942FBB" w:rsidRPr="005B1792" w:rsidRDefault="00942FBB" w:rsidP="00C72BE1">
      <w:pPr>
        <w:pStyle w:val="EndNoteBibliography"/>
        <w:wordWrap/>
        <w:spacing w:line="360" w:lineRule="auto"/>
        <w:ind w:left="400" w:hangingChars="200" w:hanging="400"/>
        <w:rPr>
          <w:rFonts w:ascii="Times" w:hAnsi="Times" w:cs="Times"/>
          <w:b/>
          <w:bCs/>
        </w:rPr>
      </w:pPr>
      <w:r w:rsidRPr="005B1792">
        <w:rPr>
          <w:rFonts w:ascii="Times" w:hAnsi="Times" w:cs="Times" w:hint="eastAsia"/>
          <w:b/>
          <w:bCs/>
        </w:rPr>
        <w:lastRenderedPageBreak/>
        <w:t>Figure</w:t>
      </w:r>
      <w:r w:rsidRPr="005B1792">
        <w:rPr>
          <w:rFonts w:ascii="Times" w:hAnsi="Times" w:cs="Times"/>
          <w:b/>
          <w:bCs/>
        </w:rPr>
        <w:t xml:space="preserve"> </w:t>
      </w:r>
      <w:r w:rsidRPr="005B1792">
        <w:rPr>
          <w:rFonts w:ascii="Times" w:hAnsi="Times" w:cs="Times" w:hint="eastAsia"/>
          <w:b/>
          <w:bCs/>
        </w:rPr>
        <w:t>2.</w:t>
      </w:r>
      <w:r w:rsidRPr="005B1792">
        <w:rPr>
          <w:rFonts w:ascii="Times" w:hAnsi="Times" w:cs="Times"/>
          <w:b/>
          <w:bCs/>
        </w:rPr>
        <w:t xml:space="preserve"> Summary estimates of environmental risk and protective factors for postpartum depressive symptoms</w:t>
      </w:r>
    </w:p>
    <w:p w14:paraId="30C24064" w14:textId="2EBFD581" w:rsidR="00942FBB" w:rsidRPr="005B1792" w:rsidRDefault="00942FBB" w:rsidP="00EA0C05">
      <w:pPr>
        <w:pStyle w:val="EndNoteBibliography"/>
        <w:wordWrap/>
        <w:spacing w:line="360" w:lineRule="auto"/>
        <w:rPr>
          <w:rFonts w:ascii="Times" w:hAnsi="Times" w:cs="Times"/>
        </w:rPr>
      </w:pPr>
      <w:r w:rsidRPr="005B1792">
        <w:drawing>
          <wp:inline distT="0" distB="0" distL="0" distR="0" wp14:anchorId="10F918C1" wp14:editId="3F376873">
            <wp:extent cx="6676845" cy="5967440"/>
            <wp:effectExtent l="0" t="0" r="0" b="0"/>
            <wp:docPr id="33" name="그림 33" descr="테이블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3" descr="테이블이(가) 표시된 사진&#10;&#10;자동 생성된 설명"/>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87508" cy="5976970"/>
                    </a:xfrm>
                    <a:prstGeom prst="rect">
                      <a:avLst/>
                    </a:prstGeom>
                    <a:noFill/>
                    <a:ln>
                      <a:noFill/>
                    </a:ln>
                  </pic:spPr>
                </pic:pic>
              </a:graphicData>
            </a:graphic>
          </wp:inline>
        </w:drawing>
      </w:r>
    </w:p>
    <w:p w14:paraId="272D00D0" w14:textId="77777777" w:rsidR="00942FBB" w:rsidRPr="005B1792" w:rsidRDefault="00942FBB" w:rsidP="00820B49">
      <w:pPr>
        <w:pStyle w:val="EndNoteBibliography"/>
        <w:wordWrap/>
        <w:spacing w:line="360" w:lineRule="auto"/>
        <w:ind w:left="400" w:hangingChars="200" w:hanging="400"/>
        <w:rPr>
          <w:rFonts w:ascii="Times" w:hAnsi="Times" w:cs="Times"/>
        </w:rPr>
        <w:sectPr w:rsidR="00942FBB" w:rsidRPr="005B1792" w:rsidSect="003B69DF">
          <w:pgSz w:w="11906" w:h="16838"/>
          <w:pgMar w:top="720" w:right="720" w:bottom="720" w:left="720" w:header="851" w:footer="992" w:gutter="0"/>
          <w:cols w:space="425"/>
          <w:docGrid w:linePitch="360"/>
        </w:sectPr>
      </w:pPr>
    </w:p>
    <w:p w14:paraId="04850628" w14:textId="77777777" w:rsidR="00942FBB" w:rsidRPr="005B1792" w:rsidRDefault="00942FBB" w:rsidP="009E40E2">
      <w:pPr>
        <w:pStyle w:val="EndNoteBibliography"/>
        <w:wordWrap/>
        <w:spacing w:line="360" w:lineRule="auto"/>
        <w:rPr>
          <w:rFonts w:ascii="Times" w:hAnsi="Times" w:cs="Times"/>
          <w:b/>
          <w:bCs/>
        </w:rPr>
      </w:pPr>
      <w:r w:rsidRPr="005B1792">
        <w:rPr>
          <w:rFonts w:ascii="Times" w:hAnsi="Times" w:cs="Times" w:hint="eastAsia"/>
          <w:b/>
          <w:bCs/>
        </w:rPr>
        <w:lastRenderedPageBreak/>
        <w:t>Table</w:t>
      </w:r>
      <w:r w:rsidRPr="005B1792">
        <w:rPr>
          <w:rFonts w:ascii="Times" w:hAnsi="Times" w:cs="Times"/>
          <w:b/>
          <w:bCs/>
        </w:rPr>
        <w:t xml:space="preserve"> </w:t>
      </w:r>
      <w:r w:rsidRPr="005B1792">
        <w:rPr>
          <w:rFonts w:ascii="Times" w:hAnsi="Times" w:cs="Times" w:hint="eastAsia"/>
          <w:b/>
          <w:bCs/>
        </w:rPr>
        <w:t>1.</w:t>
      </w:r>
      <w:r w:rsidRPr="005B1792">
        <w:rPr>
          <w:rFonts w:ascii="Times" w:hAnsi="Times" w:cs="Times"/>
          <w:b/>
          <w:bCs/>
        </w:rPr>
        <w:t xml:space="preserve"> Level of evidence for grading levels</w:t>
      </w:r>
    </w:p>
    <w:tbl>
      <w:tblPr>
        <w:tblpPr w:leftFromText="142" w:rightFromText="142" w:vertAnchor="page" w:horzAnchor="margin" w:tblpY="1203"/>
        <w:tblW w:w="13999" w:type="dxa"/>
        <w:tblCellMar>
          <w:left w:w="99" w:type="dxa"/>
          <w:right w:w="99" w:type="dxa"/>
        </w:tblCellMar>
        <w:tblLook w:val="04A0" w:firstRow="1" w:lastRow="0" w:firstColumn="1" w:lastColumn="0" w:noHBand="0" w:noVBand="1"/>
      </w:tblPr>
      <w:tblGrid>
        <w:gridCol w:w="3347"/>
        <w:gridCol w:w="3642"/>
        <w:gridCol w:w="1751"/>
        <w:gridCol w:w="1751"/>
        <w:gridCol w:w="1753"/>
        <w:gridCol w:w="1755"/>
      </w:tblGrid>
      <w:tr w:rsidR="00942FBB" w:rsidRPr="005B1792" w14:paraId="70DBF8A6" w14:textId="77777777" w:rsidTr="0028704A">
        <w:trPr>
          <w:trHeight w:val="307"/>
        </w:trPr>
        <w:tc>
          <w:tcPr>
            <w:tcW w:w="13999" w:type="dxa"/>
            <w:gridSpan w:val="6"/>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E49D0CB"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b/>
                <w:bCs/>
                <w:color w:val="000000"/>
                <w:kern w:val="0"/>
                <w:sz w:val="22"/>
              </w:rPr>
            </w:pPr>
            <w:r w:rsidRPr="005B1792">
              <w:rPr>
                <w:rFonts w:ascii="Times Roman" w:eastAsia="Malgun Gothic" w:hAnsi="Times Roman" w:cs="Times New Roman"/>
                <w:b/>
                <w:bCs/>
                <w:color w:val="000000"/>
                <w:kern w:val="0"/>
                <w:sz w:val="22"/>
              </w:rPr>
              <w:t>Main analysis</w:t>
            </w:r>
          </w:p>
        </w:tc>
      </w:tr>
      <w:tr w:rsidR="00942FBB" w:rsidRPr="005B1792" w14:paraId="1FA40E18" w14:textId="77777777" w:rsidTr="0028704A">
        <w:trPr>
          <w:trHeight w:val="393"/>
        </w:trPr>
        <w:tc>
          <w:tcPr>
            <w:tcW w:w="3347" w:type="dxa"/>
            <w:tcBorders>
              <w:top w:val="nil"/>
              <w:left w:val="single" w:sz="4" w:space="0" w:color="auto"/>
              <w:bottom w:val="single" w:sz="4" w:space="0" w:color="auto"/>
              <w:right w:val="nil"/>
            </w:tcBorders>
            <w:shd w:val="clear" w:color="000000" w:fill="F2F2F2"/>
            <w:vAlign w:val="center"/>
            <w:hideMark/>
          </w:tcPr>
          <w:p w14:paraId="41DEF0B7" w14:textId="77777777" w:rsidR="00942FBB" w:rsidRPr="005B1792" w:rsidRDefault="00942FBB" w:rsidP="0028704A">
            <w:pPr>
              <w:widowControl/>
              <w:wordWrap/>
              <w:autoSpaceDE/>
              <w:autoSpaceDN/>
              <w:spacing w:after="0" w:line="240" w:lineRule="auto"/>
              <w:jc w:val="right"/>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 xml:space="preserve">                            Evidence level</w:t>
            </w:r>
          </w:p>
          <w:p w14:paraId="20C5726D"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br/>
              <w:t xml:space="preserve">Statistical analysis            </w:t>
            </w:r>
          </w:p>
        </w:tc>
        <w:tc>
          <w:tcPr>
            <w:tcW w:w="3642" w:type="dxa"/>
            <w:tcBorders>
              <w:top w:val="single" w:sz="8" w:space="0" w:color="auto"/>
              <w:left w:val="single" w:sz="8" w:space="0" w:color="auto"/>
              <w:bottom w:val="single" w:sz="4" w:space="0" w:color="auto"/>
              <w:right w:val="single" w:sz="8" w:space="0" w:color="auto"/>
            </w:tcBorders>
            <w:shd w:val="clear" w:color="000000" w:fill="808080"/>
            <w:hideMark/>
          </w:tcPr>
          <w:p w14:paraId="51C3802F"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 xml:space="preserve">Convincing </w:t>
            </w:r>
            <w:r w:rsidRPr="005B1792">
              <w:rPr>
                <w:rFonts w:ascii="Times Roman" w:eastAsia="Malgun Gothic" w:hAnsi="Times Roman" w:cs="Times New Roman"/>
                <w:color w:val="000000"/>
                <w:kern w:val="0"/>
                <w:sz w:val="22"/>
              </w:rPr>
              <w:br/>
              <w:t>(class I)</w:t>
            </w:r>
          </w:p>
        </w:tc>
        <w:tc>
          <w:tcPr>
            <w:tcW w:w="1751" w:type="dxa"/>
            <w:tcBorders>
              <w:top w:val="single" w:sz="8" w:space="0" w:color="auto"/>
              <w:left w:val="nil"/>
              <w:bottom w:val="single" w:sz="4" w:space="0" w:color="auto"/>
              <w:right w:val="single" w:sz="8" w:space="0" w:color="auto"/>
            </w:tcBorders>
            <w:shd w:val="clear" w:color="000000" w:fill="A6A6A6"/>
            <w:hideMark/>
          </w:tcPr>
          <w:p w14:paraId="54197AF1"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 xml:space="preserve">Highly suggestive </w:t>
            </w:r>
            <w:r w:rsidRPr="005B1792">
              <w:rPr>
                <w:rFonts w:ascii="Times Roman" w:eastAsia="Malgun Gothic" w:hAnsi="Times Roman" w:cs="Times New Roman"/>
                <w:color w:val="000000"/>
                <w:kern w:val="0"/>
                <w:sz w:val="22"/>
              </w:rPr>
              <w:br/>
              <w:t>(class II)</w:t>
            </w:r>
          </w:p>
        </w:tc>
        <w:tc>
          <w:tcPr>
            <w:tcW w:w="1751" w:type="dxa"/>
            <w:tcBorders>
              <w:top w:val="nil"/>
              <w:left w:val="nil"/>
              <w:bottom w:val="single" w:sz="4" w:space="0" w:color="auto"/>
              <w:right w:val="single" w:sz="4" w:space="0" w:color="auto"/>
            </w:tcBorders>
            <w:shd w:val="clear" w:color="000000" w:fill="BFBFBF"/>
            <w:hideMark/>
          </w:tcPr>
          <w:p w14:paraId="708E50A8"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 xml:space="preserve">Suggestive </w:t>
            </w:r>
            <w:r w:rsidRPr="005B1792">
              <w:rPr>
                <w:rFonts w:ascii="Times Roman" w:eastAsia="Malgun Gothic" w:hAnsi="Times Roman" w:cs="Times New Roman"/>
                <w:color w:val="000000"/>
                <w:kern w:val="0"/>
                <w:sz w:val="22"/>
              </w:rPr>
              <w:br/>
              <w:t>(class III)</w:t>
            </w:r>
          </w:p>
        </w:tc>
        <w:tc>
          <w:tcPr>
            <w:tcW w:w="1753" w:type="dxa"/>
            <w:tcBorders>
              <w:top w:val="nil"/>
              <w:left w:val="nil"/>
              <w:bottom w:val="single" w:sz="4" w:space="0" w:color="auto"/>
              <w:right w:val="single" w:sz="4" w:space="0" w:color="auto"/>
            </w:tcBorders>
            <w:shd w:val="clear" w:color="000000" w:fill="D9D9D9"/>
            <w:hideMark/>
          </w:tcPr>
          <w:p w14:paraId="1EB92675"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 xml:space="preserve">Weak </w:t>
            </w:r>
            <w:r w:rsidRPr="005B1792">
              <w:rPr>
                <w:rFonts w:ascii="Times Roman" w:eastAsia="Malgun Gothic" w:hAnsi="Times Roman" w:cs="Times New Roman"/>
                <w:color w:val="000000"/>
                <w:kern w:val="0"/>
                <w:sz w:val="22"/>
              </w:rPr>
              <w:br/>
              <w:t>(class IV)</w:t>
            </w:r>
          </w:p>
        </w:tc>
        <w:tc>
          <w:tcPr>
            <w:tcW w:w="1755" w:type="dxa"/>
            <w:tcBorders>
              <w:top w:val="nil"/>
              <w:left w:val="nil"/>
              <w:bottom w:val="single" w:sz="4" w:space="0" w:color="auto"/>
              <w:right w:val="single" w:sz="4" w:space="0" w:color="auto"/>
            </w:tcBorders>
            <w:shd w:val="clear" w:color="000000" w:fill="F2F2F2"/>
            <w:hideMark/>
          </w:tcPr>
          <w:p w14:paraId="40051FDC"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 xml:space="preserve">Not significant </w:t>
            </w:r>
            <w:r w:rsidRPr="005B1792">
              <w:rPr>
                <w:rFonts w:ascii="Times Roman" w:eastAsia="Malgun Gothic" w:hAnsi="Times Roman" w:cs="Times New Roman"/>
                <w:color w:val="000000"/>
                <w:kern w:val="0"/>
                <w:sz w:val="22"/>
              </w:rPr>
              <w:br/>
              <w:t>(NS)</w:t>
            </w:r>
          </w:p>
        </w:tc>
      </w:tr>
      <w:tr w:rsidR="00942FBB" w:rsidRPr="005B1792" w14:paraId="18DDD01E" w14:textId="77777777" w:rsidTr="0028704A">
        <w:trPr>
          <w:trHeight w:val="208"/>
        </w:trPr>
        <w:tc>
          <w:tcPr>
            <w:tcW w:w="3347" w:type="dxa"/>
            <w:tcBorders>
              <w:top w:val="nil"/>
              <w:left w:val="single" w:sz="4" w:space="0" w:color="auto"/>
              <w:bottom w:val="nil"/>
              <w:right w:val="nil"/>
            </w:tcBorders>
            <w:shd w:val="clear" w:color="000000" w:fill="F2F2F2"/>
            <w:noWrap/>
            <w:hideMark/>
          </w:tcPr>
          <w:p w14:paraId="73BD7A05"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Random effects p value</w:t>
            </w:r>
          </w:p>
        </w:tc>
        <w:tc>
          <w:tcPr>
            <w:tcW w:w="3642" w:type="dxa"/>
            <w:tcBorders>
              <w:top w:val="nil"/>
              <w:left w:val="single" w:sz="8" w:space="0" w:color="auto"/>
              <w:bottom w:val="nil"/>
              <w:right w:val="single" w:sz="8" w:space="0" w:color="auto"/>
            </w:tcBorders>
            <w:shd w:val="clear" w:color="000000" w:fill="808080"/>
            <w:noWrap/>
            <w:hideMark/>
          </w:tcPr>
          <w:p w14:paraId="46FF00B6"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&lt; 10</w:t>
            </w:r>
            <w:r w:rsidRPr="005B1792">
              <w:rPr>
                <w:rFonts w:ascii="Times Roman" w:eastAsia="Malgun Gothic" w:hAnsi="Times Roman" w:cs="Times New Roman"/>
                <w:color w:val="000000"/>
                <w:kern w:val="0"/>
                <w:sz w:val="22"/>
                <w:vertAlign w:val="superscript"/>
              </w:rPr>
              <w:t>-6</w:t>
            </w:r>
          </w:p>
        </w:tc>
        <w:tc>
          <w:tcPr>
            <w:tcW w:w="1751" w:type="dxa"/>
            <w:tcBorders>
              <w:top w:val="nil"/>
              <w:left w:val="nil"/>
              <w:bottom w:val="nil"/>
              <w:right w:val="single" w:sz="8" w:space="0" w:color="auto"/>
            </w:tcBorders>
            <w:shd w:val="clear" w:color="000000" w:fill="A6A6A6"/>
            <w:noWrap/>
            <w:hideMark/>
          </w:tcPr>
          <w:p w14:paraId="3FCB195D"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&lt; 10</w:t>
            </w:r>
            <w:r w:rsidRPr="005B1792">
              <w:rPr>
                <w:rFonts w:ascii="Times Roman" w:eastAsia="Malgun Gothic" w:hAnsi="Times Roman" w:cs="Times New Roman"/>
                <w:color w:val="000000"/>
                <w:kern w:val="0"/>
                <w:sz w:val="22"/>
                <w:vertAlign w:val="superscript"/>
              </w:rPr>
              <w:t>-6</w:t>
            </w:r>
          </w:p>
        </w:tc>
        <w:tc>
          <w:tcPr>
            <w:tcW w:w="1751" w:type="dxa"/>
            <w:tcBorders>
              <w:top w:val="nil"/>
              <w:left w:val="nil"/>
              <w:bottom w:val="nil"/>
              <w:right w:val="single" w:sz="4" w:space="0" w:color="auto"/>
            </w:tcBorders>
            <w:shd w:val="clear" w:color="000000" w:fill="BFBFBF"/>
            <w:noWrap/>
            <w:hideMark/>
          </w:tcPr>
          <w:p w14:paraId="6D98D70E"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&lt; 10</w:t>
            </w:r>
            <w:r w:rsidRPr="005B1792">
              <w:rPr>
                <w:rFonts w:ascii="Times Roman" w:eastAsia="Malgun Gothic" w:hAnsi="Times Roman" w:cs="Times New Roman"/>
                <w:color w:val="000000"/>
                <w:kern w:val="0"/>
                <w:sz w:val="22"/>
                <w:vertAlign w:val="superscript"/>
              </w:rPr>
              <w:t>-3</w:t>
            </w:r>
          </w:p>
        </w:tc>
        <w:tc>
          <w:tcPr>
            <w:tcW w:w="1753" w:type="dxa"/>
            <w:tcBorders>
              <w:top w:val="nil"/>
              <w:left w:val="nil"/>
              <w:bottom w:val="nil"/>
              <w:right w:val="single" w:sz="4" w:space="0" w:color="auto"/>
            </w:tcBorders>
            <w:shd w:val="clear" w:color="000000" w:fill="D9D9D9"/>
            <w:noWrap/>
            <w:hideMark/>
          </w:tcPr>
          <w:p w14:paraId="1B7F1EDC"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&lt; 0.05</w:t>
            </w:r>
          </w:p>
        </w:tc>
        <w:tc>
          <w:tcPr>
            <w:tcW w:w="1755" w:type="dxa"/>
            <w:tcBorders>
              <w:top w:val="nil"/>
              <w:left w:val="nil"/>
              <w:bottom w:val="nil"/>
              <w:right w:val="single" w:sz="4" w:space="0" w:color="auto"/>
            </w:tcBorders>
            <w:shd w:val="clear" w:color="000000" w:fill="F2F2F2"/>
            <w:noWrap/>
            <w:hideMark/>
          </w:tcPr>
          <w:p w14:paraId="76CFB19D"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&gt; 0.05</w:t>
            </w:r>
          </w:p>
        </w:tc>
      </w:tr>
      <w:tr w:rsidR="00942FBB" w:rsidRPr="005B1792" w14:paraId="1F0F92EB" w14:textId="77777777" w:rsidTr="0028704A">
        <w:trPr>
          <w:trHeight w:val="208"/>
        </w:trPr>
        <w:tc>
          <w:tcPr>
            <w:tcW w:w="3347" w:type="dxa"/>
            <w:tcBorders>
              <w:top w:val="nil"/>
              <w:left w:val="single" w:sz="4" w:space="0" w:color="auto"/>
              <w:bottom w:val="nil"/>
              <w:right w:val="nil"/>
            </w:tcBorders>
            <w:shd w:val="clear" w:color="000000" w:fill="F2F2F2"/>
            <w:noWrap/>
            <w:hideMark/>
          </w:tcPr>
          <w:p w14:paraId="1085E0F3"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Number of cases with postpartum depressive symptoms</w:t>
            </w:r>
          </w:p>
        </w:tc>
        <w:tc>
          <w:tcPr>
            <w:tcW w:w="3642" w:type="dxa"/>
            <w:tcBorders>
              <w:top w:val="nil"/>
              <w:left w:val="single" w:sz="8" w:space="0" w:color="auto"/>
              <w:bottom w:val="nil"/>
              <w:right w:val="single" w:sz="8" w:space="0" w:color="auto"/>
            </w:tcBorders>
            <w:shd w:val="clear" w:color="000000" w:fill="808080"/>
            <w:noWrap/>
            <w:hideMark/>
          </w:tcPr>
          <w:p w14:paraId="7B1379C7"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&gt; 1000</w:t>
            </w:r>
          </w:p>
        </w:tc>
        <w:tc>
          <w:tcPr>
            <w:tcW w:w="1751" w:type="dxa"/>
            <w:tcBorders>
              <w:top w:val="nil"/>
              <w:left w:val="nil"/>
              <w:bottom w:val="nil"/>
              <w:right w:val="single" w:sz="8" w:space="0" w:color="auto"/>
            </w:tcBorders>
            <w:shd w:val="clear" w:color="000000" w:fill="A6A6A6"/>
            <w:noWrap/>
            <w:hideMark/>
          </w:tcPr>
          <w:p w14:paraId="3533CDA4"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&gt; 1000</w:t>
            </w:r>
          </w:p>
        </w:tc>
        <w:tc>
          <w:tcPr>
            <w:tcW w:w="1751" w:type="dxa"/>
            <w:tcBorders>
              <w:top w:val="nil"/>
              <w:left w:val="nil"/>
              <w:bottom w:val="nil"/>
              <w:right w:val="single" w:sz="4" w:space="0" w:color="auto"/>
            </w:tcBorders>
            <w:shd w:val="clear" w:color="000000" w:fill="BFBFBF"/>
            <w:noWrap/>
            <w:hideMark/>
          </w:tcPr>
          <w:p w14:paraId="1F64DA48"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&gt; 1000</w:t>
            </w:r>
          </w:p>
        </w:tc>
        <w:tc>
          <w:tcPr>
            <w:tcW w:w="1753" w:type="dxa"/>
            <w:tcBorders>
              <w:top w:val="nil"/>
              <w:left w:val="nil"/>
              <w:bottom w:val="nil"/>
              <w:right w:val="single" w:sz="4" w:space="0" w:color="auto"/>
            </w:tcBorders>
            <w:shd w:val="clear" w:color="000000" w:fill="D9D9D9"/>
            <w:noWrap/>
            <w:hideMark/>
          </w:tcPr>
          <w:p w14:paraId="7B16BD7E"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5" w:type="dxa"/>
            <w:tcBorders>
              <w:top w:val="nil"/>
              <w:left w:val="nil"/>
              <w:bottom w:val="nil"/>
              <w:right w:val="single" w:sz="4" w:space="0" w:color="auto"/>
            </w:tcBorders>
            <w:shd w:val="clear" w:color="000000" w:fill="F2F2F2"/>
            <w:noWrap/>
            <w:hideMark/>
          </w:tcPr>
          <w:p w14:paraId="32707399"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r>
      <w:tr w:rsidR="00942FBB" w:rsidRPr="005B1792" w14:paraId="4CDC7764" w14:textId="77777777" w:rsidTr="0028704A">
        <w:trPr>
          <w:trHeight w:val="208"/>
        </w:trPr>
        <w:tc>
          <w:tcPr>
            <w:tcW w:w="3347" w:type="dxa"/>
            <w:tcBorders>
              <w:top w:val="nil"/>
              <w:left w:val="single" w:sz="4" w:space="0" w:color="auto"/>
              <w:bottom w:val="nil"/>
              <w:right w:val="nil"/>
            </w:tcBorders>
            <w:shd w:val="clear" w:color="000000" w:fill="F2F2F2"/>
            <w:noWrap/>
            <w:hideMark/>
          </w:tcPr>
          <w:p w14:paraId="33840F26"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P value of the largest study</w:t>
            </w:r>
          </w:p>
        </w:tc>
        <w:tc>
          <w:tcPr>
            <w:tcW w:w="3642" w:type="dxa"/>
            <w:tcBorders>
              <w:top w:val="nil"/>
              <w:left w:val="single" w:sz="8" w:space="0" w:color="auto"/>
              <w:bottom w:val="nil"/>
              <w:right w:val="single" w:sz="8" w:space="0" w:color="auto"/>
            </w:tcBorders>
            <w:shd w:val="clear" w:color="000000" w:fill="808080"/>
            <w:noWrap/>
            <w:hideMark/>
          </w:tcPr>
          <w:p w14:paraId="6C45ED1C"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&lt; 0.05</w:t>
            </w:r>
          </w:p>
        </w:tc>
        <w:tc>
          <w:tcPr>
            <w:tcW w:w="1751" w:type="dxa"/>
            <w:tcBorders>
              <w:top w:val="nil"/>
              <w:left w:val="nil"/>
              <w:bottom w:val="nil"/>
              <w:right w:val="single" w:sz="8" w:space="0" w:color="auto"/>
            </w:tcBorders>
            <w:shd w:val="clear" w:color="000000" w:fill="A6A6A6"/>
            <w:noWrap/>
            <w:hideMark/>
          </w:tcPr>
          <w:p w14:paraId="51A62FE0"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&lt; 0.05</w:t>
            </w:r>
          </w:p>
        </w:tc>
        <w:tc>
          <w:tcPr>
            <w:tcW w:w="1751" w:type="dxa"/>
            <w:tcBorders>
              <w:top w:val="nil"/>
              <w:left w:val="nil"/>
              <w:bottom w:val="nil"/>
              <w:right w:val="single" w:sz="4" w:space="0" w:color="auto"/>
            </w:tcBorders>
            <w:shd w:val="clear" w:color="000000" w:fill="BFBFBF"/>
            <w:noWrap/>
            <w:hideMark/>
          </w:tcPr>
          <w:p w14:paraId="6F878302"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3" w:type="dxa"/>
            <w:tcBorders>
              <w:top w:val="nil"/>
              <w:left w:val="nil"/>
              <w:bottom w:val="nil"/>
              <w:right w:val="single" w:sz="4" w:space="0" w:color="auto"/>
            </w:tcBorders>
            <w:shd w:val="clear" w:color="000000" w:fill="D9D9D9"/>
            <w:noWrap/>
            <w:hideMark/>
          </w:tcPr>
          <w:p w14:paraId="3CB9CD60"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5" w:type="dxa"/>
            <w:tcBorders>
              <w:top w:val="nil"/>
              <w:left w:val="nil"/>
              <w:bottom w:val="nil"/>
              <w:right w:val="single" w:sz="4" w:space="0" w:color="auto"/>
            </w:tcBorders>
            <w:shd w:val="clear" w:color="000000" w:fill="F2F2F2"/>
            <w:noWrap/>
            <w:hideMark/>
          </w:tcPr>
          <w:p w14:paraId="3F08BA36"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r>
      <w:tr w:rsidR="00942FBB" w:rsidRPr="005B1792" w14:paraId="7A88A0A9" w14:textId="77777777" w:rsidTr="0028704A">
        <w:trPr>
          <w:trHeight w:val="208"/>
        </w:trPr>
        <w:tc>
          <w:tcPr>
            <w:tcW w:w="3347" w:type="dxa"/>
            <w:tcBorders>
              <w:top w:val="nil"/>
              <w:left w:val="single" w:sz="4" w:space="0" w:color="auto"/>
              <w:bottom w:val="nil"/>
              <w:right w:val="nil"/>
            </w:tcBorders>
            <w:shd w:val="clear" w:color="000000" w:fill="F2F2F2"/>
            <w:noWrap/>
            <w:hideMark/>
          </w:tcPr>
          <w:p w14:paraId="40DD25FF"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 xml:space="preserve">Heterogeneity: </w:t>
            </w:r>
            <w:r w:rsidRPr="005B1792">
              <w:rPr>
                <w:rFonts w:ascii="Times Roman" w:eastAsia="Malgun Gothic" w:hAnsi="Times Roman" w:cs="Times New Roman"/>
                <w:i/>
                <w:iCs/>
                <w:color w:val="000000"/>
                <w:kern w:val="0"/>
                <w:sz w:val="22"/>
              </w:rPr>
              <w:t>I</w:t>
            </w:r>
            <w:r w:rsidRPr="005B1792">
              <w:rPr>
                <w:rFonts w:ascii="Times Roman" w:eastAsia="Malgun Gothic" w:hAnsi="Times Roman" w:cs="Times New Roman"/>
                <w:i/>
                <w:iCs/>
                <w:color w:val="000000"/>
                <w:kern w:val="0"/>
                <w:sz w:val="22"/>
                <w:vertAlign w:val="superscript"/>
              </w:rPr>
              <w:t>2</w:t>
            </w:r>
          </w:p>
        </w:tc>
        <w:tc>
          <w:tcPr>
            <w:tcW w:w="3642" w:type="dxa"/>
            <w:tcBorders>
              <w:top w:val="nil"/>
              <w:left w:val="single" w:sz="8" w:space="0" w:color="auto"/>
              <w:bottom w:val="nil"/>
              <w:right w:val="single" w:sz="8" w:space="0" w:color="auto"/>
            </w:tcBorders>
            <w:shd w:val="clear" w:color="000000" w:fill="808080"/>
            <w:noWrap/>
            <w:hideMark/>
          </w:tcPr>
          <w:p w14:paraId="7F078C56"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&lt; 50%</w:t>
            </w:r>
          </w:p>
        </w:tc>
        <w:tc>
          <w:tcPr>
            <w:tcW w:w="1751" w:type="dxa"/>
            <w:tcBorders>
              <w:top w:val="nil"/>
              <w:left w:val="nil"/>
              <w:bottom w:val="nil"/>
              <w:right w:val="single" w:sz="8" w:space="0" w:color="auto"/>
            </w:tcBorders>
            <w:shd w:val="clear" w:color="000000" w:fill="A6A6A6"/>
            <w:noWrap/>
            <w:hideMark/>
          </w:tcPr>
          <w:p w14:paraId="5F9FC43D"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1" w:type="dxa"/>
            <w:tcBorders>
              <w:top w:val="nil"/>
              <w:left w:val="nil"/>
              <w:bottom w:val="nil"/>
              <w:right w:val="single" w:sz="4" w:space="0" w:color="auto"/>
            </w:tcBorders>
            <w:shd w:val="clear" w:color="000000" w:fill="BFBFBF"/>
            <w:noWrap/>
            <w:hideMark/>
          </w:tcPr>
          <w:p w14:paraId="0F3841E3"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3" w:type="dxa"/>
            <w:tcBorders>
              <w:top w:val="nil"/>
              <w:left w:val="nil"/>
              <w:bottom w:val="nil"/>
              <w:right w:val="single" w:sz="4" w:space="0" w:color="auto"/>
            </w:tcBorders>
            <w:shd w:val="clear" w:color="000000" w:fill="D9D9D9"/>
            <w:noWrap/>
            <w:hideMark/>
          </w:tcPr>
          <w:p w14:paraId="7C446040"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5" w:type="dxa"/>
            <w:tcBorders>
              <w:top w:val="nil"/>
              <w:left w:val="nil"/>
              <w:bottom w:val="nil"/>
              <w:right w:val="single" w:sz="4" w:space="0" w:color="auto"/>
            </w:tcBorders>
            <w:shd w:val="clear" w:color="000000" w:fill="F2F2F2"/>
            <w:noWrap/>
            <w:hideMark/>
          </w:tcPr>
          <w:p w14:paraId="662D7FB1"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r>
      <w:tr w:rsidR="00942FBB" w:rsidRPr="005B1792" w14:paraId="63BB2F0F" w14:textId="77777777" w:rsidTr="0028704A">
        <w:trPr>
          <w:trHeight w:val="208"/>
        </w:trPr>
        <w:tc>
          <w:tcPr>
            <w:tcW w:w="3347" w:type="dxa"/>
            <w:tcBorders>
              <w:top w:val="nil"/>
              <w:left w:val="single" w:sz="4" w:space="0" w:color="auto"/>
              <w:bottom w:val="nil"/>
              <w:right w:val="nil"/>
            </w:tcBorders>
            <w:shd w:val="clear" w:color="000000" w:fill="F2F2F2"/>
            <w:noWrap/>
            <w:hideMark/>
          </w:tcPr>
          <w:p w14:paraId="66885ACB"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Small study effects</w:t>
            </w:r>
          </w:p>
        </w:tc>
        <w:tc>
          <w:tcPr>
            <w:tcW w:w="3642" w:type="dxa"/>
            <w:tcBorders>
              <w:top w:val="nil"/>
              <w:left w:val="single" w:sz="8" w:space="0" w:color="auto"/>
              <w:bottom w:val="nil"/>
              <w:right w:val="single" w:sz="8" w:space="0" w:color="auto"/>
            </w:tcBorders>
            <w:shd w:val="clear" w:color="000000" w:fill="808080"/>
            <w:noWrap/>
            <w:hideMark/>
          </w:tcPr>
          <w:p w14:paraId="18101110"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Not detected</w:t>
            </w:r>
          </w:p>
        </w:tc>
        <w:tc>
          <w:tcPr>
            <w:tcW w:w="1751" w:type="dxa"/>
            <w:tcBorders>
              <w:top w:val="nil"/>
              <w:left w:val="nil"/>
              <w:bottom w:val="nil"/>
              <w:right w:val="single" w:sz="8" w:space="0" w:color="auto"/>
            </w:tcBorders>
            <w:shd w:val="clear" w:color="000000" w:fill="A6A6A6"/>
            <w:noWrap/>
            <w:hideMark/>
          </w:tcPr>
          <w:p w14:paraId="3B6B5B32"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1" w:type="dxa"/>
            <w:tcBorders>
              <w:top w:val="nil"/>
              <w:left w:val="nil"/>
              <w:bottom w:val="nil"/>
              <w:right w:val="single" w:sz="4" w:space="0" w:color="auto"/>
            </w:tcBorders>
            <w:shd w:val="clear" w:color="000000" w:fill="BFBFBF"/>
            <w:noWrap/>
            <w:hideMark/>
          </w:tcPr>
          <w:p w14:paraId="2096527A"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3" w:type="dxa"/>
            <w:tcBorders>
              <w:top w:val="nil"/>
              <w:left w:val="nil"/>
              <w:bottom w:val="nil"/>
              <w:right w:val="single" w:sz="4" w:space="0" w:color="auto"/>
            </w:tcBorders>
            <w:shd w:val="clear" w:color="000000" w:fill="D9D9D9"/>
            <w:noWrap/>
            <w:hideMark/>
          </w:tcPr>
          <w:p w14:paraId="41E6C678"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5" w:type="dxa"/>
            <w:tcBorders>
              <w:top w:val="nil"/>
              <w:left w:val="nil"/>
              <w:bottom w:val="nil"/>
              <w:right w:val="single" w:sz="4" w:space="0" w:color="auto"/>
            </w:tcBorders>
            <w:shd w:val="clear" w:color="000000" w:fill="F2F2F2"/>
            <w:noWrap/>
            <w:hideMark/>
          </w:tcPr>
          <w:p w14:paraId="4D58D39E"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r>
      <w:tr w:rsidR="00942FBB" w:rsidRPr="005B1792" w14:paraId="68BC3990" w14:textId="77777777" w:rsidTr="0028704A">
        <w:trPr>
          <w:trHeight w:val="208"/>
        </w:trPr>
        <w:tc>
          <w:tcPr>
            <w:tcW w:w="3347" w:type="dxa"/>
            <w:tcBorders>
              <w:top w:val="nil"/>
              <w:left w:val="single" w:sz="4" w:space="0" w:color="auto"/>
              <w:bottom w:val="nil"/>
              <w:right w:val="nil"/>
            </w:tcBorders>
            <w:shd w:val="clear" w:color="000000" w:fill="F2F2F2"/>
            <w:noWrap/>
            <w:hideMark/>
          </w:tcPr>
          <w:p w14:paraId="1F094A69"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P curve analysis</w:t>
            </w:r>
          </w:p>
        </w:tc>
        <w:tc>
          <w:tcPr>
            <w:tcW w:w="3642" w:type="dxa"/>
            <w:tcBorders>
              <w:top w:val="nil"/>
              <w:left w:val="single" w:sz="8" w:space="0" w:color="auto"/>
              <w:bottom w:val="nil"/>
              <w:right w:val="single" w:sz="8" w:space="0" w:color="auto"/>
            </w:tcBorders>
            <w:shd w:val="clear" w:color="000000" w:fill="808080"/>
            <w:noWrap/>
            <w:hideMark/>
          </w:tcPr>
          <w:p w14:paraId="42787091"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Evidential value found</w:t>
            </w:r>
          </w:p>
        </w:tc>
        <w:tc>
          <w:tcPr>
            <w:tcW w:w="1751" w:type="dxa"/>
            <w:tcBorders>
              <w:top w:val="nil"/>
              <w:left w:val="nil"/>
              <w:bottom w:val="nil"/>
              <w:right w:val="single" w:sz="8" w:space="0" w:color="auto"/>
            </w:tcBorders>
            <w:shd w:val="clear" w:color="000000" w:fill="A6A6A6"/>
            <w:noWrap/>
            <w:hideMark/>
          </w:tcPr>
          <w:p w14:paraId="21833D06"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1" w:type="dxa"/>
            <w:tcBorders>
              <w:top w:val="nil"/>
              <w:left w:val="nil"/>
              <w:bottom w:val="nil"/>
              <w:right w:val="single" w:sz="4" w:space="0" w:color="auto"/>
            </w:tcBorders>
            <w:shd w:val="clear" w:color="000000" w:fill="BFBFBF"/>
            <w:noWrap/>
            <w:hideMark/>
          </w:tcPr>
          <w:p w14:paraId="42C8DA8F"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3" w:type="dxa"/>
            <w:tcBorders>
              <w:top w:val="nil"/>
              <w:left w:val="nil"/>
              <w:bottom w:val="nil"/>
              <w:right w:val="single" w:sz="4" w:space="0" w:color="auto"/>
            </w:tcBorders>
            <w:shd w:val="clear" w:color="000000" w:fill="D9D9D9"/>
            <w:noWrap/>
            <w:hideMark/>
          </w:tcPr>
          <w:p w14:paraId="2E756F73"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5" w:type="dxa"/>
            <w:tcBorders>
              <w:top w:val="nil"/>
              <w:left w:val="nil"/>
              <w:bottom w:val="nil"/>
              <w:right w:val="single" w:sz="4" w:space="0" w:color="auto"/>
            </w:tcBorders>
            <w:shd w:val="clear" w:color="000000" w:fill="F2F2F2"/>
            <w:noWrap/>
            <w:hideMark/>
          </w:tcPr>
          <w:p w14:paraId="6A415DE6"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r>
      <w:tr w:rsidR="00942FBB" w:rsidRPr="005B1792" w14:paraId="567C82B3" w14:textId="77777777" w:rsidTr="0028704A">
        <w:trPr>
          <w:trHeight w:val="208"/>
        </w:trPr>
        <w:tc>
          <w:tcPr>
            <w:tcW w:w="3347" w:type="dxa"/>
            <w:tcBorders>
              <w:top w:val="nil"/>
              <w:left w:val="single" w:sz="4" w:space="0" w:color="auto"/>
              <w:bottom w:val="nil"/>
              <w:right w:val="nil"/>
            </w:tcBorders>
            <w:shd w:val="clear" w:color="000000" w:fill="F2F2F2"/>
            <w:noWrap/>
            <w:hideMark/>
          </w:tcPr>
          <w:p w14:paraId="17F93091"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95% prediction interval</w:t>
            </w:r>
          </w:p>
        </w:tc>
        <w:tc>
          <w:tcPr>
            <w:tcW w:w="3642" w:type="dxa"/>
            <w:tcBorders>
              <w:top w:val="nil"/>
              <w:left w:val="single" w:sz="8" w:space="0" w:color="auto"/>
              <w:bottom w:val="nil"/>
              <w:right w:val="single" w:sz="8" w:space="0" w:color="auto"/>
            </w:tcBorders>
            <w:shd w:val="clear" w:color="000000" w:fill="808080"/>
            <w:noWrap/>
            <w:hideMark/>
          </w:tcPr>
          <w:p w14:paraId="4DC8E9B1"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Excludes the null</w:t>
            </w:r>
          </w:p>
        </w:tc>
        <w:tc>
          <w:tcPr>
            <w:tcW w:w="1751" w:type="dxa"/>
            <w:tcBorders>
              <w:top w:val="nil"/>
              <w:left w:val="nil"/>
              <w:bottom w:val="nil"/>
              <w:right w:val="single" w:sz="8" w:space="0" w:color="auto"/>
            </w:tcBorders>
            <w:shd w:val="clear" w:color="000000" w:fill="A6A6A6"/>
            <w:noWrap/>
            <w:hideMark/>
          </w:tcPr>
          <w:p w14:paraId="2FB9FBED"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1" w:type="dxa"/>
            <w:tcBorders>
              <w:top w:val="nil"/>
              <w:left w:val="nil"/>
              <w:bottom w:val="nil"/>
              <w:right w:val="single" w:sz="4" w:space="0" w:color="auto"/>
            </w:tcBorders>
            <w:shd w:val="clear" w:color="000000" w:fill="BFBFBF"/>
            <w:noWrap/>
            <w:hideMark/>
          </w:tcPr>
          <w:p w14:paraId="0D0277A9"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3" w:type="dxa"/>
            <w:tcBorders>
              <w:top w:val="nil"/>
              <w:left w:val="nil"/>
              <w:bottom w:val="nil"/>
              <w:right w:val="single" w:sz="4" w:space="0" w:color="auto"/>
            </w:tcBorders>
            <w:shd w:val="clear" w:color="000000" w:fill="D9D9D9"/>
            <w:noWrap/>
            <w:hideMark/>
          </w:tcPr>
          <w:p w14:paraId="32B54997"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5" w:type="dxa"/>
            <w:tcBorders>
              <w:top w:val="nil"/>
              <w:left w:val="nil"/>
              <w:bottom w:val="nil"/>
              <w:right w:val="single" w:sz="4" w:space="0" w:color="auto"/>
            </w:tcBorders>
            <w:shd w:val="clear" w:color="000000" w:fill="F2F2F2"/>
            <w:noWrap/>
            <w:hideMark/>
          </w:tcPr>
          <w:p w14:paraId="6FD4EC5C"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r>
      <w:tr w:rsidR="00942FBB" w:rsidRPr="005B1792" w14:paraId="42CAC3AB" w14:textId="77777777" w:rsidTr="0028704A">
        <w:trPr>
          <w:trHeight w:val="220"/>
        </w:trPr>
        <w:tc>
          <w:tcPr>
            <w:tcW w:w="3347" w:type="dxa"/>
            <w:tcBorders>
              <w:top w:val="nil"/>
              <w:left w:val="single" w:sz="4" w:space="0" w:color="auto"/>
              <w:bottom w:val="single" w:sz="4" w:space="0" w:color="auto"/>
              <w:right w:val="nil"/>
            </w:tcBorders>
            <w:shd w:val="clear" w:color="000000" w:fill="F2F2F2"/>
            <w:noWrap/>
            <w:hideMark/>
          </w:tcPr>
          <w:p w14:paraId="01AF01D8"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P value under 10% credibility ceiling</w:t>
            </w:r>
          </w:p>
        </w:tc>
        <w:tc>
          <w:tcPr>
            <w:tcW w:w="3642" w:type="dxa"/>
            <w:tcBorders>
              <w:top w:val="nil"/>
              <w:left w:val="single" w:sz="8" w:space="0" w:color="auto"/>
              <w:bottom w:val="single" w:sz="8" w:space="0" w:color="auto"/>
              <w:right w:val="single" w:sz="8" w:space="0" w:color="auto"/>
            </w:tcBorders>
            <w:shd w:val="clear" w:color="000000" w:fill="808080"/>
            <w:noWrap/>
            <w:hideMark/>
          </w:tcPr>
          <w:p w14:paraId="31E675C4"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&lt; 0.05</w:t>
            </w:r>
          </w:p>
        </w:tc>
        <w:tc>
          <w:tcPr>
            <w:tcW w:w="1751" w:type="dxa"/>
            <w:tcBorders>
              <w:top w:val="nil"/>
              <w:left w:val="nil"/>
              <w:bottom w:val="single" w:sz="8" w:space="0" w:color="auto"/>
              <w:right w:val="single" w:sz="8" w:space="0" w:color="auto"/>
            </w:tcBorders>
            <w:shd w:val="clear" w:color="000000" w:fill="A6A6A6"/>
            <w:noWrap/>
            <w:hideMark/>
          </w:tcPr>
          <w:p w14:paraId="71409FD1"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1" w:type="dxa"/>
            <w:tcBorders>
              <w:top w:val="nil"/>
              <w:left w:val="nil"/>
              <w:bottom w:val="single" w:sz="4" w:space="0" w:color="auto"/>
              <w:right w:val="single" w:sz="4" w:space="0" w:color="auto"/>
            </w:tcBorders>
            <w:shd w:val="clear" w:color="000000" w:fill="BFBFBF"/>
            <w:noWrap/>
            <w:hideMark/>
          </w:tcPr>
          <w:p w14:paraId="57400DEF"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3" w:type="dxa"/>
            <w:tcBorders>
              <w:top w:val="nil"/>
              <w:left w:val="nil"/>
              <w:bottom w:val="single" w:sz="4" w:space="0" w:color="auto"/>
              <w:right w:val="single" w:sz="4" w:space="0" w:color="auto"/>
            </w:tcBorders>
            <w:shd w:val="clear" w:color="000000" w:fill="D9D9D9"/>
            <w:noWrap/>
            <w:hideMark/>
          </w:tcPr>
          <w:p w14:paraId="4F637126"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c>
          <w:tcPr>
            <w:tcW w:w="1755" w:type="dxa"/>
            <w:tcBorders>
              <w:top w:val="nil"/>
              <w:left w:val="nil"/>
              <w:bottom w:val="single" w:sz="4" w:space="0" w:color="auto"/>
              <w:right w:val="single" w:sz="4" w:space="0" w:color="auto"/>
            </w:tcBorders>
            <w:shd w:val="clear" w:color="000000" w:fill="F2F2F2"/>
            <w:noWrap/>
            <w:hideMark/>
          </w:tcPr>
          <w:p w14:paraId="34F8AB27"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x</w:t>
            </w:r>
          </w:p>
        </w:tc>
      </w:tr>
      <w:tr w:rsidR="00942FBB" w:rsidRPr="005B1792" w14:paraId="13D06B80" w14:textId="77777777" w:rsidTr="0028704A">
        <w:trPr>
          <w:trHeight w:val="92"/>
        </w:trPr>
        <w:tc>
          <w:tcPr>
            <w:tcW w:w="3347" w:type="dxa"/>
            <w:tcBorders>
              <w:top w:val="nil"/>
              <w:left w:val="nil"/>
              <w:bottom w:val="nil"/>
              <w:right w:val="nil"/>
            </w:tcBorders>
            <w:shd w:val="clear" w:color="auto" w:fill="auto"/>
            <w:noWrap/>
            <w:vAlign w:val="bottom"/>
            <w:hideMark/>
          </w:tcPr>
          <w:p w14:paraId="77C1626A"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22"/>
              </w:rPr>
            </w:pPr>
          </w:p>
        </w:tc>
        <w:tc>
          <w:tcPr>
            <w:tcW w:w="3642" w:type="dxa"/>
            <w:tcBorders>
              <w:top w:val="nil"/>
              <w:left w:val="nil"/>
              <w:bottom w:val="nil"/>
              <w:right w:val="nil"/>
            </w:tcBorders>
            <w:shd w:val="clear" w:color="auto" w:fill="auto"/>
            <w:noWrap/>
            <w:vAlign w:val="bottom"/>
            <w:hideMark/>
          </w:tcPr>
          <w:p w14:paraId="50E980E8"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1751" w:type="dxa"/>
            <w:tcBorders>
              <w:top w:val="nil"/>
              <w:left w:val="nil"/>
              <w:bottom w:val="nil"/>
              <w:right w:val="nil"/>
            </w:tcBorders>
            <w:shd w:val="clear" w:color="auto" w:fill="auto"/>
            <w:noWrap/>
            <w:vAlign w:val="bottom"/>
            <w:hideMark/>
          </w:tcPr>
          <w:p w14:paraId="29031CA0"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1751" w:type="dxa"/>
            <w:tcBorders>
              <w:top w:val="nil"/>
              <w:left w:val="nil"/>
              <w:bottom w:val="nil"/>
              <w:right w:val="nil"/>
            </w:tcBorders>
            <w:shd w:val="clear" w:color="auto" w:fill="auto"/>
            <w:noWrap/>
            <w:vAlign w:val="bottom"/>
            <w:hideMark/>
          </w:tcPr>
          <w:p w14:paraId="776DDF84"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1753" w:type="dxa"/>
            <w:tcBorders>
              <w:top w:val="nil"/>
              <w:left w:val="nil"/>
              <w:bottom w:val="nil"/>
              <w:right w:val="nil"/>
            </w:tcBorders>
            <w:shd w:val="clear" w:color="auto" w:fill="auto"/>
            <w:noWrap/>
            <w:vAlign w:val="bottom"/>
            <w:hideMark/>
          </w:tcPr>
          <w:p w14:paraId="4D24D066"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1755" w:type="dxa"/>
            <w:tcBorders>
              <w:top w:val="nil"/>
              <w:left w:val="nil"/>
              <w:bottom w:val="nil"/>
              <w:right w:val="nil"/>
            </w:tcBorders>
            <w:shd w:val="clear" w:color="auto" w:fill="auto"/>
            <w:noWrap/>
            <w:vAlign w:val="bottom"/>
            <w:hideMark/>
          </w:tcPr>
          <w:p w14:paraId="185BC63A"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r>
      <w:tr w:rsidR="00942FBB" w:rsidRPr="005B1792" w14:paraId="1C30667D" w14:textId="77777777" w:rsidTr="0028704A">
        <w:trPr>
          <w:trHeight w:val="417"/>
        </w:trPr>
        <w:tc>
          <w:tcPr>
            <w:tcW w:w="3347" w:type="dxa"/>
            <w:tcBorders>
              <w:top w:val="nil"/>
              <w:left w:val="nil"/>
              <w:bottom w:val="nil"/>
              <w:right w:val="nil"/>
            </w:tcBorders>
            <w:shd w:val="clear" w:color="auto" w:fill="auto"/>
            <w:noWrap/>
            <w:vAlign w:val="bottom"/>
            <w:hideMark/>
          </w:tcPr>
          <w:p w14:paraId="3DB8CB77"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3642" w:type="dxa"/>
            <w:tcBorders>
              <w:top w:val="nil"/>
              <w:left w:val="nil"/>
              <w:bottom w:val="nil"/>
              <w:right w:val="nil"/>
            </w:tcBorders>
            <w:shd w:val="clear" w:color="auto" w:fill="auto"/>
            <w:noWrap/>
            <w:vAlign w:val="center"/>
            <w:hideMark/>
          </w:tcPr>
          <w:p w14:paraId="75627662"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56"/>
                <w:szCs w:val="56"/>
              </w:rPr>
            </w:pPr>
            <w:r w:rsidRPr="005B1792">
              <w:rPr>
                <w:rFonts w:ascii="Malgun Gothic" w:eastAsia="Malgun Gothic" w:hAnsi="Malgun Gothic" w:cs="Times New Roman" w:hint="eastAsia"/>
                <w:color w:val="000000"/>
                <w:kern w:val="0"/>
                <w:sz w:val="56"/>
                <w:szCs w:val="56"/>
              </w:rPr>
              <w:t>↓</w:t>
            </w:r>
          </w:p>
        </w:tc>
        <w:tc>
          <w:tcPr>
            <w:tcW w:w="1751" w:type="dxa"/>
            <w:tcBorders>
              <w:top w:val="nil"/>
              <w:left w:val="nil"/>
              <w:bottom w:val="nil"/>
              <w:right w:val="nil"/>
            </w:tcBorders>
            <w:shd w:val="clear" w:color="auto" w:fill="auto"/>
            <w:noWrap/>
            <w:vAlign w:val="center"/>
            <w:hideMark/>
          </w:tcPr>
          <w:p w14:paraId="5D648BDB"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56"/>
                <w:szCs w:val="56"/>
              </w:rPr>
            </w:pPr>
            <w:r w:rsidRPr="005B1792">
              <w:rPr>
                <w:rFonts w:ascii="Malgun Gothic" w:eastAsia="Malgun Gothic" w:hAnsi="Malgun Gothic" w:cs="Times New Roman" w:hint="eastAsia"/>
                <w:color w:val="000000"/>
                <w:kern w:val="0"/>
                <w:sz w:val="56"/>
                <w:szCs w:val="56"/>
              </w:rPr>
              <w:t>↓</w:t>
            </w:r>
          </w:p>
        </w:tc>
        <w:tc>
          <w:tcPr>
            <w:tcW w:w="1751" w:type="dxa"/>
            <w:tcBorders>
              <w:top w:val="nil"/>
              <w:left w:val="nil"/>
              <w:bottom w:val="nil"/>
              <w:right w:val="nil"/>
            </w:tcBorders>
            <w:shd w:val="clear" w:color="auto" w:fill="auto"/>
            <w:noWrap/>
            <w:vAlign w:val="bottom"/>
            <w:hideMark/>
          </w:tcPr>
          <w:p w14:paraId="75562CF1"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color w:val="000000"/>
                <w:kern w:val="0"/>
                <w:sz w:val="56"/>
                <w:szCs w:val="56"/>
              </w:rPr>
            </w:pPr>
          </w:p>
        </w:tc>
        <w:tc>
          <w:tcPr>
            <w:tcW w:w="1753" w:type="dxa"/>
            <w:tcBorders>
              <w:top w:val="nil"/>
              <w:left w:val="nil"/>
              <w:bottom w:val="nil"/>
              <w:right w:val="nil"/>
            </w:tcBorders>
            <w:shd w:val="clear" w:color="auto" w:fill="auto"/>
            <w:noWrap/>
            <w:vAlign w:val="bottom"/>
            <w:hideMark/>
          </w:tcPr>
          <w:p w14:paraId="06071855"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1755" w:type="dxa"/>
            <w:tcBorders>
              <w:top w:val="nil"/>
              <w:left w:val="nil"/>
              <w:bottom w:val="nil"/>
              <w:right w:val="nil"/>
            </w:tcBorders>
            <w:shd w:val="clear" w:color="auto" w:fill="auto"/>
            <w:noWrap/>
            <w:vAlign w:val="bottom"/>
            <w:hideMark/>
          </w:tcPr>
          <w:p w14:paraId="593D353E"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r>
      <w:tr w:rsidR="00942FBB" w:rsidRPr="005B1792" w14:paraId="129B52E2" w14:textId="77777777" w:rsidTr="0028704A">
        <w:trPr>
          <w:trHeight w:val="85"/>
        </w:trPr>
        <w:tc>
          <w:tcPr>
            <w:tcW w:w="3347" w:type="dxa"/>
            <w:tcBorders>
              <w:top w:val="nil"/>
              <w:left w:val="nil"/>
              <w:bottom w:val="nil"/>
              <w:right w:val="nil"/>
            </w:tcBorders>
            <w:shd w:val="clear" w:color="auto" w:fill="auto"/>
            <w:noWrap/>
            <w:vAlign w:val="bottom"/>
            <w:hideMark/>
          </w:tcPr>
          <w:p w14:paraId="07D89085"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3642" w:type="dxa"/>
            <w:tcBorders>
              <w:top w:val="nil"/>
              <w:left w:val="nil"/>
              <w:bottom w:val="nil"/>
              <w:right w:val="nil"/>
            </w:tcBorders>
            <w:shd w:val="clear" w:color="auto" w:fill="auto"/>
            <w:noWrap/>
            <w:vAlign w:val="bottom"/>
            <w:hideMark/>
          </w:tcPr>
          <w:p w14:paraId="1A2D0042"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1751" w:type="dxa"/>
            <w:tcBorders>
              <w:top w:val="nil"/>
              <w:left w:val="nil"/>
              <w:bottom w:val="nil"/>
              <w:right w:val="nil"/>
            </w:tcBorders>
            <w:shd w:val="clear" w:color="auto" w:fill="auto"/>
            <w:noWrap/>
            <w:vAlign w:val="bottom"/>
            <w:hideMark/>
          </w:tcPr>
          <w:p w14:paraId="4B6F9175"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1751" w:type="dxa"/>
            <w:tcBorders>
              <w:top w:val="nil"/>
              <w:left w:val="nil"/>
              <w:bottom w:val="nil"/>
              <w:right w:val="nil"/>
            </w:tcBorders>
            <w:shd w:val="clear" w:color="auto" w:fill="auto"/>
            <w:noWrap/>
            <w:vAlign w:val="bottom"/>
            <w:hideMark/>
          </w:tcPr>
          <w:p w14:paraId="122C1929"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1753" w:type="dxa"/>
            <w:tcBorders>
              <w:top w:val="nil"/>
              <w:left w:val="nil"/>
              <w:bottom w:val="nil"/>
              <w:right w:val="nil"/>
            </w:tcBorders>
            <w:shd w:val="clear" w:color="auto" w:fill="auto"/>
            <w:noWrap/>
            <w:vAlign w:val="bottom"/>
            <w:hideMark/>
          </w:tcPr>
          <w:p w14:paraId="40CE03B3"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1755" w:type="dxa"/>
            <w:tcBorders>
              <w:top w:val="nil"/>
              <w:left w:val="nil"/>
              <w:bottom w:val="nil"/>
              <w:right w:val="nil"/>
            </w:tcBorders>
            <w:shd w:val="clear" w:color="auto" w:fill="auto"/>
            <w:noWrap/>
            <w:vAlign w:val="bottom"/>
            <w:hideMark/>
          </w:tcPr>
          <w:p w14:paraId="3A70C0A5"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r>
      <w:tr w:rsidR="00942FBB" w:rsidRPr="005B1792" w14:paraId="1D51F46D" w14:textId="77777777" w:rsidTr="0028704A">
        <w:trPr>
          <w:trHeight w:val="307"/>
        </w:trPr>
        <w:tc>
          <w:tcPr>
            <w:tcW w:w="3347" w:type="dxa"/>
            <w:tcBorders>
              <w:top w:val="nil"/>
              <w:left w:val="nil"/>
              <w:bottom w:val="nil"/>
              <w:right w:val="nil"/>
            </w:tcBorders>
            <w:shd w:val="clear" w:color="auto" w:fill="auto"/>
            <w:noWrap/>
            <w:vAlign w:val="bottom"/>
            <w:hideMark/>
          </w:tcPr>
          <w:p w14:paraId="6BC772E1"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8897" w:type="dxa"/>
            <w:gridSpan w:val="4"/>
            <w:tcBorders>
              <w:top w:val="single" w:sz="8" w:space="0" w:color="auto"/>
              <w:left w:val="single" w:sz="8" w:space="0" w:color="auto"/>
              <w:bottom w:val="single" w:sz="4" w:space="0" w:color="auto"/>
              <w:right w:val="single" w:sz="8" w:space="0" w:color="000000"/>
            </w:tcBorders>
            <w:shd w:val="clear" w:color="000000" w:fill="D9D9D9"/>
            <w:noWrap/>
            <w:vAlign w:val="center"/>
            <w:hideMark/>
          </w:tcPr>
          <w:p w14:paraId="5D8F0637"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b/>
                <w:bCs/>
                <w:color w:val="000000"/>
                <w:kern w:val="0"/>
                <w:sz w:val="22"/>
              </w:rPr>
            </w:pPr>
            <w:r w:rsidRPr="005B1792">
              <w:rPr>
                <w:rFonts w:ascii="Times Roman" w:eastAsia="Malgun Gothic" w:hAnsi="Times Roman" w:cs="Times New Roman"/>
                <w:b/>
                <w:bCs/>
                <w:color w:val="000000"/>
                <w:kern w:val="0"/>
                <w:sz w:val="22"/>
              </w:rPr>
              <w:t>Sensitivity analys</w:t>
            </w:r>
            <w:r w:rsidRPr="005B1792">
              <w:rPr>
                <w:rFonts w:ascii="Times Roman" w:eastAsia="Malgun Gothic" w:hAnsi="Times Roman" w:cs="Times New Roman" w:hint="eastAsia"/>
                <w:b/>
                <w:bCs/>
                <w:color w:val="000000"/>
                <w:kern w:val="0"/>
                <w:sz w:val="22"/>
              </w:rPr>
              <w:t>e</w:t>
            </w:r>
            <w:r w:rsidRPr="005B1792">
              <w:rPr>
                <w:rFonts w:ascii="Times Roman" w:eastAsia="Malgun Gothic" w:hAnsi="Times Roman" w:cs="Times New Roman"/>
                <w:b/>
                <w:bCs/>
                <w:color w:val="000000"/>
                <w:kern w:val="0"/>
                <w:sz w:val="22"/>
              </w:rPr>
              <w:t>s</w:t>
            </w:r>
          </w:p>
        </w:tc>
        <w:tc>
          <w:tcPr>
            <w:tcW w:w="1755" w:type="dxa"/>
            <w:tcBorders>
              <w:top w:val="nil"/>
              <w:left w:val="nil"/>
              <w:bottom w:val="nil"/>
              <w:right w:val="nil"/>
            </w:tcBorders>
            <w:shd w:val="clear" w:color="auto" w:fill="auto"/>
            <w:noWrap/>
            <w:vAlign w:val="bottom"/>
            <w:hideMark/>
          </w:tcPr>
          <w:p w14:paraId="52EE5C26" w14:textId="77777777" w:rsidR="00942FBB" w:rsidRPr="005B1792" w:rsidRDefault="00942FBB" w:rsidP="0028704A">
            <w:pPr>
              <w:widowControl/>
              <w:wordWrap/>
              <w:autoSpaceDE/>
              <w:autoSpaceDN/>
              <w:spacing w:after="0" w:line="240" w:lineRule="auto"/>
              <w:jc w:val="center"/>
              <w:rPr>
                <w:rFonts w:ascii="Times Roman" w:eastAsia="Malgun Gothic" w:hAnsi="Times Roman" w:cs="Times New Roman"/>
                <w:b/>
                <w:bCs/>
                <w:color w:val="000000"/>
                <w:kern w:val="0"/>
                <w:sz w:val="22"/>
              </w:rPr>
            </w:pPr>
          </w:p>
        </w:tc>
      </w:tr>
      <w:tr w:rsidR="00942FBB" w:rsidRPr="005B1792" w14:paraId="2D047248" w14:textId="77777777" w:rsidTr="0028704A">
        <w:trPr>
          <w:trHeight w:val="208"/>
        </w:trPr>
        <w:tc>
          <w:tcPr>
            <w:tcW w:w="3347" w:type="dxa"/>
            <w:tcBorders>
              <w:top w:val="nil"/>
              <w:left w:val="nil"/>
              <w:bottom w:val="nil"/>
              <w:right w:val="nil"/>
            </w:tcBorders>
            <w:shd w:val="clear" w:color="auto" w:fill="auto"/>
            <w:noWrap/>
            <w:vAlign w:val="bottom"/>
            <w:hideMark/>
          </w:tcPr>
          <w:p w14:paraId="6C1AAC2C"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8897" w:type="dxa"/>
            <w:gridSpan w:val="4"/>
            <w:tcBorders>
              <w:top w:val="single" w:sz="4" w:space="0" w:color="auto"/>
              <w:left w:val="single" w:sz="8" w:space="0" w:color="auto"/>
              <w:bottom w:val="single" w:sz="4" w:space="0" w:color="auto"/>
              <w:right w:val="single" w:sz="8" w:space="0" w:color="000000"/>
            </w:tcBorders>
            <w:shd w:val="clear" w:color="000000" w:fill="F2F2F2"/>
            <w:noWrap/>
            <w:hideMark/>
          </w:tcPr>
          <w:p w14:paraId="564C0520"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Subgroup analysis after excluding individual studies using low cut-off symptom score</w:t>
            </w:r>
          </w:p>
        </w:tc>
        <w:tc>
          <w:tcPr>
            <w:tcW w:w="1755" w:type="dxa"/>
            <w:tcBorders>
              <w:top w:val="nil"/>
              <w:left w:val="nil"/>
              <w:bottom w:val="nil"/>
              <w:right w:val="nil"/>
            </w:tcBorders>
            <w:shd w:val="clear" w:color="auto" w:fill="auto"/>
            <w:noWrap/>
            <w:vAlign w:val="bottom"/>
            <w:hideMark/>
          </w:tcPr>
          <w:p w14:paraId="3D6D8141"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p>
        </w:tc>
      </w:tr>
      <w:tr w:rsidR="00942FBB" w:rsidRPr="005B1792" w14:paraId="1419A7B4" w14:textId="77777777" w:rsidTr="0028704A">
        <w:trPr>
          <w:trHeight w:val="208"/>
        </w:trPr>
        <w:tc>
          <w:tcPr>
            <w:tcW w:w="3347" w:type="dxa"/>
            <w:tcBorders>
              <w:top w:val="nil"/>
              <w:left w:val="nil"/>
              <w:bottom w:val="nil"/>
              <w:right w:val="nil"/>
            </w:tcBorders>
            <w:shd w:val="clear" w:color="auto" w:fill="auto"/>
            <w:noWrap/>
            <w:vAlign w:val="bottom"/>
            <w:hideMark/>
          </w:tcPr>
          <w:p w14:paraId="1EA0FB91"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8897" w:type="dxa"/>
            <w:gridSpan w:val="4"/>
            <w:tcBorders>
              <w:top w:val="single" w:sz="4" w:space="0" w:color="auto"/>
              <w:left w:val="single" w:sz="8" w:space="0" w:color="auto"/>
              <w:bottom w:val="single" w:sz="4" w:space="0" w:color="auto"/>
              <w:right w:val="single" w:sz="8" w:space="0" w:color="000000"/>
            </w:tcBorders>
            <w:shd w:val="clear" w:color="000000" w:fill="F2F2F2"/>
            <w:noWrap/>
            <w:hideMark/>
          </w:tcPr>
          <w:p w14:paraId="20DFA120"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Subgroup analysis of adjusted study estimates</w:t>
            </w:r>
          </w:p>
        </w:tc>
        <w:tc>
          <w:tcPr>
            <w:tcW w:w="1755" w:type="dxa"/>
            <w:tcBorders>
              <w:top w:val="nil"/>
              <w:left w:val="nil"/>
              <w:bottom w:val="nil"/>
              <w:right w:val="nil"/>
            </w:tcBorders>
            <w:shd w:val="clear" w:color="auto" w:fill="auto"/>
            <w:noWrap/>
            <w:vAlign w:val="bottom"/>
            <w:hideMark/>
          </w:tcPr>
          <w:p w14:paraId="3E350BFC"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p>
        </w:tc>
      </w:tr>
      <w:tr w:rsidR="00942FBB" w:rsidRPr="005B1792" w14:paraId="45E7D93E" w14:textId="77777777" w:rsidTr="0028704A">
        <w:trPr>
          <w:trHeight w:val="208"/>
        </w:trPr>
        <w:tc>
          <w:tcPr>
            <w:tcW w:w="3347" w:type="dxa"/>
            <w:tcBorders>
              <w:top w:val="nil"/>
              <w:left w:val="nil"/>
              <w:bottom w:val="nil"/>
              <w:right w:val="nil"/>
            </w:tcBorders>
            <w:shd w:val="clear" w:color="auto" w:fill="auto"/>
            <w:noWrap/>
            <w:vAlign w:val="bottom"/>
            <w:hideMark/>
          </w:tcPr>
          <w:p w14:paraId="3743601C"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8897" w:type="dxa"/>
            <w:gridSpan w:val="4"/>
            <w:tcBorders>
              <w:top w:val="single" w:sz="4" w:space="0" w:color="auto"/>
              <w:left w:val="single" w:sz="8" w:space="0" w:color="auto"/>
              <w:bottom w:val="single" w:sz="4" w:space="0" w:color="auto"/>
              <w:right w:val="single" w:sz="8" w:space="0" w:color="000000"/>
            </w:tcBorders>
            <w:shd w:val="clear" w:color="000000" w:fill="F2F2F2"/>
            <w:noWrap/>
            <w:hideMark/>
          </w:tcPr>
          <w:p w14:paraId="2ECAE319"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Subgroup analysis of cohort studies</w:t>
            </w:r>
          </w:p>
        </w:tc>
        <w:tc>
          <w:tcPr>
            <w:tcW w:w="1755" w:type="dxa"/>
            <w:tcBorders>
              <w:top w:val="nil"/>
              <w:left w:val="nil"/>
              <w:bottom w:val="nil"/>
              <w:right w:val="nil"/>
            </w:tcBorders>
            <w:shd w:val="clear" w:color="auto" w:fill="auto"/>
            <w:noWrap/>
            <w:vAlign w:val="bottom"/>
            <w:hideMark/>
          </w:tcPr>
          <w:p w14:paraId="3876F027"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p>
        </w:tc>
      </w:tr>
      <w:tr w:rsidR="00942FBB" w:rsidRPr="005B1792" w14:paraId="68503228" w14:textId="77777777" w:rsidTr="0028704A">
        <w:trPr>
          <w:trHeight w:val="220"/>
        </w:trPr>
        <w:tc>
          <w:tcPr>
            <w:tcW w:w="3347" w:type="dxa"/>
            <w:tcBorders>
              <w:top w:val="nil"/>
              <w:left w:val="nil"/>
              <w:bottom w:val="nil"/>
              <w:right w:val="nil"/>
            </w:tcBorders>
            <w:shd w:val="clear" w:color="auto" w:fill="auto"/>
            <w:noWrap/>
            <w:vAlign w:val="bottom"/>
            <w:hideMark/>
          </w:tcPr>
          <w:p w14:paraId="6A85E787" w14:textId="77777777" w:rsidR="00942FBB" w:rsidRPr="005B1792" w:rsidRDefault="00942FBB" w:rsidP="0028704A">
            <w:pPr>
              <w:widowControl/>
              <w:wordWrap/>
              <w:autoSpaceDE/>
              <w:autoSpaceDN/>
              <w:spacing w:after="0" w:line="240" w:lineRule="auto"/>
              <w:jc w:val="left"/>
              <w:rPr>
                <w:rFonts w:ascii="Times New Roman" w:eastAsia="Times New Roman" w:hAnsi="Times New Roman" w:cs="Times New Roman"/>
                <w:kern w:val="0"/>
                <w:szCs w:val="20"/>
              </w:rPr>
            </w:pPr>
          </w:p>
        </w:tc>
        <w:tc>
          <w:tcPr>
            <w:tcW w:w="8897" w:type="dxa"/>
            <w:gridSpan w:val="4"/>
            <w:tcBorders>
              <w:top w:val="single" w:sz="4" w:space="0" w:color="auto"/>
              <w:left w:val="single" w:sz="8" w:space="0" w:color="auto"/>
              <w:bottom w:val="single" w:sz="8" w:space="0" w:color="auto"/>
              <w:right w:val="single" w:sz="8" w:space="0" w:color="000000"/>
            </w:tcBorders>
            <w:shd w:val="clear" w:color="000000" w:fill="F2F2F2"/>
            <w:noWrap/>
            <w:hideMark/>
          </w:tcPr>
          <w:p w14:paraId="2E10153D"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r w:rsidRPr="005B1792">
              <w:rPr>
                <w:rFonts w:ascii="Times Roman" w:eastAsia="Malgun Gothic" w:hAnsi="Times Roman" w:cs="Times New Roman"/>
                <w:color w:val="000000"/>
                <w:kern w:val="0"/>
                <w:sz w:val="22"/>
              </w:rPr>
              <w:t>Subgroup analysis of prospective cohort studies</w:t>
            </w:r>
          </w:p>
        </w:tc>
        <w:tc>
          <w:tcPr>
            <w:tcW w:w="1755" w:type="dxa"/>
            <w:tcBorders>
              <w:top w:val="nil"/>
              <w:left w:val="nil"/>
              <w:bottom w:val="nil"/>
              <w:right w:val="nil"/>
            </w:tcBorders>
            <w:shd w:val="clear" w:color="auto" w:fill="auto"/>
            <w:noWrap/>
            <w:vAlign w:val="bottom"/>
            <w:hideMark/>
          </w:tcPr>
          <w:p w14:paraId="3A0B8DEB" w14:textId="77777777" w:rsidR="00942FBB" w:rsidRPr="005B1792" w:rsidRDefault="00942FBB" w:rsidP="0028704A">
            <w:pPr>
              <w:widowControl/>
              <w:wordWrap/>
              <w:autoSpaceDE/>
              <w:autoSpaceDN/>
              <w:spacing w:after="0" w:line="240" w:lineRule="auto"/>
              <w:jc w:val="left"/>
              <w:rPr>
                <w:rFonts w:ascii="Times Roman" w:eastAsia="Malgun Gothic" w:hAnsi="Times Roman" w:cs="Times New Roman"/>
                <w:color w:val="000000"/>
                <w:kern w:val="0"/>
                <w:sz w:val="22"/>
              </w:rPr>
            </w:pPr>
          </w:p>
        </w:tc>
      </w:tr>
    </w:tbl>
    <w:p w14:paraId="67A114CD" w14:textId="77777777" w:rsidR="00942FBB" w:rsidRPr="005B1792" w:rsidRDefault="00942FBB" w:rsidP="009E40E2">
      <w:pPr>
        <w:pStyle w:val="EndNoteBibliography"/>
        <w:wordWrap/>
        <w:spacing w:line="360" w:lineRule="auto"/>
        <w:rPr>
          <w:rFonts w:ascii="Times" w:hAnsi="Times" w:cs="Times"/>
          <w:b/>
          <w:bCs/>
        </w:rPr>
      </w:pPr>
    </w:p>
    <w:p w14:paraId="29A7E85F" w14:textId="77777777" w:rsidR="00942FBB" w:rsidRPr="005B1792" w:rsidRDefault="00942FBB">
      <w:pPr>
        <w:widowControl/>
        <w:wordWrap/>
        <w:autoSpaceDE/>
        <w:autoSpaceDN/>
        <w:rPr>
          <w:rFonts w:ascii="Times" w:eastAsia="Malgun Gothic" w:hAnsi="Times" w:cs="Times"/>
          <w:b/>
          <w:bCs/>
          <w:noProof/>
        </w:rPr>
      </w:pPr>
      <w:r w:rsidRPr="005B1792">
        <w:rPr>
          <w:rFonts w:ascii="Times" w:hAnsi="Times" w:cs="Times"/>
          <w:b/>
          <w:bCs/>
        </w:rPr>
        <w:br w:type="page"/>
      </w:r>
    </w:p>
    <w:p w14:paraId="298A4D92" w14:textId="77777777" w:rsidR="00942FBB" w:rsidRPr="005B1792" w:rsidRDefault="00942FBB" w:rsidP="009E40E2">
      <w:pPr>
        <w:pStyle w:val="EndNoteBibliography"/>
        <w:wordWrap/>
        <w:spacing w:line="360" w:lineRule="auto"/>
        <w:rPr>
          <w:rFonts w:ascii="Times" w:hAnsi="Times" w:cs="Times"/>
          <w:b/>
          <w:bCs/>
        </w:rPr>
      </w:pPr>
      <w:r w:rsidRPr="005B1792">
        <w:rPr>
          <w:rFonts w:ascii="Times" w:hAnsi="Times" w:cs="Times" w:hint="eastAsia"/>
          <w:b/>
          <w:bCs/>
        </w:rPr>
        <w:lastRenderedPageBreak/>
        <w:t>Table</w:t>
      </w:r>
      <w:r w:rsidRPr="005B1792">
        <w:rPr>
          <w:rFonts w:ascii="Times" w:hAnsi="Times" w:cs="Times"/>
          <w:b/>
          <w:bCs/>
        </w:rPr>
        <w:t xml:space="preserve"> </w:t>
      </w:r>
      <w:r w:rsidRPr="005B1792">
        <w:rPr>
          <w:rFonts w:ascii="Times" w:hAnsi="Times" w:cs="Times" w:hint="eastAsia"/>
          <w:b/>
          <w:bCs/>
        </w:rPr>
        <w:t>2</w:t>
      </w:r>
      <w:r w:rsidRPr="005B1792">
        <w:rPr>
          <w:rFonts w:ascii="Times" w:hAnsi="Times" w:cs="Times"/>
          <w:b/>
          <w:bCs/>
        </w:rPr>
        <w:t>. Environmental risk/protective factors of postpartum depressive symptoms</w:t>
      </w:r>
    </w:p>
    <w:tbl>
      <w:tblPr>
        <w:tblW w:w="15390" w:type="dxa"/>
        <w:tblCellMar>
          <w:left w:w="99" w:type="dxa"/>
          <w:right w:w="99" w:type="dxa"/>
        </w:tblCellMar>
        <w:tblLook w:val="04A0" w:firstRow="1" w:lastRow="0" w:firstColumn="1" w:lastColumn="0" w:noHBand="0" w:noVBand="1"/>
      </w:tblPr>
      <w:tblGrid>
        <w:gridCol w:w="1838"/>
        <w:gridCol w:w="1134"/>
        <w:gridCol w:w="1276"/>
        <w:gridCol w:w="829"/>
        <w:gridCol w:w="1297"/>
        <w:gridCol w:w="705"/>
        <w:gridCol w:w="1563"/>
        <w:gridCol w:w="992"/>
        <w:gridCol w:w="572"/>
        <w:gridCol w:w="1129"/>
        <w:gridCol w:w="1985"/>
        <w:gridCol w:w="1134"/>
        <w:gridCol w:w="936"/>
      </w:tblGrid>
      <w:tr w:rsidR="00942FBB" w:rsidRPr="005B1792" w14:paraId="03916B3B" w14:textId="77777777" w:rsidTr="00081D71">
        <w:trPr>
          <w:trHeight w:val="610"/>
        </w:trPr>
        <w:tc>
          <w:tcPr>
            <w:tcW w:w="1838" w:type="dxa"/>
            <w:tcBorders>
              <w:top w:val="single" w:sz="4" w:space="0" w:color="auto"/>
              <w:left w:val="single" w:sz="4" w:space="0" w:color="auto"/>
              <w:bottom w:val="single" w:sz="4" w:space="0" w:color="auto"/>
              <w:right w:val="single" w:sz="4" w:space="0" w:color="auto"/>
            </w:tcBorders>
            <w:shd w:val="clear" w:color="auto" w:fill="auto"/>
            <w:hideMark/>
          </w:tcPr>
          <w:p w14:paraId="7283741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Exposure</w:t>
            </w:r>
          </w:p>
        </w:tc>
        <w:tc>
          <w:tcPr>
            <w:tcW w:w="1134" w:type="dxa"/>
            <w:tcBorders>
              <w:top w:val="single" w:sz="4" w:space="0" w:color="auto"/>
              <w:left w:val="nil"/>
              <w:bottom w:val="single" w:sz="4" w:space="0" w:color="auto"/>
              <w:right w:val="single" w:sz="4" w:space="0" w:color="auto"/>
            </w:tcBorders>
            <w:shd w:val="clear" w:color="auto" w:fill="auto"/>
            <w:hideMark/>
          </w:tcPr>
          <w:p w14:paraId="3809D5D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Author, year</w:t>
            </w:r>
          </w:p>
        </w:tc>
        <w:tc>
          <w:tcPr>
            <w:tcW w:w="1276" w:type="dxa"/>
            <w:tcBorders>
              <w:top w:val="single" w:sz="4" w:space="0" w:color="auto"/>
              <w:left w:val="nil"/>
              <w:bottom w:val="single" w:sz="4" w:space="0" w:color="auto"/>
              <w:right w:val="single" w:sz="4" w:space="0" w:color="auto"/>
            </w:tcBorders>
            <w:shd w:val="clear" w:color="auto" w:fill="auto"/>
            <w:hideMark/>
          </w:tcPr>
          <w:p w14:paraId="6C5EB05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Number of cases / total population</w:t>
            </w:r>
          </w:p>
        </w:tc>
        <w:tc>
          <w:tcPr>
            <w:tcW w:w="829" w:type="dxa"/>
            <w:tcBorders>
              <w:top w:val="single" w:sz="4" w:space="0" w:color="auto"/>
              <w:left w:val="nil"/>
              <w:bottom w:val="single" w:sz="4" w:space="0" w:color="auto"/>
              <w:right w:val="single" w:sz="4" w:space="0" w:color="auto"/>
            </w:tcBorders>
            <w:shd w:val="clear" w:color="auto" w:fill="auto"/>
            <w:hideMark/>
          </w:tcPr>
          <w:p w14:paraId="079FDBC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Number of study estimates</w:t>
            </w:r>
          </w:p>
        </w:tc>
        <w:tc>
          <w:tcPr>
            <w:tcW w:w="1297" w:type="dxa"/>
            <w:tcBorders>
              <w:top w:val="single" w:sz="4" w:space="0" w:color="auto"/>
              <w:left w:val="nil"/>
              <w:bottom w:val="single" w:sz="4" w:space="0" w:color="auto"/>
              <w:right w:val="single" w:sz="4" w:space="0" w:color="auto"/>
            </w:tcBorders>
            <w:shd w:val="clear" w:color="auto" w:fill="auto"/>
            <w:hideMark/>
          </w:tcPr>
          <w:p w14:paraId="1ABE9FE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Study design</w:t>
            </w:r>
          </w:p>
        </w:tc>
        <w:tc>
          <w:tcPr>
            <w:tcW w:w="705" w:type="dxa"/>
            <w:tcBorders>
              <w:top w:val="single" w:sz="4" w:space="0" w:color="auto"/>
              <w:left w:val="nil"/>
              <w:bottom w:val="single" w:sz="4" w:space="0" w:color="auto"/>
              <w:right w:val="single" w:sz="4" w:space="0" w:color="auto"/>
            </w:tcBorders>
            <w:shd w:val="clear" w:color="auto" w:fill="auto"/>
            <w:hideMark/>
          </w:tcPr>
          <w:p w14:paraId="1E0864F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Effect metrics</w:t>
            </w:r>
          </w:p>
        </w:tc>
        <w:tc>
          <w:tcPr>
            <w:tcW w:w="1563" w:type="dxa"/>
            <w:tcBorders>
              <w:top w:val="single" w:sz="4" w:space="0" w:color="auto"/>
              <w:left w:val="nil"/>
              <w:bottom w:val="single" w:sz="4" w:space="0" w:color="auto"/>
              <w:right w:val="single" w:sz="4" w:space="0" w:color="auto"/>
            </w:tcBorders>
            <w:shd w:val="clear" w:color="auto" w:fill="auto"/>
            <w:hideMark/>
          </w:tcPr>
          <w:p w14:paraId="4317071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Random effects summary estimate (95% CI)</w:t>
            </w:r>
          </w:p>
        </w:tc>
        <w:tc>
          <w:tcPr>
            <w:tcW w:w="992" w:type="dxa"/>
            <w:tcBorders>
              <w:top w:val="single" w:sz="4" w:space="0" w:color="auto"/>
              <w:left w:val="nil"/>
              <w:bottom w:val="single" w:sz="4" w:space="0" w:color="auto"/>
              <w:right w:val="single" w:sz="4" w:space="0" w:color="auto"/>
            </w:tcBorders>
            <w:shd w:val="clear" w:color="auto" w:fill="auto"/>
            <w:hideMark/>
          </w:tcPr>
          <w:p w14:paraId="6578CF2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Random effects p-value</w:t>
            </w:r>
          </w:p>
        </w:tc>
        <w:tc>
          <w:tcPr>
            <w:tcW w:w="572" w:type="dxa"/>
            <w:tcBorders>
              <w:top w:val="single" w:sz="4" w:space="0" w:color="auto"/>
              <w:left w:val="nil"/>
              <w:bottom w:val="single" w:sz="4" w:space="0" w:color="auto"/>
              <w:right w:val="single" w:sz="4" w:space="0" w:color="auto"/>
            </w:tcBorders>
            <w:shd w:val="clear" w:color="auto" w:fill="auto"/>
            <w:hideMark/>
          </w:tcPr>
          <w:p w14:paraId="66AF1EE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i/>
                <w:iCs/>
                <w:color w:val="000000"/>
                <w:kern w:val="0"/>
                <w:sz w:val="16"/>
                <w:szCs w:val="16"/>
              </w:rPr>
            </w:pPr>
            <w:r w:rsidRPr="005B1792">
              <w:rPr>
                <w:rFonts w:ascii="Times New Roman" w:eastAsia="Malgun Gothic" w:hAnsi="Times New Roman" w:cs="Times New Roman"/>
                <w:b/>
                <w:bCs/>
                <w:i/>
                <w:iCs/>
                <w:color w:val="000000"/>
                <w:kern w:val="0"/>
                <w:sz w:val="16"/>
                <w:szCs w:val="16"/>
              </w:rPr>
              <w:t>I</w:t>
            </w:r>
            <w:r w:rsidRPr="005B1792">
              <w:rPr>
                <w:rFonts w:ascii="Times New Roman" w:eastAsia="Malgun Gothic" w:hAnsi="Times New Roman" w:cs="Times New Roman"/>
                <w:b/>
                <w:bCs/>
                <w:i/>
                <w:iCs/>
                <w:color w:val="000000"/>
                <w:kern w:val="0"/>
                <w:sz w:val="16"/>
                <w:szCs w:val="16"/>
                <w:vertAlign w:val="superscript"/>
              </w:rPr>
              <w:t>2</w:t>
            </w:r>
          </w:p>
        </w:tc>
        <w:tc>
          <w:tcPr>
            <w:tcW w:w="1129" w:type="dxa"/>
            <w:tcBorders>
              <w:top w:val="single" w:sz="4" w:space="0" w:color="auto"/>
              <w:left w:val="nil"/>
              <w:bottom w:val="single" w:sz="4" w:space="0" w:color="auto"/>
              <w:right w:val="single" w:sz="4" w:space="0" w:color="auto"/>
            </w:tcBorders>
            <w:shd w:val="clear" w:color="auto" w:fill="auto"/>
            <w:hideMark/>
          </w:tcPr>
          <w:p w14:paraId="6741255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95% prediction interval</w:t>
            </w:r>
          </w:p>
        </w:tc>
        <w:tc>
          <w:tcPr>
            <w:tcW w:w="1985" w:type="dxa"/>
            <w:tcBorders>
              <w:top w:val="single" w:sz="4" w:space="0" w:color="auto"/>
              <w:left w:val="nil"/>
              <w:bottom w:val="single" w:sz="4" w:space="0" w:color="auto"/>
              <w:right w:val="single" w:sz="4" w:space="0" w:color="auto"/>
            </w:tcBorders>
            <w:shd w:val="clear" w:color="auto" w:fill="auto"/>
            <w:hideMark/>
          </w:tcPr>
          <w:p w14:paraId="49422E8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Large heterogeneity, small study effect, loss of significance under 10% credibility ceiling, or evidential value not found under p-curve analysis</w:t>
            </w:r>
          </w:p>
        </w:tc>
        <w:tc>
          <w:tcPr>
            <w:tcW w:w="1134" w:type="dxa"/>
            <w:tcBorders>
              <w:top w:val="single" w:sz="4" w:space="0" w:color="auto"/>
              <w:left w:val="nil"/>
              <w:bottom w:val="single" w:sz="4" w:space="0" w:color="auto"/>
              <w:right w:val="single" w:sz="4" w:space="0" w:color="auto"/>
            </w:tcBorders>
            <w:shd w:val="clear" w:color="auto" w:fill="auto"/>
            <w:hideMark/>
          </w:tcPr>
          <w:p w14:paraId="0AFFEC8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AMSTAR 2</w:t>
            </w:r>
          </w:p>
        </w:tc>
        <w:tc>
          <w:tcPr>
            <w:tcW w:w="936" w:type="dxa"/>
            <w:tcBorders>
              <w:top w:val="single" w:sz="4" w:space="0" w:color="auto"/>
              <w:left w:val="nil"/>
              <w:bottom w:val="single" w:sz="4" w:space="0" w:color="auto"/>
              <w:right w:val="single" w:sz="4" w:space="0" w:color="auto"/>
            </w:tcBorders>
          </w:tcPr>
          <w:p w14:paraId="1721B7B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hint="eastAsia"/>
                <w:b/>
                <w:bCs/>
                <w:color w:val="000000"/>
                <w:kern w:val="0"/>
                <w:sz w:val="16"/>
                <w:szCs w:val="16"/>
              </w:rPr>
              <w:t xml:space="preserve">GRADE </w:t>
            </w:r>
          </w:p>
        </w:tc>
      </w:tr>
      <w:tr w:rsidR="00942FBB" w:rsidRPr="005B1792" w14:paraId="23239BE3" w14:textId="77777777" w:rsidTr="00081D71">
        <w:trPr>
          <w:trHeight w:val="275"/>
        </w:trPr>
        <w:tc>
          <w:tcPr>
            <w:tcW w:w="15390" w:type="dxa"/>
            <w:gridSpan w:val="13"/>
            <w:tcBorders>
              <w:top w:val="single" w:sz="4" w:space="0" w:color="auto"/>
              <w:left w:val="single" w:sz="4" w:space="0" w:color="auto"/>
              <w:bottom w:val="single" w:sz="4" w:space="0" w:color="auto"/>
              <w:right w:val="single" w:sz="4" w:space="0" w:color="000000"/>
            </w:tcBorders>
            <w:shd w:val="clear" w:color="auto" w:fill="auto"/>
            <w:hideMark/>
          </w:tcPr>
          <w:p w14:paraId="7CCB6D0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Convincing (class I)</w:t>
            </w:r>
          </w:p>
        </w:tc>
      </w:tr>
      <w:tr w:rsidR="00942FBB" w:rsidRPr="005B1792" w14:paraId="776DF24A" w14:textId="77777777" w:rsidTr="00081D71">
        <w:trPr>
          <w:trHeight w:val="275"/>
        </w:trPr>
        <w:tc>
          <w:tcPr>
            <w:tcW w:w="1838" w:type="dxa"/>
            <w:tcBorders>
              <w:top w:val="nil"/>
              <w:left w:val="single" w:sz="4" w:space="0" w:color="auto"/>
              <w:bottom w:val="nil"/>
              <w:right w:val="single" w:sz="4" w:space="0" w:color="auto"/>
            </w:tcBorders>
            <w:shd w:val="clear" w:color="auto" w:fill="auto"/>
            <w:noWrap/>
            <w:hideMark/>
          </w:tcPr>
          <w:p w14:paraId="2820193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Antenatal anxiety</w:t>
            </w:r>
          </w:p>
        </w:tc>
        <w:tc>
          <w:tcPr>
            <w:tcW w:w="1134" w:type="dxa"/>
            <w:tcBorders>
              <w:top w:val="nil"/>
              <w:left w:val="nil"/>
              <w:bottom w:val="nil"/>
              <w:right w:val="single" w:sz="4" w:space="0" w:color="auto"/>
            </w:tcBorders>
            <w:shd w:val="clear" w:color="auto" w:fill="auto"/>
            <w:noWrap/>
            <w:hideMark/>
          </w:tcPr>
          <w:p w14:paraId="72747DA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Grigoriadis</w:t>
            </w:r>
            <w:proofErr w:type="spellEnd"/>
            <w:r w:rsidRPr="005B1792">
              <w:rPr>
                <w:rFonts w:ascii="Times New Roman" w:eastAsia="Malgun Gothic" w:hAnsi="Times New Roman" w:cs="Times New Roman"/>
                <w:color w:val="000000"/>
                <w:kern w:val="0"/>
                <w:sz w:val="16"/>
                <w:szCs w:val="16"/>
              </w:rPr>
              <w:t xml:space="preserve"> 2019</w:t>
            </w:r>
          </w:p>
        </w:tc>
        <w:tc>
          <w:tcPr>
            <w:tcW w:w="1276" w:type="dxa"/>
            <w:tcBorders>
              <w:top w:val="nil"/>
              <w:left w:val="nil"/>
              <w:bottom w:val="nil"/>
              <w:right w:val="single" w:sz="4" w:space="0" w:color="auto"/>
            </w:tcBorders>
            <w:shd w:val="clear" w:color="auto" w:fill="auto"/>
            <w:noWrap/>
            <w:hideMark/>
          </w:tcPr>
          <w:p w14:paraId="7A05DA6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1023 / 11758</w:t>
            </w:r>
          </w:p>
        </w:tc>
        <w:tc>
          <w:tcPr>
            <w:tcW w:w="829" w:type="dxa"/>
            <w:tcBorders>
              <w:top w:val="nil"/>
              <w:left w:val="nil"/>
              <w:bottom w:val="nil"/>
              <w:right w:val="single" w:sz="4" w:space="0" w:color="auto"/>
            </w:tcBorders>
            <w:shd w:val="clear" w:color="auto" w:fill="auto"/>
            <w:noWrap/>
            <w:hideMark/>
          </w:tcPr>
          <w:p w14:paraId="4D9917D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7</w:t>
            </w:r>
          </w:p>
        </w:tc>
        <w:tc>
          <w:tcPr>
            <w:tcW w:w="1297" w:type="dxa"/>
            <w:tcBorders>
              <w:top w:val="nil"/>
              <w:left w:val="nil"/>
              <w:bottom w:val="nil"/>
              <w:right w:val="single" w:sz="4" w:space="0" w:color="auto"/>
            </w:tcBorders>
            <w:shd w:val="clear" w:color="auto" w:fill="auto"/>
            <w:noWrap/>
            <w:hideMark/>
          </w:tcPr>
          <w:p w14:paraId="0535167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w:t>
            </w:r>
          </w:p>
        </w:tc>
        <w:tc>
          <w:tcPr>
            <w:tcW w:w="705" w:type="dxa"/>
            <w:tcBorders>
              <w:top w:val="nil"/>
              <w:left w:val="nil"/>
              <w:bottom w:val="nil"/>
              <w:right w:val="single" w:sz="4" w:space="0" w:color="auto"/>
            </w:tcBorders>
            <w:shd w:val="clear" w:color="auto" w:fill="auto"/>
            <w:noWrap/>
            <w:hideMark/>
          </w:tcPr>
          <w:p w14:paraId="60AA6D0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nil"/>
              <w:left w:val="nil"/>
              <w:bottom w:val="nil"/>
              <w:right w:val="single" w:sz="4" w:space="0" w:color="auto"/>
            </w:tcBorders>
            <w:shd w:val="clear" w:color="auto" w:fill="auto"/>
            <w:noWrap/>
            <w:hideMark/>
          </w:tcPr>
          <w:p w14:paraId="0526659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49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91 to 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25)</w:t>
            </w:r>
          </w:p>
        </w:tc>
        <w:tc>
          <w:tcPr>
            <w:tcW w:w="992" w:type="dxa"/>
            <w:tcBorders>
              <w:top w:val="nil"/>
              <w:left w:val="nil"/>
              <w:bottom w:val="nil"/>
              <w:right w:val="single" w:sz="4" w:space="0" w:color="auto"/>
            </w:tcBorders>
            <w:shd w:val="clear" w:color="auto" w:fill="auto"/>
            <w:noWrap/>
            <w:hideMark/>
          </w:tcPr>
          <w:p w14:paraId="2D1316F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&lt;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000001</w:t>
            </w:r>
          </w:p>
        </w:tc>
        <w:tc>
          <w:tcPr>
            <w:tcW w:w="572" w:type="dxa"/>
            <w:tcBorders>
              <w:top w:val="nil"/>
              <w:left w:val="nil"/>
              <w:bottom w:val="nil"/>
              <w:right w:val="single" w:sz="4" w:space="0" w:color="auto"/>
            </w:tcBorders>
            <w:shd w:val="clear" w:color="auto" w:fill="auto"/>
            <w:noWrap/>
            <w:hideMark/>
          </w:tcPr>
          <w:p w14:paraId="50659AF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12%</w:t>
            </w:r>
          </w:p>
        </w:tc>
        <w:tc>
          <w:tcPr>
            <w:tcW w:w="1129" w:type="dxa"/>
            <w:tcBorders>
              <w:top w:val="nil"/>
              <w:left w:val="nil"/>
              <w:bottom w:val="nil"/>
              <w:right w:val="single" w:sz="4" w:space="0" w:color="auto"/>
            </w:tcBorders>
            <w:shd w:val="clear" w:color="auto" w:fill="auto"/>
            <w:noWrap/>
            <w:hideMark/>
          </w:tcPr>
          <w:p w14:paraId="64F5B76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54 to 4</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04</w:t>
            </w:r>
          </w:p>
        </w:tc>
        <w:tc>
          <w:tcPr>
            <w:tcW w:w="1985" w:type="dxa"/>
            <w:tcBorders>
              <w:top w:val="nil"/>
              <w:left w:val="nil"/>
              <w:bottom w:val="nil"/>
              <w:right w:val="single" w:sz="4" w:space="0" w:color="auto"/>
            </w:tcBorders>
            <w:shd w:val="clear" w:color="auto" w:fill="auto"/>
            <w:noWrap/>
            <w:hideMark/>
          </w:tcPr>
          <w:p w14:paraId="418A294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None</w:t>
            </w:r>
          </w:p>
        </w:tc>
        <w:tc>
          <w:tcPr>
            <w:tcW w:w="1134" w:type="dxa"/>
            <w:tcBorders>
              <w:top w:val="nil"/>
              <w:left w:val="nil"/>
              <w:bottom w:val="nil"/>
              <w:right w:val="single" w:sz="4" w:space="0" w:color="auto"/>
            </w:tcBorders>
            <w:shd w:val="clear" w:color="auto" w:fill="auto"/>
            <w:noWrap/>
            <w:hideMark/>
          </w:tcPr>
          <w:p w14:paraId="6C5DBB5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nil"/>
              <w:left w:val="nil"/>
              <w:bottom w:val="nil"/>
              <w:right w:val="single" w:sz="4" w:space="0" w:color="auto"/>
            </w:tcBorders>
          </w:tcPr>
          <w:p w14:paraId="62E7F34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Moderate</w:t>
            </w:r>
          </w:p>
        </w:tc>
      </w:tr>
      <w:tr w:rsidR="00942FBB" w:rsidRPr="005B1792" w14:paraId="66F11D3E"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4FF503D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Psychological violence</w:t>
            </w:r>
          </w:p>
        </w:tc>
        <w:tc>
          <w:tcPr>
            <w:tcW w:w="1134" w:type="dxa"/>
            <w:tcBorders>
              <w:top w:val="single" w:sz="4" w:space="0" w:color="auto"/>
              <w:left w:val="nil"/>
              <w:bottom w:val="nil"/>
              <w:right w:val="single" w:sz="4" w:space="0" w:color="auto"/>
            </w:tcBorders>
            <w:shd w:val="clear" w:color="auto" w:fill="auto"/>
            <w:noWrap/>
            <w:hideMark/>
          </w:tcPr>
          <w:p w14:paraId="05A1D5E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Zhang 2019</w:t>
            </w:r>
          </w:p>
        </w:tc>
        <w:tc>
          <w:tcPr>
            <w:tcW w:w="1276" w:type="dxa"/>
            <w:tcBorders>
              <w:top w:val="single" w:sz="4" w:space="0" w:color="auto"/>
              <w:left w:val="nil"/>
              <w:bottom w:val="nil"/>
              <w:right w:val="single" w:sz="4" w:space="0" w:color="auto"/>
            </w:tcBorders>
            <w:shd w:val="clear" w:color="auto" w:fill="auto"/>
            <w:noWrap/>
            <w:hideMark/>
          </w:tcPr>
          <w:p w14:paraId="2C96F31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6734 / 59132</w:t>
            </w:r>
          </w:p>
        </w:tc>
        <w:tc>
          <w:tcPr>
            <w:tcW w:w="829" w:type="dxa"/>
            <w:tcBorders>
              <w:top w:val="single" w:sz="4" w:space="0" w:color="auto"/>
              <w:left w:val="nil"/>
              <w:bottom w:val="nil"/>
              <w:right w:val="single" w:sz="4" w:space="0" w:color="auto"/>
            </w:tcBorders>
            <w:shd w:val="clear" w:color="auto" w:fill="auto"/>
            <w:noWrap/>
            <w:hideMark/>
          </w:tcPr>
          <w:p w14:paraId="35F9088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w:t>
            </w:r>
          </w:p>
        </w:tc>
        <w:tc>
          <w:tcPr>
            <w:tcW w:w="1297" w:type="dxa"/>
            <w:tcBorders>
              <w:top w:val="single" w:sz="4" w:space="0" w:color="auto"/>
              <w:left w:val="nil"/>
              <w:bottom w:val="nil"/>
              <w:right w:val="single" w:sz="4" w:space="0" w:color="auto"/>
            </w:tcBorders>
            <w:shd w:val="clear" w:color="auto" w:fill="auto"/>
            <w:noWrap/>
            <w:hideMark/>
          </w:tcPr>
          <w:p w14:paraId="2DC92C5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w:t>
            </w:r>
          </w:p>
        </w:tc>
        <w:tc>
          <w:tcPr>
            <w:tcW w:w="705" w:type="dxa"/>
            <w:tcBorders>
              <w:top w:val="single" w:sz="4" w:space="0" w:color="auto"/>
              <w:left w:val="nil"/>
              <w:bottom w:val="nil"/>
              <w:right w:val="single" w:sz="4" w:space="0" w:color="auto"/>
            </w:tcBorders>
            <w:shd w:val="clear" w:color="auto" w:fill="auto"/>
            <w:noWrap/>
            <w:hideMark/>
          </w:tcPr>
          <w:p w14:paraId="19B5C9E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6E0FC91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93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54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42)</w:t>
            </w:r>
          </w:p>
        </w:tc>
        <w:tc>
          <w:tcPr>
            <w:tcW w:w="992" w:type="dxa"/>
            <w:tcBorders>
              <w:top w:val="single" w:sz="4" w:space="0" w:color="auto"/>
              <w:left w:val="nil"/>
              <w:bottom w:val="nil"/>
              <w:right w:val="single" w:sz="4" w:space="0" w:color="auto"/>
            </w:tcBorders>
            <w:shd w:val="clear" w:color="auto" w:fill="auto"/>
            <w:noWrap/>
            <w:hideMark/>
          </w:tcPr>
          <w:p w14:paraId="6EA30C5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&lt;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000001</w:t>
            </w:r>
          </w:p>
        </w:tc>
        <w:tc>
          <w:tcPr>
            <w:tcW w:w="572" w:type="dxa"/>
            <w:tcBorders>
              <w:top w:val="single" w:sz="4" w:space="0" w:color="auto"/>
              <w:left w:val="nil"/>
              <w:bottom w:val="nil"/>
              <w:right w:val="single" w:sz="4" w:space="0" w:color="auto"/>
            </w:tcBorders>
            <w:shd w:val="clear" w:color="auto" w:fill="auto"/>
            <w:noWrap/>
            <w:hideMark/>
          </w:tcPr>
          <w:p w14:paraId="001E39D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48%</w:t>
            </w:r>
          </w:p>
        </w:tc>
        <w:tc>
          <w:tcPr>
            <w:tcW w:w="1129" w:type="dxa"/>
            <w:tcBorders>
              <w:top w:val="single" w:sz="4" w:space="0" w:color="auto"/>
              <w:left w:val="nil"/>
              <w:bottom w:val="nil"/>
              <w:right w:val="single" w:sz="4" w:space="0" w:color="auto"/>
            </w:tcBorders>
            <w:shd w:val="clear" w:color="auto" w:fill="auto"/>
            <w:noWrap/>
            <w:hideMark/>
          </w:tcPr>
          <w:p w14:paraId="229E59F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 to 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4</w:t>
            </w:r>
          </w:p>
        </w:tc>
        <w:tc>
          <w:tcPr>
            <w:tcW w:w="1985" w:type="dxa"/>
            <w:tcBorders>
              <w:top w:val="single" w:sz="4" w:space="0" w:color="auto"/>
              <w:left w:val="nil"/>
              <w:bottom w:val="nil"/>
              <w:right w:val="single" w:sz="4" w:space="0" w:color="auto"/>
            </w:tcBorders>
            <w:shd w:val="clear" w:color="auto" w:fill="auto"/>
            <w:noWrap/>
            <w:hideMark/>
          </w:tcPr>
          <w:p w14:paraId="2FEDC5D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None</w:t>
            </w:r>
          </w:p>
        </w:tc>
        <w:tc>
          <w:tcPr>
            <w:tcW w:w="1134" w:type="dxa"/>
            <w:tcBorders>
              <w:top w:val="single" w:sz="4" w:space="0" w:color="auto"/>
              <w:left w:val="nil"/>
              <w:bottom w:val="nil"/>
              <w:right w:val="single" w:sz="4" w:space="0" w:color="auto"/>
            </w:tcBorders>
            <w:shd w:val="clear" w:color="auto" w:fill="auto"/>
            <w:noWrap/>
            <w:hideMark/>
          </w:tcPr>
          <w:p w14:paraId="4FCC06C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612BC35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Low</w:t>
            </w:r>
          </w:p>
        </w:tc>
      </w:tr>
      <w:tr w:rsidR="00942FBB" w:rsidRPr="005B1792" w14:paraId="38444BC5" w14:textId="77777777" w:rsidTr="00081D71">
        <w:trPr>
          <w:trHeight w:val="275"/>
        </w:trPr>
        <w:tc>
          <w:tcPr>
            <w:tcW w:w="15390" w:type="dxa"/>
            <w:gridSpan w:val="13"/>
            <w:tcBorders>
              <w:top w:val="single" w:sz="4" w:space="0" w:color="auto"/>
              <w:left w:val="single" w:sz="4" w:space="0" w:color="auto"/>
              <w:bottom w:val="single" w:sz="4" w:space="0" w:color="auto"/>
              <w:right w:val="single" w:sz="4" w:space="0" w:color="000000"/>
            </w:tcBorders>
            <w:shd w:val="clear" w:color="auto" w:fill="auto"/>
            <w:hideMark/>
          </w:tcPr>
          <w:p w14:paraId="4AFBC86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Highly suggestive (class II)</w:t>
            </w:r>
          </w:p>
        </w:tc>
      </w:tr>
      <w:tr w:rsidR="00942FBB" w:rsidRPr="005B1792" w14:paraId="472DAEBC" w14:textId="77777777" w:rsidTr="00081D71">
        <w:trPr>
          <w:trHeight w:val="275"/>
        </w:trPr>
        <w:tc>
          <w:tcPr>
            <w:tcW w:w="1838" w:type="dxa"/>
            <w:tcBorders>
              <w:top w:val="nil"/>
              <w:left w:val="single" w:sz="4" w:space="0" w:color="auto"/>
              <w:bottom w:val="nil"/>
              <w:right w:val="single" w:sz="4" w:space="0" w:color="auto"/>
            </w:tcBorders>
            <w:shd w:val="clear" w:color="auto" w:fill="auto"/>
            <w:noWrap/>
            <w:hideMark/>
          </w:tcPr>
          <w:p w14:paraId="2F1BA66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Intimate partner violence experience</w:t>
            </w:r>
          </w:p>
        </w:tc>
        <w:tc>
          <w:tcPr>
            <w:tcW w:w="1134" w:type="dxa"/>
            <w:tcBorders>
              <w:top w:val="nil"/>
              <w:left w:val="nil"/>
              <w:bottom w:val="nil"/>
              <w:right w:val="single" w:sz="4" w:space="0" w:color="auto"/>
            </w:tcBorders>
            <w:shd w:val="clear" w:color="auto" w:fill="auto"/>
            <w:noWrap/>
            <w:hideMark/>
          </w:tcPr>
          <w:p w14:paraId="52CC5F9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Howard 2013</w:t>
            </w:r>
          </w:p>
        </w:tc>
        <w:tc>
          <w:tcPr>
            <w:tcW w:w="1276" w:type="dxa"/>
            <w:tcBorders>
              <w:top w:val="nil"/>
              <w:left w:val="nil"/>
              <w:bottom w:val="nil"/>
              <w:right w:val="single" w:sz="4" w:space="0" w:color="auto"/>
            </w:tcBorders>
            <w:shd w:val="clear" w:color="auto" w:fill="auto"/>
            <w:noWrap/>
            <w:hideMark/>
          </w:tcPr>
          <w:p w14:paraId="057CF6D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1076 / 7497</w:t>
            </w:r>
          </w:p>
        </w:tc>
        <w:tc>
          <w:tcPr>
            <w:tcW w:w="829" w:type="dxa"/>
            <w:tcBorders>
              <w:top w:val="nil"/>
              <w:left w:val="nil"/>
              <w:bottom w:val="nil"/>
              <w:right w:val="single" w:sz="4" w:space="0" w:color="auto"/>
            </w:tcBorders>
            <w:shd w:val="clear" w:color="auto" w:fill="auto"/>
            <w:noWrap/>
            <w:hideMark/>
          </w:tcPr>
          <w:p w14:paraId="2616195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12</w:t>
            </w:r>
          </w:p>
        </w:tc>
        <w:tc>
          <w:tcPr>
            <w:tcW w:w="1297" w:type="dxa"/>
            <w:tcBorders>
              <w:top w:val="nil"/>
              <w:left w:val="nil"/>
              <w:bottom w:val="nil"/>
              <w:right w:val="single" w:sz="4" w:space="0" w:color="auto"/>
            </w:tcBorders>
            <w:shd w:val="clear" w:color="auto" w:fill="auto"/>
            <w:noWrap/>
            <w:hideMark/>
          </w:tcPr>
          <w:p w14:paraId="38D67E1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cross-sectional</w:t>
            </w:r>
          </w:p>
        </w:tc>
        <w:tc>
          <w:tcPr>
            <w:tcW w:w="705" w:type="dxa"/>
            <w:tcBorders>
              <w:top w:val="nil"/>
              <w:left w:val="nil"/>
              <w:bottom w:val="nil"/>
              <w:right w:val="single" w:sz="4" w:space="0" w:color="auto"/>
            </w:tcBorders>
            <w:shd w:val="clear" w:color="auto" w:fill="auto"/>
            <w:noWrap/>
            <w:hideMark/>
          </w:tcPr>
          <w:p w14:paraId="17AFF24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nil"/>
              <w:left w:val="nil"/>
              <w:bottom w:val="nil"/>
              <w:right w:val="single" w:sz="4" w:space="0" w:color="auto"/>
            </w:tcBorders>
            <w:shd w:val="clear" w:color="auto" w:fill="auto"/>
            <w:noWrap/>
            <w:hideMark/>
          </w:tcPr>
          <w:p w14:paraId="53EE50E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86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12 to 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87)</w:t>
            </w:r>
          </w:p>
        </w:tc>
        <w:tc>
          <w:tcPr>
            <w:tcW w:w="992" w:type="dxa"/>
            <w:tcBorders>
              <w:top w:val="nil"/>
              <w:left w:val="nil"/>
              <w:bottom w:val="nil"/>
              <w:right w:val="single" w:sz="4" w:space="0" w:color="auto"/>
            </w:tcBorders>
            <w:shd w:val="clear" w:color="auto" w:fill="auto"/>
            <w:noWrap/>
            <w:hideMark/>
          </w:tcPr>
          <w:p w14:paraId="78A38AB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&lt;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000001</w:t>
            </w:r>
          </w:p>
        </w:tc>
        <w:tc>
          <w:tcPr>
            <w:tcW w:w="572" w:type="dxa"/>
            <w:tcBorders>
              <w:top w:val="nil"/>
              <w:left w:val="nil"/>
              <w:bottom w:val="nil"/>
              <w:right w:val="single" w:sz="4" w:space="0" w:color="auto"/>
            </w:tcBorders>
            <w:shd w:val="clear" w:color="auto" w:fill="auto"/>
            <w:noWrap/>
            <w:hideMark/>
          </w:tcPr>
          <w:p w14:paraId="350D303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58%</w:t>
            </w:r>
          </w:p>
        </w:tc>
        <w:tc>
          <w:tcPr>
            <w:tcW w:w="1129" w:type="dxa"/>
            <w:tcBorders>
              <w:top w:val="nil"/>
              <w:left w:val="nil"/>
              <w:bottom w:val="nil"/>
              <w:right w:val="single" w:sz="4" w:space="0" w:color="auto"/>
            </w:tcBorders>
            <w:shd w:val="clear" w:color="auto" w:fill="auto"/>
            <w:noWrap/>
            <w:hideMark/>
          </w:tcPr>
          <w:p w14:paraId="55FEE47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15 to 7</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w:t>
            </w:r>
          </w:p>
        </w:tc>
        <w:tc>
          <w:tcPr>
            <w:tcW w:w="1985" w:type="dxa"/>
            <w:tcBorders>
              <w:top w:val="nil"/>
              <w:left w:val="nil"/>
              <w:bottom w:val="nil"/>
              <w:right w:val="single" w:sz="4" w:space="0" w:color="auto"/>
            </w:tcBorders>
            <w:shd w:val="clear" w:color="auto" w:fill="auto"/>
            <w:noWrap/>
            <w:hideMark/>
          </w:tcPr>
          <w:p w14:paraId="2E8FEEE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 small study effect</w:t>
            </w:r>
          </w:p>
        </w:tc>
        <w:tc>
          <w:tcPr>
            <w:tcW w:w="1134" w:type="dxa"/>
            <w:tcBorders>
              <w:top w:val="nil"/>
              <w:left w:val="nil"/>
              <w:bottom w:val="nil"/>
              <w:right w:val="single" w:sz="4" w:space="0" w:color="auto"/>
            </w:tcBorders>
            <w:shd w:val="clear" w:color="auto" w:fill="auto"/>
            <w:noWrap/>
            <w:hideMark/>
          </w:tcPr>
          <w:p w14:paraId="62CC811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High</w:t>
            </w:r>
          </w:p>
        </w:tc>
        <w:tc>
          <w:tcPr>
            <w:tcW w:w="936" w:type="dxa"/>
            <w:tcBorders>
              <w:top w:val="nil"/>
              <w:left w:val="nil"/>
              <w:bottom w:val="nil"/>
              <w:right w:val="single" w:sz="4" w:space="0" w:color="auto"/>
            </w:tcBorders>
          </w:tcPr>
          <w:p w14:paraId="5A81F8A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0ECD9FFA"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3E952A6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Intimate partner violence during pregnancy</w:t>
            </w:r>
          </w:p>
        </w:tc>
        <w:tc>
          <w:tcPr>
            <w:tcW w:w="1134" w:type="dxa"/>
            <w:tcBorders>
              <w:top w:val="single" w:sz="4" w:space="0" w:color="auto"/>
              <w:left w:val="nil"/>
              <w:bottom w:val="nil"/>
              <w:right w:val="single" w:sz="4" w:space="0" w:color="auto"/>
            </w:tcBorders>
            <w:shd w:val="clear" w:color="auto" w:fill="auto"/>
            <w:noWrap/>
            <w:hideMark/>
          </w:tcPr>
          <w:p w14:paraId="7B879B0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Beydoun</w:t>
            </w:r>
            <w:proofErr w:type="spellEnd"/>
            <w:r w:rsidRPr="005B1792">
              <w:rPr>
                <w:rFonts w:ascii="Times New Roman" w:eastAsia="Malgun Gothic" w:hAnsi="Times New Roman" w:cs="Times New Roman"/>
                <w:color w:val="000000"/>
                <w:kern w:val="0"/>
                <w:sz w:val="16"/>
                <w:szCs w:val="16"/>
              </w:rPr>
              <w:t xml:space="preserve"> 2012</w:t>
            </w:r>
          </w:p>
        </w:tc>
        <w:tc>
          <w:tcPr>
            <w:tcW w:w="1276" w:type="dxa"/>
            <w:tcBorders>
              <w:top w:val="single" w:sz="4" w:space="0" w:color="auto"/>
              <w:left w:val="nil"/>
              <w:bottom w:val="nil"/>
              <w:right w:val="single" w:sz="4" w:space="0" w:color="auto"/>
            </w:tcBorders>
            <w:shd w:val="clear" w:color="auto" w:fill="auto"/>
            <w:noWrap/>
            <w:hideMark/>
          </w:tcPr>
          <w:p w14:paraId="1C53934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6106 / 21339</w:t>
            </w:r>
          </w:p>
        </w:tc>
        <w:tc>
          <w:tcPr>
            <w:tcW w:w="829" w:type="dxa"/>
            <w:tcBorders>
              <w:top w:val="single" w:sz="4" w:space="0" w:color="auto"/>
              <w:left w:val="nil"/>
              <w:bottom w:val="nil"/>
              <w:right w:val="single" w:sz="4" w:space="0" w:color="auto"/>
            </w:tcBorders>
            <w:shd w:val="clear" w:color="auto" w:fill="auto"/>
            <w:noWrap/>
            <w:hideMark/>
          </w:tcPr>
          <w:p w14:paraId="4D45803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17</w:t>
            </w:r>
          </w:p>
        </w:tc>
        <w:tc>
          <w:tcPr>
            <w:tcW w:w="1297" w:type="dxa"/>
            <w:tcBorders>
              <w:top w:val="single" w:sz="4" w:space="0" w:color="auto"/>
              <w:left w:val="nil"/>
              <w:bottom w:val="nil"/>
              <w:right w:val="single" w:sz="4" w:space="0" w:color="auto"/>
            </w:tcBorders>
            <w:shd w:val="clear" w:color="auto" w:fill="auto"/>
            <w:noWrap/>
            <w:hideMark/>
          </w:tcPr>
          <w:p w14:paraId="7E5519D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Cross-sectional</w:t>
            </w:r>
          </w:p>
        </w:tc>
        <w:tc>
          <w:tcPr>
            <w:tcW w:w="705" w:type="dxa"/>
            <w:tcBorders>
              <w:top w:val="single" w:sz="4" w:space="0" w:color="auto"/>
              <w:left w:val="nil"/>
              <w:bottom w:val="nil"/>
              <w:right w:val="single" w:sz="4" w:space="0" w:color="auto"/>
            </w:tcBorders>
            <w:shd w:val="clear" w:color="auto" w:fill="auto"/>
            <w:noWrap/>
            <w:hideMark/>
          </w:tcPr>
          <w:p w14:paraId="21CC649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RR</w:t>
            </w:r>
          </w:p>
        </w:tc>
        <w:tc>
          <w:tcPr>
            <w:tcW w:w="1563" w:type="dxa"/>
            <w:tcBorders>
              <w:top w:val="single" w:sz="4" w:space="0" w:color="auto"/>
              <w:left w:val="nil"/>
              <w:bottom w:val="nil"/>
              <w:right w:val="single" w:sz="4" w:space="0" w:color="auto"/>
            </w:tcBorders>
            <w:shd w:val="clear" w:color="auto" w:fill="auto"/>
            <w:noWrap/>
            <w:hideMark/>
          </w:tcPr>
          <w:p w14:paraId="393B732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81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11 to 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74)</w:t>
            </w:r>
          </w:p>
        </w:tc>
        <w:tc>
          <w:tcPr>
            <w:tcW w:w="992" w:type="dxa"/>
            <w:tcBorders>
              <w:top w:val="single" w:sz="4" w:space="0" w:color="auto"/>
              <w:left w:val="nil"/>
              <w:bottom w:val="nil"/>
              <w:right w:val="single" w:sz="4" w:space="0" w:color="auto"/>
            </w:tcBorders>
            <w:shd w:val="clear" w:color="auto" w:fill="auto"/>
            <w:noWrap/>
            <w:hideMark/>
          </w:tcPr>
          <w:p w14:paraId="38BCB25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&lt;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000001</w:t>
            </w:r>
          </w:p>
        </w:tc>
        <w:tc>
          <w:tcPr>
            <w:tcW w:w="572" w:type="dxa"/>
            <w:tcBorders>
              <w:top w:val="single" w:sz="4" w:space="0" w:color="auto"/>
              <w:left w:val="nil"/>
              <w:bottom w:val="nil"/>
              <w:right w:val="single" w:sz="4" w:space="0" w:color="auto"/>
            </w:tcBorders>
            <w:shd w:val="clear" w:color="auto" w:fill="auto"/>
            <w:noWrap/>
            <w:hideMark/>
          </w:tcPr>
          <w:p w14:paraId="3A13CA3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87%</w:t>
            </w:r>
          </w:p>
        </w:tc>
        <w:tc>
          <w:tcPr>
            <w:tcW w:w="1129" w:type="dxa"/>
            <w:tcBorders>
              <w:top w:val="single" w:sz="4" w:space="0" w:color="auto"/>
              <w:left w:val="nil"/>
              <w:bottom w:val="nil"/>
              <w:right w:val="single" w:sz="4" w:space="0" w:color="auto"/>
            </w:tcBorders>
            <w:shd w:val="clear" w:color="auto" w:fill="auto"/>
            <w:noWrap/>
            <w:hideMark/>
          </w:tcPr>
          <w:p w14:paraId="24427D4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86 to 9</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21</w:t>
            </w:r>
          </w:p>
        </w:tc>
        <w:tc>
          <w:tcPr>
            <w:tcW w:w="1985" w:type="dxa"/>
            <w:tcBorders>
              <w:top w:val="single" w:sz="4" w:space="0" w:color="auto"/>
              <w:left w:val="nil"/>
              <w:bottom w:val="nil"/>
              <w:right w:val="single" w:sz="4" w:space="0" w:color="auto"/>
            </w:tcBorders>
            <w:shd w:val="clear" w:color="auto" w:fill="auto"/>
            <w:noWrap/>
            <w:hideMark/>
          </w:tcPr>
          <w:p w14:paraId="25CD9F1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 small study effect</w:t>
            </w:r>
          </w:p>
        </w:tc>
        <w:tc>
          <w:tcPr>
            <w:tcW w:w="1134" w:type="dxa"/>
            <w:tcBorders>
              <w:top w:val="single" w:sz="4" w:space="0" w:color="auto"/>
              <w:left w:val="nil"/>
              <w:bottom w:val="nil"/>
              <w:right w:val="single" w:sz="4" w:space="0" w:color="auto"/>
            </w:tcBorders>
            <w:shd w:val="clear" w:color="auto" w:fill="auto"/>
            <w:noWrap/>
            <w:hideMark/>
          </w:tcPr>
          <w:p w14:paraId="5C5DA81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10079AE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75B80E4C"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017F056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Smoking during pregnancy</w:t>
            </w:r>
          </w:p>
        </w:tc>
        <w:tc>
          <w:tcPr>
            <w:tcW w:w="1134" w:type="dxa"/>
            <w:tcBorders>
              <w:top w:val="single" w:sz="4" w:space="0" w:color="auto"/>
              <w:left w:val="nil"/>
              <w:bottom w:val="nil"/>
              <w:right w:val="single" w:sz="4" w:space="0" w:color="auto"/>
            </w:tcBorders>
            <w:shd w:val="clear" w:color="auto" w:fill="auto"/>
            <w:noWrap/>
            <w:hideMark/>
          </w:tcPr>
          <w:p w14:paraId="00FFE4A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Chen 2019</w:t>
            </w:r>
          </w:p>
        </w:tc>
        <w:tc>
          <w:tcPr>
            <w:tcW w:w="1276" w:type="dxa"/>
            <w:tcBorders>
              <w:top w:val="single" w:sz="4" w:space="0" w:color="auto"/>
              <w:left w:val="nil"/>
              <w:bottom w:val="nil"/>
              <w:right w:val="single" w:sz="4" w:space="0" w:color="auto"/>
            </w:tcBorders>
            <w:shd w:val="clear" w:color="auto" w:fill="auto"/>
            <w:noWrap/>
            <w:hideMark/>
          </w:tcPr>
          <w:p w14:paraId="73F32A5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2466 / 1424800</w:t>
            </w:r>
          </w:p>
        </w:tc>
        <w:tc>
          <w:tcPr>
            <w:tcW w:w="829" w:type="dxa"/>
            <w:tcBorders>
              <w:top w:val="single" w:sz="4" w:space="0" w:color="auto"/>
              <w:left w:val="nil"/>
              <w:bottom w:val="nil"/>
              <w:right w:val="single" w:sz="4" w:space="0" w:color="auto"/>
            </w:tcBorders>
            <w:shd w:val="clear" w:color="auto" w:fill="auto"/>
            <w:noWrap/>
            <w:hideMark/>
          </w:tcPr>
          <w:p w14:paraId="52AC2AE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11</w:t>
            </w:r>
          </w:p>
        </w:tc>
        <w:tc>
          <w:tcPr>
            <w:tcW w:w="1297" w:type="dxa"/>
            <w:tcBorders>
              <w:top w:val="single" w:sz="4" w:space="0" w:color="auto"/>
              <w:left w:val="nil"/>
              <w:bottom w:val="nil"/>
              <w:right w:val="single" w:sz="4" w:space="0" w:color="auto"/>
            </w:tcBorders>
            <w:shd w:val="clear" w:color="auto" w:fill="auto"/>
            <w:noWrap/>
            <w:hideMark/>
          </w:tcPr>
          <w:p w14:paraId="31F5A7D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case-control, cross-sectional</w:t>
            </w:r>
          </w:p>
        </w:tc>
        <w:tc>
          <w:tcPr>
            <w:tcW w:w="705" w:type="dxa"/>
            <w:tcBorders>
              <w:top w:val="single" w:sz="4" w:space="0" w:color="auto"/>
              <w:left w:val="nil"/>
              <w:bottom w:val="nil"/>
              <w:right w:val="single" w:sz="4" w:space="0" w:color="auto"/>
            </w:tcBorders>
            <w:shd w:val="clear" w:color="auto" w:fill="auto"/>
            <w:noWrap/>
            <w:hideMark/>
          </w:tcPr>
          <w:p w14:paraId="3833F1F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3BD65FE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39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78 to 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w:t>
            </w:r>
          </w:p>
        </w:tc>
        <w:tc>
          <w:tcPr>
            <w:tcW w:w="992" w:type="dxa"/>
            <w:tcBorders>
              <w:top w:val="single" w:sz="4" w:space="0" w:color="auto"/>
              <w:left w:val="nil"/>
              <w:bottom w:val="nil"/>
              <w:right w:val="single" w:sz="4" w:space="0" w:color="auto"/>
            </w:tcBorders>
            <w:shd w:val="clear" w:color="auto" w:fill="auto"/>
            <w:noWrap/>
            <w:hideMark/>
          </w:tcPr>
          <w:p w14:paraId="2A2B071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&lt;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000001</w:t>
            </w:r>
          </w:p>
        </w:tc>
        <w:tc>
          <w:tcPr>
            <w:tcW w:w="572" w:type="dxa"/>
            <w:tcBorders>
              <w:top w:val="single" w:sz="4" w:space="0" w:color="auto"/>
              <w:left w:val="nil"/>
              <w:bottom w:val="nil"/>
              <w:right w:val="single" w:sz="4" w:space="0" w:color="auto"/>
            </w:tcBorders>
            <w:shd w:val="clear" w:color="auto" w:fill="auto"/>
            <w:noWrap/>
            <w:hideMark/>
          </w:tcPr>
          <w:p w14:paraId="4FBB470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80%</w:t>
            </w:r>
          </w:p>
        </w:tc>
        <w:tc>
          <w:tcPr>
            <w:tcW w:w="1129" w:type="dxa"/>
            <w:tcBorders>
              <w:top w:val="single" w:sz="4" w:space="0" w:color="auto"/>
              <w:left w:val="nil"/>
              <w:bottom w:val="nil"/>
              <w:right w:val="single" w:sz="4" w:space="0" w:color="auto"/>
            </w:tcBorders>
            <w:shd w:val="clear" w:color="auto" w:fill="auto"/>
            <w:noWrap/>
            <w:hideMark/>
          </w:tcPr>
          <w:p w14:paraId="5EA0E3A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88 to 6</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45</w:t>
            </w:r>
          </w:p>
        </w:tc>
        <w:tc>
          <w:tcPr>
            <w:tcW w:w="1985" w:type="dxa"/>
            <w:tcBorders>
              <w:top w:val="single" w:sz="4" w:space="0" w:color="auto"/>
              <w:left w:val="nil"/>
              <w:bottom w:val="nil"/>
              <w:right w:val="single" w:sz="4" w:space="0" w:color="auto"/>
            </w:tcBorders>
            <w:shd w:val="clear" w:color="auto" w:fill="auto"/>
            <w:noWrap/>
            <w:hideMark/>
          </w:tcPr>
          <w:p w14:paraId="5D4A977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11A2B97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2AB17A9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7E845DEC"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310982F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History of premenstrual syndrome</w:t>
            </w:r>
          </w:p>
        </w:tc>
        <w:tc>
          <w:tcPr>
            <w:tcW w:w="1134" w:type="dxa"/>
            <w:tcBorders>
              <w:top w:val="single" w:sz="4" w:space="0" w:color="auto"/>
              <w:left w:val="nil"/>
              <w:bottom w:val="nil"/>
              <w:right w:val="single" w:sz="4" w:space="0" w:color="auto"/>
            </w:tcBorders>
            <w:shd w:val="clear" w:color="auto" w:fill="auto"/>
            <w:noWrap/>
            <w:hideMark/>
          </w:tcPr>
          <w:p w14:paraId="54F1A28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Cao 2020</w:t>
            </w:r>
          </w:p>
        </w:tc>
        <w:tc>
          <w:tcPr>
            <w:tcW w:w="1276" w:type="dxa"/>
            <w:tcBorders>
              <w:top w:val="single" w:sz="4" w:space="0" w:color="auto"/>
              <w:left w:val="nil"/>
              <w:bottom w:val="nil"/>
              <w:right w:val="single" w:sz="4" w:space="0" w:color="auto"/>
            </w:tcBorders>
            <w:shd w:val="clear" w:color="auto" w:fill="auto"/>
            <w:noWrap/>
            <w:hideMark/>
          </w:tcPr>
          <w:p w14:paraId="54F517B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1400 / 8990</w:t>
            </w:r>
          </w:p>
        </w:tc>
        <w:tc>
          <w:tcPr>
            <w:tcW w:w="829" w:type="dxa"/>
            <w:tcBorders>
              <w:top w:val="single" w:sz="4" w:space="0" w:color="auto"/>
              <w:left w:val="nil"/>
              <w:bottom w:val="nil"/>
              <w:right w:val="single" w:sz="4" w:space="0" w:color="auto"/>
            </w:tcBorders>
            <w:shd w:val="clear" w:color="auto" w:fill="auto"/>
            <w:noWrap/>
            <w:hideMark/>
          </w:tcPr>
          <w:p w14:paraId="599BBF4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19</w:t>
            </w:r>
          </w:p>
        </w:tc>
        <w:tc>
          <w:tcPr>
            <w:tcW w:w="1297" w:type="dxa"/>
            <w:tcBorders>
              <w:top w:val="single" w:sz="4" w:space="0" w:color="auto"/>
              <w:left w:val="nil"/>
              <w:bottom w:val="nil"/>
              <w:right w:val="single" w:sz="4" w:space="0" w:color="auto"/>
            </w:tcBorders>
            <w:shd w:val="clear" w:color="auto" w:fill="auto"/>
            <w:noWrap/>
            <w:hideMark/>
          </w:tcPr>
          <w:p w14:paraId="470664B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case-control, cross-sectional</w:t>
            </w:r>
          </w:p>
        </w:tc>
        <w:tc>
          <w:tcPr>
            <w:tcW w:w="705" w:type="dxa"/>
            <w:tcBorders>
              <w:top w:val="single" w:sz="4" w:space="0" w:color="auto"/>
              <w:left w:val="nil"/>
              <w:bottom w:val="nil"/>
              <w:right w:val="single" w:sz="4" w:space="0" w:color="auto"/>
            </w:tcBorders>
            <w:shd w:val="clear" w:color="auto" w:fill="auto"/>
            <w:noWrap/>
            <w:hideMark/>
          </w:tcPr>
          <w:p w14:paraId="5B53348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2212C34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81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68)</w:t>
            </w:r>
          </w:p>
        </w:tc>
        <w:tc>
          <w:tcPr>
            <w:tcW w:w="992" w:type="dxa"/>
            <w:tcBorders>
              <w:top w:val="single" w:sz="4" w:space="0" w:color="auto"/>
              <w:left w:val="nil"/>
              <w:bottom w:val="nil"/>
              <w:right w:val="single" w:sz="4" w:space="0" w:color="auto"/>
            </w:tcBorders>
            <w:shd w:val="clear" w:color="auto" w:fill="auto"/>
            <w:noWrap/>
            <w:hideMark/>
          </w:tcPr>
          <w:p w14:paraId="44DB843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&lt;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000001</w:t>
            </w:r>
          </w:p>
        </w:tc>
        <w:tc>
          <w:tcPr>
            <w:tcW w:w="572" w:type="dxa"/>
            <w:tcBorders>
              <w:top w:val="single" w:sz="4" w:space="0" w:color="auto"/>
              <w:left w:val="nil"/>
              <w:bottom w:val="nil"/>
              <w:right w:val="single" w:sz="4" w:space="0" w:color="auto"/>
            </w:tcBorders>
            <w:shd w:val="clear" w:color="auto" w:fill="auto"/>
            <w:noWrap/>
            <w:hideMark/>
          </w:tcPr>
          <w:p w14:paraId="346D107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42%</w:t>
            </w:r>
          </w:p>
        </w:tc>
        <w:tc>
          <w:tcPr>
            <w:tcW w:w="1129" w:type="dxa"/>
            <w:tcBorders>
              <w:top w:val="single" w:sz="4" w:space="0" w:color="auto"/>
              <w:left w:val="nil"/>
              <w:bottom w:val="nil"/>
              <w:right w:val="single" w:sz="4" w:space="0" w:color="auto"/>
            </w:tcBorders>
            <w:shd w:val="clear" w:color="auto" w:fill="auto"/>
            <w:noWrap/>
            <w:hideMark/>
          </w:tcPr>
          <w:p w14:paraId="571EA70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21 to 4</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01</w:t>
            </w:r>
          </w:p>
        </w:tc>
        <w:tc>
          <w:tcPr>
            <w:tcW w:w="1985" w:type="dxa"/>
            <w:tcBorders>
              <w:top w:val="single" w:sz="4" w:space="0" w:color="auto"/>
              <w:left w:val="nil"/>
              <w:bottom w:val="nil"/>
              <w:right w:val="single" w:sz="4" w:space="0" w:color="auto"/>
            </w:tcBorders>
            <w:shd w:val="clear" w:color="auto" w:fill="auto"/>
            <w:noWrap/>
            <w:hideMark/>
          </w:tcPr>
          <w:p w14:paraId="4DFAE86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Small study effect</w:t>
            </w:r>
          </w:p>
        </w:tc>
        <w:tc>
          <w:tcPr>
            <w:tcW w:w="1134" w:type="dxa"/>
            <w:tcBorders>
              <w:top w:val="single" w:sz="4" w:space="0" w:color="auto"/>
              <w:left w:val="nil"/>
              <w:bottom w:val="nil"/>
              <w:right w:val="single" w:sz="4" w:space="0" w:color="auto"/>
            </w:tcBorders>
            <w:shd w:val="clear" w:color="auto" w:fill="auto"/>
            <w:noWrap/>
            <w:hideMark/>
          </w:tcPr>
          <w:p w14:paraId="2DB1782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High</w:t>
            </w:r>
          </w:p>
        </w:tc>
        <w:tc>
          <w:tcPr>
            <w:tcW w:w="936" w:type="dxa"/>
            <w:tcBorders>
              <w:top w:val="single" w:sz="4" w:space="0" w:color="auto"/>
              <w:left w:val="nil"/>
              <w:bottom w:val="nil"/>
              <w:right w:val="single" w:sz="4" w:space="0" w:color="auto"/>
            </w:tcBorders>
          </w:tcPr>
          <w:p w14:paraId="0C5A47E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29D0465E"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3714291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Any type of violence experience</w:t>
            </w:r>
          </w:p>
        </w:tc>
        <w:tc>
          <w:tcPr>
            <w:tcW w:w="1134" w:type="dxa"/>
            <w:tcBorders>
              <w:top w:val="single" w:sz="4" w:space="0" w:color="auto"/>
              <w:left w:val="nil"/>
              <w:bottom w:val="nil"/>
              <w:right w:val="single" w:sz="4" w:space="0" w:color="auto"/>
            </w:tcBorders>
            <w:shd w:val="clear" w:color="auto" w:fill="auto"/>
            <w:noWrap/>
            <w:hideMark/>
          </w:tcPr>
          <w:p w14:paraId="1B79F31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Zhang 2019</w:t>
            </w:r>
          </w:p>
        </w:tc>
        <w:tc>
          <w:tcPr>
            <w:tcW w:w="1276" w:type="dxa"/>
            <w:tcBorders>
              <w:top w:val="single" w:sz="4" w:space="0" w:color="auto"/>
              <w:left w:val="nil"/>
              <w:bottom w:val="nil"/>
              <w:right w:val="single" w:sz="4" w:space="0" w:color="auto"/>
            </w:tcBorders>
            <w:shd w:val="clear" w:color="auto" w:fill="auto"/>
            <w:noWrap/>
            <w:hideMark/>
          </w:tcPr>
          <w:p w14:paraId="30704E2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16953 / 177148</w:t>
            </w:r>
          </w:p>
        </w:tc>
        <w:tc>
          <w:tcPr>
            <w:tcW w:w="829" w:type="dxa"/>
            <w:tcBorders>
              <w:top w:val="single" w:sz="4" w:space="0" w:color="auto"/>
              <w:left w:val="nil"/>
              <w:bottom w:val="nil"/>
              <w:right w:val="single" w:sz="4" w:space="0" w:color="auto"/>
            </w:tcBorders>
            <w:shd w:val="clear" w:color="auto" w:fill="auto"/>
            <w:noWrap/>
            <w:hideMark/>
          </w:tcPr>
          <w:p w14:paraId="5F72942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32</w:t>
            </w:r>
          </w:p>
        </w:tc>
        <w:tc>
          <w:tcPr>
            <w:tcW w:w="1297" w:type="dxa"/>
            <w:tcBorders>
              <w:top w:val="single" w:sz="4" w:space="0" w:color="auto"/>
              <w:left w:val="nil"/>
              <w:bottom w:val="nil"/>
              <w:right w:val="single" w:sz="4" w:space="0" w:color="auto"/>
            </w:tcBorders>
            <w:shd w:val="clear" w:color="auto" w:fill="auto"/>
            <w:noWrap/>
            <w:hideMark/>
          </w:tcPr>
          <w:p w14:paraId="49AB0E5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w:t>
            </w:r>
          </w:p>
        </w:tc>
        <w:tc>
          <w:tcPr>
            <w:tcW w:w="705" w:type="dxa"/>
            <w:tcBorders>
              <w:top w:val="single" w:sz="4" w:space="0" w:color="auto"/>
              <w:left w:val="nil"/>
              <w:bottom w:val="nil"/>
              <w:right w:val="single" w:sz="4" w:space="0" w:color="auto"/>
            </w:tcBorders>
            <w:shd w:val="clear" w:color="auto" w:fill="auto"/>
            <w:noWrap/>
            <w:hideMark/>
          </w:tcPr>
          <w:p w14:paraId="4251D57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58779A2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04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72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41)</w:t>
            </w:r>
          </w:p>
        </w:tc>
        <w:tc>
          <w:tcPr>
            <w:tcW w:w="992" w:type="dxa"/>
            <w:tcBorders>
              <w:top w:val="single" w:sz="4" w:space="0" w:color="auto"/>
              <w:left w:val="nil"/>
              <w:bottom w:val="nil"/>
              <w:right w:val="single" w:sz="4" w:space="0" w:color="auto"/>
            </w:tcBorders>
            <w:shd w:val="clear" w:color="auto" w:fill="auto"/>
            <w:noWrap/>
            <w:hideMark/>
          </w:tcPr>
          <w:p w14:paraId="7F6205D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&lt;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000001</w:t>
            </w:r>
          </w:p>
        </w:tc>
        <w:tc>
          <w:tcPr>
            <w:tcW w:w="572" w:type="dxa"/>
            <w:tcBorders>
              <w:top w:val="single" w:sz="4" w:space="0" w:color="auto"/>
              <w:left w:val="nil"/>
              <w:bottom w:val="nil"/>
              <w:right w:val="single" w:sz="4" w:space="0" w:color="auto"/>
            </w:tcBorders>
            <w:shd w:val="clear" w:color="auto" w:fill="auto"/>
            <w:noWrap/>
            <w:hideMark/>
          </w:tcPr>
          <w:p w14:paraId="6E87C97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94%</w:t>
            </w:r>
          </w:p>
        </w:tc>
        <w:tc>
          <w:tcPr>
            <w:tcW w:w="1129" w:type="dxa"/>
            <w:tcBorders>
              <w:top w:val="single" w:sz="4" w:space="0" w:color="auto"/>
              <w:left w:val="nil"/>
              <w:bottom w:val="nil"/>
              <w:right w:val="single" w:sz="4" w:space="0" w:color="auto"/>
            </w:tcBorders>
            <w:shd w:val="clear" w:color="auto" w:fill="auto"/>
            <w:noWrap/>
            <w:hideMark/>
          </w:tcPr>
          <w:p w14:paraId="6A4A01A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88 to 4</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73</w:t>
            </w:r>
          </w:p>
        </w:tc>
        <w:tc>
          <w:tcPr>
            <w:tcW w:w="1985" w:type="dxa"/>
            <w:tcBorders>
              <w:top w:val="single" w:sz="4" w:space="0" w:color="auto"/>
              <w:left w:val="nil"/>
              <w:bottom w:val="nil"/>
              <w:right w:val="single" w:sz="4" w:space="0" w:color="auto"/>
            </w:tcBorders>
            <w:shd w:val="clear" w:color="auto" w:fill="auto"/>
            <w:noWrap/>
            <w:hideMark/>
          </w:tcPr>
          <w:p w14:paraId="342E288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 small study effect</w:t>
            </w:r>
          </w:p>
        </w:tc>
        <w:tc>
          <w:tcPr>
            <w:tcW w:w="1134" w:type="dxa"/>
            <w:tcBorders>
              <w:top w:val="single" w:sz="4" w:space="0" w:color="auto"/>
              <w:left w:val="nil"/>
              <w:bottom w:val="nil"/>
              <w:right w:val="single" w:sz="4" w:space="0" w:color="auto"/>
            </w:tcBorders>
            <w:shd w:val="clear" w:color="auto" w:fill="auto"/>
            <w:noWrap/>
            <w:hideMark/>
          </w:tcPr>
          <w:p w14:paraId="69D59A1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4286008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168E5EEF"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3628448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Primiparity compared to multiparity</w:t>
            </w:r>
          </w:p>
        </w:tc>
        <w:tc>
          <w:tcPr>
            <w:tcW w:w="1134" w:type="dxa"/>
            <w:tcBorders>
              <w:top w:val="single" w:sz="4" w:space="0" w:color="auto"/>
              <w:left w:val="nil"/>
              <w:bottom w:val="nil"/>
              <w:right w:val="single" w:sz="4" w:space="0" w:color="auto"/>
            </w:tcBorders>
            <w:shd w:val="clear" w:color="auto" w:fill="auto"/>
            <w:noWrap/>
            <w:hideMark/>
          </w:tcPr>
          <w:p w14:paraId="41D9308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Tokumitsu</w:t>
            </w:r>
            <w:proofErr w:type="spellEnd"/>
            <w:r w:rsidRPr="005B1792">
              <w:rPr>
                <w:rFonts w:ascii="Times New Roman" w:eastAsia="Malgun Gothic" w:hAnsi="Times New Roman" w:cs="Times New Roman"/>
                <w:color w:val="000000"/>
                <w:kern w:val="0"/>
                <w:sz w:val="16"/>
                <w:szCs w:val="16"/>
              </w:rPr>
              <w:t xml:space="preserve"> 2020</w:t>
            </w:r>
          </w:p>
        </w:tc>
        <w:tc>
          <w:tcPr>
            <w:tcW w:w="1276" w:type="dxa"/>
            <w:tcBorders>
              <w:top w:val="single" w:sz="4" w:space="0" w:color="auto"/>
              <w:left w:val="nil"/>
              <w:bottom w:val="nil"/>
              <w:right w:val="single" w:sz="4" w:space="0" w:color="auto"/>
            </w:tcBorders>
            <w:shd w:val="clear" w:color="auto" w:fill="auto"/>
            <w:noWrap/>
            <w:hideMark/>
          </w:tcPr>
          <w:p w14:paraId="44287EB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14048 / 102006</w:t>
            </w:r>
          </w:p>
        </w:tc>
        <w:tc>
          <w:tcPr>
            <w:tcW w:w="829" w:type="dxa"/>
            <w:tcBorders>
              <w:top w:val="single" w:sz="4" w:space="0" w:color="auto"/>
              <w:left w:val="nil"/>
              <w:bottom w:val="nil"/>
              <w:right w:val="single" w:sz="4" w:space="0" w:color="auto"/>
            </w:tcBorders>
            <w:shd w:val="clear" w:color="auto" w:fill="auto"/>
            <w:noWrap/>
            <w:hideMark/>
          </w:tcPr>
          <w:p w14:paraId="6091349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39</w:t>
            </w:r>
          </w:p>
        </w:tc>
        <w:tc>
          <w:tcPr>
            <w:tcW w:w="1297" w:type="dxa"/>
            <w:tcBorders>
              <w:top w:val="single" w:sz="4" w:space="0" w:color="auto"/>
              <w:left w:val="nil"/>
              <w:bottom w:val="nil"/>
              <w:right w:val="single" w:sz="4" w:space="0" w:color="auto"/>
            </w:tcBorders>
            <w:shd w:val="clear" w:color="auto" w:fill="auto"/>
            <w:noWrap/>
            <w:hideMark/>
          </w:tcPr>
          <w:p w14:paraId="3D9BCBC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case-control, cross-sectional</w:t>
            </w:r>
          </w:p>
        </w:tc>
        <w:tc>
          <w:tcPr>
            <w:tcW w:w="705" w:type="dxa"/>
            <w:tcBorders>
              <w:top w:val="single" w:sz="4" w:space="0" w:color="auto"/>
              <w:left w:val="nil"/>
              <w:bottom w:val="nil"/>
              <w:right w:val="single" w:sz="4" w:space="0" w:color="auto"/>
            </w:tcBorders>
            <w:shd w:val="clear" w:color="auto" w:fill="auto"/>
            <w:noWrap/>
            <w:hideMark/>
          </w:tcPr>
          <w:p w14:paraId="1CE5E80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RR</w:t>
            </w:r>
          </w:p>
        </w:tc>
        <w:tc>
          <w:tcPr>
            <w:tcW w:w="1563" w:type="dxa"/>
            <w:tcBorders>
              <w:top w:val="single" w:sz="4" w:space="0" w:color="auto"/>
              <w:left w:val="nil"/>
              <w:bottom w:val="nil"/>
              <w:right w:val="single" w:sz="4" w:space="0" w:color="auto"/>
            </w:tcBorders>
            <w:shd w:val="clear" w:color="auto" w:fill="auto"/>
            <w:noWrap/>
            <w:hideMark/>
          </w:tcPr>
          <w:p w14:paraId="3B03917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76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59 to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96)</w:t>
            </w:r>
          </w:p>
        </w:tc>
        <w:tc>
          <w:tcPr>
            <w:tcW w:w="992" w:type="dxa"/>
            <w:tcBorders>
              <w:top w:val="single" w:sz="4" w:space="0" w:color="auto"/>
              <w:left w:val="nil"/>
              <w:bottom w:val="nil"/>
              <w:right w:val="single" w:sz="4" w:space="0" w:color="auto"/>
            </w:tcBorders>
            <w:shd w:val="clear" w:color="auto" w:fill="auto"/>
            <w:noWrap/>
            <w:hideMark/>
          </w:tcPr>
          <w:p w14:paraId="12EF4C4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&lt;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000001</w:t>
            </w:r>
          </w:p>
        </w:tc>
        <w:tc>
          <w:tcPr>
            <w:tcW w:w="572" w:type="dxa"/>
            <w:tcBorders>
              <w:top w:val="single" w:sz="4" w:space="0" w:color="auto"/>
              <w:left w:val="nil"/>
              <w:bottom w:val="nil"/>
              <w:right w:val="single" w:sz="4" w:space="0" w:color="auto"/>
            </w:tcBorders>
            <w:shd w:val="clear" w:color="auto" w:fill="auto"/>
            <w:noWrap/>
            <w:hideMark/>
          </w:tcPr>
          <w:p w14:paraId="014F254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52%</w:t>
            </w:r>
          </w:p>
        </w:tc>
        <w:tc>
          <w:tcPr>
            <w:tcW w:w="1129" w:type="dxa"/>
            <w:tcBorders>
              <w:top w:val="single" w:sz="4" w:space="0" w:color="auto"/>
              <w:left w:val="nil"/>
              <w:bottom w:val="nil"/>
              <w:right w:val="single" w:sz="4" w:space="0" w:color="auto"/>
            </w:tcBorders>
            <w:shd w:val="clear" w:color="auto" w:fill="auto"/>
            <w:noWrap/>
            <w:hideMark/>
          </w:tcPr>
          <w:p w14:paraId="5455DF9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58</w:t>
            </w:r>
          </w:p>
        </w:tc>
        <w:tc>
          <w:tcPr>
            <w:tcW w:w="1985" w:type="dxa"/>
            <w:tcBorders>
              <w:top w:val="single" w:sz="4" w:space="0" w:color="auto"/>
              <w:left w:val="nil"/>
              <w:bottom w:val="nil"/>
              <w:right w:val="single" w:sz="4" w:space="0" w:color="auto"/>
            </w:tcBorders>
            <w:shd w:val="clear" w:color="auto" w:fill="auto"/>
            <w:noWrap/>
            <w:hideMark/>
          </w:tcPr>
          <w:p w14:paraId="7D6EC88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 small study effect</w:t>
            </w:r>
          </w:p>
        </w:tc>
        <w:tc>
          <w:tcPr>
            <w:tcW w:w="1134" w:type="dxa"/>
            <w:tcBorders>
              <w:top w:val="single" w:sz="4" w:space="0" w:color="auto"/>
              <w:left w:val="nil"/>
              <w:bottom w:val="nil"/>
              <w:right w:val="single" w:sz="4" w:space="0" w:color="auto"/>
            </w:tcBorders>
            <w:shd w:val="clear" w:color="auto" w:fill="auto"/>
            <w:noWrap/>
            <w:hideMark/>
          </w:tcPr>
          <w:p w14:paraId="1E0F6B8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509C484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2AEBC102"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6EDCA9B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Unintended pregnancy</w:t>
            </w:r>
          </w:p>
        </w:tc>
        <w:tc>
          <w:tcPr>
            <w:tcW w:w="1134" w:type="dxa"/>
            <w:tcBorders>
              <w:top w:val="single" w:sz="4" w:space="0" w:color="auto"/>
              <w:left w:val="nil"/>
              <w:bottom w:val="nil"/>
              <w:right w:val="single" w:sz="4" w:space="0" w:color="auto"/>
            </w:tcBorders>
            <w:shd w:val="clear" w:color="auto" w:fill="auto"/>
            <w:noWrap/>
            <w:hideMark/>
          </w:tcPr>
          <w:p w14:paraId="22671EA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Qiu</w:t>
            </w:r>
            <w:proofErr w:type="spellEnd"/>
            <w:r w:rsidRPr="005B1792">
              <w:rPr>
                <w:rFonts w:ascii="Times New Roman" w:eastAsia="Malgun Gothic" w:hAnsi="Times New Roman" w:cs="Times New Roman"/>
                <w:color w:val="000000"/>
                <w:kern w:val="0"/>
                <w:sz w:val="16"/>
                <w:szCs w:val="16"/>
              </w:rPr>
              <w:t xml:space="preserve"> 2020</w:t>
            </w:r>
          </w:p>
        </w:tc>
        <w:tc>
          <w:tcPr>
            <w:tcW w:w="1276" w:type="dxa"/>
            <w:tcBorders>
              <w:top w:val="single" w:sz="4" w:space="0" w:color="auto"/>
              <w:left w:val="nil"/>
              <w:bottom w:val="nil"/>
              <w:right w:val="single" w:sz="4" w:space="0" w:color="auto"/>
            </w:tcBorders>
            <w:shd w:val="clear" w:color="auto" w:fill="auto"/>
            <w:noWrap/>
            <w:hideMark/>
          </w:tcPr>
          <w:p w14:paraId="6910CD5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5563 / 62778</w:t>
            </w:r>
          </w:p>
        </w:tc>
        <w:tc>
          <w:tcPr>
            <w:tcW w:w="829" w:type="dxa"/>
            <w:tcBorders>
              <w:top w:val="single" w:sz="4" w:space="0" w:color="auto"/>
              <w:left w:val="nil"/>
              <w:bottom w:val="nil"/>
              <w:right w:val="single" w:sz="4" w:space="0" w:color="auto"/>
            </w:tcBorders>
            <w:shd w:val="clear" w:color="auto" w:fill="auto"/>
            <w:noWrap/>
            <w:hideMark/>
          </w:tcPr>
          <w:p w14:paraId="44A2F53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30</w:t>
            </w:r>
          </w:p>
        </w:tc>
        <w:tc>
          <w:tcPr>
            <w:tcW w:w="1297" w:type="dxa"/>
            <w:tcBorders>
              <w:top w:val="single" w:sz="4" w:space="0" w:color="auto"/>
              <w:left w:val="nil"/>
              <w:bottom w:val="nil"/>
              <w:right w:val="single" w:sz="4" w:space="0" w:color="auto"/>
            </w:tcBorders>
            <w:shd w:val="clear" w:color="auto" w:fill="auto"/>
            <w:noWrap/>
            <w:hideMark/>
          </w:tcPr>
          <w:p w14:paraId="3AA66B6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case-control</w:t>
            </w:r>
          </w:p>
        </w:tc>
        <w:tc>
          <w:tcPr>
            <w:tcW w:w="705" w:type="dxa"/>
            <w:tcBorders>
              <w:top w:val="single" w:sz="4" w:space="0" w:color="auto"/>
              <w:left w:val="nil"/>
              <w:bottom w:val="nil"/>
              <w:right w:val="single" w:sz="4" w:space="0" w:color="auto"/>
            </w:tcBorders>
            <w:shd w:val="clear" w:color="auto" w:fill="auto"/>
            <w:noWrap/>
            <w:hideMark/>
          </w:tcPr>
          <w:p w14:paraId="1D72B37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545AE74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53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35 to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75)</w:t>
            </w:r>
          </w:p>
        </w:tc>
        <w:tc>
          <w:tcPr>
            <w:tcW w:w="992" w:type="dxa"/>
            <w:tcBorders>
              <w:top w:val="single" w:sz="4" w:space="0" w:color="auto"/>
              <w:left w:val="nil"/>
              <w:bottom w:val="nil"/>
              <w:right w:val="single" w:sz="4" w:space="0" w:color="auto"/>
            </w:tcBorders>
            <w:shd w:val="clear" w:color="auto" w:fill="auto"/>
            <w:noWrap/>
            <w:hideMark/>
          </w:tcPr>
          <w:p w14:paraId="3E67072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&lt;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000001</w:t>
            </w:r>
          </w:p>
        </w:tc>
        <w:tc>
          <w:tcPr>
            <w:tcW w:w="572" w:type="dxa"/>
            <w:tcBorders>
              <w:top w:val="single" w:sz="4" w:space="0" w:color="auto"/>
              <w:left w:val="nil"/>
              <w:bottom w:val="nil"/>
              <w:right w:val="single" w:sz="4" w:space="0" w:color="auto"/>
            </w:tcBorders>
            <w:shd w:val="clear" w:color="auto" w:fill="auto"/>
            <w:noWrap/>
            <w:hideMark/>
          </w:tcPr>
          <w:p w14:paraId="118A28C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77%</w:t>
            </w:r>
          </w:p>
        </w:tc>
        <w:tc>
          <w:tcPr>
            <w:tcW w:w="1129" w:type="dxa"/>
            <w:tcBorders>
              <w:top w:val="single" w:sz="4" w:space="0" w:color="auto"/>
              <w:left w:val="nil"/>
              <w:bottom w:val="nil"/>
              <w:right w:val="single" w:sz="4" w:space="0" w:color="auto"/>
            </w:tcBorders>
            <w:shd w:val="clear" w:color="auto" w:fill="auto"/>
            <w:noWrap/>
            <w:hideMark/>
          </w:tcPr>
          <w:p w14:paraId="7C4B2A5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88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68</w:t>
            </w:r>
          </w:p>
        </w:tc>
        <w:tc>
          <w:tcPr>
            <w:tcW w:w="1985" w:type="dxa"/>
            <w:tcBorders>
              <w:top w:val="single" w:sz="4" w:space="0" w:color="auto"/>
              <w:left w:val="nil"/>
              <w:bottom w:val="nil"/>
              <w:right w:val="single" w:sz="4" w:space="0" w:color="auto"/>
            </w:tcBorders>
            <w:shd w:val="clear" w:color="auto" w:fill="auto"/>
            <w:noWrap/>
            <w:hideMark/>
          </w:tcPr>
          <w:p w14:paraId="6AA33EF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 small study effect</w:t>
            </w:r>
          </w:p>
        </w:tc>
        <w:tc>
          <w:tcPr>
            <w:tcW w:w="1134" w:type="dxa"/>
            <w:tcBorders>
              <w:top w:val="single" w:sz="4" w:space="0" w:color="auto"/>
              <w:left w:val="nil"/>
              <w:bottom w:val="nil"/>
              <w:right w:val="single" w:sz="4" w:space="0" w:color="auto"/>
            </w:tcBorders>
            <w:shd w:val="clear" w:color="auto" w:fill="auto"/>
            <w:noWrap/>
            <w:hideMark/>
          </w:tcPr>
          <w:p w14:paraId="13B365F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Low</w:t>
            </w:r>
          </w:p>
        </w:tc>
        <w:tc>
          <w:tcPr>
            <w:tcW w:w="936" w:type="dxa"/>
            <w:tcBorders>
              <w:top w:val="single" w:sz="4" w:space="0" w:color="auto"/>
              <w:left w:val="nil"/>
              <w:bottom w:val="nil"/>
              <w:right w:val="single" w:sz="4" w:space="0" w:color="auto"/>
            </w:tcBorders>
          </w:tcPr>
          <w:p w14:paraId="645BA59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223342B4" w14:textId="77777777" w:rsidTr="00081D71">
        <w:trPr>
          <w:trHeight w:val="275"/>
        </w:trPr>
        <w:tc>
          <w:tcPr>
            <w:tcW w:w="15390" w:type="dxa"/>
            <w:gridSpan w:val="13"/>
            <w:tcBorders>
              <w:top w:val="single" w:sz="4" w:space="0" w:color="auto"/>
              <w:left w:val="single" w:sz="4" w:space="0" w:color="auto"/>
              <w:bottom w:val="single" w:sz="4" w:space="0" w:color="auto"/>
              <w:right w:val="single" w:sz="4" w:space="0" w:color="000000"/>
            </w:tcBorders>
            <w:shd w:val="clear" w:color="auto" w:fill="auto"/>
            <w:hideMark/>
          </w:tcPr>
          <w:p w14:paraId="315843F1" w14:textId="77777777" w:rsidR="00942FBB" w:rsidRPr="005B1792" w:rsidRDefault="00942FBB" w:rsidP="00903ADE">
            <w:pPr>
              <w:widowControl/>
              <w:tabs>
                <w:tab w:val="left" w:pos="13973"/>
              </w:tabs>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Suggestive (class III)</w:t>
            </w:r>
          </w:p>
        </w:tc>
      </w:tr>
      <w:tr w:rsidR="00942FBB" w:rsidRPr="005B1792" w14:paraId="063D994C" w14:textId="77777777" w:rsidTr="00081D71">
        <w:trPr>
          <w:trHeight w:val="275"/>
        </w:trPr>
        <w:tc>
          <w:tcPr>
            <w:tcW w:w="1838" w:type="dxa"/>
            <w:tcBorders>
              <w:top w:val="nil"/>
              <w:left w:val="single" w:sz="4" w:space="0" w:color="auto"/>
              <w:bottom w:val="nil"/>
              <w:right w:val="single" w:sz="4" w:space="0" w:color="auto"/>
            </w:tcBorders>
            <w:shd w:val="clear" w:color="auto" w:fill="auto"/>
            <w:noWrap/>
            <w:hideMark/>
          </w:tcPr>
          <w:p w14:paraId="2392B82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History of mental disorders</w:t>
            </w:r>
          </w:p>
        </w:tc>
        <w:tc>
          <w:tcPr>
            <w:tcW w:w="1134" w:type="dxa"/>
            <w:tcBorders>
              <w:top w:val="nil"/>
              <w:left w:val="nil"/>
              <w:bottom w:val="nil"/>
              <w:right w:val="single" w:sz="4" w:space="0" w:color="auto"/>
            </w:tcBorders>
            <w:shd w:val="clear" w:color="auto" w:fill="auto"/>
            <w:noWrap/>
            <w:hideMark/>
          </w:tcPr>
          <w:p w14:paraId="4EB0667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Dadi 2020</w:t>
            </w:r>
          </w:p>
        </w:tc>
        <w:tc>
          <w:tcPr>
            <w:tcW w:w="1276" w:type="dxa"/>
            <w:tcBorders>
              <w:top w:val="nil"/>
              <w:left w:val="nil"/>
              <w:bottom w:val="nil"/>
              <w:right w:val="single" w:sz="4" w:space="0" w:color="auto"/>
            </w:tcBorders>
            <w:shd w:val="clear" w:color="auto" w:fill="auto"/>
            <w:noWrap/>
            <w:hideMark/>
          </w:tcPr>
          <w:p w14:paraId="605703E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1106 / 14991</w:t>
            </w:r>
          </w:p>
        </w:tc>
        <w:tc>
          <w:tcPr>
            <w:tcW w:w="829" w:type="dxa"/>
            <w:tcBorders>
              <w:top w:val="nil"/>
              <w:left w:val="nil"/>
              <w:bottom w:val="nil"/>
              <w:right w:val="single" w:sz="4" w:space="0" w:color="auto"/>
            </w:tcBorders>
            <w:shd w:val="clear" w:color="auto" w:fill="auto"/>
            <w:noWrap/>
            <w:hideMark/>
          </w:tcPr>
          <w:p w14:paraId="053E4CC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w:t>
            </w:r>
          </w:p>
        </w:tc>
        <w:tc>
          <w:tcPr>
            <w:tcW w:w="1297" w:type="dxa"/>
            <w:tcBorders>
              <w:top w:val="nil"/>
              <w:left w:val="nil"/>
              <w:bottom w:val="nil"/>
              <w:right w:val="single" w:sz="4" w:space="0" w:color="auto"/>
            </w:tcBorders>
            <w:shd w:val="clear" w:color="auto" w:fill="auto"/>
            <w:noWrap/>
            <w:hideMark/>
          </w:tcPr>
          <w:p w14:paraId="4214322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cross-sectional</w:t>
            </w:r>
          </w:p>
        </w:tc>
        <w:tc>
          <w:tcPr>
            <w:tcW w:w="705" w:type="dxa"/>
            <w:tcBorders>
              <w:top w:val="nil"/>
              <w:left w:val="nil"/>
              <w:bottom w:val="nil"/>
              <w:right w:val="single" w:sz="4" w:space="0" w:color="auto"/>
            </w:tcBorders>
            <w:shd w:val="clear" w:color="auto" w:fill="auto"/>
            <w:noWrap/>
            <w:hideMark/>
          </w:tcPr>
          <w:p w14:paraId="1BD5D7E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nil"/>
              <w:left w:val="nil"/>
              <w:bottom w:val="nil"/>
              <w:right w:val="single" w:sz="4" w:space="0" w:color="auto"/>
            </w:tcBorders>
            <w:shd w:val="clear" w:color="auto" w:fill="auto"/>
            <w:noWrap/>
            <w:hideMark/>
          </w:tcPr>
          <w:p w14:paraId="75C9179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78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82 to 4</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27)</w:t>
            </w:r>
          </w:p>
        </w:tc>
        <w:tc>
          <w:tcPr>
            <w:tcW w:w="992" w:type="dxa"/>
            <w:tcBorders>
              <w:top w:val="nil"/>
              <w:left w:val="nil"/>
              <w:bottom w:val="nil"/>
              <w:right w:val="single" w:sz="4" w:space="0" w:color="auto"/>
            </w:tcBorders>
            <w:shd w:val="clear" w:color="auto" w:fill="auto"/>
            <w:noWrap/>
            <w:hideMark/>
          </w:tcPr>
          <w:p w14:paraId="3E9B68D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000003</w:t>
            </w:r>
          </w:p>
        </w:tc>
        <w:tc>
          <w:tcPr>
            <w:tcW w:w="572" w:type="dxa"/>
            <w:tcBorders>
              <w:top w:val="nil"/>
              <w:left w:val="nil"/>
              <w:bottom w:val="nil"/>
              <w:right w:val="single" w:sz="4" w:space="0" w:color="auto"/>
            </w:tcBorders>
            <w:shd w:val="clear" w:color="auto" w:fill="auto"/>
            <w:noWrap/>
            <w:hideMark/>
          </w:tcPr>
          <w:p w14:paraId="6B12616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85%</w:t>
            </w:r>
          </w:p>
        </w:tc>
        <w:tc>
          <w:tcPr>
            <w:tcW w:w="1129" w:type="dxa"/>
            <w:tcBorders>
              <w:top w:val="nil"/>
              <w:left w:val="nil"/>
              <w:bottom w:val="nil"/>
              <w:right w:val="single" w:sz="4" w:space="0" w:color="auto"/>
            </w:tcBorders>
            <w:shd w:val="clear" w:color="auto" w:fill="auto"/>
            <w:noWrap/>
            <w:hideMark/>
          </w:tcPr>
          <w:p w14:paraId="3B3000C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61 to 12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69</w:t>
            </w:r>
          </w:p>
        </w:tc>
        <w:tc>
          <w:tcPr>
            <w:tcW w:w="1985" w:type="dxa"/>
            <w:tcBorders>
              <w:top w:val="nil"/>
              <w:left w:val="nil"/>
              <w:bottom w:val="nil"/>
              <w:right w:val="single" w:sz="4" w:space="0" w:color="auto"/>
            </w:tcBorders>
            <w:shd w:val="clear" w:color="auto" w:fill="auto"/>
            <w:noWrap/>
            <w:hideMark/>
          </w:tcPr>
          <w:p w14:paraId="3B9A305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 loss of significance under 10% credibility ceiling</w:t>
            </w:r>
          </w:p>
        </w:tc>
        <w:tc>
          <w:tcPr>
            <w:tcW w:w="1134" w:type="dxa"/>
            <w:tcBorders>
              <w:top w:val="nil"/>
              <w:left w:val="nil"/>
              <w:bottom w:val="nil"/>
              <w:right w:val="single" w:sz="4" w:space="0" w:color="auto"/>
            </w:tcBorders>
            <w:shd w:val="clear" w:color="auto" w:fill="auto"/>
            <w:noWrap/>
            <w:hideMark/>
          </w:tcPr>
          <w:p w14:paraId="253DBBA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Moderate</w:t>
            </w:r>
          </w:p>
        </w:tc>
        <w:tc>
          <w:tcPr>
            <w:tcW w:w="936" w:type="dxa"/>
            <w:tcBorders>
              <w:top w:val="nil"/>
              <w:left w:val="nil"/>
              <w:bottom w:val="nil"/>
              <w:right w:val="single" w:sz="4" w:space="0" w:color="auto"/>
            </w:tcBorders>
          </w:tcPr>
          <w:p w14:paraId="4C557A3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756F2C1F"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042EB6E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Intimate partner violence in the past year</w:t>
            </w:r>
          </w:p>
        </w:tc>
        <w:tc>
          <w:tcPr>
            <w:tcW w:w="1134" w:type="dxa"/>
            <w:tcBorders>
              <w:top w:val="single" w:sz="4" w:space="0" w:color="auto"/>
              <w:left w:val="nil"/>
              <w:bottom w:val="nil"/>
              <w:right w:val="single" w:sz="4" w:space="0" w:color="auto"/>
            </w:tcBorders>
            <w:shd w:val="clear" w:color="auto" w:fill="auto"/>
            <w:noWrap/>
            <w:hideMark/>
          </w:tcPr>
          <w:p w14:paraId="0F2A870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Bacchus 2018</w:t>
            </w:r>
          </w:p>
        </w:tc>
        <w:tc>
          <w:tcPr>
            <w:tcW w:w="1276" w:type="dxa"/>
            <w:tcBorders>
              <w:top w:val="single" w:sz="4" w:space="0" w:color="auto"/>
              <w:left w:val="nil"/>
              <w:bottom w:val="nil"/>
              <w:right w:val="single" w:sz="4" w:space="0" w:color="auto"/>
            </w:tcBorders>
            <w:shd w:val="clear" w:color="auto" w:fill="auto"/>
            <w:noWrap/>
            <w:hideMark/>
          </w:tcPr>
          <w:p w14:paraId="6D8B786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&gt; 1000 / 9175</w:t>
            </w:r>
          </w:p>
        </w:tc>
        <w:tc>
          <w:tcPr>
            <w:tcW w:w="829" w:type="dxa"/>
            <w:tcBorders>
              <w:top w:val="single" w:sz="4" w:space="0" w:color="auto"/>
              <w:left w:val="nil"/>
              <w:bottom w:val="nil"/>
              <w:right w:val="single" w:sz="4" w:space="0" w:color="auto"/>
            </w:tcBorders>
            <w:shd w:val="clear" w:color="auto" w:fill="auto"/>
            <w:noWrap/>
            <w:hideMark/>
          </w:tcPr>
          <w:p w14:paraId="1A96E53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7</w:t>
            </w:r>
          </w:p>
        </w:tc>
        <w:tc>
          <w:tcPr>
            <w:tcW w:w="1297" w:type="dxa"/>
            <w:tcBorders>
              <w:top w:val="single" w:sz="4" w:space="0" w:color="auto"/>
              <w:left w:val="nil"/>
              <w:bottom w:val="nil"/>
              <w:right w:val="single" w:sz="4" w:space="0" w:color="auto"/>
            </w:tcBorders>
            <w:shd w:val="clear" w:color="auto" w:fill="auto"/>
            <w:noWrap/>
            <w:hideMark/>
          </w:tcPr>
          <w:p w14:paraId="29E4CBC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w:t>
            </w:r>
          </w:p>
        </w:tc>
        <w:tc>
          <w:tcPr>
            <w:tcW w:w="705" w:type="dxa"/>
            <w:tcBorders>
              <w:top w:val="single" w:sz="4" w:space="0" w:color="auto"/>
              <w:left w:val="nil"/>
              <w:bottom w:val="nil"/>
              <w:right w:val="single" w:sz="4" w:space="0" w:color="auto"/>
            </w:tcBorders>
            <w:shd w:val="clear" w:color="auto" w:fill="auto"/>
            <w:noWrap/>
            <w:hideMark/>
          </w:tcPr>
          <w:p w14:paraId="496B0FE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2B4DCCA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19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39 to 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45)</w:t>
            </w:r>
          </w:p>
        </w:tc>
        <w:tc>
          <w:tcPr>
            <w:tcW w:w="992" w:type="dxa"/>
            <w:tcBorders>
              <w:top w:val="single" w:sz="4" w:space="0" w:color="auto"/>
              <w:left w:val="nil"/>
              <w:bottom w:val="nil"/>
              <w:right w:val="single" w:sz="4" w:space="0" w:color="auto"/>
            </w:tcBorders>
            <w:shd w:val="clear" w:color="auto" w:fill="auto"/>
            <w:noWrap/>
            <w:hideMark/>
          </w:tcPr>
          <w:p w14:paraId="62B05A2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00069</w:t>
            </w:r>
          </w:p>
        </w:tc>
        <w:tc>
          <w:tcPr>
            <w:tcW w:w="572" w:type="dxa"/>
            <w:tcBorders>
              <w:top w:val="single" w:sz="4" w:space="0" w:color="auto"/>
              <w:left w:val="nil"/>
              <w:bottom w:val="nil"/>
              <w:right w:val="single" w:sz="4" w:space="0" w:color="auto"/>
            </w:tcBorders>
            <w:shd w:val="clear" w:color="auto" w:fill="auto"/>
            <w:noWrap/>
            <w:hideMark/>
          </w:tcPr>
          <w:p w14:paraId="227ED12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80%</w:t>
            </w:r>
          </w:p>
        </w:tc>
        <w:tc>
          <w:tcPr>
            <w:tcW w:w="1129" w:type="dxa"/>
            <w:tcBorders>
              <w:top w:val="single" w:sz="4" w:space="0" w:color="auto"/>
              <w:left w:val="nil"/>
              <w:bottom w:val="nil"/>
              <w:right w:val="single" w:sz="4" w:space="0" w:color="auto"/>
            </w:tcBorders>
            <w:shd w:val="clear" w:color="auto" w:fill="auto"/>
            <w:noWrap/>
            <w:hideMark/>
          </w:tcPr>
          <w:p w14:paraId="762A6FE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51 to 9</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4</w:t>
            </w:r>
          </w:p>
        </w:tc>
        <w:tc>
          <w:tcPr>
            <w:tcW w:w="1985" w:type="dxa"/>
            <w:tcBorders>
              <w:top w:val="single" w:sz="4" w:space="0" w:color="auto"/>
              <w:left w:val="nil"/>
              <w:bottom w:val="nil"/>
              <w:right w:val="single" w:sz="4" w:space="0" w:color="auto"/>
            </w:tcBorders>
            <w:shd w:val="clear" w:color="auto" w:fill="auto"/>
            <w:noWrap/>
            <w:hideMark/>
          </w:tcPr>
          <w:p w14:paraId="5512D2B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 loss of significance under 10% credibility ceiling</w:t>
            </w:r>
          </w:p>
        </w:tc>
        <w:tc>
          <w:tcPr>
            <w:tcW w:w="1134" w:type="dxa"/>
            <w:tcBorders>
              <w:top w:val="single" w:sz="4" w:space="0" w:color="auto"/>
              <w:left w:val="nil"/>
              <w:bottom w:val="nil"/>
              <w:right w:val="single" w:sz="4" w:space="0" w:color="auto"/>
            </w:tcBorders>
            <w:shd w:val="clear" w:color="auto" w:fill="auto"/>
            <w:noWrap/>
            <w:hideMark/>
          </w:tcPr>
          <w:p w14:paraId="4E2BB24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Moderate</w:t>
            </w:r>
          </w:p>
        </w:tc>
        <w:tc>
          <w:tcPr>
            <w:tcW w:w="936" w:type="dxa"/>
            <w:tcBorders>
              <w:top w:val="single" w:sz="4" w:space="0" w:color="auto"/>
              <w:left w:val="nil"/>
              <w:bottom w:val="nil"/>
              <w:right w:val="single" w:sz="4" w:space="0" w:color="auto"/>
            </w:tcBorders>
          </w:tcPr>
          <w:p w14:paraId="7D63B6F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64AB9FF5"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44FC8DF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Preterm birth</w:t>
            </w:r>
          </w:p>
        </w:tc>
        <w:tc>
          <w:tcPr>
            <w:tcW w:w="1134" w:type="dxa"/>
            <w:tcBorders>
              <w:top w:val="single" w:sz="4" w:space="0" w:color="auto"/>
              <w:left w:val="nil"/>
              <w:bottom w:val="nil"/>
              <w:right w:val="single" w:sz="4" w:space="0" w:color="auto"/>
            </w:tcBorders>
            <w:shd w:val="clear" w:color="auto" w:fill="auto"/>
            <w:noWrap/>
            <w:hideMark/>
          </w:tcPr>
          <w:p w14:paraId="27DFC59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de Paula Eduardo 2019</w:t>
            </w:r>
          </w:p>
        </w:tc>
        <w:tc>
          <w:tcPr>
            <w:tcW w:w="1276" w:type="dxa"/>
            <w:tcBorders>
              <w:top w:val="single" w:sz="4" w:space="0" w:color="auto"/>
              <w:left w:val="nil"/>
              <w:bottom w:val="nil"/>
              <w:right w:val="single" w:sz="4" w:space="0" w:color="auto"/>
            </w:tcBorders>
            <w:shd w:val="clear" w:color="auto" w:fill="auto"/>
            <w:noWrap/>
            <w:hideMark/>
          </w:tcPr>
          <w:p w14:paraId="4EAC829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1042 / 8357</w:t>
            </w:r>
          </w:p>
        </w:tc>
        <w:tc>
          <w:tcPr>
            <w:tcW w:w="829" w:type="dxa"/>
            <w:tcBorders>
              <w:top w:val="single" w:sz="4" w:space="0" w:color="auto"/>
              <w:left w:val="nil"/>
              <w:bottom w:val="nil"/>
              <w:right w:val="single" w:sz="4" w:space="0" w:color="auto"/>
            </w:tcBorders>
            <w:shd w:val="clear" w:color="auto" w:fill="auto"/>
            <w:noWrap/>
            <w:hideMark/>
          </w:tcPr>
          <w:p w14:paraId="4B1B501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12</w:t>
            </w:r>
          </w:p>
        </w:tc>
        <w:tc>
          <w:tcPr>
            <w:tcW w:w="1297" w:type="dxa"/>
            <w:tcBorders>
              <w:top w:val="single" w:sz="4" w:space="0" w:color="auto"/>
              <w:left w:val="nil"/>
              <w:bottom w:val="nil"/>
              <w:right w:val="single" w:sz="4" w:space="0" w:color="auto"/>
            </w:tcBorders>
            <w:shd w:val="clear" w:color="auto" w:fill="auto"/>
            <w:noWrap/>
            <w:hideMark/>
          </w:tcPr>
          <w:p w14:paraId="71DC961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case-control, cross-sectional</w:t>
            </w:r>
          </w:p>
        </w:tc>
        <w:tc>
          <w:tcPr>
            <w:tcW w:w="705" w:type="dxa"/>
            <w:tcBorders>
              <w:top w:val="single" w:sz="4" w:space="0" w:color="auto"/>
              <w:left w:val="nil"/>
              <w:bottom w:val="nil"/>
              <w:right w:val="single" w:sz="4" w:space="0" w:color="auto"/>
            </w:tcBorders>
            <w:shd w:val="clear" w:color="auto" w:fill="auto"/>
            <w:noWrap/>
            <w:hideMark/>
          </w:tcPr>
          <w:p w14:paraId="3677B7D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29D597B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14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39 to 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w:t>
            </w:r>
          </w:p>
        </w:tc>
        <w:tc>
          <w:tcPr>
            <w:tcW w:w="992" w:type="dxa"/>
            <w:tcBorders>
              <w:top w:val="single" w:sz="4" w:space="0" w:color="auto"/>
              <w:left w:val="nil"/>
              <w:bottom w:val="nil"/>
              <w:right w:val="single" w:sz="4" w:space="0" w:color="auto"/>
            </w:tcBorders>
            <w:shd w:val="clear" w:color="auto" w:fill="auto"/>
            <w:noWrap/>
            <w:hideMark/>
          </w:tcPr>
          <w:p w14:paraId="0229253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00052</w:t>
            </w:r>
          </w:p>
        </w:tc>
        <w:tc>
          <w:tcPr>
            <w:tcW w:w="572" w:type="dxa"/>
            <w:tcBorders>
              <w:top w:val="single" w:sz="4" w:space="0" w:color="auto"/>
              <w:left w:val="nil"/>
              <w:bottom w:val="nil"/>
              <w:right w:val="single" w:sz="4" w:space="0" w:color="auto"/>
            </w:tcBorders>
            <w:shd w:val="clear" w:color="auto" w:fill="auto"/>
            <w:noWrap/>
            <w:hideMark/>
          </w:tcPr>
          <w:p w14:paraId="7F846BA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66%</w:t>
            </w:r>
          </w:p>
        </w:tc>
        <w:tc>
          <w:tcPr>
            <w:tcW w:w="1129" w:type="dxa"/>
            <w:tcBorders>
              <w:top w:val="single" w:sz="4" w:space="0" w:color="auto"/>
              <w:left w:val="nil"/>
              <w:bottom w:val="nil"/>
              <w:right w:val="single" w:sz="4" w:space="0" w:color="auto"/>
            </w:tcBorders>
            <w:shd w:val="clear" w:color="auto" w:fill="auto"/>
            <w:noWrap/>
            <w:hideMark/>
          </w:tcPr>
          <w:p w14:paraId="16225E2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54 to 8</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45</w:t>
            </w:r>
          </w:p>
        </w:tc>
        <w:tc>
          <w:tcPr>
            <w:tcW w:w="1985" w:type="dxa"/>
            <w:tcBorders>
              <w:top w:val="single" w:sz="4" w:space="0" w:color="auto"/>
              <w:left w:val="nil"/>
              <w:bottom w:val="nil"/>
              <w:right w:val="single" w:sz="4" w:space="0" w:color="auto"/>
            </w:tcBorders>
            <w:shd w:val="clear" w:color="auto" w:fill="auto"/>
            <w:noWrap/>
            <w:hideMark/>
          </w:tcPr>
          <w:p w14:paraId="3F83CEF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3EA7EC2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Low</w:t>
            </w:r>
          </w:p>
        </w:tc>
        <w:tc>
          <w:tcPr>
            <w:tcW w:w="936" w:type="dxa"/>
            <w:tcBorders>
              <w:top w:val="single" w:sz="4" w:space="0" w:color="auto"/>
              <w:left w:val="nil"/>
              <w:bottom w:val="nil"/>
              <w:right w:val="single" w:sz="4" w:space="0" w:color="auto"/>
            </w:tcBorders>
          </w:tcPr>
          <w:p w14:paraId="4B1AF81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Low</w:t>
            </w:r>
          </w:p>
        </w:tc>
      </w:tr>
      <w:tr w:rsidR="00942FBB" w:rsidRPr="005B1792" w14:paraId="165DD862"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2724568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Perinatal anemia</w:t>
            </w:r>
          </w:p>
        </w:tc>
        <w:tc>
          <w:tcPr>
            <w:tcW w:w="1134" w:type="dxa"/>
            <w:tcBorders>
              <w:top w:val="single" w:sz="4" w:space="0" w:color="auto"/>
              <w:left w:val="nil"/>
              <w:bottom w:val="nil"/>
              <w:right w:val="single" w:sz="4" w:space="0" w:color="auto"/>
            </w:tcBorders>
            <w:shd w:val="clear" w:color="auto" w:fill="auto"/>
            <w:noWrap/>
            <w:hideMark/>
          </w:tcPr>
          <w:p w14:paraId="3818D27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Kang 2020</w:t>
            </w:r>
          </w:p>
        </w:tc>
        <w:tc>
          <w:tcPr>
            <w:tcW w:w="1276" w:type="dxa"/>
            <w:tcBorders>
              <w:top w:val="single" w:sz="4" w:space="0" w:color="auto"/>
              <w:left w:val="nil"/>
              <w:bottom w:val="nil"/>
              <w:right w:val="single" w:sz="4" w:space="0" w:color="auto"/>
            </w:tcBorders>
            <w:shd w:val="clear" w:color="auto" w:fill="auto"/>
            <w:noWrap/>
            <w:hideMark/>
          </w:tcPr>
          <w:p w14:paraId="2B4FBD8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2741 / 77838</w:t>
            </w:r>
          </w:p>
        </w:tc>
        <w:tc>
          <w:tcPr>
            <w:tcW w:w="829" w:type="dxa"/>
            <w:tcBorders>
              <w:top w:val="single" w:sz="4" w:space="0" w:color="auto"/>
              <w:left w:val="nil"/>
              <w:bottom w:val="nil"/>
              <w:right w:val="single" w:sz="4" w:space="0" w:color="auto"/>
            </w:tcBorders>
            <w:shd w:val="clear" w:color="auto" w:fill="auto"/>
            <w:noWrap/>
            <w:hideMark/>
          </w:tcPr>
          <w:p w14:paraId="2D26E61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w:t>
            </w:r>
          </w:p>
        </w:tc>
        <w:tc>
          <w:tcPr>
            <w:tcW w:w="1297" w:type="dxa"/>
            <w:tcBorders>
              <w:top w:val="single" w:sz="4" w:space="0" w:color="auto"/>
              <w:left w:val="nil"/>
              <w:bottom w:val="nil"/>
              <w:right w:val="single" w:sz="4" w:space="0" w:color="auto"/>
            </w:tcBorders>
            <w:shd w:val="clear" w:color="auto" w:fill="auto"/>
            <w:noWrap/>
            <w:hideMark/>
          </w:tcPr>
          <w:p w14:paraId="4856F35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case-control</w:t>
            </w:r>
          </w:p>
        </w:tc>
        <w:tc>
          <w:tcPr>
            <w:tcW w:w="705" w:type="dxa"/>
            <w:tcBorders>
              <w:top w:val="single" w:sz="4" w:space="0" w:color="auto"/>
              <w:left w:val="nil"/>
              <w:bottom w:val="nil"/>
              <w:right w:val="single" w:sz="4" w:space="0" w:color="auto"/>
            </w:tcBorders>
            <w:shd w:val="clear" w:color="auto" w:fill="auto"/>
            <w:noWrap/>
            <w:hideMark/>
          </w:tcPr>
          <w:p w14:paraId="4AC19C9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RR</w:t>
            </w:r>
          </w:p>
        </w:tc>
        <w:tc>
          <w:tcPr>
            <w:tcW w:w="1563" w:type="dxa"/>
            <w:tcBorders>
              <w:top w:val="single" w:sz="4" w:space="0" w:color="auto"/>
              <w:left w:val="nil"/>
              <w:bottom w:val="nil"/>
              <w:right w:val="single" w:sz="4" w:space="0" w:color="auto"/>
            </w:tcBorders>
            <w:shd w:val="clear" w:color="auto" w:fill="auto"/>
            <w:noWrap/>
            <w:hideMark/>
          </w:tcPr>
          <w:p w14:paraId="00A1BDE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13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54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95)</w:t>
            </w:r>
          </w:p>
        </w:tc>
        <w:tc>
          <w:tcPr>
            <w:tcW w:w="992" w:type="dxa"/>
            <w:tcBorders>
              <w:top w:val="single" w:sz="4" w:space="0" w:color="auto"/>
              <w:left w:val="nil"/>
              <w:bottom w:val="nil"/>
              <w:right w:val="single" w:sz="4" w:space="0" w:color="auto"/>
            </w:tcBorders>
            <w:shd w:val="clear" w:color="auto" w:fill="auto"/>
            <w:noWrap/>
            <w:hideMark/>
          </w:tcPr>
          <w:p w14:paraId="57FF075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000005</w:t>
            </w:r>
          </w:p>
        </w:tc>
        <w:tc>
          <w:tcPr>
            <w:tcW w:w="572" w:type="dxa"/>
            <w:tcBorders>
              <w:top w:val="single" w:sz="4" w:space="0" w:color="auto"/>
              <w:left w:val="nil"/>
              <w:bottom w:val="nil"/>
              <w:right w:val="single" w:sz="4" w:space="0" w:color="auto"/>
            </w:tcBorders>
            <w:shd w:val="clear" w:color="auto" w:fill="auto"/>
            <w:noWrap/>
            <w:hideMark/>
          </w:tcPr>
          <w:p w14:paraId="6DCA0FF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44%</w:t>
            </w:r>
          </w:p>
        </w:tc>
        <w:tc>
          <w:tcPr>
            <w:tcW w:w="1129" w:type="dxa"/>
            <w:tcBorders>
              <w:top w:val="single" w:sz="4" w:space="0" w:color="auto"/>
              <w:left w:val="nil"/>
              <w:bottom w:val="nil"/>
              <w:right w:val="single" w:sz="4" w:space="0" w:color="auto"/>
            </w:tcBorders>
            <w:shd w:val="clear" w:color="auto" w:fill="auto"/>
            <w:noWrap/>
            <w:hideMark/>
          </w:tcPr>
          <w:p w14:paraId="7BD451B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92 to 4</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91</w:t>
            </w:r>
          </w:p>
        </w:tc>
        <w:tc>
          <w:tcPr>
            <w:tcW w:w="1985" w:type="dxa"/>
            <w:tcBorders>
              <w:top w:val="single" w:sz="4" w:space="0" w:color="auto"/>
              <w:left w:val="nil"/>
              <w:bottom w:val="nil"/>
              <w:right w:val="single" w:sz="4" w:space="0" w:color="auto"/>
            </w:tcBorders>
            <w:shd w:val="clear" w:color="auto" w:fill="auto"/>
            <w:noWrap/>
            <w:hideMark/>
          </w:tcPr>
          <w:p w14:paraId="1B5006F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None</w:t>
            </w:r>
          </w:p>
        </w:tc>
        <w:tc>
          <w:tcPr>
            <w:tcW w:w="1134" w:type="dxa"/>
            <w:tcBorders>
              <w:top w:val="single" w:sz="4" w:space="0" w:color="auto"/>
              <w:left w:val="nil"/>
              <w:bottom w:val="nil"/>
              <w:right w:val="single" w:sz="4" w:space="0" w:color="auto"/>
            </w:tcBorders>
            <w:shd w:val="clear" w:color="auto" w:fill="auto"/>
            <w:noWrap/>
            <w:hideMark/>
          </w:tcPr>
          <w:p w14:paraId="6827123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3DF2601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Low</w:t>
            </w:r>
          </w:p>
        </w:tc>
      </w:tr>
      <w:tr w:rsidR="00942FBB" w:rsidRPr="005B1792" w14:paraId="660F9FBC"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2942E2A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Domestic violence</w:t>
            </w:r>
          </w:p>
        </w:tc>
        <w:tc>
          <w:tcPr>
            <w:tcW w:w="1134" w:type="dxa"/>
            <w:tcBorders>
              <w:top w:val="single" w:sz="4" w:space="0" w:color="auto"/>
              <w:left w:val="nil"/>
              <w:bottom w:val="nil"/>
              <w:right w:val="single" w:sz="4" w:space="0" w:color="auto"/>
            </w:tcBorders>
            <w:shd w:val="clear" w:color="auto" w:fill="auto"/>
            <w:noWrap/>
            <w:hideMark/>
          </w:tcPr>
          <w:p w14:paraId="05FDB2E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Zhang 2019</w:t>
            </w:r>
          </w:p>
        </w:tc>
        <w:tc>
          <w:tcPr>
            <w:tcW w:w="1276" w:type="dxa"/>
            <w:tcBorders>
              <w:top w:val="single" w:sz="4" w:space="0" w:color="auto"/>
              <w:left w:val="nil"/>
              <w:bottom w:val="nil"/>
              <w:right w:val="single" w:sz="4" w:space="0" w:color="auto"/>
            </w:tcBorders>
            <w:shd w:val="clear" w:color="auto" w:fill="auto"/>
            <w:noWrap/>
            <w:hideMark/>
          </w:tcPr>
          <w:p w14:paraId="70C41A8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2123 / 23996</w:t>
            </w:r>
          </w:p>
        </w:tc>
        <w:tc>
          <w:tcPr>
            <w:tcW w:w="829" w:type="dxa"/>
            <w:tcBorders>
              <w:top w:val="single" w:sz="4" w:space="0" w:color="auto"/>
              <w:left w:val="nil"/>
              <w:bottom w:val="nil"/>
              <w:right w:val="single" w:sz="4" w:space="0" w:color="auto"/>
            </w:tcBorders>
            <w:shd w:val="clear" w:color="auto" w:fill="auto"/>
            <w:noWrap/>
            <w:hideMark/>
          </w:tcPr>
          <w:p w14:paraId="2E3AC77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16</w:t>
            </w:r>
          </w:p>
        </w:tc>
        <w:tc>
          <w:tcPr>
            <w:tcW w:w="1297" w:type="dxa"/>
            <w:tcBorders>
              <w:top w:val="single" w:sz="4" w:space="0" w:color="auto"/>
              <w:left w:val="nil"/>
              <w:bottom w:val="nil"/>
              <w:right w:val="single" w:sz="4" w:space="0" w:color="auto"/>
            </w:tcBorders>
            <w:shd w:val="clear" w:color="auto" w:fill="auto"/>
            <w:noWrap/>
            <w:hideMark/>
          </w:tcPr>
          <w:p w14:paraId="20032E5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w:t>
            </w:r>
          </w:p>
        </w:tc>
        <w:tc>
          <w:tcPr>
            <w:tcW w:w="705" w:type="dxa"/>
            <w:tcBorders>
              <w:top w:val="single" w:sz="4" w:space="0" w:color="auto"/>
              <w:left w:val="nil"/>
              <w:bottom w:val="nil"/>
              <w:right w:val="single" w:sz="4" w:space="0" w:color="auto"/>
            </w:tcBorders>
            <w:shd w:val="clear" w:color="auto" w:fill="auto"/>
            <w:noWrap/>
            <w:hideMark/>
          </w:tcPr>
          <w:p w14:paraId="3516BBF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4434E6B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05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w:t>
            </w:r>
          </w:p>
        </w:tc>
        <w:tc>
          <w:tcPr>
            <w:tcW w:w="992" w:type="dxa"/>
            <w:tcBorders>
              <w:top w:val="single" w:sz="4" w:space="0" w:color="auto"/>
              <w:left w:val="nil"/>
              <w:bottom w:val="nil"/>
              <w:right w:val="single" w:sz="4" w:space="0" w:color="auto"/>
            </w:tcBorders>
            <w:shd w:val="clear" w:color="auto" w:fill="auto"/>
            <w:noWrap/>
            <w:hideMark/>
          </w:tcPr>
          <w:p w14:paraId="3C82DB7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000006</w:t>
            </w:r>
          </w:p>
        </w:tc>
        <w:tc>
          <w:tcPr>
            <w:tcW w:w="572" w:type="dxa"/>
            <w:tcBorders>
              <w:top w:val="single" w:sz="4" w:space="0" w:color="auto"/>
              <w:left w:val="nil"/>
              <w:bottom w:val="nil"/>
              <w:right w:val="single" w:sz="4" w:space="0" w:color="auto"/>
            </w:tcBorders>
            <w:shd w:val="clear" w:color="auto" w:fill="auto"/>
            <w:noWrap/>
            <w:hideMark/>
          </w:tcPr>
          <w:p w14:paraId="032AECF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85%</w:t>
            </w:r>
          </w:p>
        </w:tc>
        <w:tc>
          <w:tcPr>
            <w:tcW w:w="1129" w:type="dxa"/>
            <w:tcBorders>
              <w:top w:val="single" w:sz="4" w:space="0" w:color="auto"/>
              <w:left w:val="nil"/>
              <w:bottom w:val="nil"/>
              <w:right w:val="single" w:sz="4" w:space="0" w:color="auto"/>
            </w:tcBorders>
            <w:shd w:val="clear" w:color="auto" w:fill="auto"/>
            <w:noWrap/>
            <w:hideMark/>
          </w:tcPr>
          <w:p w14:paraId="20D11C5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 to 7</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03</w:t>
            </w:r>
          </w:p>
        </w:tc>
        <w:tc>
          <w:tcPr>
            <w:tcW w:w="1985" w:type="dxa"/>
            <w:tcBorders>
              <w:top w:val="single" w:sz="4" w:space="0" w:color="auto"/>
              <w:left w:val="nil"/>
              <w:bottom w:val="nil"/>
              <w:right w:val="single" w:sz="4" w:space="0" w:color="auto"/>
            </w:tcBorders>
            <w:shd w:val="clear" w:color="auto" w:fill="auto"/>
            <w:noWrap/>
            <w:hideMark/>
          </w:tcPr>
          <w:p w14:paraId="1139FFD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7917D23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21E840E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04CA5F26"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006FCEC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Physical violence</w:t>
            </w:r>
          </w:p>
        </w:tc>
        <w:tc>
          <w:tcPr>
            <w:tcW w:w="1134" w:type="dxa"/>
            <w:tcBorders>
              <w:top w:val="single" w:sz="4" w:space="0" w:color="auto"/>
              <w:left w:val="nil"/>
              <w:bottom w:val="nil"/>
              <w:right w:val="single" w:sz="4" w:space="0" w:color="auto"/>
            </w:tcBorders>
            <w:shd w:val="clear" w:color="auto" w:fill="auto"/>
            <w:noWrap/>
            <w:hideMark/>
          </w:tcPr>
          <w:p w14:paraId="5C5BABB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Zhang 2019</w:t>
            </w:r>
          </w:p>
        </w:tc>
        <w:tc>
          <w:tcPr>
            <w:tcW w:w="1276" w:type="dxa"/>
            <w:tcBorders>
              <w:top w:val="single" w:sz="4" w:space="0" w:color="auto"/>
              <w:left w:val="nil"/>
              <w:bottom w:val="nil"/>
              <w:right w:val="single" w:sz="4" w:space="0" w:color="auto"/>
            </w:tcBorders>
            <w:shd w:val="clear" w:color="auto" w:fill="auto"/>
            <w:noWrap/>
            <w:hideMark/>
          </w:tcPr>
          <w:p w14:paraId="43D6562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6489 / 57783</w:t>
            </w:r>
          </w:p>
        </w:tc>
        <w:tc>
          <w:tcPr>
            <w:tcW w:w="829" w:type="dxa"/>
            <w:tcBorders>
              <w:top w:val="single" w:sz="4" w:space="0" w:color="auto"/>
              <w:left w:val="nil"/>
              <w:bottom w:val="nil"/>
              <w:right w:val="single" w:sz="4" w:space="0" w:color="auto"/>
            </w:tcBorders>
            <w:shd w:val="clear" w:color="auto" w:fill="auto"/>
            <w:noWrap/>
            <w:hideMark/>
          </w:tcPr>
          <w:p w14:paraId="10B40BF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w:t>
            </w:r>
          </w:p>
        </w:tc>
        <w:tc>
          <w:tcPr>
            <w:tcW w:w="1297" w:type="dxa"/>
            <w:tcBorders>
              <w:top w:val="single" w:sz="4" w:space="0" w:color="auto"/>
              <w:left w:val="nil"/>
              <w:bottom w:val="nil"/>
              <w:right w:val="single" w:sz="4" w:space="0" w:color="auto"/>
            </w:tcBorders>
            <w:shd w:val="clear" w:color="auto" w:fill="auto"/>
            <w:noWrap/>
            <w:hideMark/>
          </w:tcPr>
          <w:p w14:paraId="663B7E2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w:t>
            </w:r>
          </w:p>
        </w:tc>
        <w:tc>
          <w:tcPr>
            <w:tcW w:w="705" w:type="dxa"/>
            <w:tcBorders>
              <w:top w:val="single" w:sz="4" w:space="0" w:color="auto"/>
              <w:left w:val="nil"/>
              <w:bottom w:val="nil"/>
              <w:right w:val="single" w:sz="4" w:space="0" w:color="auto"/>
            </w:tcBorders>
            <w:shd w:val="clear" w:color="auto" w:fill="auto"/>
            <w:noWrap/>
            <w:hideMark/>
          </w:tcPr>
          <w:p w14:paraId="1363C1A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7509574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9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36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67)</w:t>
            </w:r>
          </w:p>
        </w:tc>
        <w:tc>
          <w:tcPr>
            <w:tcW w:w="992" w:type="dxa"/>
            <w:tcBorders>
              <w:top w:val="single" w:sz="4" w:space="0" w:color="auto"/>
              <w:left w:val="nil"/>
              <w:bottom w:val="nil"/>
              <w:right w:val="single" w:sz="4" w:space="0" w:color="auto"/>
            </w:tcBorders>
            <w:shd w:val="clear" w:color="auto" w:fill="auto"/>
            <w:noWrap/>
            <w:hideMark/>
          </w:tcPr>
          <w:p w14:paraId="0265DAF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00018</w:t>
            </w:r>
          </w:p>
        </w:tc>
        <w:tc>
          <w:tcPr>
            <w:tcW w:w="572" w:type="dxa"/>
            <w:tcBorders>
              <w:top w:val="single" w:sz="4" w:space="0" w:color="auto"/>
              <w:left w:val="nil"/>
              <w:bottom w:val="nil"/>
              <w:right w:val="single" w:sz="4" w:space="0" w:color="auto"/>
            </w:tcBorders>
            <w:shd w:val="clear" w:color="auto" w:fill="auto"/>
            <w:noWrap/>
            <w:hideMark/>
          </w:tcPr>
          <w:p w14:paraId="188E1AF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59%</w:t>
            </w:r>
          </w:p>
        </w:tc>
        <w:tc>
          <w:tcPr>
            <w:tcW w:w="1129" w:type="dxa"/>
            <w:tcBorders>
              <w:top w:val="single" w:sz="4" w:space="0" w:color="auto"/>
              <w:left w:val="nil"/>
              <w:bottom w:val="nil"/>
              <w:right w:val="single" w:sz="4" w:space="0" w:color="auto"/>
            </w:tcBorders>
            <w:shd w:val="clear" w:color="auto" w:fill="auto"/>
            <w:noWrap/>
            <w:hideMark/>
          </w:tcPr>
          <w:p w14:paraId="1EAD120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76 to 4</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78</w:t>
            </w:r>
          </w:p>
        </w:tc>
        <w:tc>
          <w:tcPr>
            <w:tcW w:w="1985" w:type="dxa"/>
            <w:tcBorders>
              <w:top w:val="single" w:sz="4" w:space="0" w:color="auto"/>
              <w:left w:val="nil"/>
              <w:bottom w:val="nil"/>
              <w:right w:val="single" w:sz="4" w:space="0" w:color="auto"/>
            </w:tcBorders>
            <w:shd w:val="clear" w:color="auto" w:fill="auto"/>
            <w:noWrap/>
            <w:hideMark/>
          </w:tcPr>
          <w:p w14:paraId="709A86E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7335B09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6DC39F7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208EDA8D"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62B0D51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Immigration</w:t>
            </w:r>
          </w:p>
        </w:tc>
        <w:tc>
          <w:tcPr>
            <w:tcW w:w="1134" w:type="dxa"/>
            <w:tcBorders>
              <w:top w:val="single" w:sz="4" w:space="0" w:color="auto"/>
              <w:left w:val="nil"/>
              <w:bottom w:val="nil"/>
              <w:right w:val="single" w:sz="4" w:space="0" w:color="auto"/>
            </w:tcBorders>
            <w:shd w:val="clear" w:color="auto" w:fill="auto"/>
            <w:noWrap/>
            <w:hideMark/>
          </w:tcPr>
          <w:p w14:paraId="34EC04F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Falah-</w:t>
            </w:r>
            <w:proofErr w:type="spellStart"/>
            <w:r w:rsidRPr="005B1792">
              <w:rPr>
                <w:rFonts w:ascii="Times New Roman" w:eastAsia="Malgun Gothic" w:hAnsi="Times New Roman" w:cs="Times New Roman"/>
                <w:color w:val="000000"/>
                <w:kern w:val="0"/>
                <w:sz w:val="16"/>
                <w:szCs w:val="16"/>
              </w:rPr>
              <w:t>Hassani</w:t>
            </w:r>
            <w:proofErr w:type="spellEnd"/>
            <w:r w:rsidRPr="005B1792">
              <w:rPr>
                <w:rFonts w:ascii="Times New Roman" w:eastAsia="Malgun Gothic" w:hAnsi="Times New Roman" w:cs="Times New Roman"/>
                <w:color w:val="000000"/>
                <w:kern w:val="0"/>
                <w:sz w:val="16"/>
                <w:szCs w:val="16"/>
              </w:rPr>
              <w:t xml:space="preserve"> 2015</w:t>
            </w:r>
          </w:p>
        </w:tc>
        <w:tc>
          <w:tcPr>
            <w:tcW w:w="1276" w:type="dxa"/>
            <w:tcBorders>
              <w:top w:val="single" w:sz="4" w:space="0" w:color="auto"/>
              <w:left w:val="nil"/>
              <w:bottom w:val="nil"/>
              <w:right w:val="single" w:sz="4" w:space="0" w:color="auto"/>
            </w:tcBorders>
            <w:shd w:val="clear" w:color="auto" w:fill="auto"/>
            <w:noWrap/>
            <w:hideMark/>
          </w:tcPr>
          <w:p w14:paraId="5D86316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3857 / 32227</w:t>
            </w:r>
          </w:p>
        </w:tc>
        <w:tc>
          <w:tcPr>
            <w:tcW w:w="829" w:type="dxa"/>
            <w:tcBorders>
              <w:top w:val="single" w:sz="4" w:space="0" w:color="auto"/>
              <w:left w:val="nil"/>
              <w:bottom w:val="nil"/>
              <w:right w:val="single" w:sz="4" w:space="0" w:color="auto"/>
            </w:tcBorders>
            <w:shd w:val="clear" w:color="auto" w:fill="auto"/>
            <w:noWrap/>
            <w:hideMark/>
          </w:tcPr>
          <w:p w14:paraId="0021D11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w:t>
            </w:r>
          </w:p>
        </w:tc>
        <w:tc>
          <w:tcPr>
            <w:tcW w:w="1297" w:type="dxa"/>
            <w:tcBorders>
              <w:top w:val="single" w:sz="4" w:space="0" w:color="auto"/>
              <w:left w:val="nil"/>
              <w:bottom w:val="nil"/>
              <w:right w:val="single" w:sz="4" w:space="0" w:color="auto"/>
            </w:tcBorders>
            <w:shd w:val="clear" w:color="auto" w:fill="auto"/>
            <w:noWrap/>
            <w:hideMark/>
          </w:tcPr>
          <w:p w14:paraId="2C5F8B0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cross-sectional</w:t>
            </w:r>
          </w:p>
        </w:tc>
        <w:tc>
          <w:tcPr>
            <w:tcW w:w="705" w:type="dxa"/>
            <w:tcBorders>
              <w:top w:val="single" w:sz="4" w:space="0" w:color="auto"/>
              <w:left w:val="nil"/>
              <w:bottom w:val="nil"/>
              <w:right w:val="single" w:sz="4" w:space="0" w:color="auto"/>
            </w:tcBorders>
            <w:shd w:val="clear" w:color="auto" w:fill="auto"/>
            <w:noWrap/>
            <w:hideMark/>
          </w:tcPr>
          <w:p w14:paraId="6864F79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047C1E2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84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32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57)</w:t>
            </w:r>
          </w:p>
        </w:tc>
        <w:tc>
          <w:tcPr>
            <w:tcW w:w="992" w:type="dxa"/>
            <w:tcBorders>
              <w:top w:val="single" w:sz="4" w:space="0" w:color="auto"/>
              <w:left w:val="nil"/>
              <w:bottom w:val="nil"/>
              <w:right w:val="single" w:sz="4" w:space="0" w:color="auto"/>
            </w:tcBorders>
            <w:shd w:val="clear" w:color="auto" w:fill="auto"/>
            <w:noWrap/>
            <w:hideMark/>
          </w:tcPr>
          <w:p w14:paraId="289C6E2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0003</w:t>
            </w:r>
          </w:p>
        </w:tc>
        <w:tc>
          <w:tcPr>
            <w:tcW w:w="572" w:type="dxa"/>
            <w:tcBorders>
              <w:top w:val="single" w:sz="4" w:space="0" w:color="auto"/>
              <w:left w:val="nil"/>
              <w:bottom w:val="nil"/>
              <w:right w:val="single" w:sz="4" w:space="0" w:color="auto"/>
            </w:tcBorders>
            <w:shd w:val="clear" w:color="auto" w:fill="auto"/>
            <w:noWrap/>
            <w:hideMark/>
          </w:tcPr>
          <w:p w14:paraId="143B387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71%</w:t>
            </w:r>
          </w:p>
        </w:tc>
        <w:tc>
          <w:tcPr>
            <w:tcW w:w="1129" w:type="dxa"/>
            <w:tcBorders>
              <w:top w:val="single" w:sz="4" w:space="0" w:color="auto"/>
              <w:left w:val="nil"/>
              <w:bottom w:val="nil"/>
              <w:right w:val="single" w:sz="4" w:space="0" w:color="auto"/>
            </w:tcBorders>
            <w:shd w:val="clear" w:color="auto" w:fill="auto"/>
            <w:noWrap/>
            <w:hideMark/>
          </w:tcPr>
          <w:p w14:paraId="3EF22D0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65 to 5</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21</w:t>
            </w:r>
          </w:p>
        </w:tc>
        <w:tc>
          <w:tcPr>
            <w:tcW w:w="1985" w:type="dxa"/>
            <w:tcBorders>
              <w:top w:val="single" w:sz="4" w:space="0" w:color="auto"/>
              <w:left w:val="nil"/>
              <w:bottom w:val="nil"/>
              <w:right w:val="single" w:sz="4" w:space="0" w:color="auto"/>
            </w:tcBorders>
            <w:shd w:val="clear" w:color="auto" w:fill="auto"/>
            <w:noWrap/>
            <w:hideMark/>
          </w:tcPr>
          <w:p w14:paraId="6BB76DA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 small study effect</w:t>
            </w:r>
          </w:p>
        </w:tc>
        <w:tc>
          <w:tcPr>
            <w:tcW w:w="1134" w:type="dxa"/>
            <w:tcBorders>
              <w:top w:val="single" w:sz="4" w:space="0" w:color="auto"/>
              <w:left w:val="nil"/>
              <w:bottom w:val="nil"/>
              <w:right w:val="single" w:sz="4" w:space="0" w:color="auto"/>
            </w:tcBorders>
            <w:shd w:val="clear" w:color="auto" w:fill="auto"/>
            <w:noWrap/>
            <w:hideMark/>
          </w:tcPr>
          <w:p w14:paraId="76F61A9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Low</w:t>
            </w:r>
          </w:p>
        </w:tc>
        <w:tc>
          <w:tcPr>
            <w:tcW w:w="936" w:type="dxa"/>
            <w:tcBorders>
              <w:top w:val="single" w:sz="4" w:space="0" w:color="auto"/>
              <w:left w:val="nil"/>
              <w:bottom w:val="nil"/>
              <w:right w:val="single" w:sz="4" w:space="0" w:color="auto"/>
            </w:tcBorders>
          </w:tcPr>
          <w:p w14:paraId="5A6645C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5C01B437"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23631A1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Pre-pregnancy underweight</w:t>
            </w:r>
          </w:p>
        </w:tc>
        <w:tc>
          <w:tcPr>
            <w:tcW w:w="1134" w:type="dxa"/>
            <w:tcBorders>
              <w:top w:val="single" w:sz="4" w:space="0" w:color="auto"/>
              <w:left w:val="nil"/>
              <w:bottom w:val="nil"/>
              <w:right w:val="single" w:sz="4" w:space="0" w:color="auto"/>
            </w:tcBorders>
            <w:shd w:val="clear" w:color="auto" w:fill="auto"/>
            <w:noWrap/>
            <w:hideMark/>
          </w:tcPr>
          <w:p w14:paraId="2BED513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Dachew</w:t>
            </w:r>
            <w:proofErr w:type="spellEnd"/>
            <w:r w:rsidRPr="005B1792">
              <w:rPr>
                <w:rFonts w:ascii="Times New Roman" w:eastAsia="Malgun Gothic" w:hAnsi="Times New Roman" w:cs="Times New Roman"/>
                <w:color w:val="000000"/>
                <w:kern w:val="0"/>
                <w:sz w:val="16"/>
                <w:szCs w:val="16"/>
              </w:rPr>
              <w:t xml:space="preserve"> 2021</w:t>
            </w:r>
          </w:p>
        </w:tc>
        <w:tc>
          <w:tcPr>
            <w:tcW w:w="1276" w:type="dxa"/>
            <w:tcBorders>
              <w:top w:val="single" w:sz="4" w:space="0" w:color="auto"/>
              <w:left w:val="nil"/>
              <w:bottom w:val="nil"/>
              <w:right w:val="single" w:sz="4" w:space="0" w:color="auto"/>
            </w:tcBorders>
            <w:shd w:val="clear" w:color="auto" w:fill="auto"/>
            <w:noWrap/>
            <w:hideMark/>
          </w:tcPr>
          <w:p w14:paraId="4A51181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&gt; 1000 / 617985</w:t>
            </w:r>
          </w:p>
        </w:tc>
        <w:tc>
          <w:tcPr>
            <w:tcW w:w="829" w:type="dxa"/>
            <w:tcBorders>
              <w:top w:val="single" w:sz="4" w:space="0" w:color="auto"/>
              <w:left w:val="nil"/>
              <w:bottom w:val="nil"/>
              <w:right w:val="single" w:sz="4" w:space="0" w:color="auto"/>
            </w:tcBorders>
            <w:shd w:val="clear" w:color="auto" w:fill="auto"/>
            <w:noWrap/>
            <w:hideMark/>
          </w:tcPr>
          <w:p w14:paraId="2416599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w:t>
            </w:r>
          </w:p>
        </w:tc>
        <w:tc>
          <w:tcPr>
            <w:tcW w:w="1297" w:type="dxa"/>
            <w:tcBorders>
              <w:top w:val="single" w:sz="4" w:space="0" w:color="auto"/>
              <w:left w:val="nil"/>
              <w:bottom w:val="nil"/>
              <w:right w:val="single" w:sz="4" w:space="0" w:color="auto"/>
            </w:tcBorders>
            <w:shd w:val="clear" w:color="auto" w:fill="auto"/>
            <w:noWrap/>
            <w:hideMark/>
          </w:tcPr>
          <w:p w14:paraId="0878B06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w:t>
            </w:r>
          </w:p>
        </w:tc>
        <w:tc>
          <w:tcPr>
            <w:tcW w:w="705" w:type="dxa"/>
            <w:tcBorders>
              <w:top w:val="single" w:sz="4" w:space="0" w:color="auto"/>
              <w:left w:val="nil"/>
              <w:bottom w:val="nil"/>
              <w:right w:val="single" w:sz="4" w:space="0" w:color="auto"/>
            </w:tcBorders>
            <w:shd w:val="clear" w:color="auto" w:fill="auto"/>
            <w:noWrap/>
            <w:hideMark/>
          </w:tcPr>
          <w:p w14:paraId="19144D7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3AED87B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71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27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31)</w:t>
            </w:r>
          </w:p>
        </w:tc>
        <w:tc>
          <w:tcPr>
            <w:tcW w:w="992" w:type="dxa"/>
            <w:tcBorders>
              <w:top w:val="single" w:sz="4" w:space="0" w:color="auto"/>
              <w:left w:val="nil"/>
              <w:bottom w:val="nil"/>
              <w:right w:val="single" w:sz="4" w:space="0" w:color="auto"/>
            </w:tcBorders>
            <w:shd w:val="clear" w:color="auto" w:fill="auto"/>
            <w:noWrap/>
            <w:hideMark/>
          </w:tcPr>
          <w:p w14:paraId="457CEA2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00042</w:t>
            </w:r>
          </w:p>
        </w:tc>
        <w:tc>
          <w:tcPr>
            <w:tcW w:w="572" w:type="dxa"/>
            <w:tcBorders>
              <w:top w:val="single" w:sz="4" w:space="0" w:color="auto"/>
              <w:left w:val="nil"/>
              <w:bottom w:val="nil"/>
              <w:right w:val="single" w:sz="4" w:space="0" w:color="auto"/>
            </w:tcBorders>
            <w:shd w:val="clear" w:color="auto" w:fill="auto"/>
            <w:noWrap/>
            <w:hideMark/>
          </w:tcPr>
          <w:p w14:paraId="643080A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45%</w:t>
            </w:r>
          </w:p>
        </w:tc>
        <w:tc>
          <w:tcPr>
            <w:tcW w:w="1129" w:type="dxa"/>
            <w:tcBorders>
              <w:top w:val="single" w:sz="4" w:space="0" w:color="auto"/>
              <w:left w:val="nil"/>
              <w:bottom w:val="nil"/>
              <w:right w:val="single" w:sz="4" w:space="0" w:color="auto"/>
            </w:tcBorders>
            <w:shd w:val="clear" w:color="auto" w:fill="auto"/>
            <w:noWrap/>
            <w:hideMark/>
          </w:tcPr>
          <w:p w14:paraId="33C3C13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74 to 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98</w:t>
            </w:r>
          </w:p>
        </w:tc>
        <w:tc>
          <w:tcPr>
            <w:tcW w:w="1985" w:type="dxa"/>
            <w:tcBorders>
              <w:top w:val="single" w:sz="4" w:space="0" w:color="auto"/>
              <w:left w:val="nil"/>
              <w:bottom w:val="nil"/>
              <w:right w:val="single" w:sz="4" w:space="0" w:color="auto"/>
            </w:tcBorders>
            <w:shd w:val="clear" w:color="auto" w:fill="auto"/>
            <w:noWrap/>
            <w:hideMark/>
          </w:tcPr>
          <w:p w14:paraId="77D7FFD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None</w:t>
            </w:r>
          </w:p>
        </w:tc>
        <w:tc>
          <w:tcPr>
            <w:tcW w:w="1134" w:type="dxa"/>
            <w:tcBorders>
              <w:top w:val="single" w:sz="4" w:space="0" w:color="auto"/>
              <w:left w:val="nil"/>
              <w:bottom w:val="nil"/>
              <w:right w:val="single" w:sz="4" w:space="0" w:color="auto"/>
            </w:tcBorders>
            <w:shd w:val="clear" w:color="auto" w:fill="auto"/>
            <w:noWrap/>
            <w:hideMark/>
          </w:tcPr>
          <w:p w14:paraId="347EE96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High</w:t>
            </w:r>
          </w:p>
        </w:tc>
        <w:tc>
          <w:tcPr>
            <w:tcW w:w="936" w:type="dxa"/>
            <w:tcBorders>
              <w:top w:val="single" w:sz="4" w:space="0" w:color="auto"/>
              <w:left w:val="nil"/>
              <w:bottom w:val="nil"/>
              <w:right w:val="single" w:sz="4" w:space="0" w:color="auto"/>
            </w:tcBorders>
          </w:tcPr>
          <w:p w14:paraId="03CC9F2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Low</w:t>
            </w:r>
          </w:p>
        </w:tc>
      </w:tr>
      <w:tr w:rsidR="00942FBB" w:rsidRPr="005B1792" w14:paraId="4405B1F4"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486B8C2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Sexual violence</w:t>
            </w:r>
          </w:p>
        </w:tc>
        <w:tc>
          <w:tcPr>
            <w:tcW w:w="1134" w:type="dxa"/>
            <w:tcBorders>
              <w:top w:val="single" w:sz="4" w:space="0" w:color="auto"/>
              <w:left w:val="nil"/>
              <w:bottom w:val="nil"/>
              <w:right w:val="single" w:sz="4" w:space="0" w:color="auto"/>
            </w:tcBorders>
            <w:shd w:val="clear" w:color="auto" w:fill="auto"/>
            <w:noWrap/>
            <w:hideMark/>
          </w:tcPr>
          <w:p w14:paraId="60EC9CC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Zhang 2019</w:t>
            </w:r>
          </w:p>
        </w:tc>
        <w:tc>
          <w:tcPr>
            <w:tcW w:w="1276" w:type="dxa"/>
            <w:tcBorders>
              <w:top w:val="single" w:sz="4" w:space="0" w:color="auto"/>
              <w:left w:val="nil"/>
              <w:bottom w:val="nil"/>
              <w:right w:val="single" w:sz="4" w:space="0" w:color="auto"/>
            </w:tcBorders>
            <w:shd w:val="clear" w:color="auto" w:fill="auto"/>
            <w:noWrap/>
            <w:hideMark/>
          </w:tcPr>
          <w:p w14:paraId="7046FAE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6196 / 56117</w:t>
            </w:r>
          </w:p>
        </w:tc>
        <w:tc>
          <w:tcPr>
            <w:tcW w:w="829" w:type="dxa"/>
            <w:tcBorders>
              <w:top w:val="single" w:sz="4" w:space="0" w:color="auto"/>
              <w:left w:val="nil"/>
              <w:bottom w:val="nil"/>
              <w:right w:val="single" w:sz="4" w:space="0" w:color="auto"/>
            </w:tcBorders>
            <w:shd w:val="clear" w:color="auto" w:fill="auto"/>
            <w:noWrap/>
            <w:hideMark/>
          </w:tcPr>
          <w:p w14:paraId="6E1502E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w:t>
            </w:r>
          </w:p>
        </w:tc>
        <w:tc>
          <w:tcPr>
            <w:tcW w:w="1297" w:type="dxa"/>
            <w:tcBorders>
              <w:top w:val="single" w:sz="4" w:space="0" w:color="auto"/>
              <w:left w:val="nil"/>
              <w:bottom w:val="nil"/>
              <w:right w:val="single" w:sz="4" w:space="0" w:color="auto"/>
            </w:tcBorders>
            <w:shd w:val="clear" w:color="auto" w:fill="auto"/>
            <w:noWrap/>
            <w:hideMark/>
          </w:tcPr>
          <w:p w14:paraId="371D49B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w:t>
            </w:r>
          </w:p>
        </w:tc>
        <w:tc>
          <w:tcPr>
            <w:tcW w:w="705" w:type="dxa"/>
            <w:tcBorders>
              <w:top w:val="single" w:sz="4" w:space="0" w:color="auto"/>
              <w:left w:val="nil"/>
              <w:bottom w:val="nil"/>
              <w:right w:val="single" w:sz="4" w:space="0" w:color="auto"/>
            </w:tcBorders>
            <w:shd w:val="clear" w:color="auto" w:fill="auto"/>
            <w:noWrap/>
            <w:hideMark/>
          </w:tcPr>
          <w:p w14:paraId="79A287D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6B42151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56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28 to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9)</w:t>
            </w:r>
          </w:p>
        </w:tc>
        <w:tc>
          <w:tcPr>
            <w:tcW w:w="992" w:type="dxa"/>
            <w:tcBorders>
              <w:top w:val="single" w:sz="4" w:space="0" w:color="auto"/>
              <w:left w:val="nil"/>
              <w:bottom w:val="nil"/>
              <w:right w:val="single" w:sz="4" w:space="0" w:color="auto"/>
            </w:tcBorders>
            <w:shd w:val="clear" w:color="auto" w:fill="auto"/>
            <w:noWrap/>
            <w:hideMark/>
          </w:tcPr>
          <w:p w14:paraId="612F6F5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000011</w:t>
            </w:r>
          </w:p>
        </w:tc>
        <w:tc>
          <w:tcPr>
            <w:tcW w:w="572" w:type="dxa"/>
            <w:tcBorders>
              <w:top w:val="single" w:sz="4" w:space="0" w:color="auto"/>
              <w:left w:val="nil"/>
              <w:bottom w:val="nil"/>
              <w:right w:val="single" w:sz="4" w:space="0" w:color="auto"/>
            </w:tcBorders>
            <w:shd w:val="clear" w:color="auto" w:fill="auto"/>
            <w:noWrap/>
            <w:hideMark/>
          </w:tcPr>
          <w:p w14:paraId="73CE422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17%</w:t>
            </w:r>
          </w:p>
        </w:tc>
        <w:tc>
          <w:tcPr>
            <w:tcW w:w="1129" w:type="dxa"/>
            <w:tcBorders>
              <w:top w:val="single" w:sz="4" w:space="0" w:color="auto"/>
              <w:left w:val="nil"/>
              <w:bottom w:val="nil"/>
              <w:right w:val="single" w:sz="4" w:space="0" w:color="auto"/>
            </w:tcBorders>
            <w:shd w:val="clear" w:color="auto" w:fill="auto"/>
            <w:noWrap/>
            <w:hideMark/>
          </w:tcPr>
          <w:p w14:paraId="4ACDAAB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04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33</w:t>
            </w:r>
          </w:p>
        </w:tc>
        <w:tc>
          <w:tcPr>
            <w:tcW w:w="1985" w:type="dxa"/>
            <w:tcBorders>
              <w:top w:val="single" w:sz="4" w:space="0" w:color="auto"/>
              <w:left w:val="nil"/>
              <w:bottom w:val="nil"/>
              <w:right w:val="single" w:sz="4" w:space="0" w:color="auto"/>
            </w:tcBorders>
            <w:shd w:val="clear" w:color="auto" w:fill="auto"/>
            <w:noWrap/>
            <w:hideMark/>
          </w:tcPr>
          <w:p w14:paraId="4F1A02F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None</w:t>
            </w:r>
          </w:p>
        </w:tc>
        <w:tc>
          <w:tcPr>
            <w:tcW w:w="1134" w:type="dxa"/>
            <w:tcBorders>
              <w:top w:val="single" w:sz="4" w:space="0" w:color="auto"/>
              <w:left w:val="nil"/>
              <w:bottom w:val="nil"/>
              <w:right w:val="single" w:sz="4" w:space="0" w:color="auto"/>
            </w:tcBorders>
            <w:shd w:val="clear" w:color="auto" w:fill="auto"/>
            <w:noWrap/>
            <w:hideMark/>
          </w:tcPr>
          <w:p w14:paraId="33F0C68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36FDDCA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Low</w:t>
            </w:r>
          </w:p>
        </w:tc>
      </w:tr>
      <w:tr w:rsidR="00942FBB" w:rsidRPr="005B1792" w14:paraId="3D106675"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2988B09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Cesarean section</w:t>
            </w:r>
          </w:p>
        </w:tc>
        <w:tc>
          <w:tcPr>
            <w:tcW w:w="1134" w:type="dxa"/>
            <w:tcBorders>
              <w:top w:val="single" w:sz="4" w:space="0" w:color="auto"/>
              <w:left w:val="nil"/>
              <w:bottom w:val="nil"/>
              <w:right w:val="single" w:sz="4" w:space="0" w:color="auto"/>
            </w:tcBorders>
            <w:shd w:val="clear" w:color="auto" w:fill="auto"/>
            <w:noWrap/>
            <w:hideMark/>
          </w:tcPr>
          <w:p w14:paraId="7BEB474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Moameri</w:t>
            </w:r>
            <w:proofErr w:type="spellEnd"/>
            <w:r w:rsidRPr="005B1792">
              <w:rPr>
                <w:rFonts w:ascii="Times New Roman" w:eastAsia="Malgun Gothic" w:hAnsi="Times New Roman" w:cs="Times New Roman"/>
                <w:color w:val="000000"/>
                <w:kern w:val="0"/>
                <w:sz w:val="16"/>
                <w:szCs w:val="16"/>
              </w:rPr>
              <w:t xml:space="preserve"> 2019</w:t>
            </w:r>
          </w:p>
        </w:tc>
        <w:tc>
          <w:tcPr>
            <w:tcW w:w="1276" w:type="dxa"/>
            <w:tcBorders>
              <w:top w:val="single" w:sz="4" w:space="0" w:color="auto"/>
              <w:left w:val="nil"/>
              <w:bottom w:val="nil"/>
              <w:right w:val="single" w:sz="4" w:space="0" w:color="auto"/>
            </w:tcBorders>
            <w:shd w:val="clear" w:color="auto" w:fill="auto"/>
            <w:noWrap/>
            <w:hideMark/>
          </w:tcPr>
          <w:p w14:paraId="0C195D8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8870 / 614789</w:t>
            </w:r>
          </w:p>
        </w:tc>
        <w:tc>
          <w:tcPr>
            <w:tcW w:w="829" w:type="dxa"/>
            <w:tcBorders>
              <w:top w:val="single" w:sz="4" w:space="0" w:color="auto"/>
              <w:left w:val="nil"/>
              <w:bottom w:val="nil"/>
              <w:right w:val="single" w:sz="4" w:space="0" w:color="auto"/>
            </w:tcBorders>
            <w:shd w:val="clear" w:color="auto" w:fill="auto"/>
            <w:noWrap/>
            <w:hideMark/>
          </w:tcPr>
          <w:p w14:paraId="4425166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38</w:t>
            </w:r>
          </w:p>
        </w:tc>
        <w:tc>
          <w:tcPr>
            <w:tcW w:w="1297" w:type="dxa"/>
            <w:tcBorders>
              <w:top w:val="single" w:sz="4" w:space="0" w:color="auto"/>
              <w:left w:val="nil"/>
              <w:bottom w:val="nil"/>
              <w:right w:val="single" w:sz="4" w:space="0" w:color="auto"/>
            </w:tcBorders>
            <w:shd w:val="clear" w:color="auto" w:fill="auto"/>
            <w:noWrap/>
            <w:hideMark/>
          </w:tcPr>
          <w:p w14:paraId="5DDA110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case-control</w:t>
            </w:r>
          </w:p>
        </w:tc>
        <w:tc>
          <w:tcPr>
            <w:tcW w:w="705" w:type="dxa"/>
            <w:tcBorders>
              <w:top w:val="single" w:sz="4" w:space="0" w:color="auto"/>
              <w:left w:val="nil"/>
              <w:bottom w:val="nil"/>
              <w:right w:val="single" w:sz="4" w:space="0" w:color="auto"/>
            </w:tcBorders>
            <w:shd w:val="clear" w:color="auto" w:fill="auto"/>
            <w:noWrap/>
            <w:hideMark/>
          </w:tcPr>
          <w:p w14:paraId="11CC846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6DFF253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36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 to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55)</w:t>
            </w:r>
          </w:p>
        </w:tc>
        <w:tc>
          <w:tcPr>
            <w:tcW w:w="992" w:type="dxa"/>
            <w:tcBorders>
              <w:top w:val="single" w:sz="4" w:space="0" w:color="auto"/>
              <w:left w:val="nil"/>
              <w:bottom w:val="nil"/>
              <w:right w:val="single" w:sz="4" w:space="0" w:color="auto"/>
            </w:tcBorders>
            <w:shd w:val="clear" w:color="auto" w:fill="auto"/>
            <w:noWrap/>
            <w:hideMark/>
          </w:tcPr>
          <w:p w14:paraId="7044E1F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000001</w:t>
            </w:r>
          </w:p>
        </w:tc>
        <w:tc>
          <w:tcPr>
            <w:tcW w:w="572" w:type="dxa"/>
            <w:tcBorders>
              <w:top w:val="single" w:sz="4" w:space="0" w:color="auto"/>
              <w:left w:val="nil"/>
              <w:bottom w:val="nil"/>
              <w:right w:val="single" w:sz="4" w:space="0" w:color="auto"/>
            </w:tcBorders>
            <w:shd w:val="clear" w:color="auto" w:fill="auto"/>
            <w:noWrap/>
            <w:hideMark/>
          </w:tcPr>
          <w:p w14:paraId="1D9C9E5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54%</w:t>
            </w:r>
          </w:p>
        </w:tc>
        <w:tc>
          <w:tcPr>
            <w:tcW w:w="1129" w:type="dxa"/>
            <w:tcBorders>
              <w:top w:val="single" w:sz="4" w:space="0" w:color="auto"/>
              <w:left w:val="nil"/>
              <w:bottom w:val="nil"/>
              <w:right w:val="single" w:sz="4" w:space="0" w:color="auto"/>
            </w:tcBorders>
            <w:shd w:val="clear" w:color="auto" w:fill="auto"/>
            <w:noWrap/>
            <w:hideMark/>
          </w:tcPr>
          <w:p w14:paraId="1C74181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82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26</w:t>
            </w:r>
          </w:p>
        </w:tc>
        <w:tc>
          <w:tcPr>
            <w:tcW w:w="1985" w:type="dxa"/>
            <w:tcBorders>
              <w:top w:val="single" w:sz="4" w:space="0" w:color="auto"/>
              <w:left w:val="nil"/>
              <w:bottom w:val="nil"/>
              <w:right w:val="single" w:sz="4" w:space="0" w:color="auto"/>
            </w:tcBorders>
            <w:shd w:val="clear" w:color="auto" w:fill="auto"/>
            <w:noWrap/>
            <w:hideMark/>
          </w:tcPr>
          <w:p w14:paraId="2CCD476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5A392FD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5EECCA0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25F35151"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39377B8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Pre-pregnancy obesity</w:t>
            </w:r>
          </w:p>
        </w:tc>
        <w:tc>
          <w:tcPr>
            <w:tcW w:w="1134" w:type="dxa"/>
            <w:tcBorders>
              <w:top w:val="single" w:sz="4" w:space="0" w:color="auto"/>
              <w:left w:val="nil"/>
              <w:bottom w:val="nil"/>
              <w:right w:val="single" w:sz="4" w:space="0" w:color="auto"/>
            </w:tcBorders>
            <w:shd w:val="clear" w:color="auto" w:fill="auto"/>
            <w:noWrap/>
            <w:hideMark/>
          </w:tcPr>
          <w:p w14:paraId="2089FE6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Molyneaux 2014</w:t>
            </w:r>
          </w:p>
        </w:tc>
        <w:tc>
          <w:tcPr>
            <w:tcW w:w="1276" w:type="dxa"/>
            <w:tcBorders>
              <w:top w:val="single" w:sz="4" w:space="0" w:color="auto"/>
              <w:left w:val="nil"/>
              <w:bottom w:val="nil"/>
              <w:right w:val="single" w:sz="4" w:space="0" w:color="auto"/>
            </w:tcBorders>
            <w:shd w:val="clear" w:color="auto" w:fill="auto"/>
            <w:noWrap/>
            <w:hideMark/>
          </w:tcPr>
          <w:p w14:paraId="68F05BA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9085 / 90777</w:t>
            </w:r>
          </w:p>
        </w:tc>
        <w:tc>
          <w:tcPr>
            <w:tcW w:w="829" w:type="dxa"/>
            <w:tcBorders>
              <w:top w:val="single" w:sz="4" w:space="0" w:color="auto"/>
              <w:left w:val="nil"/>
              <w:bottom w:val="nil"/>
              <w:right w:val="single" w:sz="4" w:space="0" w:color="auto"/>
            </w:tcBorders>
            <w:shd w:val="clear" w:color="auto" w:fill="auto"/>
            <w:noWrap/>
            <w:hideMark/>
          </w:tcPr>
          <w:p w14:paraId="67F9DB8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14</w:t>
            </w:r>
          </w:p>
        </w:tc>
        <w:tc>
          <w:tcPr>
            <w:tcW w:w="1297" w:type="dxa"/>
            <w:tcBorders>
              <w:top w:val="single" w:sz="4" w:space="0" w:color="auto"/>
              <w:left w:val="nil"/>
              <w:bottom w:val="nil"/>
              <w:right w:val="single" w:sz="4" w:space="0" w:color="auto"/>
            </w:tcBorders>
            <w:shd w:val="clear" w:color="auto" w:fill="auto"/>
            <w:noWrap/>
            <w:hideMark/>
          </w:tcPr>
          <w:p w14:paraId="7767C88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cross-sectional</w:t>
            </w:r>
          </w:p>
        </w:tc>
        <w:tc>
          <w:tcPr>
            <w:tcW w:w="705" w:type="dxa"/>
            <w:tcBorders>
              <w:top w:val="single" w:sz="4" w:space="0" w:color="auto"/>
              <w:left w:val="nil"/>
              <w:bottom w:val="nil"/>
              <w:right w:val="single" w:sz="4" w:space="0" w:color="auto"/>
            </w:tcBorders>
            <w:shd w:val="clear" w:color="auto" w:fill="auto"/>
            <w:noWrap/>
            <w:hideMark/>
          </w:tcPr>
          <w:p w14:paraId="6384878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6E5057E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34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19 to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51)</w:t>
            </w:r>
          </w:p>
        </w:tc>
        <w:tc>
          <w:tcPr>
            <w:tcW w:w="992" w:type="dxa"/>
            <w:tcBorders>
              <w:top w:val="single" w:sz="4" w:space="0" w:color="auto"/>
              <w:left w:val="nil"/>
              <w:bottom w:val="nil"/>
              <w:right w:val="single" w:sz="4" w:space="0" w:color="auto"/>
            </w:tcBorders>
            <w:shd w:val="clear" w:color="auto" w:fill="auto"/>
            <w:noWrap/>
            <w:hideMark/>
          </w:tcPr>
          <w:p w14:paraId="1B4A120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000003</w:t>
            </w:r>
          </w:p>
        </w:tc>
        <w:tc>
          <w:tcPr>
            <w:tcW w:w="572" w:type="dxa"/>
            <w:tcBorders>
              <w:top w:val="single" w:sz="4" w:space="0" w:color="auto"/>
              <w:left w:val="nil"/>
              <w:bottom w:val="nil"/>
              <w:right w:val="single" w:sz="4" w:space="0" w:color="auto"/>
            </w:tcBorders>
            <w:shd w:val="clear" w:color="auto" w:fill="auto"/>
            <w:noWrap/>
            <w:hideMark/>
          </w:tcPr>
          <w:p w14:paraId="03A2D5B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48%</w:t>
            </w:r>
          </w:p>
        </w:tc>
        <w:tc>
          <w:tcPr>
            <w:tcW w:w="1129" w:type="dxa"/>
            <w:tcBorders>
              <w:top w:val="single" w:sz="4" w:space="0" w:color="auto"/>
              <w:left w:val="nil"/>
              <w:bottom w:val="nil"/>
              <w:right w:val="single" w:sz="4" w:space="0" w:color="auto"/>
            </w:tcBorders>
            <w:shd w:val="clear" w:color="auto" w:fill="auto"/>
            <w:noWrap/>
            <w:hideMark/>
          </w:tcPr>
          <w:p w14:paraId="18EC826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 to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w:t>
            </w:r>
          </w:p>
        </w:tc>
        <w:tc>
          <w:tcPr>
            <w:tcW w:w="1985" w:type="dxa"/>
            <w:tcBorders>
              <w:top w:val="single" w:sz="4" w:space="0" w:color="auto"/>
              <w:left w:val="nil"/>
              <w:bottom w:val="nil"/>
              <w:right w:val="single" w:sz="4" w:space="0" w:color="auto"/>
            </w:tcBorders>
            <w:shd w:val="clear" w:color="auto" w:fill="auto"/>
            <w:noWrap/>
            <w:hideMark/>
          </w:tcPr>
          <w:p w14:paraId="44545FF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None</w:t>
            </w:r>
          </w:p>
        </w:tc>
        <w:tc>
          <w:tcPr>
            <w:tcW w:w="1134" w:type="dxa"/>
            <w:tcBorders>
              <w:top w:val="single" w:sz="4" w:space="0" w:color="auto"/>
              <w:left w:val="nil"/>
              <w:bottom w:val="nil"/>
              <w:right w:val="single" w:sz="4" w:space="0" w:color="auto"/>
            </w:tcBorders>
            <w:shd w:val="clear" w:color="auto" w:fill="auto"/>
            <w:noWrap/>
            <w:hideMark/>
          </w:tcPr>
          <w:p w14:paraId="73F38FA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Moderate</w:t>
            </w:r>
          </w:p>
        </w:tc>
        <w:tc>
          <w:tcPr>
            <w:tcW w:w="936" w:type="dxa"/>
            <w:tcBorders>
              <w:top w:val="single" w:sz="4" w:space="0" w:color="auto"/>
              <w:left w:val="nil"/>
              <w:bottom w:val="nil"/>
              <w:right w:val="single" w:sz="4" w:space="0" w:color="auto"/>
            </w:tcBorders>
          </w:tcPr>
          <w:p w14:paraId="61DAE79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221D5602"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0283528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Elective cesarean section</w:t>
            </w:r>
          </w:p>
        </w:tc>
        <w:tc>
          <w:tcPr>
            <w:tcW w:w="1134" w:type="dxa"/>
            <w:tcBorders>
              <w:top w:val="single" w:sz="4" w:space="0" w:color="auto"/>
              <w:left w:val="nil"/>
              <w:bottom w:val="nil"/>
              <w:right w:val="single" w:sz="4" w:space="0" w:color="auto"/>
            </w:tcBorders>
            <w:shd w:val="clear" w:color="auto" w:fill="auto"/>
            <w:noWrap/>
            <w:hideMark/>
          </w:tcPr>
          <w:p w14:paraId="03014D6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Moameri</w:t>
            </w:r>
            <w:proofErr w:type="spellEnd"/>
            <w:r w:rsidRPr="005B1792">
              <w:rPr>
                <w:rFonts w:ascii="Times New Roman" w:eastAsia="Malgun Gothic" w:hAnsi="Times New Roman" w:cs="Times New Roman"/>
                <w:color w:val="000000"/>
                <w:kern w:val="0"/>
                <w:sz w:val="16"/>
                <w:szCs w:val="16"/>
              </w:rPr>
              <w:t xml:space="preserve"> 2019</w:t>
            </w:r>
          </w:p>
        </w:tc>
        <w:tc>
          <w:tcPr>
            <w:tcW w:w="1276" w:type="dxa"/>
            <w:tcBorders>
              <w:top w:val="single" w:sz="4" w:space="0" w:color="auto"/>
              <w:left w:val="nil"/>
              <w:bottom w:val="nil"/>
              <w:right w:val="single" w:sz="4" w:space="0" w:color="auto"/>
            </w:tcBorders>
            <w:shd w:val="clear" w:color="auto" w:fill="auto"/>
            <w:noWrap/>
            <w:hideMark/>
          </w:tcPr>
          <w:p w14:paraId="640210E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8589 / 609598</w:t>
            </w:r>
          </w:p>
        </w:tc>
        <w:tc>
          <w:tcPr>
            <w:tcW w:w="829" w:type="dxa"/>
            <w:tcBorders>
              <w:top w:val="single" w:sz="4" w:space="0" w:color="auto"/>
              <w:left w:val="nil"/>
              <w:bottom w:val="nil"/>
              <w:right w:val="single" w:sz="4" w:space="0" w:color="auto"/>
            </w:tcBorders>
            <w:shd w:val="clear" w:color="auto" w:fill="auto"/>
            <w:noWrap/>
            <w:hideMark/>
          </w:tcPr>
          <w:p w14:paraId="3E5035A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28</w:t>
            </w:r>
          </w:p>
        </w:tc>
        <w:tc>
          <w:tcPr>
            <w:tcW w:w="1297" w:type="dxa"/>
            <w:tcBorders>
              <w:top w:val="single" w:sz="4" w:space="0" w:color="auto"/>
              <w:left w:val="nil"/>
              <w:bottom w:val="nil"/>
              <w:right w:val="single" w:sz="4" w:space="0" w:color="auto"/>
            </w:tcBorders>
            <w:shd w:val="clear" w:color="auto" w:fill="auto"/>
            <w:noWrap/>
            <w:hideMark/>
          </w:tcPr>
          <w:p w14:paraId="2627068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case-control</w:t>
            </w:r>
          </w:p>
        </w:tc>
        <w:tc>
          <w:tcPr>
            <w:tcW w:w="705" w:type="dxa"/>
            <w:tcBorders>
              <w:top w:val="single" w:sz="4" w:space="0" w:color="auto"/>
              <w:left w:val="nil"/>
              <w:bottom w:val="nil"/>
              <w:right w:val="single" w:sz="4" w:space="0" w:color="auto"/>
            </w:tcBorders>
            <w:shd w:val="clear" w:color="auto" w:fill="auto"/>
            <w:noWrap/>
            <w:hideMark/>
          </w:tcPr>
          <w:p w14:paraId="4232787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2543ED4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29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12 to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49)</w:t>
            </w:r>
          </w:p>
        </w:tc>
        <w:tc>
          <w:tcPr>
            <w:tcW w:w="992" w:type="dxa"/>
            <w:tcBorders>
              <w:top w:val="single" w:sz="4" w:space="0" w:color="auto"/>
              <w:left w:val="nil"/>
              <w:bottom w:val="nil"/>
              <w:right w:val="single" w:sz="4" w:space="0" w:color="auto"/>
            </w:tcBorders>
            <w:shd w:val="clear" w:color="auto" w:fill="auto"/>
            <w:noWrap/>
            <w:hideMark/>
          </w:tcPr>
          <w:p w14:paraId="39F3AA2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00036</w:t>
            </w:r>
          </w:p>
        </w:tc>
        <w:tc>
          <w:tcPr>
            <w:tcW w:w="572" w:type="dxa"/>
            <w:tcBorders>
              <w:top w:val="single" w:sz="4" w:space="0" w:color="auto"/>
              <w:left w:val="nil"/>
              <w:bottom w:val="nil"/>
              <w:right w:val="single" w:sz="4" w:space="0" w:color="auto"/>
            </w:tcBorders>
            <w:shd w:val="clear" w:color="auto" w:fill="auto"/>
            <w:noWrap/>
            <w:hideMark/>
          </w:tcPr>
          <w:p w14:paraId="53D31AF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48%</w:t>
            </w:r>
          </w:p>
        </w:tc>
        <w:tc>
          <w:tcPr>
            <w:tcW w:w="1129" w:type="dxa"/>
            <w:tcBorders>
              <w:top w:val="single" w:sz="4" w:space="0" w:color="auto"/>
              <w:left w:val="nil"/>
              <w:bottom w:val="nil"/>
              <w:right w:val="single" w:sz="4" w:space="0" w:color="auto"/>
            </w:tcBorders>
            <w:shd w:val="clear" w:color="auto" w:fill="auto"/>
            <w:noWrap/>
            <w:hideMark/>
          </w:tcPr>
          <w:p w14:paraId="64BF5C0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w:t>
            </w:r>
          </w:p>
        </w:tc>
        <w:tc>
          <w:tcPr>
            <w:tcW w:w="1985" w:type="dxa"/>
            <w:tcBorders>
              <w:top w:val="single" w:sz="4" w:space="0" w:color="auto"/>
              <w:left w:val="nil"/>
              <w:bottom w:val="nil"/>
              <w:right w:val="single" w:sz="4" w:space="0" w:color="auto"/>
            </w:tcBorders>
            <w:shd w:val="clear" w:color="auto" w:fill="auto"/>
            <w:noWrap/>
            <w:hideMark/>
          </w:tcPr>
          <w:p w14:paraId="1C3AB65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Loss of significance under 10% credibility ceiling</w:t>
            </w:r>
          </w:p>
        </w:tc>
        <w:tc>
          <w:tcPr>
            <w:tcW w:w="1134" w:type="dxa"/>
            <w:tcBorders>
              <w:top w:val="single" w:sz="4" w:space="0" w:color="auto"/>
              <w:left w:val="nil"/>
              <w:bottom w:val="nil"/>
              <w:right w:val="single" w:sz="4" w:space="0" w:color="auto"/>
            </w:tcBorders>
            <w:shd w:val="clear" w:color="auto" w:fill="auto"/>
            <w:noWrap/>
            <w:hideMark/>
          </w:tcPr>
          <w:p w14:paraId="1371DEC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127B5FF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Low</w:t>
            </w:r>
          </w:p>
        </w:tc>
      </w:tr>
      <w:tr w:rsidR="00942FBB" w:rsidRPr="005B1792" w14:paraId="7956D6EC" w14:textId="77777777" w:rsidTr="00081D71">
        <w:trPr>
          <w:trHeight w:val="275"/>
        </w:trPr>
        <w:tc>
          <w:tcPr>
            <w:tcW w:w="15390" w:type="dxa"/>
            <w:gridSpan w:val="13"/>
            <w:tcBorders>
              <w:top w:val="single" w:sz="4" w:space="0" w:color="auto"/>
              <w:left w:val="single" w:sz="4" w:space="0" w:color="auto"/>
              <w:bottom w:val="single" w:sz="4" w:space="0" w:color="auto"/>
              <w:right w:val="single" w:sz="4" w:space="0" w:color="000000"/>
            </w:tcBorders>
            <w:shd w:val="clear" w:color="auto" w:fill="auto"/>
            <w:hideMark/>
          </w:tcPr>
          <w:p w14:paraId="5A7944F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Weak (class IV)</w:t>
            </w:r>
          </w:p>
        </w:tc>
      </w:tr>
      <w:tr w:rsidR="00942FBB" w:rsidRPr="005B1792" w14:paraId="3286A705" w14:textId="77777777" w:rsidTr="00081D71">
        <w:trPr>
          <w:trHeight w:val="275"/>
        </w:trPr>
        <w:tc>
          <w:tcPr>
            <w:tcW w:w="1838" w:type="dxa"/>
            <w:tcBorders>
              <w:top w:val="nil"/>
              <w:left w:val="single" w:sz="4" w:space="0" w:color="auto"/>
              <w:bottom w:val="nil"/>
              <w:right w:val="single" w:sz="4" w:space="0" w:color="auto"/>
            </w:tcBorders>
            <w:shd w:val="clear" w:color="auto" w:fill="auto"/>
            <w:noWrap/>
            <w:hideMark/>
          </w:tcPr>
          <w:p w14:paraId="138001D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Poor social support</w:t>
            </w:r>
          </w:p>
        </w:tc>
        <w:tc>
          <w:tcPr>
            <w:tcW w:w="1134" w:type="dxa"/>
            <w:tcBorders>
              <w:top w:val="nil"/>
              <w:left w:val="nil"/>
              <w:bottom w:val="nil"/>
              <w:right w:val="single" w:sz="4" w:space="0" w:color="auto"/>
            </w:tcBorders>
            <w:shd w:val="clear" w:color="auto" w:fill="auto"/>
            <w:noWrap/>
            <w:hideMark/>
          </w:tcPr>
          <w:p w14:paraId="30D444F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Tolossa</w:t>
            </w:r>
            <w:proofErr w:type="spellEnd"/>
            <w:r w:rsidRPr="005B1792">
              <w:rPr>
                <w:rFonts w:ascii="Times New Roman" w:eastAsia="Malgun Gothic" w:hAnsi="Times New Roman" w:cs="Times New Roman"/>
                <w:color w:val="000000"/>
                <w:kern w:val="0"/>
                <w:sz w:val="16"/>
                <w:szCs w:val="16"/>
              </w:rPr>
              <w:t xml:space="preserve"> 2020</w:t>
            </w:r>
          </w:p>
        </w:tc>
        <w:tc>
          <w:tcPr>
            <w:tcW w:w="1276" w:type="dxa"/>
            <w:tcBorders>
              <w:top w:val="nil"/>
              <w:left w:val="nil"/>
              <w:bottom w:val="nil"/>
              <w:right w:val="single" w:sz="4" w:space="0" w:color="auto"/>
            </w:tcBorders>
            <w:shd w:val="clear" w:color="auto" w:fill="auto"/>
            <w:noWrap/>
            <w:hideMark/>
          </w:tcPr>
          <w:p w14:paraId="5A659A3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832 / 5104</w:t>
            </w:r>
          </w:p>
        </w:tc>
        <w:tc>
          <w:tcPr>
            <w:tcW w:w="829" w:type="dxa"/>
            <w:tcBorders>
              <w:top w:val="nil"/>
              <w:left w:val="nil"/>
              <w:bottom w:val="nil"/>
              <w:right w:val="single" w:sz="4" w:space="0" w:color="auto"/>
            </w:tcBorders>
            <w:shd w:val="clear" w:color="auto" w:fill="auto"/>
            <w:noWrap/>
            <w:hideMark/>
          </w:tcPr>
          <w:p w14:paraId="06DAAA9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w:t>
            </w:r>
          </w:p>
        </w:tc>
        <w:tc>
          <w:tcPr>
            <w:tcW w:w="1297" w:type="dxa"/>
            <w:tcBorders>
              <w:top w:val="nil"/>
              <w:left w:val="nil"/>
              <w:bottom w:val="nil"/>
              <w:right w:val="single" w:sz="4" w:space="0" w:color="auto"/>
            </w:tcBorders>
            <w:shd w:val="clear" w:color="auto" w:fill="auto"/>
            <w:noWrap/>
            <w:hideMark/>
          </w:tcPr>
          <w:p w14:paraId="0DD0396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Cross-sectional</w:t>
            </w:r>
          </w:p>
        </w:tc>
        <w:tc>
          <w:tcPr>
            <w:tcW w:w="705" w:type="dxa"/>
            <w:tcBorders>
              <w:top w:val="nil"/>
              <w:left w:val="nil"/>
              <w:bottom w:val="nil"/>
              <w:right w:val="single" w:sz="4" w:space="0" w:color="auto"/>
            </w:tcBorders>
            <w:shd w:val="clear" w:color="auto" w:fill="auto"/>
            <w:noWrap/>
            <w:hideMark/>
          </w:tcPr>
          <w:p w14:paraId="0837F62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nil"/>
              <w:left w:val="nil"/>
              <w:bottom w:val="nil"/>
              <w:right w:val="single" w:sz="4" w:space="0" w:color="auto"/>
            </w:tcBorders>
            <w:shd w:val="clear" w:color="auto" w:fill="auto"/>
            <w:noWrap/>
            <w:hideMark/>
          </w:tcPr>
          <w:p w14:paraId="65E9CFD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59 to 16</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77)</w:t>
            </w:r>
          </w:p>
        </w:tc>
        <w:tc>
          <w:tcPr>
            <w:tcW w:w="992" w:type="dxa"/>
            <w:tcBorders>
              <w:top w:val="nil"/>
              <w:left w:val="nil"/>
              <w:bottom w:val="nil"/>
              <w:right w:val="single" w:sz="4" w:space="0" w:color="auto"/>
            </w:tcBorders>
            <w:shd w:val="clear" w:color="auto" w:fill="auto"/>
            <w:noWrap/>
            <w:hideMark/>
          </w:tcPr>
          <w:p w14:paraId="55D7370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000075</w:t>
            </w:r>
          </w:p>
        </w:tc>
        <w:tc>
          <w:tcPr>
            <w:tcW w:w="572" w:type="dxa"/>
            <w:tcBorders>
              <w:top w:val="nil"/>
              <w:left w:val="nil"/>
              <w:bottom w:val="nil"/>
              <w:right w:val="single" w:sz="4" w:space="0" w:color="auto"/>
            </w:tcBorders>
            <w:shd w:val="clear" w:color="auto" w:fill="auto"/>
            <w:noWrap/>
            <w:hideMark/>
          </w:tcPr>
          <w:p w14:paraId="3C6621A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96%</w:t>
            </w:r>
          </w:p>
        </w:tc>
        <w:tc>
          <w:tcPr>
            <w:tcW w:w="1129" w:type="dxa"/>
            <w:tcBorders>
              <w:top w:val="nil"/>
              <w:left w:val="nil"/>
              <w:bottom w:val="nil"/>
              <w:right w:val="single" w:sz="4" w:space="0" w:color="auto"/>
            </w:tcBorders>
            <w:shd w:val="clear" w:color="auto" w:fill="auto"/>
            <w:noWrap/>
            <w:hideMark/>
          </w:tcPr>
          <w:p w14:paraId="3525693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17 to 249</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06</w:t>
            </w:r>
          </w:p>
        </w:tc>
        <w:tc>
          <w:tcPr>
            <w:tcW w:w="1985" w:type="dxa"/>
            <w:tcBorders>
              <w:top w:val="nil"/>
              <w:left w:val="nil"/>
              <w:bottom w:val="nil"/>
              <w:right w:val="single" w:sz="4" w:space="0" w:color="auto"/>
            </w:tcBorders>
            <w:shd w:val="clear" w:color="auto" w:fill="auto"/>
            <w:noWrap/>
            <w:hideMark/>
          </w:tcPr>
          <w:p w14:paraId="77425E9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 small study effect</w:t>
            </w:r>
          </w:p>
        </w:tc>
        <w:tc>
          <w:tcPr>
            <w:tcW w:w="1134" w:type="dxa"/>
            <w:tcBorders>
              <w:top w:val="nil"/>
              <w:left w:val="nil"/>
              <w:bottom w:val="nil"/>
              <w:right w:val="single" w:sz="4" w:space="0" w:color="auto"/>
            </w:tcBorders>
            <w:shd w:val="clear" w:color="auto" w:fill="auto"/>
            <w:noWrap/>
            <w:hideMark/>
          </w:tcPr>
          <w:p w14:paraId="48347BA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nil"/>
              <w:left w:val="nil"/>
              <w:bottom w:val="nil"/>
              <w:right w:val="single" w:sz="4" w:space="0" w:color="auto"/>
            </w:tcBorders>
          </w:tcPr>
          <w:p w14:paraId="2077E48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Low</w:t>
            </w:r>
          </w:p>
        </w:tc>
      </w:tr>
      <w:tr w:rsidR="00942FBB" w:rsidRPr="005B1792" w14:paraId="37ADB087"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72C2497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History of depression</w:t>
            </w:r>
          </w:p>
        </w:tc>
        <w:tc>
          <w:tcPr>
            <w:tcW w:w="1134" w:type="dxa"/>
            <w:tcBorders>
              <w:top w:val="single" w:sz="4" w:space="0" w:color="auto"/>
              <w:left w:val="nil"/>
              <w:bottom w:val="nil"/>
              <w:right w:val="single" w:sz="4" w:space="0" w:color="auto"/>
            </w:tcBorders>
            <w:shd w:val="clear" w:color="auto" w:fill="auto"/>
            <w:noWrap/>
            <w:hideMark/>
          </w:tcPr>
          <w:p w14:paraId="2288AA6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Tolossa</w:t>
            </w:r>
            <w:proofErr w:type="spellEnd"/>
            <w:r w:rsidRPr="005B1792">
              <w:rPr>
                <w:rFonts w:ascii="Times New Roman" w:eastAsia="Malgun Gothic" w:hAnsi="Times New Roman" w:cs="Times New Roman"/>
                <w:color w:val="000000"/>
                <w:kern w:val="0"/>
                <w:sz w:val="16"/>
                <w:szCs w:val="16"/>
              </w:rPr>
              <w:t xml:space="preserve"> 2020</w:t>
            </w:r>
          </w:p>
        </w:tc>
        <w:tc>
          <w:tcPr>
            <w:tcW w:w="1276" w:type="dxa"/>
            <w:tcBorders>
              <w:top w:val="single" w:sz="4" w:space="0" w:color="auto"/>
              <w:left w:val="nil"/>
              <w:bottom w:val="nil"/>
              <w:right w:val="single" w:sz="4" w:space="0" w:color="auto"/>
            </w:tcBorders>
            <w:shd w:val="clear" w:color="auto" w:fill="auto"/>
            <w:noWrap/>
            <w:hideMark/>
          </w:tcPr>
          <w:p w14:paraId="6FFEF5E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698 / 2876</w:t>
            </w:r>
          </w:p>
        </w:tc>
        <w:tc>
          <w:tcPr>
            <w:tcW w:w="829" w:type="dxa"/>
            <w:tcBorders>
              <w:top w:val="single" w:sz="4" w:space="0" w:color="auto"/>
              <w:left w:val="nil"/>
              <w:bottom w:val="nil"/>
              <w:right w:val="single" w:sz="4" w:space="0" w:color="auto"/>
            </w:tcBorders>
            <w:shd w:val="clear" w:color="auto" w:fill="auto"/>
            <w:noWrap/>
            <w:hideMark/>
          </w:tcPr>
          <w:p w14:paraId="232D9F9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w:t>
            </w:r>
          </w:p>
        </w:tc>
        <w:tc>
          <w:tcPr>
            <w:tcW w:w="1297" w:type="dxa"/>
            <w:tcBorders>
              <w:top w:val="single" w:sz="4" w:space="0" w:color="auto"/>
              <w:left w:val="nil"/>
              <w:bottom w:val="nil"/>
              <w:right w:val="single" w:sz="4" w:space="0" w:color="auto"/>
            </w:tcBorders>
            <w:shd w:val="clear" w:color="auto" w:fill="auto"/>
            <w:noWrap/>
            <w:hideMark/>
          </w:tcPr>
          <w:p w14:paraId="28509F6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Cross-sectional</w:t>
            </w:r>
          </w:p>
        </w:tc>
        <w:tc>
          <w:tcPr>
            <w:tcW w:w="705" w:type="dxa"/>
            <w:tcBorders>
              <w:top w:val="single" w:sz="4" w:space="0" w:color="auto"/>
              <w:left w:val="nil"/>
              <w:bottom w:val="nil"/>
              <w:right w:val="single" w:sz="4" w:space="0" w:color="auto"/>
            </w:tcBorders>
            <w:shd w:val="clear" w:color="auto" w:fill="auto"/>
            <w:noWrap/>
            <w:hideMark/>
          </w:tcPr>
          <w:p w14:paraId="37FFFEB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72DAC90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52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69 to 7</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59)</w:t>
            </w:r>
          </w:p>
        </w:tc>
        <w:tc>
          <w:tcPr>
            <w:tcW w:w="992" w:type="dxa"/>
            <w:tcBorders>
              <w:top w:val="single" w:sz="4" w:space="0" w:color="auto"/>
              <w:left w:val="nil"/>
              <w:bottom w:val="nil"/>
              <w:right w:val="single" w:sz="4" w:space="0" w:color="auto"/>
            </w:tcBorders>
            <w:shd w:val="clear" w:color="auto" w:fill="auto"/>
            <w:noWrap/>
            <w:hideMark/>
          </w:tcPr>
          <w:p w14:paraId="4E60087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&lt;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000001</w:t>
            </w:r>
          </w:p>
        </w:tc>
        <w:tc>
          <w:tcPr>
            <w:tcW w:w="572" w:type="dxa"/>
            <w:tcBorders>
              <w:top w:val="single" w:sz="4" w:space="0" w:color="auto"/>
              <w:left w:val="nil"/>
              <w:bottom w:val="nil"/>
              <w:right w:val="single" w:sz="4" w:space="0" w:color="auto"/>
            </w:tcBorders>
            <w:shd w:val="clear" w:color="auto" w:fill="auto"/>
            <w:noWrap/>
            <w:hideMark/>
          </w:tcPr>
          <w:p w14:paraId="5532543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79%</w:t>
            </w:r>
          </w:p>
        </w:tc>
        <w:tc>
          <w:tcPr>
            <w:tcW w:w="1129" w:type="dxa"/>
            <w:tcBorders>
              <w:top w:val="single" w:sz="4" w:space="0" w:color="auto"/>
              <w:left w:val="nil"/>
              <w:bottom w:val="nil"/>
              <w:right w:val="single" w:sz="4" w:space="0" w:color="auto"/>
            </w:tcBorders>
            <w:shd w:val="clear" w:color="auto" w:fill="auto"/>
            <w:noWrap/>
            <w:hideMark/>
          </w:tcPr>
          <w:p w14:paraId="06D498C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79 to 25</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99</w:t>
            </w:r>
          </w:p>
        </w:tc>
        <w:tc>
          <w:tcPr>
            <w:tcW w:w="1985" w:type="dxa"/>
            <w:tcBorders>
              <w:top w:val="single" w:sz="4" w:space="0" w:color="auto"/>
              <w:left w:val="nil"/>
              <w:bottom w:val="nil"/>
              <w:right w:val="single" w:sz="4" w:space="0" w:color="auto"/>
            </w:tcBorders>
            <w:shd w:val="clear" w:color="auto" w:fill="auto"/>
            <w:noWrap/>
            <w:hideMark/>
          </w:tcPr>
          <w:p w14:paraId="24F6780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1E67FEB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16A449B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0E2574F4"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1D59EED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History of postpartum depression</w:t>
            </w:r>
          </w:p>
        </w:tc>
        <w:tc>
          <w:tcPr>
            <w:tcW w:w="1134" w:type="dxa"/>
            <w:tcBorders>
              <w:top w:val="single" w:sz="4" w:space="0" w:color="auto"/>
              <w:left w:val="nil"/>
              <w:bottom w:val="nil"/>
              <w:right w:val="single" w:sz="4" w:space="0" w:color="auto"/>
            </w:tcBorders>
            <w:shd w:val="clear" w:color="auto" w:fill="auto"/>
            <w:noWrap/>
            <w:hideMark/>
          </w:tcPr>
          <w:p w14:paraId="1E2D09C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Desta 2021</w:t>
            </w:r>
          </w:p>
        </w:tc>
        <w:tc>
          <w:tcPr>
            <w:tcW w:w="1276" w:type="dxa"/>
            <w:tcBorders>
              <w:top w:val="single" w:sz="4" w:space="0" w:color="auto"/>
              <w:left w:val="nil"/>
              <w:bottom w:val="nil"/>
              <w:right w:val="single" w:sz="4" w:space="0" w:color="auto"/>
            </w:tcBorders>
            <w:shd w:val="clear" w:color="auto" w:fill="auto"/>
            <w:noWrap/>
            <w:hideMark/>
          </w:tcPr>
          <w:p w14:paraId="40DDA07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306 / 1361</w:t>
            </w:r>
          </w:p>
        </w:tc>
        <w:tc>
          <w:tcPr>
            <w:tcW w:w="829" w:type="dxa"/>
            <w:tcBorders>
              <w:top w:val="single" w:sz="4" w:space="0" w:color="auto"/>
              <w:left w:val="nil"/>
              <w:bottom w:val="nil"/>
              <w:right w:val="single" w:sz="4" w:space="0" w:color="auto"/>
            </w:tcBorders>
            <w:shd w:val="clear" w:color="auto" w:fill="auto"/>
            <w:noWrap/>
            <w:hideMark/>
          </w:tcPr>
          <w:p w14:paraId="1161C86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w:t>
            </w:r>
          </w:p>
        </w:tc>
        <w:tc>
          <w:tcPr>
            <w:tcW w:w="1297" w:type="dxa"/>
            <w:tcBorders>
              <w:top w:val="single" w:sz="4" w:space="0" w:color="auto"/>
              <w:left w:val="nil"/>
              <w:bottom w:val="nil"/>
              <w:right w:val="single" w:sz="4" w:space="0" w:color="auto"/>
            </w:tcBorders>
            <w:shd w:val="clear" w:color="auto" w:fill="auto"/>
            <w:noWrap/>
            <w:hideMark/>
          </w:tcPr>
          <w:p w14:paraId="6F51E2B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Cross-sectional</w:t>
            </w:r>
          </w:p>
        </w:tc>
        <w:tc>
          <w:tcPr>
            <w:tcW w:w="705" w:type="dxa"/>
            <w:tcBorders>
              <w:top w:val="single" w:sz="4" w:space="0" w:color="auto"/>
              <w:left w:val="nil"/>
              <w:bottom w:val="nil"/>
              <w:right w:val="single" w:sz="4" w:space="0" w:color="auto"/>
            </w:tcBorders>
            <w:shd w:val="clear" w:color="auto" w:fill="auto"/>
            <w:noWrap/>
            <w:hideMark/>
          </w:tcPr>
          <w:p w14:paraId="33739BB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752A74E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51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4 to 8</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45)</w:t>
            </w:r>
          </w:p>
        </w:tc>
        <w:tc>
          <w:tcPr>
            <w:tcW w:w="992" w:type="dxa"/>
            <w:tcBorders>
              <w:top w:val="single" w:sz="4" w:space="0" w:color="auto"/>
              <w:left w:val="nil"/>
              <w:bottom w:val="nil"/>
              <w:right w:val="single" w:sz="4" w:space="0" w:color="auto"/>
            </w:tcBorders>
            <w:shd w:val="clear" w:color="auto" w:fill="auto"/>
            <w:noWrap/>
            <w:hideMark/>
          </w:tcPr>
          <w:p w14:paraId="78D3BA8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000003</w:t>
            </w:r>
          </w:p>
        </w:tc>
        <w:tc>
          <w:tcPr>
            <w:tcW w:w="572" w:type="dxa"/>
            <w:tcBorders>
              <w:top w:val="single" w:sz="4" w:space="0" w:color="auto"/>
              <w:left w:val="nil"/>
              <w:bottom w:val="nil"/>
              <w:right w:val="single" w:sz="4" w:space="0" w:color="auto"/>
            </w:tcBorders>
            <w:shd w:val="clear" w:color="auto" w:fill="auto"/>
            <w:noWrap/>
            <w:hideMark/>
          </w:tcPr>
          <w:p w14:paraId="6DA89E2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65%</w:t>
            </w:r>
          </w:p>
        </w:tc>
        <w:tc>
          <w:tcPr>
            <w:tcW w:w="1129" w:type="dxa"/>
            <w:tcBorders>
              <w:top w:val="single" w:sz="4" w:space="0" w:color="auto"/>
              <w:left w:val="nil"/>
              <w:bottom w:val="nil"/>
              <w:right w:val="single" w:sz="4" w:space="0" w:color="auto"/>
            </w:tcBorders>
            <w:shd w:val="clear" w:color="auto" w:fill="auto"/>
            <w:noWrap/>
            <w:hideMark/>
          </w:tcPr>
          <w:p w14:paraId="78C7D31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 to 5009</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21</w:t>
            </w:r>
          </w:p>
        </w:tc>
        <w:tc>
          <w:tcPr>
            <w:tcW w:w="1985" w:type="dxa"/>
            <w:tcBorders>
              <w:top w:val="single" w:sz="4" w:space="0" w:color="auto"/>
              <w:left w:val="nil"/>
              <w:bottom w:val="nil"/>
              <w:right w:val="single" w:sz="4" w:space="0" w:color="auto"/>
            </w:tcBorders>
            <w:shd w:val="clear" w:color="auto" w:fill="auto"/>
            <w:noWrap/>
            <w:hideMark/>
          </w:tcPr>
          <w:p w14:paraId="24F94D7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0B1D34F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Low</w:t>
            </w:r>
          </w:p>
        </w:tc>
        <w:tc>
          <w:tcPr>
            <w:tcW w:w="936" w:type="dxa"/>
            <w:tcBorders>
              <w:top w:val="single" w:sz="4" w:space="0" w:color="auto"/>
              <w:left w:val="nil"/>
              <w:bottom w:val="nil"/>
              <w:right w:val="single" w:sz="4" w:space="0" w:color="auto"/>
            </w:tcBorders>
          </w:tcPr>
          <w:p w14:paraId="7A8652D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Low</w:t>
            </w:r>
          </w:p>
        </w:tc>
      </w:tr>
      <w:tr w:rsidR="00942FBB" w:rsidRPr="005B1792" w14:paraId="1F7A9575"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4E045C9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Poor sleep quality</w:t>
            </w:r>
          </w:p>
        </w:tc>
        <w:tc>
          <w:tcPr>
            <w:tcW w:w="1134" w:type="dxa"/>
            <w:tcBorders>
              <w:top w:val="single" w:sz="4" w:space="0" w:color="auto"/>
              <w:left w:val="nil"/>
              <w:bottom w:val="nil"/>
              <w:right w:val="single" w:sz="4" w:space="0" w:color="auto"/>
            </w:tcBorders>
            <w:shd w:val="clear" w:color="auto" w:fill="auto"/>
            <w:noWrap/>
            <w:hideMark/>
          </w:tcPr>
          <w:p w14:paraId="18606C7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Yang 2020</w:t>
            </w:r>
          </w:p>
        </w:tc>
        <w:tc>
          <w:tcPr>
            <w:tcW w:w="1276" w:type="dxa"/>
            <w:tcBorders>
              <w:top w:val="single" w:sz="4" w:space="0" w:color="auto"/>
              <w:left w:val="nil"/>
              <w:bottom w:val="nil"/>
              <w:right w:val="single" w:sz="4" w:space="0" w:color="auto"/>
            </w:tcBorders>
            <w:shd w:val="clear" w:color="auto" w:fill="auto"/>
            <w:noWrap/>
            <w:hideMark/>
          </w:tcPr>
          <w:p w14:paraId="462EBF4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89 / 7131</w:t>
            </w:r>
          </w:p>
        </w:tc>
        <w:tc>
          <w:tcPr>
            <w:tcW w:w="829" w:type="dxa"/>
            <w:tcBorders>
              <w:top w:val="single" w:sz="4" w:space="0" w:color="auto"/>
              <w:left w:val="nil"/>
              <w:bottom w:val="nil"/>
              <w:right w:val="single" w:sz="4" w:space="0" w:color="auto"/>
            </w:tcBorders>
            <w:shd w:val="clear" w:color="auto" w:fill="auto"/>
            <w:noWrap/>
            <w:hideMark/>
          </w:tcPr>
          <w:p w14:paraId="0A6C74F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w:t>
            </w:r>
          </w:p>
        </w:tc>
        <w:tc>
          <w:tcPr>
            <w:tcW w:w="1297" w:type="dxa"/>
            <w:tcBorders>
              <w:top w:val="single" w:sz="4" w:space="0" w:color="auto"/>
              <w:left w:val="nil"/>
              <w:bottom w:val="nil"/>
              <w:right w:val="single" w:sz="4" w:space="0" w:color="auto"/>
            </w:tcBorders>
            <w:shd w:val="clear" w:color="auto" w:fill="auto"/>
            <w:noWrap/>
            <w:hideMark/>
          </w:tcPr>
          <w:p w14:paraId="7DCFD25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Cross-sectional</w:t>
            </w:r>
          </w:p>
        </w:tc>
        <w:tc>
          <w:tcPr>
            <w:tcW w:w="705" w:type="dxa"/>
            <w:tcBorders>
              <w:top w:val="single" w:sz="4" w:space="0" w:color="auto"/>
              <w:left w:val="nil"/>
              <w:bottom w:val="nil"/>
              <w:right w:val="single" w:sz="4" w:space="0" w:color="auto"/>
            </w:tcBorders>
            <w:shd w:val="clear" w:color="auto" w:fill="auto"/>
            <w:noWrap/>
            <w:hideMark/>
          </w:tcPr>
          <w:p w14:paraId="28C6213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53F3FB6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06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82 to 9</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08)</w:t>
            </w:r>
          </w:p>
        </w:tc>
        <w:tc>
          <w:tcPr>
            <w:tcW w:w="992" w:type="dxa"/>
            <w:tcBorders>
              <w:top w:val="single" w:sz="4" w:space="0" w:color="auto"/>
              <w:left w:val="nil"/>
              <w:bottom w:val="nil"/>
              <w:right w:val="single" w:sz="4" w:space="0" w:color="auto"/>
            </w:tcBorders>
            <w:shd w:val="clear" w:color="auto" w:fill="auto"/>
            <w:noWrap/>
            <w:hideMark/>
          </w:tcPr>
          <w:p w14:paraId="51FFF3B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00064</w:t>
            </w:r>
          </w:p>
        </w:tc>
        <w:tc>
          <w:tcPr>
            <w:tcW w:w="572" w:type="dxa"/>
            <w:tcBorders>
              <w:top w:val="single" w:sz="4" w:space="0" w:color="auto"/>
              <w:left w:val="nil"/>
              <w:bottom w:val="nil"/>
              <w:right w:val="single" w:sz="4" w:space="0" w:color="auto"/>
            </w:tcBorders>
            <w:shd w:val="clear" w:color="auto" w:fill="auto"/>
            <w:noWrap/>
            <w:hideMark/>
          </w:tcPr>
          <w:p w14:paraId="6335526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87%</w:t>
            </w:r>
          </w:p>
        </w:tc>
        <w:tc>
          <w:tcPr>
            <w:tcW w:w="1129" w:type="dxa"/>
            <w:tcBorders>
              <w:top w:val="single" w:sz="4" w:space="0" w:color="auto"/>
              <w:left w:val="nil"/>
              <w:bottom w:val="nil"/>
              <w:right w:val="single" w:sz="4" w:space="0" w:color="auto"/>
            </w:tcBorders>
            <w:shd w:val="clear" w:color="auto" w:fill="auto"/>
            <w:noWrap/>
            <w:hideMark/>
          </w:tcPr>
          <w:p w14:paraId="0FA7FA1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 to 171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18</w:t>
            </w:r>
          </w:p>
        </w:tc>
        <w:tc>
          <w:tcPr>
            <w:tcW w:w="1985" w:type="dxa"/>
            <w:tcBorders>
              <w:top w:val="single" w:sz="4" w:space="0" w:color="auto"/>
              <w:left w:val="nil"/>
              <w:bottom w:val="nil"/>
              <w:right w:val="single" w:sz="4" w:space="0" w:color="auto"/>
            </w:tcBorders>
            <w:shd w:val="clear" w:color="auto" w:fill="auto"/>
            <w:noWrap/>
            <w:hideMark/>
          </w:tcPr>
          <w:p w14:paraId="3A32EE3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4EE8CED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Low</w:t>
            </w:r>
          </w:p>
        </w:tc>
        <w:tc>
          <w:tcPr>
            <w:tcW w:w="936" w:type="dxa"/>
            <w:tcBorders>
              <w:top w:val="single" w:sz="4" w:space="0" w:color="auto"/>
              <w:left w:val="nil"/>
              <w:bottom w:val="nil"/>
              <w:right w:val="single" w:sz="4" w:space="0" w:color="auto"/>
            </w:tcBorders>
          </w:tcPr>
          <w:p w14:paraId="54536C9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71BFF1E5"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3CC47BD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History of substance abuse</w:t>
            </w:r>
          </w:p>
        </w:tc>
        <w:tc>
          <w:tcPr>
            <w:tcW w:w="1134" w:type="dxa"/>
            <w:tcBorders>
              <w:top w:val="single" w:sz="4" w:space="0" w:color="auto"/>
              <w:left w:val="nil"/>
              <w:bottom w:val="nil"/>
              <w:right w:val="single" w:sz="4" w:space="0" w:color="auto"/>
            </w:tcBorders>
            <w:shd w:val="clear" w:color="auto" w:fill="auto"/>
            <w:noWrap/>
            <w:hideMark/>
          </w:tcPr>
          <w:p w14:paraId="58D0259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Desta 2021</w:t>
            </w:r>
          </w:p>
        </w:tc>
        <w:tc>
          <w:tcPr>
            <w:tcW w:w="1276" w:type="dxa"/>
            <w:tcBorders>
              <w:top w:val="single" w:sz="4" w:space="0" w:color="auto"/>
              <w:left w:val="nil"/>
              <w:bottom w:val="nil"/>
              <w:right w:val="single" w:sz="4" w:space="0" w:color="auto"/>
            </w:tcBorders>
            <w:shd w:val="clear" w:color="auto" w:fill="auto"/>
            <w:noWrap/>
            <w:hideMark/>
          </w:tcPr>
          <w:p w14:paraId="443E47E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306 / 1261</w:t>
            </w:r>
          </w:p>
        </w:tc>
        <w:tc>
          <w:tcPr>
            <w:tcW w:w="829" w:type="dxa"/>
            <w:tcBorders>
              <w:top w:val="single" w:sz="4" w:space="0" w:color="auto"/>
              <w:left w:val="nil"/>
              <w:bottom w:val="nil"/>
              <w:right w:val="single" w:sz="4" w:space="0" w:color="auto"/>
            </w:tcBorders>
            <w:shd w:val="clear" w:color="auto" w:fill="auto"/>
            <w:noWrap/>
            <w:hideMark/>
          </w:tcPr>
          <w:p w14:paraId="2459380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w:t>
            </w:r>
          </w:p>
        </w:tc>
        <w:tc>
          <w:tcPr>
            <w:tcW w:w="1297" w:type="dxa"/>
            <w:tcBorders>
              <w:top w:val="single" w:sz="4" w:space="0" w:color="auto"/>
              <w:left w:val="nil"/>
              <w:bottom w:val="nil"/>
              <w:right w:val="single" w:sz="4" w:space="0" w:color="auto"/>
            </w:tcBorders>
            <w:shd w:val="clear" w:color="auto" w:fill="auto"/>
            <w:noWrap/>
            <w:hideMark/>
          </w:tcPr>
          <w:p w14:paraId="0DC7D0A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Cross-sectional</w:t>
            </w:r>
          </w:p>
        </w:tc>
        <w:tc>
          <w:tcPr>
            <w:tcW w:w="705" w:type="dxa"/>
            <w:tcBorders>
              <w:top w:val="single" w:sz="4" w:space="0" w:color="auto"/>
              <w:left w:val="nil"/>
              <w:bottom w:val="nil"/>
              <w:right w:val="single" w:sz="4" w:space="0" w:color="auto"/>
            </w:tcBorders>
            <w:shd w:val="clear" w:color="auto" w:fill="auto"/>
            <w:noWrap/>
            <w:hideMark/>
          </w:tcPr>
          <w:p w14:paraId="459C0AD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0E584C6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78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81 to 7</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88)</w:t>
            </w:r>
          </w:p>
        </w:tc>
        <w:tc>
          <w:tcPr>
            <w:tcW w:w="992" w:type="dxa"/>
            <w:tcBorders>
              <w:top w:val="single" w:sz="4" w:space="0" w:color="auto"/>
              <w:left w:val="nil"/>
              <w:bottom w:val="nil"/>
              <w:right w:val="single" w:sz="4" w:space="0" w:color="auto"/>
            </w:tcBorders>
            <w:shd w:val="clear" w:color="auto" w:fill="auto"/>
            <w:noWrap/>
            <w:hideMark/>
          </w:tcPr>
          <w:p w14:paraId="6C778F5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0004</w:t>
            </w:r>
          </w:p>
        </w:tc>
        <w:tc>
          <w:tcPr>
            <w:tcW w:w="572" w:type="dxa"/>
            <w:tcBorders>
              <w:top w:val="single" w:sz="4" w:space="0" w:color="auto"/>
              <w:left w:val="nil"/>
              <w:bottom w:val="nil"/>
              <w:right w:val="single" w:sz="4" w:space="0" w:color="auto"/>
            </w:tcBorders>
            <w:shd w:val="clear" w:color="auto" w:fill="auto"/>
            <w:noWrap/>
            <w:hideMark/>
          </w:tcPr>
          <w:p w14:paraId="41C1DAF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82%</w:t>
            </w:r>
          </w:p>
        </w:tc>
        <w:tc>
          <w:tcPr>
            <w:tcW w:w="1129" w:type="dxa"/>
            <w:tcBorders>
              <w:top w:val="single" w:sz="4" w:space="0" w:color="auto"/>
              <w:left w:val="nil"/>
              <w:bottom w:val="nil"/>
              <w:right w:val="single" w:sz="4" w:space="0" w:color="auto"/>
            </w:tcBorders>
            <w:shd w:val="clear" w:color="auto" w:fill="auto"/>
            <w:noWrap/>
            <w:hideMark/>
          </w:tcPr>
          <w:p w14:paraId="44FAD72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 to 26468</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56</w:t>
            </w:r>
          </w:p>
        </w:tc>
        <w:tc>
          <w:tcPr>
            <w:tcW w:w="1985" w:type="dxa"/>
            <w:tcBorders>
              <w:top w:val="single" w:sz="4" w:space="0" w:color="auto"/>
              <w:left w:val="nil"/>
              <w:bottom w:val="nil"/>
              <w:right w:val="single" w:sz="4" w:space="0" w:color="auto"/>
            </w:tcBorders>
            <w:shd w:val="clear" w:color="auto" w:fill="auto"/>
            <w:noWrap/>
            <w:hideMark/>
          </w:tcPr>
          <w:p w14:paraId="661DCD2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20557D3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Low</w:t>
            </w:r>
          </w:p>
        </w:tc>
        <w:tc>
          <w:tcPr>
            <w:tcW w:w="936" w:type="dxa"/>
            <w:tcBorders>
              <w:top w:val="single" w:sz="4" w:space="0" w:color="auto"/>
              <w:left w:val="nil"/>
              <w:bottom w:val="nil"/>
              <w:right w:val="single" w:sz="4" w:space="0" w:color="auto"/>
            </w:tcBorders>
          </w:tcPr>
          <w:p w14:paraId="0AB235A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0DCEA81A"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6BAFD5E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History of infant death</w:t>
            </w:r>
          </w:p>
        </w:tc>
        <w:tc>
          <w:tcPr>
            <w:tcW w:w="1134" w:type="dxa"/>
            <w:tcBorders>
              <w:top w:val="single" w:sz="4" w:space="0" w:color="auto"/>
              <w:left w:val="nil"/>
              <w:bottom w:val="nil"/>
              <w:right w:val="single" w:sz="4" w:space="0" w:color="auto"/>
            </w:tcBorders>
            <w:shd w:val="clear" w:color="auto" w:fill="auto"/>
            <w:noWrap/>
            <w:hideMark/>
          </w:tcPr>
          <w:p w14:paraId="53AEC92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Tolossa</w:t>
            </w:r>
            <w:proofErr w:type="spellEnd"/>
            <w:r w:rsidRPr="005B1792">
              <w:rPr>
                <w:rFonts w:ascii="Times New Roman" w:eastAsia="Malgun Gothic" w:hAnsi="Times New Roman" w:cs="Times New Roman"/>
                <w:color w:val="000000"/>
                <w:kern w:val="0"/>
                <w:sz w:val="16"/>
                <w:szCs w:val="16"/>
              </w:rPr>
              <w:t xml:space="preserve"> 2020</w:t>
            </w:r>
          </w:p>
        </w:tc>
        <w:tc>
          <w:tcPr>
            <w:tcW w:w="1276" w:type="dxa"/>
            <w:tcBorders>
              <w:top w:val="single" w:sz="4" w:space="0" w:color="auto"/>
              <w:left w:val="nil"/>
              <w:bottom w:val="nil"/>
              <w:right w:val="single" w:sz="4" w:space="0" w:color="auto"/>
            </w:tcBorders>
            <w:shd w:val="clear" w:color="auto" w:fill="auto"/>
            <w:noWrap/>
            <w:hideMark/>
          </w:tcPr>
          <w:p w14:paraId="7366BD5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483 / 1909</w:t>
            </w:r>
          </w:p>
        </w:tc>
        <w:tc>
          <w:tcPr>
            <w:tcW w:w="829" w:type="dxa"/>
            <w:tcBorders>
              <w:top w:val="single" w:sz="4" w:space="0" w:color="auto"/>
              <w:left w:val="nil"/>
              <w:bottom w:val="nil"/>
              <w:right w:val="single" w:sz="4" w:space="0" w:color="auto"/>
            </w:tcBorders>
            <w:shd w:val="clear" w:color="auto" w:fill="auto"/>
            <w:noWrap/>
            <w:hideMark/>
          </w:tcPr>
          <w:p w14:paraId="477AC85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w:t>
            </w:r>
          </w:p>
        </w:tc>
        <w:tc>
          <w:tcPr>
            <w:tcW w:w="1297" w:type="dxa"/>
            <w:tcBorders>
              <w:top w:val="single" w:sz="4" w:space="0" w:color="auto"/>
              <w:left w:val="nil"/>
              <w:bottom w:val="nil"/>
              <w:right w:val="single" w:sz="4" w:space="0" w:color="auto"/>
            </w:tcBorders>
            <w:shd w:val="clear" w:color="auto" w:fill="auto"/>
            <w:noWrap/>
            <w:hideMark/>
          </w:tcPr>
          <w:p w14:paraId="4C637BE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Cross-sectional</w:t>
            </w:r>
          </w:p>
        </w:tc>
        <w:tc>
          <w:tcPr>
            <w:tcW w:w="705" w:type="dxa"/>
            <w:tcBorders>
              <w:top w:val="single" w:sz="4" w:space="0" w:color="auto"/>
              <w:left w:val="nil"/>
              <w:bottom w:val="nil"/>
              <w:right w:val="single" w:sz="4" w:space="0" w:color="auto"/>
            </w:tcBorders>
            <w:shd w:val="clear" w:color="auto" w:fill="auto"/>
            <w:noWrap/>
            <w:hideMark/>
          </w:tcPr>
          <w:p w14:paraId="1F953AC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3AFC2F9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75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85 to 7</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61)</w:t>
            </w:r>
          </w:p>
        </w:tc>
        <w:tc>
          <w:tcPr>
            <w:tcW w:w="992" w:type="dxa"/>
            <w:tcBorders>
              <w:top w:val="single" w:sz="4" w:space="0" w:color="auto"/>
              <w:left w:val="nil"/>
              <w:bottom w:val="nil"/>
              <w:right w:val="single" w:sz="4" w:space="0" w:color="auto"/>
            </w:tcBorders>
            <w:shd w:val="clear" w:color="auto" w:fill="auto"/>
            <w:noWrap/>
            <w:hideMark/>
          </w:tcPr>
          <w:p w14:paraId="77BBA60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00025</w:t>
            </w:r>
          </w:p>
        </w:tc>
        <w:tc>
          <w:tcPr>
            <w:tcW w:w="572" w:type="dxa"/>
            <w:tcBorders>
              <w:top w:val="single" w:sz="4" w:space="0" w:color="auto"/>
              <w:left w:val="nil"/>
              <w:bottom w:val="nil"/>
              <w:right w:val="single" w:sz="4" w:space="0" w:color="auto"/>
            </w:tcBorders>
            <w:shd w:val="clear" w:color="auto" w:fill="auto"/>
            <w:noWrap/>
            <w:hideMark/>
          </w:tcPr>
          <w:p w14:paraId="74DC338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83%</w:t>
            </w:r>
          </w:p>
        </w:tc>
        <w:tc>
          <w:tcPr>
            <w:tcW w:w="1129" w:type="dxa"/>
            <w:tcBorders>
              <w:top w:val="single" w:sz="4" w:space="0" w:color="auto"/>
              <w:left w:val="nil"/>
              <w:bottom w:val="nil"/>
              <w:right w:val="single" w:sz="4" w:space="0" w:color="auto"/>
            </w:tcBorders>
            <w:shd w:val="clear" w:color="auto" w:fill="auto"/>
            <w:noWrap/>
            <w:hideMark/>
          </w:tcPr>
          <w:p w14:paraId="3EB1A0A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29 to 49</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21</w:t>
            </w:r>
          </w:p>
        </w:tc>
        <w:tc>
          <w:tcPr>
            <w:tcW w:w="1985" w:type="dxa"/>
            <w:tcBorders>
              <w:top w:val="single" w:sz="4" w:space="0" w:color="auto"/>
              <w:left w:val="nil"/>
              <w:bottom w:val="nil"/>
              <w:right w:val="single" w:sz="4" w:space="0" w:color="auto"/>
            </w:tcBorders>
            <w:shd w:val="clear" w:color="auto" w:fill="auto"/>
            <w:noWrap/>
            <w:hideMark/>
          </w:tcPr>
          <w:p w14:paraId="3F6DF69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7899243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260E4DE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7EC17D47"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4C13AE7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Poor marital relationship</w:t>
            </w:r>
          </w:p>
        </w:tc>
        <w:tc>
          <w:tcPr>
            <w:tcW w:w="1134" w:type="dxa"/>
            <w:tcBorders>
              <w:top w:val="single" w:sz="4" w:space="0" w:color="auto"/>
              <w:left w:val="nil"/>
              <w:bottom w:val="nil"/>
              <w:right w:val="single" w:sz="4" w:space="0" w:color="auto"/>
            </w:tcBorders>
            <w:shd w:val="clear" w:color="auto" w:fill="auto"/>
            <w:noWrap/>
            <w:hideMark/>
          </w:tcPr>
          <w:p w14:paraId="2A19980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Necho</w:t>
            </w:r>
            <w:proofErr w:type="spellEnd"/>
            <w:r w:rsidRPr="005B1792">
              <w:rPr>
                <w:rFonts w:ascii="Times New Roman" w:eastAsia="Malgun Gothic" w:hAnsi="Times New Roman" w:cs="Times New Roman"/>
                <w:color w:val="000000"/>
                <w:kern w:val="0"/>
                <w:sz w:val="16"/>
                <w:szCs w:val="16"/>
              </w:rPr>
              <w:t xml:space="preserve"> 2020</w:t>
            </w:r>
          </w:p>
        </w:tc>
        <w:tc>
          <w:tcPr>
            <w:tcW w:w="1276" w:type="dxa"/>
            <w:tcBorders>
              <w:top w:val="single" w:sz="4" w:space="0" w:color="auto"/>
              <w:left w:val="nil"/>
              <w:bottom w:val="nil"/>
              <w:right w:val="single" w:sz="4" w:space="0" w:color="auto"/>
            </w:tcBorders>
            <w:shd w:val="clear" w:color="auto" w:fill="auto"/>
            <w:noWrap/>
            <w:hideMark/>
          </w:tcPr>
          <w:p w14:paraId="32E9006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948 / 5505</w:t>
            </w:r>
          </w:p>
        </w:tc>
        <w:tc>
          <w:tcPr>
            <w:tcW w:w="829" w:type="dxa"/>
            <w:tcBorders>
              <w:top w:val="single" w:sz="4" w:space="0" w:color="auto"/>
              <w:left w:val="nil"/>
              <w:bottom w:val="nil"/>
              <w:right w:val="single" w:sz="4" w:space="0" w:color="auto"/>
            </w:tcBorders>
            <w:shd w:val="clear" w:color="auto" w:fill="auto"/>
            <w:noWrap/>
            <w:hideMark/>
          </w:tcPr>
          <w:p w14:paraId="2FC074E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w:t>
            </w:r>
          </w:p>
        </w:tc>
        <w:tc>
          <w:tcPr>
            <w:tcW w:w="1297" w:type="dxa"/>
            <w:tcBorders>
              <w:top w:val="single" w:sz="4" w:space="0" w:color="auto"/>
              <w:left w:val="nil"/>
              <w:bottom w:val="nil"/>
              <w:right w:val="single" w:sz="4" w:space="0" w:color="auto"/>
            </w:tcBorders>
            <w:shd w:val="clear" w:color="auto" w:fill="auto"/>
            <w:noWrap/>
            <w:hideMark/>
          </w:tcPr>
          <w:p w14:paraId="0551E92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Cross-sectional</w:t>
            </w:r>
          </w:p>
        </w:tc>
        <w:tc>
          <w:tcPr>
            <w:tcW w:w="705" w:type="dxa"/>
            <w:tcBorders>
              <w:top w:val="single" w:sz="4" w:space="0" w:color="auto"/>
              <w:left w:val="nil"/>
              <w:bottom w:val="nil"/>
              <w:right w:val="single" w:sz="4" w:space="0" w:color="auto"/>
            </w:tcBorders>
            <w:shd w:val="clear" w:color="auto" w:fill="auto"/>
            <w:noWrap/>
            <w:hideMark/>
          </w:tcPr>
          <w:p w14:paraId="326A8D8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3CC55B4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38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39 to 4</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79)</w:t>
            </w:r>
          </w:p>
        </w:tc>
        <w:tc>
          <w:tcPr>
            <w:tcW w:w="992" w:type="dxa"/>
            <w:tcBorders>
              <w:top w:val="single" w:sz="4" w:space="0" w:color="auto"/>
              <w:left w:val="nil"/>
              <w:bottom w:val="nil"/>
              <w:right w:val="single" w:sz="4" w:space="0" w:color="auto"/>
            </w:tcBorders>
            <w:shd w:val="clear" w:color="auto" w:fill="auto"/>
            <w:noWrap/>
            <w:hideMark/>
          </w:tcPr>
          <w:p w14:paraId="7A4A77D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&lt;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000001</w:t>
            </w:r>
          </w:p>
        </w:tc>
        <w:tc>
          <w:tcPr>
            <w:tcW w:w="572" w:type="dxa"/>
            <w:tcBorders>
              <w:top w:val="single" w:sz="4" w:space="0" w:color="auto"/>
              <w:left w:val="nil"/>
              <w:bottom w:val="nil"/>
              <w:right w:val="single" w:sz="4" w:space="0" w:color="auto"/>
            </w:tcBorders>
            <w:shd w:val="clear" w:color="auto" w:fill="auto"/>
            <w:noWrap/>
            <w:hideMark/>
          </w:tcPr>
          <w:p w14:paraId="15E4924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100%</w:t>
            </w:r>
          </w:p>
        </w:tc>
        <w:tc>
          <w:tcPr>
            <w:tcW w:w="1129" w:type="dxa"/>
            <w:tcBorders>
              <w:top w:val="single" w:sz="4" w:space="0" w:color="auto"/>
              <w:left w:val="nil"/>
              <w:bottom w:val="nil"/>
              <w:right w:val="single" w:sz="4" w:space="0" w:color="auto"/>
            </w:tcBorders>
            <w:shd w:val="clear" w:color="auto" w:fill="auto"/>
            <w:noWrap/>
            <w:hideMark/>
          </w:tcPr>
          <w:p w14:paraId="7CCB99F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92 to 12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41</w:t>
            </w:r>
          </w:p>
        </w:tc>
        <w:tc>
          <w:tcPr>
            <w:tcW w:w="1985" w:type="dxa"/>
            <w:tcBorders>
              <w:top w:val="single" w:sz="4" w:space="0" w:color="auto"/>
              <w:left w:val="nil"/>
              <w:bottom w:val="nil"/>
              <w:right w:val="single" w:sz="4" w:space="0" w:color="auto"/>
            </w:tcBorders>
            <w:shd w:val="clear" w:color="auto" w:fill="auto"/>
            <w:noWrap/>
            <w:hideMark/>
          </w:tcPr>
          <w:p w14:paraId="29DE3DB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4DF3980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151C6E5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59F26CF8"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5FF01B2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History of stressful life event</w:t>
            </w:r>
          </w:p>
        </w:tc>
        <w:tc>
          <w:tcPr>
            <w:tcW w:w="1134" w:type="dxa"/>
            <w:tcBorders>
              <w:top w:val="single" w:sz="4" w:space="0" w:color="auto"/>
              <w:left w:val="nil"/>
              <w:bottom w:val="nil"/>
              <w:right w:val="single" w:sz="4" w:space="0" w:color="auto"/>
            </w:tcBorders>
            <w:shd w:val="clear" w:color="auto" w:fill="auto"/>
            <w:noWrap/>
            <w:hideMark/>
          </w:tcPr>
          <w:p w14:paraId="194EABD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Necho</w:t>
            </w:r>
            <w:proofErr w:type="spellEnd"/>
            <w:r w:rsidRPr="005B1792">
              <w:rPr>
                <w:rFonts w:ascii="Times New Roman" w:eastAsia="Malgun Gothic" w:hAnsi="Times New Roman" w:cs="Times New Roman"/>
                <w:color w:val="000000"/>
                <w:kern w:val="0"/>
                <w:sz w:val="16"/>
                <w:szCs w:val="16"/>
              </w:rPr>
              <w:t xml:space="preserve"> 2020</w:t>
            </w:r>
          </w:p>
        </w:tc>
        <w:tc>
          <w:tcPr>
            <w:tcW w:w="1276" w:type="dxa"/>
            <w:tcBorders>
              <w:top w:val="single" w:sz="4" w:space="0" w:color="auto"/>
              <w:left w:val="nil"/>
              <w:bottom w:val="nil"/>
              <w:right w:val="single" w:sz="4" w:space="0" w:color="auto"/>
            </w:tcBorders>
            <w:shd w:val="clear" w:color="auto" w:fill="auto"/>
            <w:noWrap/>
            <w:hideMark/>
          </w:tcPr>
          <w:p w14:paraId="7A24316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529 / 3658</w:t>
            </w:r>
          </w:p>
        </w:tc>
        <w:tc>
          <w:tcPr>
            <w:tcW w:w="829" w:type="dxa"/>
            <w:tcBorders>
              <w:top w:val="single" w:sz="4" w:space="0" w:color="auto"/>
              <w:left w:val="nil"/>
              <w:bottom w:val="nil"/>
              <w:right w:val="single" w:sz="4" w:space="0" w:color="auto"/>
            </w:tcBorders>
            <w:shd w:val="clear" w:color="auto" w:fill="auto"/>
            <w:noWrap/>
            <w:hideMark/>
          </w:tcPr>
          <w:p w14:paraId="5988EAE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p>
        </w:tc>
        <w:tc>
          <w:tcPr>
            <w:tcW w:w="1297" w:type="dxa"/>
            <w:tcBorders>
              <w:top w:val="single" w:sz="4" w:space="0" w:color="auto"/>
              <w:left w:val="nil"/>
              <w:bottom w:val="nil"/>
              <w:right w:val="single" w:sz="4" w:space="0" w:color="auto"/>
            </w:tcBorders>
            <w:shd w:val="clear" w:color="auto" w:fill="auto"/>
            <w:noWrap/>
            <w:hideMark/>
          </w:tcPr>
          <w:p w14:paraId="74A884B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Cross-sectional</w:t>
            </w:r>
          </w:p>
        </w:tc>
        <w:tc>
          <w:tcPr>
            <w:tcW w:w="705" w:type="dxa"/>
            <w:tcBorders>
              <w:top w:val="single" w:sz="4" w:space="0" w:color="auto"/>
              <w:left w:val="nil"/>
              <w:bottom w:val="nil"/>
              <w:right w:val="single" w:sz="4" w:space="0" w:color="auto"/>
            </w:tcBorders>
            <w:shd w:val="clear" w:color="auto" w:fill="auto"/>
            <w:noWrap/>
            <w:hideMark/>
          </w:tcPr>
          <w:p w14:paraId="7FF7864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55E6C43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15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71 to 5</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79)</w:t>
            </w:r>
          </w:p>
        </w:tc>
        <w:tc>
          <w:tcPr>
            <w:tcW w:w="992" w:type="dxa"/>
            <w:tcBorders>
              <w:top w:val="single" w:sz="4" w:space="0" w:color="auto"/>
              <w:left w:val="nil"/>
              <w:bottom w:val="nil"/>
              <w:right w:val="single" w:sz="4" w:space="0" w:color="auto"/>
            </w:tcBorders>
            <w:shd w:val="clear" w:color="auto" w:fill="auto"/>
            <w:noWrap/>
            <w:hideMark/>
          </w:tcPr>
          <w:p w14:paraId="1102EA1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00023</w:t>
            </w:r>
          </w:p>
        </w:tc>
        <w:tc>
          <w:tcPr>
            <w:tcW w:w="572" w:type="dxa"/>
            <w:tcBorders>
              <w:top w:val="single" w:sz="4" w:space="0" w:color="auto"/>
              <w:left w:val="nil"/>
              <w:bottom w:val="nil"/>
              <w:right w:val="single" w:sz="4" w:space="0" w:color="auto"/>
            </w:tcBorders>
            <w:shd w:val="clear" w:color="auto" w:fill="auto"/>
            <w:noWrap/>
            <w:hideMark/>
          </w:tcPr>
          <w:p w14:paraId="37DA77D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77%</w:t>
            </w:r>
          </w:p>
        </w:tc>
        <w:tc>
          <w:tcPr>
            <w:tcW w:w="1129" w:type="dxa"/>
            <w:tcBorders>
              <w:top w:val="single" w:sz="4" w:space="0" w:color="auto"/>
              <w:left w:val="nil"/>
              <w:bottom w:val="nil"/>
              <w:right w:val="single" w:sz="4" w:space="0" w:color="auto"/>
            </w:tcBorders>
            <w:shd w:val="clear" w:color="auto" w:fill="auto"/>
            <w:noWrap/>
            <w:hideMark/>
          </w:tcPr>
          <w:p w14:paraId="5333B7D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NA</w:t>
            </w:r>
          </w:p>
        </w:tc>
        <w:tc>
          <w:tcPr>
            <w:tcW w:w="1985" w:type="dxa"/>
            <w:tcBorders>
              <w:top w:val="single" w:sz="4" w:space="0" w:color="auto"/>
              <w:left w:val="nil"/>
              <w:bottom w:val="nil"/>
              <w:right w:val="single" w:sz="4" w:space="0" w:color="auto"/>
            </w:tcBorders>
            <w:shd w:val="clear" w:color="auto" w:fill="auto"/>
            <w:noWrap/>
            <w:hideMark/>
          </w:tcPr>
          <w:p w14:paraId="022072F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 xml:space="preserve">Large heterogeneity; loss of significance under 10% credibility ceiling; p curve analysis unavailable due to </w:t>
            </w:r>
            <w:r w:rsidRPr="005B1792">
              <w:rPr>
                <w:rFonts w:ascii="Times New Roman" w:eastAsia="Malgun Gothic" w:hAnsi="Times New Roman" w:cs="Times New Roman"/>
                <w:color w:val="000000"/>
                <w:kern w:val="0"/>
                <w:sz w:val="16"/>
                <w:szCs w:val="16"/>
              </w:rPr>
              <w:lastRenderedPageBreak/>
              <w:t>less than three significant studies</w:t>
            </w:r>
          </w:p>
        </w:tc>
        <w:tc>
          <w:tcPr>
            <w:tcW w:w="1134" w:type="dxa"/>
            <w:tcBorders>
              <w:top w:val="single" w:sz="4" w:space="0" w:color="auto"/>
              <w:left w:val="nil"/>
              <w:bottom w:val="nil"/>
              <w:right w:val="single" w:sz="4" w:space="0" w:color="auto"/>
            </w:tcBorders>
            <w:shd w:val="clear" w:color="auto" w:fill="auto"/>
            <w:noWrap/>
            <w:hideMark/>
          </w:tcPr>
          <w:p w14:paraId="31E67E7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lastRenderedPageBreak/>
              <w:t>Critically low</w:t>
            </w:r>
          </w:p>
        </w:tc>
        <w:tc>
          <w:tcPr>
            <w:tcW w:w="936" w:type="dxa"/>
            <w:tcBorders>
              <w:top w:val="single" w:sz="4" w:space="0" w:color="auto"/>
              <w:left w:val="nil"/>
              <w:bottom w:val="nil"/>
              <w:right w:val="single" w:sz="4" w:space="0" w:color="auto"/>
            </w:tcBorders>
          </w:tcPr>
          <w:p w14:paraId="728E58D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4F92CFFE"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444B498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Exposure to different types of intimate partner violence</w:t>
            </w:r>
          </w:p>
        </w:tc>
        <w:tc>
          <w:tcPr>
            <w:tcW w:w="1134" w:type="dxa"/>
            <w:tcBorders>
              <w:top w:val="single" w:sz="4" w:space="0" w:color="auto"/>
              <w:left w:val="nil"/>
              <w:bottom w:val="nil"/>
              <w:right w:val="single" w:sz="4" w:space="0" w:color="auto"/>
            </w:tcBorders>
            <w:shd w:val="clear" w:color="auto" w:fill="auto"/>
            <w:noWrap/>
            <w:hideMark/>
          </w:tcPr>
          <w:p w14:paraId="175074F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Dadi 2020</w:t>
            </w:r>
          </w:p>
        </w:tc>
        <w:tc>
          <w:tcPr>
            <w:tcW w:w="1276" w:type="dxa"/>
            <w:tcBorders>
              <w:top w:val="single" w:sz="4" w:space="0" w:color="auto"/>
              <w:left w:val="nil"/>
              <w:bottom w:val="nil"/>
              <w:right w:val="single" w:sz="4" w:space="0" w:color="auto"/>
            </w:tcBorders>
            <w:shd w:val="clear" w:color="auto" w:fill="auto"/>
            <w:noWrap/>
            <w:hideMark/>
          </w:tcPr>
          <w:p w14:paraId="04A3248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446 / 4473</w:t>
            </w:r>
          </w:p>
        </w:tc>
        <w:tc>
          <w:tcPr>
            <w:tcW w:w="829" w:type="dxa"/>
            <w:tcBorders>
              <w:top w:val="single" w:sz="4" w:space="0" w:color="auto"/>
              <w:left w:val="nil"/>
              <w:bottom w:val="nil"/>
              <w:right w:val="single" w:sz="4" w:space="0" w:color="auto"/>
            </w:tcBorders>
            <w:shd w:val="clear" w:color="auto" w:fill="auto"/>
            <w:noWrap/>
            <w:hideMark/>
          </w:tcPr>
          <w:p w14:paraId="01BD4D3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10</w:t>
            </w:r>
          </w:p>
        </w:tc>
        <w:tc>
          <w:tcPr>
            <w:tcW w:w="1297" w:type="dxa"/>
            <w:tcBorders>
              <w:top w:val="single" w:sz="4" w:space="0" w:color="auto"/>
              <w:left w:val="nil"/>
              <w:bottom w:val="nil"/>
              <w:right w:val="single" w:sz="4" w:space="0" w:color="auto"/>
            </w:tcBorders>
            <w:shd w:val="clear" w:color="auto" w:fill="auto"/>
            <w:noWrap/>
            <w:hideMark/>
          </w:tcPr>
          <w:p w14:paraId="5648590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cross-sectional</w:t>
            </w:r>
          </w:p>
        </w:tc>
        <w:tc>
          <w:tcPr>
            <w:tcW w:w="705" w:type="dxa"/>
            <w:tcBorders>
              <w:top w:val="single" w:sz="4" w:space="0" w:color="auto"/>
              <w:left w:val="nil"/>
              <w:bottom w:val="nil"/>
              <w:right w:val="single" w:sz="4" w:space="0" w:color="auto"/>
            </w:tcBorders>
            <w:shd w:val="clear" w:color="auto" w:fill="auto"/>
            <w:noWrap/>
            <w:hideMark/>
          </w:tcPr>
          <w:p w14:paraId="308D1D4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30A9A15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91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37 to 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59)</w:t>
            </w:r>
          </w:p>
        </w:tc>
        <w:tc>
          <w:tcPr>
            <w:tcW w:w="992" w:type="dxa"/>
            <w:tcBorders>
              <w:top w:val="single" w:sz="4" w:space="0" w:color="auto"/>
              <w:left w:val="nil"/>
              <w:bottom w:val="nil"/>
              <w:right w:val="single" w:sz="4" w:space="0" w:color="auto"/>
            </w:tcBorders>
            <w:shd w:val="clear" w:color="auto" w:fill="auto"/>
            <w:noWrap/>
            <w:hideMark/>
          </w:tcPr>
          <w:p w14:paraId="76A01B7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&lt;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000001</w:t>
            </w:r>
          </w:p>
        </w:tc>
        <w:tc>
          <w:tcPr>
            <w:tcW w:w="572" w:type="dxa"/>
            <w:tcBorders>
              <w:top w:val="single" w:sz="4" w:space="0" w:color="auto"/>
              <w:left w:val="nil"/>
              <w:bottom w:val="nil"/>
              <w:right w:val="single" w:sz="4" w:space="0" w:color="auto"/>
            </w:tcBorders>
            <w:shd w:val="clear" w:color="auto" w:fill="auto"/>
            <w:noWrap/>
            <w:hideMark/>
          </w:tcPr>
          <w:p w14:paraId="774A844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17%</w:t>
            </w:r>
          </w:p>
        </w:tc>
        <w:tc>
          <w:tcPr>
            <w:tcW w:w="1129" w:type="dxa"/>
            <w:tcBorders>
              <w:top w:val="single" w:sz="4" w:space="0" w:color="auto"/>
              <w:left w:val="nil"/>
              <w:bottom w:val="nil"/>
              <w:right w:val="single" w:sz="4" w:space="0" w:color="auto"/>
            </w:tcBorders>
            <w:shd w:val="clear" w:color="auto" w:fill="auto"/>
            <w:noWrap/>
            <w:hideMark/>
          </w:tcPr>
          <w:p w14:paraId="00C1DFA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96 to 4</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34</w:t>
            </w:r>
          </w:p>
        </w:tc>
        <w:tc>
          <w:tcPr>
            <w:tcW w:w="1985" w:type="dxa"/>
            <w:tcBorders>
              <w:top w:val="single" w:sz="4" w:space="0" w:color="auto"/>
              <w:left w:val="nil"/>
              <w:bottom w:val="nil"/>
              <w:right w:val="single" w:sz="4" w:space="0" w:color="auto"/>
            </w:tcBorders>
            <w:shd w:val="clear" w:color="auto" w:fill="auto"/>
            <w:noWrap/>
            <w:hideMark/>
          </w:tcPr>
          <w:p w14:paraId="28ACE7C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None</w:t>
            </w:r>
          </w:p>
        </w:tc>
        <w:tc>
          <w:tcPr>
            <w:tcW w:w="1134" w:type="dxa"/>
            <w:tcBorders>
              <w:top w:val="single" w:sz="4" w:space="0" w:color="auto"/>
              <w:left w:val="nil"/>
              <w:bottom w:val="nil"/>
              <w:right w:val="single" w:sz="4" w:space="0" w:color="auto"/>
            </w:tcBorders>
            <w:shd w:val="clear" w:color="auto" w:fill="auto"/>
            <w:noWrap/>
            <w:hideMark/>
          </w:tcPr>
          <w:p w14:paraId="0C43767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Moderate</w:t>
            </w:r>
          </w:p>
        </w:tc>
        <w:tc>
          <w:tcPr>
            <w:tcW w:w="936" w:type="dxa"/>
            <w:tcBorders>
              <w:top w:val="single" w:sz="4" w:space="0" w:color="auto"/>
              <w:left w:val="nil"/>
              <w:bottom w:val="nil"/>
              <w:right w:val="single" w:sz="4" w:space="0" w:color="auto"/>
            </w:tcBorders>
          </w:tcPr>
          <w:p w14:paraId="132362D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Moderate</w:t>
            </w:r>
          </w:p>
        </w:tc>
      </w:tr>
      <w:tr w:rsidR="00942FBB" w:rsidRPr="005B1792" w14:paraId="21AE2732"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4E42203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Low income</w:t>
            </w:r>
          </w:p>
        </w:tc>
        <w:tc>
          <w:tcPr>
            <w:tcW w:w="1134" w:type="dxa"/>
            <w:tcBorders>
              <w:top w:val="single" w:sz="4" w:space="0" w:color="auto"/>
              <w:left w:val="nil"/>
              <w:bottom w:val="nil"/>
              <w:right w:val="single" w:sz="4" w:space="0" w:color="auto"/>
            </w:tcBorders>
            <w:shd w:val="clear" w:color="auto" w:fill="auto"/>
            <w:noWrap/>
            <w:hideMark/>
          </w:tcPr>
          <w:p w14:paraId="59DAFDE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Necho</w:t>
            </w:r>
            <w:proofErr w:type="spellEnd"/>
            <w:r w:rsidRPr="005B1792">
              <w:rPr>
                <w:rFonts w:ascii="Times New Roman" w:eastAsia="Malgun Gothic" w:hAnsi="Times New Roman" w:cs="Times New Roman"/>
                <w:color w:val="000000"/>
                <w:kern w:val="0"/>
                <w:sz w:val="16"/>
                <w:szCs w:val="16"/>
              </w:rPr>
              <w:t xml:space="preserve"> 2020</w:t>
            </w:r>
          </w:p>
        </w:tc>
        <w:tc>
          <w:tcPr>
            <w:tcW w:w="1276" w:type="dxa"/>
            <w:tcBorders>
              <w:top w:val="single" w:sz="4" w:space="0" w:color="auto"/>
              <w:left w:val="nil"/>
              <w:bottom w:val="nil"/>
              <w:right w:val="single" w:sz="4" w:space="0" w:color="auto"/>
            </w:tcBorders>
            <w:shd w:val="clear" w:color="auto" w:fill="auto"/>
            <w:noWrap/>
            <w:hideMark/>
          </w:tcPr>
          <w:p w14:paraId="414A6C0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699 / 4437</w:t>
            </w:r>
          </w:p>
        </w:tc>
        <w:tc>
          <w:tcPr>
            <w:tcW w:w="829" w:type="dxa"/>
            <w:tcBorders>
              <w:top w:val="single" w:sz="4" w:space="0" w:color="auto"/>
              <w:left w:val="nil"/>
              <w:bottom w:val="nil"/>
              <w:right w:val="single" w:sz="4" w:space="0" w:color="auto"/>
            </w:tcBorders>
            <w:shd w:val="clear" w:color="auto" w:fill="auto"/>
            <w:noWrap/>
            <w:hideMark/>
          </w:tcPr>
          <w:p w14:paraId="5F1FAA8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w:t>
            </w:r>
          </w:p>
        </w:tc>
        <w:tc>
          <w:tcPr>
            <w:tcW w:w="1297" w:type="dxa"/>
            <w:tcBorders>
              <w:top w:val="single" w:sz="4" w:space="0" w:color="auto"/>
              <w:left w:val="nil"/>
              <w:bottom w:val="nil"/>
              <w:right w:val="single" w:sz="4" w:space="0" w:color="auto"/>
            </w:tcBorders>
            <w:shd w:val="clear" w:color="auto" w:fill="auto"/>
            <w:noWrap/>
            <w:hideMark/>
          </w:tcPr>
          <w:p w14:paraId="5CDDD04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Cross-sectional</w:t>
            </w:r>
          </w:p>
        </w:tc>
        <w:tc>
          <w:tcPr>
            <w:tcW w:w="705" w:type="dxa"/>
            <w:tcBorders>
              <w:top w:val="single" w:sz="4" w:space="0" w:color="auto"/>
              <w:left w:val="nil"/>
              <w:bottom w:val="nil"/>
              <w:right w:val="single" w:sz="4" w:space="0" w:color="auto"/>
            </w:tcBorders>
            <w:shd w:val="clear" w:color="auto" w:fill="auto"/>
            <w:noWrap/>
            <w:hideMark/>
          </w:tcPr>
          <w:p w14:paraId="448C792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5C10B7F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52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74 to 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63)</w:t>
            </w:r>
          </w:p>
        </w:tc>
        <w:tc>
          <w:tcPr>
            <w:tcW w:w="992" w:type="dxa"/>
            <w:tcBorders>
              <w:top w:val="single" w:sz="4" w:space="0" w:color="auto"/>
              <w:left w:val="nil"/>
              <w:bottom w:val="nil"/>
              <w:right w:val="single" w:sz="4" w:space="0" w:color="auto"/>
            </w:tcBorders>
            <w:shd w:val="clear" w:color="auto" w:fill="auto"/>
            <w:noWrap/>
            <w:hideMark/>
          </w:tcPr>
          <w:p w14:paraId="086D6C2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&lt;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000001</w:t>
            </w:r>
          </w:p>
        </w:tc>
        <w:tc>
          <w:tcPr>
            <w:tcW w:w="572" w:type="dxa"/>
            <w:tcBorders>
              <w:top w:val="single" w:sz="4" w:space="0" w:color="auto"/>
              <w:left w:val="nil"/>
              <w:bottom w:val="nil"/>
              <w:right w:val="single" w:sz="4" w:space="0" w:color="auto"/>
            </w:tcBorders>
            <w:shd w:val="clear" w:color="auto" w:fill="auto"/>
            <w:noWrap/>
            <w:hideMark/>
          </w:tcPr>
          <w:p w14:paraId="68DBA2B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w:t>
            </w:r>
          </w:p>
        </w:tc>
        <w:tc>
          <w:tcPr>
            <w:tcW w:w="1129" w:type="dxa"/>
            <w:tcBorders>
              <w:top w:val="single" w:sz="4" w:space="0" w:color="auto"/>
              <w:left w:val="nil"/>
              <w:bottom w:val="nil"/>
              <w:right w:val="single" w:sz="4" w:space="0" w:color="auto"/>
            </w:tcBorders>
            <w:shd w:val="clear" w:color="auto" w:fill="auto"/>
            <w:noWrap/>
            <w:hideMark/>
          </w:tcPr>
          <w:p w14:paraId="4CFEDC7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21 to 30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86</w:t>
            </w:r>
          </w:p>
        </w:tc>
        <w:tc>
          <w:tcPr>
            <w:tcW w:w="1985" w:type="dxa"/>
            <w:tcBorders>
              <w:top w:val="single" w:sz="4" w:space="0" w:color="auto"/>
              <w:left w:val="nil"/>
              <w:bottom w:val="nil"/>
              <w:right w:val="single" w:sz="4" w:space="0" w:color="auto"/>
            </w:tcBorders>
            <w:shd w:val="clear" w:color="auto" w:fill="auto"/>
            <w:noWrap/>
            <w:hideMark/>
          </w:tcPr>
          <w:p w14:paraId="685C96B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None</w:t>
            </w:r>
          </w:p>
        </w:tc>
        <w:tc>
          <w:tcPr>
            <w:tcW w:w="1134" w:type="dxa"/>
            <w:tcBorders>
              <w:top w:val="single" w:sz="4" w:space="0" w:color="auto"/>
              <w:left w:val="nil"/>
              <w:bottom w:val="nil"/>
              <w:right w:val="single" w:sz="4" w:space="0" w:color="auto"/>
            </w:tcBorders>
            <w:shd w:val="clear" w:color="auto" w:fill="auto"/>
            <w:noWrap/>
            <w:hideMark/>
          </w:tcPr>
          <w:p w14:paraId="430F1AB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35809A5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Moderate</w:t>
            </w:r>
          </w:p>
        </w:tc>
      </w:tr>
      <w:tr w:rsidR="00942FBB" w:rsidRPr="005B1792" w14:paraId="6C625047"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31225AF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Adverse birth and infant health conditions</w:t>
            </w:r>
          </w:p>
        </w:tc>
        <w:tc>
          <w:tcPr>
            <w:tcW w:w="1134" w:type="dxa"/>
            <w:tcBorders>
              <w:top w:val="single" w:sz="4" w:space="0" w:color="auto"/>
              <w:left w:val="nil"/>
              <w:bottom w:val="nil"/>
              <w:right w:val="single" w:sz="4" w:space="0" w:color="auto"/>
            </w:tcBorders>
            <w:shd w:val="clear" w:color="auto" w:fill="auto"/>
            <w:noWrap/>
            <w:hideMark/>
          </w:tcPr>
          <w:p w14:paraId="0E09941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Dadi 2020</w:t>
            </w:r>
          </w:p>
        </w:tc>
        <w:tc>
          <w:tcPr>
            <w:tcW w:w="1276" w:type="dxa"/>
            <w:tcBorders>
              <w:top w:val="single" w:sz="4" w:space="0" w:color="auto"/>
              <w:left w:val="nil"/>
              <w:bottom w:val="nil"/>
              <w:right w:val="single" w:sz="4" w:space="0" w:color="auto"/>
            </w:tcBorders>
            <w:shd w:val="clear" w:color="auto" w:fill="auto"/>
            <w:noWrap/>
            <w:hideMark/>
          </w:tcPr>
          <w:p w14:paraId="2083440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554 / 13560</w:t>
            </w:r>
          </w:p>
        </w:tc>
        <w:tc>
          <w:tcPr>
            <w:tcW w:w="829" w:type="dxa"/>
            <w:tcBorders>
              <w:top w:val="single" w:sz="4" w:space="0" w:color="auto"/>
              <w:left w:val="nil"/>
              <w:bottom w:val="nil"/>
              <w:right w:val="single" w:sz="4" w:space="0" w:color="auto"/>
            </w:tcBorders>
            <w:shd w:val="clear" w:color="auto" w:fill="auto"/>
            <w:noWrap/>
            <w:hideMark/>
          </w:tcPr>
          <w:p w14:paraId="66D6465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w:t>
            </w:r>
          </w:p>
        </w:tc>
        <w:tc>
          <w:tcPr>
            <w:tcW w:w="1297" w:type="dxa"/>
            <w:tcBorders>
              <w:top w:val="single" w:sz="4" w:space="0" w:color="auto"/>
              <w:left w:val="nil"/>
              <w:bottom w:val="nil"/>
              <w:right w:val="single" w:sz="4" w:space="0" w:color="auto"/>
            </w:tcBorders>
            <w:shd w:val="clear" w:color="auto" w:fill="auto"/>
            <w:noWrap/>
            <w:hideMark/>
          </w:tcPr>
          <w:p w14:paraId="45556A7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cross-sectional</w:t>
            </w:r>
          </w:p>
        </w:tc>
        <w:tc>
          <w:tcPr>
            <w:tcW w:w="705" w:type="dxa"/>
            <w:tcBorders>
              <w:top w:val="single" w:sz="4" w:space="0" w:color="auto"/>
              <w:left w:val="nil"/>
              <w:bottom w:val="nil"/>
              <w:right w:val="single" w:sz="4" w:space="0" w:color="auto"/>
            </w:tcBorders>
            <w:shd w:val="clear" w:color="auto" w:fill="auto"/>
            <w:noWrap/>
            <w:hideMark/>
          </w:tcPr>
          <w:p w14:paraId="78E268E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20DED0D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38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56 to 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64)</w:t>
            </w:r>
          </w:p>
        </w:tc>
        <w:tc>
          <w:tcPr>
            <w:tcW w:w="992" w:type="dxa"/>
            <w:tcBorders>
              <w:top w:val="single" w:sz="4" w:space="0" w:color="auto"/>
              <w:left w:val="nil"/>
              <w:bottom w:val="nil"/>
              <w:right w:val="single" w:sz="4" w:space="0" w:color="auto"/>
            </w:tcBorders>
            <w:shd w:val="clear" w:color="auto" w:fill="auto"/>
            <w:noWrap/>
            <w:hideMark/>
          </w:tcPr>
          <w:p w14:paraId="1EFF86A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000063</w:t>
            </w:r>
          </w:p>
        </w:tc>
        <w:tc>
          <w:tcPr>
            <w:tcW w:w="572" w:type="dxa"/>
            <w:tcBorders>
              <w:top w:val="single" w:sz="4" w:space="0" w:color="auto"/>
              <w:left w:val="nil"/>
              <w:bottom w:val="nil"/>
              <w:right w:val="single" w:sz="4" w:space="0" w:color="auto"/>
            </w:tcBorders>
            <w:shd w:val="clear" w:color="auto" w:fill="auto"/>
            <w:noWrap/>
            <w:hideMark/>
          </w:tcPr>
          <w:p w14:paraId="4BDC87E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75%</w:t>
            </w:r>
          </w:p>
        </w:tc>
        <w:tc>
          <w:tcPr>
            <w:tcW w:w="1129" w:type="dxa"/>
            <w:tcBorders>
              <w:top w:val="single" w:sz="4" w:space="0" w:color="auto"/>
              <w:left w:val="nil"/>
              <w:bottom w:val="nil"/>
              <w:right w:val="single" w:sz="4" w:space="0" w:color="auto"/>
            </w:tcBorders>
            <w:shd w:val="clear" w:color="auto" w:fill="auto"/>
            <w:noWrap/>
            <w:hideMark/>
          </w:tcPr>
          <w:p w14:paraId="6655C82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56 to 10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14</w:t>
            </w:r>
          </w:p>
        </w:tc>
        <w:tc>
          <w:tcPr>
            <w:tcW w:w="1985" w:type="dxa"/>
            <w:tcBorders>
              <w:top w:val="single" w:sz="4" w:space="0" w:color="auto"/>
              <w:left w:val="nil"/>
              <w:bottom w:val="nil"/>
              <w:right w:val="single" w:sz="4" w:space="0" w:color="auto"/>
            </w:tcBorders>
            <w:shd w:val="clear" w:color="auto" w:fill="auto"/>
            <w:noWrap/>
            <w:hideMark/>
          </w:tcPr>
          <w:p w14:paraId="03EDA02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4E267D7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Moderate</w:t>
            </w:r>
          </w:p>
        </w:tc>
        <w:tc>
          <w:tcPr>
            <w:tcW w:w="936" w:type="dxa"/>
            <w:tcBorders>
              <w:top w:val="single" w:sz="4" w:space="0" w:color="auto"/>
              <w:left w:val="nil"/>
              <w:bottom w:val="nil"/>
              <w:right w:val="single" w:sz="4" w:space="0" w:color="auto"/>
            </w:tcBorders>
          </w:tcPr>
          <w:p w14:paraId="35A7408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7508AF5C"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12AEB59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Postpartum anemia</w:t>
            </w:r>
          </w:p>
        </w:tc>
        <w:tc>
          <w:tcPr>
            <w:tcW w:w="1134" w:type="dxa"/>
            <w:tcBorders>
              <w:top w:val="single" w:sz="4" w:space="0" w:color="auto"/>
              <w:left w:val="nil"/>
              <w:bottom w:val="nil"/>
              <w:right w:val="single" w:sz="4" w:space="0" w:color="auto"/>
            </w:tcBorders>
            <w:shd w:val="clear" w:color="auto" w:fill="auto"/>
            <w:noWrap/>
            <w:hideMark/>
          </w:tcPr>
          <w:p w14:paraId="53786C9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Azami</w:t>
            </w:r>
            <w:proofErr w:type="spellEnd"/>
            <w:r w:rsidRPr="005B1792">
              <w:rPr>
                <w:rFonts w:ascii="Times New Roman" w:eastAsia="Malgun Gothic" w:hAnsi="Times New Roman" w:cs="Times New Roman"/>
                <w:color w:val="000000"/>
                <w:kern w:val="0"/>
                <w:sz w:val="16"/>
                <w:szCs w:val="16"/>
              </w:rPr>
              <w:t xml:space="preserve"> 2019</w:t>
            </w:r>
          </w:p>
        </w:tc>
        <w:tc>
          <w:tcPr>
            <w:tcW w:w="1276" w:type="dxa"/>
            <w:tcBorders>
              <w:top w:val="single" w:sz="4" w:space="0" w:color="auto"/>
              <w:left w:val="nil"/>
              <w:bottom w:val="nil"/>
              <w:right w:val="single" w:sz="4" w:space="0" w:color="auto"/>
            </w:tcBorders>
            <w:shd w:val="clear" w:color="auto" w:fill="auto"/>
            <w:noWrap/>
            <w:hideMark/>
          </w:tcPr>
          <w:p w14:paraId="4DEAD2C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1031 / 3084</w:t>
            </w:r>
          </w:p>
        </w:tc>
        <w:tc>
          <w:tcPr>
            <w:tcW w:w="829" w:type="dxa"/>
            <w:tcBorders>
              <w:top w:val="single" w:sz="4" w:space="0" w:color="auto"/>
              <w:left w:val="nil"/>
              <w:bottom w:val="nil"/>
              <w:right w:val="single" w:sz="4" w:space="0" w:color="auto"/>
            </w:tcBorders>
            <w:shd w:val="clear" w:color="auto" w:fill="auto"/>
            <w:noWrap/>
            <w:hideMark/>
          </w:tcPr>
          <w:p w14:paraId="44A58BD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10</w:t>
            </w:r>
          </w:p>
        </w:tc>
        <w:tc>
          <w:tcPr>
            <w:tcW w:w="1297" w:type="dxa"/>
            <w:tcBorders>
              <w:top w:val="single" w:sz="4" w:space="0" w:color="auto"/>
              <w:left w:val="nil"/>
              <w:bottom w:val="nil"/>
              <w:right w:val="single" w:sz="4" w:space="0" w:color="auto"/>
            </w:tcBorders>
            <w:shd w:val="clear" w:color="auto" w:fill="auto"/>
            <w:noWrap/>
            <w:hideMark/>
          </w:tcPr>
          <w:p w14:paraId="1DF285A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cross-sectional</w:t>
            </w:r>
          </w:p>
        </w:tc>
        <w:tc>
          <w:tcPr>
            <w:tcW w:w="705" w:type="dxa"/>
            <w:tcBorders>
              <w:top w:val="single" w:sz="4" w:space="0" w:color="auto"/>
              <w:left w:val="nil"/>
              <w:bottom w:val="nil"/>
              <w:right w:val="single" w:sz="4" w:space="0" w:color="auto"/>
            </w:tcBorders>
            <w:shd w:val="clear" w:color="auto" w:fill="auto"/>
            <w:noWrap/>
            <w:hideMark/>
          </w:tcPr>
          <w:p w14:paraId="7BFD591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RR</w:t>
            </w:r>
          </w:p>
        </w:tc>
        <w:tc>
          <w:tcPr>
            <w:tcW w:w="1563" w:type="dxa"/>
            <w:tcBorders>
              <w:top w:val="single" w:sz="4" w:space="0" w:color="auto"/>
              <w:left w:val="nil"/>
              <w:bottom w:val="nil"/>
              <w:right w:val="single" w:sz="4" w:space="0" w:color="auto"/>
            </w:tcBorders>
            <w:shd w:val="clear" w:color="auto" w:fill="auto"/>
            <w:noWrap/>
            <w:hideMark/>
          </w:tcPr>
          <w:p w14:paraId="41508F6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89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25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84)</w:t>
            </w:r>
          </w:p>
        </w:tc>
        <w:tc>
          <w:tcPr>
            <w:tcW w:w="992" w:type="dxa"/>
            <w:tcBorders>
              <w:top w:val="single" w:sz="4" w:space="0" w:color="auto"/>
              <w:left w:val="nil"/>
              <w:bottom w:val="nil"/>
              <w:right w:val="single" w:sz="4" w:space="0" w:color="auto"/>
            </w:tcBorders>
            <w:shd w:val="clear" w:color="auto" w:fill="auto"/>
            <w:noWrap/>
            <w:hideMark/>
          </w:tcPr>
          <w:p w14:paraId="4A99D1D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0023</w:t>
            </w:r>
          </w:p>
        </w:tc>
        <w:tc>
          <w:tcPr>
            <w:tcW w:w="572" w:type="dxa"/>
            <w:tcBorders>
              <w:top w:val="single" w:sz="4" w:space="0" w:color="auto"/>
              <w:left w:val="nil"/>
              <w:bottom w:val="nil"/>
              <w:right w:val="single" w:sz="4" w:space="0" w:color="auto"/>
            </w:tcBorders>
            <w:shd w:val="clear" w:color="auto" w:fill="auto"/>
            <w:noWrap/>
            <w:hideMark/>
          </w:tcPr>
          <w:p w14:paraId="0A14B94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75%</w:t>
            </w:r>
          </w:p>
        </w:tc>
        <w:tc>
          <w:tcPr>
            <w:tcW w:w="1129" w:type="dxa"/>
            <w:tcBorders>
              <w:top w:val="single" w:sz="4" w:space="0" w:color="auto"/>
              <w:left w:val="nil"/>
              <w:bottom w:val="nil"/>
              <w:right w:val="single" w:sz="4" w:space="0" w:color="auto"/>
            </w:tcBorders>
            <w:shd w:val="clear" w:color="auto" w:fill="auto"/>
            <w:noWrap/>
            <w:hideMark/>
          </w:tcPr>
          <w:p w14:paraId="581539F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 to 7</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17</w:t>
            </w:r>
          </w:p>
        </w:tc>
        <w:tc>
          <w:tcPr>
            <w:tcW w:w="1985" w:type="dxa"/>
            <w:tcBorders>
              <w:top w:val="single" w:sz="4" w:space="0" w:color="auto"/>
              <w:left w:val="nil"/>
              <w:bottom w:val="nil"/>
              <w:right w:val="single" w:sz="4" w:space="0" w:color="auto"/>
            </w:tcBorders>
            <w:shd w:val="clear" w:color="auto" w:fill="auto"/>
            <w:noWrap/>
            <w:hideMark/>
          </w:tcPr>
          <w:p w14:paraId="415D18F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 small study effect; loss of significance under 10% credibility ceiling</w:t>
            </w:r>
          </w:p>
        </w:tc>
        <w:tc>
          <w:tcPr>
            <w:tcW w:w="1134" w:type="dxa"/>
            <w:tcBorders>
              <w:top w:val="single" w:sz="4" w:space="0" w:color="auto"/>
              <w:left w:val="nil"/>
              <w:bottom w:val="nil"/>
              <w:right w:val="single" w:sz="4" w:space="0" w:color="auto"/>
            </w:tcBorders>
            <w:shd w:val="clear" w:color="auto" w:fill="auto"/>
            <w:noWrap/>
            <w:hideMark/>
          </w:tcPr>
          <w:p w14:paraId="2B936E9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520716F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3E25C3B9"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693C4E0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Poor obstetric conditions</w:t>
            </w:r>
          </w:p>
        </w:tc>
        <w:tc>
          <w:tcPr>
            <w:tcW w:w="1134" w:type="dxa"/>
            <w:tcBorders>
              <w:top w:val="single" w:sz="4" w:space="0" w:color="auto"/>
              <w:left w:val="nil"/>
              <w:bottom w:val="nil"/>
              <w:right w:val="single" w:sz="4" w:space="0" w:color="auto"/>
            </w:tcBorders>
            <w:shd w:val="clear" w:color="auto" w:fill="auto"/>
            <w:noWrap/>
            <w:hideMark/>
          </w:tcPr>
          <w:p w14:paraId="4989B10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Dadi 2020</w:t>
            </w:r>
          </w:p>
        </w:tc>
        <w:tc>
          <w:tcPr>
            <w:tcW w:w="1276" w:type="dxa"/>
            <w:tcBorders>
              <w:top w:val="single" w:sz="4" w:space="0" w:color="auto"/>
              <w:left w:val="nil"/>
              <w:bottom w:val="nil"/>
              <w:right w:val="single" w:sz="4" w:space="0" w:color="auto"/>
            </w:tcBorders>
            <w:shd w:val="clear" w:color="auto" w:fill="auto"/>
            <w:noWrap/>
            <w:hideMark/>
          </w:tcPr>
          <w:p w14:paraId="4258BDD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939 / 17095</w:t>
            </w:r>
          </w:p>
        </w:tc>
        <w:tc>
          <w:tcPr>
            <w:tcW w:w="829" w:type="dxa"/>
            <w:tcBorders>
              <w:top w:val="single" w:sz="4" w:space="0" w:color="auto"/>
              <w:left w:val="nil"/>
              <w:bottom w:val="nil"/>
              <w:right w:val="single" w:sz="4" w:space="0" w:color="auto"/>
            </w:tcBorders>
            <w:shd w:val="clear" w:color="auto" w:fill="auto"/>
            <w:noWrap/>
            <w:hideMark/>
          </w:tcPr>
          <w:p w14:paraId="6176F32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w:t>
            </w:r>
          </w:p>
        </w:tc>
        <w:tc>
          <w:tcPr>
            <w:tcW w:w="1297" w:type="dxa"/>
            <w:tcBorders>
              <w:top w:val="single" w:sz="4" w:space="0" w:color="auto"/>
              <w:left w:val="nil"/>
              <w:bottom w:val="nil"/>
              <w:right w:val="single" w:sz="4" w:space="0" w:color="auto"/>
            </w:tcBorders>
            <w:shd w:val="clear" w:color="auto" w:fill="auto"/>
            <w:noWrap/>
            <w:hideMark/>
          </w:tcPr>
          <w:p w14:paraId="2B5C405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cross-sectional</w:t>
            </w:r>
          </w:p>
        </w:tc>
        <w:tc>
          <w:tcPr>
            <w:tcW w:w="705" w:type="dxa"/>
            <w:tcBorders>
              <w:top w:val="single" w:sz="4" w:space="0" w:color="auto"/>
              <w:left w:val="nil"/>
              <w:bottom w:val="nil"/>
              <w:right w:val="single" w:sz="4" w:space="0" w:color="auto"/>
            </w:tcBorders>
            <w:shd w:val="clear" w:color="auto" w:fill="auto"/>
            <w:noWrap/>
            <w:hideMark/>
          </w:tcPr>
          <w:p w14:paraId="0D1E3E6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5C4BB5C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72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36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17)</w:t>
            </w:r>
          </w:p>
        </w:tc>
        <w:tc>
          <w:tcPr>
            <w:tcW w:w="992" w:type="dxa"/>
            <w:tcBorders>
              <w:top w:val="single" w:sz="4" w:space="0" w:color="auto"/>
              <w:left w:val="nil"/>
              <w:bottom w:val="nil"/>
              <w:right w:val="single" w:sz="4" w:space="0" w:color="auto"/>
            </w:tcBorders>
            <w:shd w:val="clear" w:color="auto" w:fill="auto"/>
            <w:noWrap/>
            <w:hideMark/>
          </w:tcPr>
          <w:p w14:paraId="5F886E8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000005</w:t>
            </w:r>
          </w:p>
        </w:tc>
        <w:tc>
          <w:tcPr>
            <w:tcW w:w="572" w:type="dxa"/>
            <w:tcBorders>
              <w:top w:val="single" w:sz="4" w:space="0" w:color="auto"/>
              <w:left w:val="nil"/>
              <w:bottom w:val="nil"/>
              <w:right w:val="single" w:sz="4" w:space="0" w:color="auto"/>
            </w:tcBorders>
            <w:shd w:val="clear" w:color="auto" w:fill="auto"/>
            <w:noWrap/>
            <w:hideMark/>
          </w:tcPr>
          <w:p w14:paraId="1004FA7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71%</w:t>
            </w:r>
          </w:p>
        </w:tc>
        <w:tc>
          <w:tcPr>
            <w:tcW w:w="1129" w:type="dxa"/>
            <w:tcBorders>
              <w:top w:val="single" w:sz="4" w:space="0" w:color="auto"/>
              <w:left w:val="nil"/>
              <w:bottom w:val="nil"/>
              <w:right w:val="single" w:sz="4" w:space="0" w:color="auto"/>
            </w:tcBorders>
            <w:shd w:val="clear" w:color="auto" w:fill="auto"/>
            <w:noWrap/>
            <w:hideMark/>
          </w:tcPr>
          <w:p w14:paraId="2A09CE1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86 to 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44</w:t>
            </w:r>
          </w:p>
        </w:tc>
        <w:tc>
          <w:tcPr>
            <w:tcW w:w="1985" w:type="dxa"/>
            <w:tcBorders>
              <w:top w:val="single" w:sz="4" w:space="0" w:color="auto"/>
              <w:left w:val="nil"/>
              <w:bottom w:val="nil"/>
              <w:right w:val="single" w:sz="4" w:space="0" w:color="auto"/>
            </w:tcBorders>
            <w:shd w:val="clear" w:color="auto" w:fill="auto"/>
            <w:noWrap/>
            <w:hideMark/>
          </w:tcPr>
          <w:p w14:paraId="55345C4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 small study effect</w:t>
            </w:r>
          </w:p>
        </w:tc>
        <w:tc>
          <w:tcPr>
            <w:tcW w:w="1134" w:type="dxa"/>
            <w:tcBorders>
              <w:top w:val="single" w:sz="4" w:space="0" w:color="auto"/>
              <w:left w:val="nil"/>
              <w:bottom w:val="nil"/>
              <w:right w:val="single" w:sz="4" w:space="0" w:color="auto"/>
            </w:tcBorders>
            <w:shd w:val="clear" w:color="auto" w:fill="auto"/>
            <w:noWrap/>
            <w:hideMark/>
          </w:tcPr>
          <w:p w14:paraId="54C4659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Moderate</w:t>
            </w:r>
          </w:p>
        </w:tc>
        <w:tc>
          <w:tcPr>
            <w:tcW w:w="936" w:type="dxa"/>
            <w:tcBorders>
              <w:top w:val="single" w:sz="4" w:space="0" w:color="auto"/>
              <w:left w:val="nil"/>
              <w:bottom w:val="nil"/>
              <w:right w:val="single" w:sz="4" w:space="0" w:color="auto"/>
            </w:tcBorders>
          </w:tcPr>
          <w:p w14:paraId="0D7AE16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5527F137"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49D2567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Gestational diabetes</w:t>
            </w:r>
          </w:p>
        </w:tc>
        <w:tc>
          <w:tcPr>
            <w:tcW w:w="1134" w:type="dxa"/>
            <w:tcBorders>
              <w:top w:val="single" w:sz="4" w:space="0" w:color="auto"/>
              <w:left w:val="nil"/>
              <w:bottom w:val="nil"/>
              <w:right w:val="single" w:sz="4" w:space="0" w:color="auto"/>
            </w:tcBorders>
            <w:shd w:val="clear" w:color="auto" w:fill="auto"/>
            <w:noWrap/>
            <w:hideMark/>
          </w:tcPr>
          <w:p w14:paraId="254CE1C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Azami</w:t>
            </w:r>
            <w:proofErr w:type="spellEnd"/>
            <w:r w:rsidRPr="005B1792">
              <w:rPr>
                <w:rFonts w:ascii="Times New Roman" w:eastAsia="Malgun Gothic" w:hAnsi="Times New Roman" w:cs="Times New Roman"/>
                <w:color w:val="000000"/>
                <w:kern w:val="0"/>
                <w:sz w:val="16"/>
                <w:szCs w:val="16"/>
              </w:rPr>
              <w:t xml:space="preserve"> 2019</w:t>
            </w:r>
          </w:p>
        </w:tc>
        <w:tc>
          <w:tcPr>
            <w:tcW w:w="1276" w:type="dxa"/>
            <w:tcBorders>
              <w:top w:val="single" w:sz="4" w:space="0" w:color="auto"/>
              <w:left w:val="nil"/>
              <w:bottom w:val="nil"/>
              <w:right w:val="single" w:sz="4" w:space="0" w:color="auto"/>
            </w:tcBorders>
            <w:shd w:val="clear" w:color="auto" w:fill="auto"/>
            <w:noWrap/>
            <w:hideMark/>
          </w:tcPr>
          <w:p w14:paraId="117EB6D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17954 / 2302311</w:t>
            </w:r>
          </w:p>
        </w:tc>
        <w:tc>
          <w:tcPr>
            <w:tcW w:w="829" w:type="dxa"/>
            <w:tcBorders>
              <w:top w:val="single" w:sz="4" w:space="0" w:color="auto"/>
              <w:left w:val="nil"/>
              <w:bottom w:val="nil"/>
              <w:right w:val="single" w:sz="4" w:space="0" w:color="auto"/>
            </w:tcBorders>
            <w:shd w:val="clear" w:color="auto" w:fill="auto"/>
            <w:noWrap/>
            <w:hideMark/>
          </w:tcPr>
          <w:p w14:paraId="4538E8E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14</w:t>
            </w:r>
          </w:p>
        </w:tc>
        <w:tc>
          <w:tcPr>
            <w:tcW w:w="1297" w:type="dxa"/>
            <w:tcBorders>
              <w:top w:val="single" w:sz="4" w:space="0" w:color="auto"/>
              <w:left w:val="nil"/>
              <w:bottom w:val="nil"/>
              <w:right w:val="single" w:sz="4" w:space="0" w:color="auto"/>
            </w:tcBorders>
            <w:shd w:val="clear" w:color="auto" w:fill="auto"/>
            <w:noWrap/>
            <w:hideMark/>
          </w:tcPr>
          <w:p w14:paraId="334C233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case-control, cross-sectional</w:t>
            </w:r>
          </w:p>
        </w:tc>
        <w:tc>
          <w:tcPr>
            <w:tcW w:w="705" w:type="dxa"/>
            <w:tcBorders>
              <w:top w:val="single" w:sz="4" w:space="0" w:color="auto"/>
              <w:left w:val="nil"/>
              <w:bottom w:val="nil"/>
              <w:right w:val="single" w:sz="4" w:space="0" w:color="auto"/>
            </w:tcBorders>
            <w:shd w:val="clear" w:color="auto" w:fill="auto"/>
            <w:noWrap/>
            <w:hideMark/>
          </w:tcPr>
          <w:p w14:paraId="0AEEBB8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RR</w:t>
            </w:r>
          </w:p>
        </w:tc>
        <w:tc>
          <w:tcPr>
            <w:tcW w:w="1563" w:type="dxa"/>
            <w:tcBorders>
              <w:top w:val="single" w:sz="4" w:space="0" w:color="auto"/>
              <w:left w:val="nil"/>
              <w:bottom w:val="nil"/>
              <w:right w:val="single" w:sz="4" w:space="0" w:color="auto"/>
            </w:tcBorders>
            <w:shd w:val="clear" w:color="auto" w:fill="auto"/>
            <w:noWrap/>
            <w:hideMark/>
          </w:tcPr>
          <w:p w14:paraId="039D3B1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66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21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27)</w:t>
            </w:r>
          </w:p>
        </w:tc>
        <w:tc>
          <w:tcPr>
            <w:tcW w:w="992" w:type="dxa"/>
            <w:tcBorders>
              <w:top w:val="single" w:sz="4" w:space="0" w:color="auto"/>
              <w:left w:val="nil"/>
              <w:bottom w:val="nil"/>
              <w:right w:val="single" w:sz="4" w:space="0" w:color="auto"/>
            </w:tcBorders>
            <w:shd w:val="clear" w:color="auto" w:fill="auto"/>
            <w:noWrap/>
            <w:hideMark/>
          </w:tcPr>
          <w:p w14:paraId="41F1477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0015</w:t>
            </w:r>
          </w:p>
        </w:tc>
        <w:tc>
          <w:tcPr>
            <w:tcW w:w="572" w:type="dxa"/>
            <w:tcBorders>
              <w:top w:val="single" w:sz="4" w:space="0" w:color="auto"/>
              <w:left w:val="nil"/>
              <w:bottom w:val="nil"/>
              <w:right w:val="single" w:sz="4" w:space="0" w:color="auto"/>
            </w:tcBorders>
            <w:shd w:val="clear" w:color="auto" w:fill="auto"/>
            <w:noWrap/>
            <w:hideMark/>
          </w:tcPr>
          <w:p w14:paraId="604F4CB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89%</w:t>
            </w:r>
          </w:p>
        </w:tc>
        <w:tc>
          <w:tcPr>
            <w:tcW w:w="1129" w:type="dxa"/>
            <w:tcBorders>
              <w:top w:val="single" w:sz="4" w:space="0" w:color="auto"/>
              <w:left w:val="nil"/>
              <w:bottom w:val="nil"/>
              <w:right w:val="single" w:sz="4" w:space="0" w:color="auto"/>
            </w:tcBorders>
            <w:shd w:val="clear" w:color="auto" w:fill="auto"/>
            <w:noWrap/>
            <w:hideMark/>
          </w:tcPr>
          <w:p w14:paraId="5D3FC47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52 to 5</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w:t>
            </w:r>
          </w:p>
        </w:tc>
        <w:tc>
          <w:tcPr>
            <w:tcW w:w="1985" w:type="dxa"/>
            <w:tcBorders>
              <w:top w:val="single" w:sz="4" w:space="0" w:color="auto"/>
              <w:left w:val="nil"/>
              <w:bottom w:val="nil"/>
              <w:right w:val="single" w:sz="4" w:space="0" w:color="auto"/>
            </w:tcBorders>
            <w:shd w:val="clear" w:color="auto" w:fill="auto"/>
            <w:noWrap/>
            <w:hideMark/>
          </w:tcPr>
          <w:p w14:paraId="72606F2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7895234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0C773B3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5EFCF67D"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785DC05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Emergency cesarean section</w:t>
            </w:r>
          </w:p>
        </w:tc>
        <w:tc>
          <w:tcPr>
            <w:tcW w:w="1134" w:type="dxa"/>
            <w:tcBorders>
              <w:top w:val="single" w:sz="4" w:space="0" w:color="auto"/>
              <w:left w:val="nil"/>
              <w:bottom w:val="nil"/>
              <w:right w:val="single" w:sz="4" w:space="0" w:color="auto"/>
            </w:tcBorders>
            <w:shd w:val="clear" w:color="auto" w:fill="auto"/>
            <w:noWrap/>
            <w:hideMark/>
          </w:tcPr>
          <w:p w14:paraId="3FA7CE8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Moameri</w:t>
            </w:r>
            <w:proofErr w:type="spellEnd"/>
            <w:r w:rsidRPr="005B1792">
              <w:rPr>
                <w:rFonts w:ascii="Times New Roman" w:eastAsia="Malgun Gothic" w:hAnsi="Times New Roman" w:cs="Times New Roman"/>
                <w:color w:val="000000"/>
                <w:kern w:val="0"/>
                <w:sz w:val="16"/>
                <w:szCs w:val="16"/>
              </w:rPr>
              <w:t xml:space="preserve"> 2019</w:t>
            </w:r>
          </w:p>
        </w:tc>
        <w:tc>
          <w:tcPr>
            <w:tcW w:w="1276" w:type="dxa"/>
            <w:tcBorders>
              <w:top w:val="single" w:sz="4" w:space="0" w:color="auto"/>
              <w:left w:val="nil"/>
              <w:bottom w:val="nil"/>
              <w:right w:val="single" w:sz="4" w:space="0" w:color="auto"/>
            </w:tcBorders>
            <w:shd w:val="clear" w:color="auto" w:fill="auto"/>
            <w:noWrap/>
            <w:hideMark/>
          </w:tcPr>
          <w:p w14:paraId="23A9CDB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4815 / 79442</w:t>
            </w:r>
          </w:p>
        </w:tc>
        <w:tc>
          <w:tcPr>
            <w:tcW w:w="829" w:type="dxa"/>
            <w:tcBorders>
              <w:top w:val="single" w:sz="4" w:space="0" w:color="auto"/>
              <w:left w:val="nil"/>
              <w:bottom w:val="nil"/>
              <w:right w:val="single" w:sz="4" w:space="0" w:color="auto"/>
            </w:tcBorders>
            <w:shd w:val="clear" w:color="auto" w:fill="auto"/>
            <w:noWrap/>
            <w:hideMark/>
          </w:tcPr>
          <w:p w14:paraId="44455DF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10</w:t>
            </w:r>
          </w:p>
        </w:tc>
        <w:tc>
          <w:tcPr>
            <w:tcW w:w="1297" w:type="dxa"/>
            <w:tcBorders>
              <w:top w:val="single" w:sz="4" w:space="0" w:color="auto"/>
              <w:left w:val="nil"/>
              <w:bottom w:val="nil"/>
              <w:right w:val="single" w:sz="4" w:space="0" w:color="auto"/>
            </w:tcBorders>
            <w:shd w:val="clear" w:color="auto" w:fill="auto"/>
            <w:noWrap/>
            <w:hideMark/>
          </w:tcPr>
          <w:p w14:paraId="3433867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case-control</w:t>
            </w:r>
          </w:p>
        </w:tc>
        <w:tc>
          <w:tcPr>
            <w:tcW w:w="705" w:type="dxa"/>
            <w:tcBorders>
              <w:top w:val="single" w:sz="4" w:space="0" w:color="auto"/>
              <w:left w:val="nil"/>
              <w:bottom w:val="nil"/>
              <w:right w:val="single" w:sz="4" w:space="0" w:color="auto"/>
            </w:tcBorders>
            <w:shd w:val="clear" w:color="auto" w:fill="auto"/>
            <w:noWrap/>
            <w:hideMark/>
          </w:tcPr>
          <w:p w14:paraId="37B9FE4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755D10C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63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21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21)</w:t>
            </w:r>
          </w:p>
        </w:tc>
        <w:tc>
          <w:tcPr>
            <w:tcW w:w="992" w:type="dxa"/>
            <w:tcBorders>
              <w:top w:val="single" w:sz="4" w:space="0" w:color="auto"/>
              <w:left w:val="nil"/>
              <w:bottom w:val="nil"/>
              <w:right w:val="single" w:sz="4" w:space="0" w:color="auto"/>
            </w:tcBorders>
            <w:shd w:val="clear" w:color="auto" w:fill="auto"/>
            <w:noWrap/>
            <w:hideMark/>
          </w:tcPr>
          <w:p w14:paraId="0E5AAA5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0014</w:t>
            </w:r>
          </w:p>
        </w:tc>
        <w:tc>
          <w:tcPr>
            <w:tcW w:w="572" w:type="dxa"/>
            <w:tcBorders>
              <w:top w:val="single" w:sz="4" w:space="0" w:color="auto"/>
              <w:left w:val="nil"/>
              <w:bottom w:val="nil"/>
              <w:right w:val="single" w:sz="4" w:space="0" w:color="auto"/>
            </w:tcBorders>
            <w:shd w:val="clear" w:color="auto" w:fill="auto"/>
            <w:noWrap/>
            <w:hideMark/>
          </w:tcPr>
          <w:p w14:paraId="4744CC7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68%</w:t>
            </w:r>
          </w:p>
        </w:tc>
        <w:tc>
          <w:tcPr>
            <w:tcW w:w="1129" w:type="dxa"/>
            <w:tcBorders>
              <w:top w:val="single" w:sz="4" w:space="0" w:color="auto"/>
              <w:left w:val="nil"/>
              <w:bottom w:val="nil"/>
              <w:right w:val="single" w:sz="4" w:space="0" w:color="auto"/>
            </w:tcBorders>
            <w:shd w:val="clear" w:color="auto" w:fill="auto"/>
            <w:noWrap/>
            <w:hideMark/>
          </w:tcPr>
          <w:p w14:paraId="35644E9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66 to 4</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04</w:t>
            </w:r>
          </w:p>
        </w:tc>
        <w:tc>
          <w:tcPr>
            <w:tcW w:w="1985" w:type="dxa"/>
            <w:tcBorders>
              <w:top w:val="single" w:sz="4" w:space="0" w:color="auto"/>
              <w:left w:val="nil"/>
              <w:bottom w:val="nil"/>
              <w:right w:val="single" w:sz="4" w:space="0" w:color="auto"/>
            </w:tcBorders>
            <w:shd w:val="clear" w:color="auto" w:fill="auto"/>
            <w:noWrap/>
            <w:hideMark/>
          </w:tcPr>
          <w:p w14:paraId="6428BA0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 small study effect</w:t>
            </w:r>
          </w:p>
        </w:tc>
        <w:tc>
          <w:tcPr>
            <w:tcW w:w="1134" w:type="dxa"/>
            <w:tcBorders>
              <w:top w:val="single" w:sz="4" w:space="0" w:color="auto"/>
              <w:left w:val="nil"/>
              <w:bottom w:val="nil"/>
              <w:right w:val="single" w:sz="4" w:space="0" w:color="auto"/>
            </w:tcBorders>
            <w:shd w:val="clear" w:color="auto" w:fill="auto"/>
            <w:noWrap/>
            <w:hideMark/>
          </w:tcPr>
          <w:p w14:paraId="09753B9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717CE22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013E5F87"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2989113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Childhood abuse</w:t>
            </w:r>
          </w:p>
        </w:tc>
        <w:tc>
          <w:tcPr>
            <w:tcW w:w="1134" w:type="dxa"/>
            <w:tcBorders>
              <w:top w:val="single" w:sz="4" w:space="0" w:color="auto"/>
              <w:left w:val="nil"/>
              <w:bottom w:val="nil"/>
              <w:right w:val="single" w:sz="4" w:space="0" w:color="auto"/>
            </w:tcBorders>
            <w:shd w:val="clear" w:color="auto" w:fill="auto"/>
            <w:noWrap/>
            <w:hideMark/>
          </w:tcPr>
          <w:p w14:paraId="0A667C3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Zhang 2019</w:t>
            </w:r>
          </w:p>
        </w:tc>
        <w:tc>
          <w:tcPr>
            <w:tcW w:w="1276" w:type="dxa"/>
            <w:tcBorders>
              <w:top w:val="single" w:sz="4" w:space="0" w:color="auto"/>
              <w:left w:val="nil"/>
              <w:bottom w:val="nil"/>
              <w:right w:val="single" w:sz="4" w:space="0" w:color="auto"/>
            </w:tcBorders>
            <w:shd w:val="clear" w:color="auto" w:fill="auto"/>
            <w:noWrap/>
            <w:hideMark/>
          </w:tcPr>
          <w:p w14:paraId="18B73E6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800 / 5027</w:t>
            </w:r>
          </w:p>
        </w:tc>
        <w:tc>
          <w:tcPr>
            <w:tcW w:w="829" w:type="dxa"/>
            <w:tcBorders>
              <w:top w:val="single" w:sz="4" w:space="0" w:color="auto"/>
              <w:left w:val="nil"/>
              <w:bottom w:val="nil"/>
              <w:right w:val="single" w:sz="4" w:space="0" w:color="auto"/>
            </w:tcBorders>
            <w:shd w:val="clear" w:color="auto" w:fill="auto"/>
            <w:noWrap/>
            <w:hideMark/>
          </w:tcPr>
          <w:p w14:paraId="48E14CF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w:t>
            </w:r>
          </w:p>
        </w:tc>
        <w:tc>
          <w:tcPr>
            <w:tcW w:w="1297" w:type="dxa"/>
            <w:tcBorders>
              <w:top w:val="single" w:sz="4" w:space="0" w:color="auto"/>
              <w:left w:val="nil"/>
              <w:bottom w:val="nil"/>
              <w:right w:val="single" w:sz="4" w:space="0" w:color="auto"/>
            </w:tcBorders>
            <w:shd w:val="clear" w:color="auto" w:fill="auto"/>
            <w:noWrap/>
            <w:hideMark/>
          </w:tcPr>
          <w:p w14:paraId="0652298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w:t>
            </w:r>
          </w:p>
        </w:tc>
        <w:tc>
          <w:tcPr>
            <w:tcW w:w="705" w:type="dxa"/>
            <w:tcBorders>
              <w:top w:val="single" w:sz="4" w:space="0" w:color="auto"/>
              <w:left w:val="nil"/>
              <w:bottom w:val="nil"/>
              <w:right w:val="single" w:sz="4" w:space="0" w:color="auto"/>
            </w:tcBorders>
            <w:shd w:val="clear" w:color="auto" w:fill="auto"/>
            <w:noWrap/>
            <w:hideMark/>
          </w:tcPr>
          <w:p w14:paraId="1910B1D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3083074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62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28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07)</w:t>
            </w:r>
          </w:p>
        </w:tc>
        <w:tc>
          <w:tcPr>
            <w:tcW w:w="992" w:type="dxa"/>
            <w:tcBorders>
              <w:top w:val="single" w:sz="4" w:space="0" w:color="auto"/>
              <w:left w:val="nil"/>
              <w:bottom w:val="nil"/>
              <w:right w:val="single" w:sz="4" w:space="0" w:color="auto"/>
            </w:tcBorders>
            <w:shd w:val="clear" w:color="auto" w:fill="auto"/>
            <w:noWrap/>
            <w:hideMark/>
          </w:tcPr>
          <w:p w14:paraId="2DBB12E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000085</w:t>
            </w:r>
          </w:p>
        </w:tc>
        <w:tc>
          <w:tcPr>
            <w:tcW w:w="572" w:type="dxa"/>
            <w:tcBorders>
              <w:top w:val="single" w:sz="4" w:space="0" w:color="auto"/>
              <w:left w:val="nil"/>
              <w:bottom w:val="nil"/>
              <w:right w:val="single" w:sz="4" w:space="0" w:color="auto"/>
            </w:tcBorders>
            <w:shd w:val="clear" w:color="auto" w:fill="auto"/>
            <w:noWrap/>
            <w:hideMark/>
          </w:tcPr>
          <w:p w14:paraId="7CD0CEC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44%</w:t>
            </w:r>
          </w:p>
        </w:tc>
        <w:tc>
          <w:tcPr>
            <w:tcW w:w="1129" w:type="dxa"/>
            <w:tcBorders>
              <w:top w:val="single" w:sz="4" w:space="0" w:color="auto"/>
              <w:left w:val="nil"/>
              <w:bottom w:val="nil"/>
              <w:right w:val="single" w:sz="4" w:space="0" w:color="auto"/>
            </w:tcBorders>
            <w:shd w:val="clear" w:color="auto" w:fill="auto"/>
            <w:noWrap/>
            <w:hideMark/>
          </w:tcPr>
          <w:p w14:paraId="719A991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81 to 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27</w:t>
            </w:r>
          </w:p>
        </w:tc>
        <w:tc>
          <w:tcPr>
            <w:tcW w:w="1985" w:type="dxa"/>
            <w:tcBorders>
              <w:top w:val="single" w:sz="4" w:space="0" w:color="auto"/>
              <w:left w:val="nil"/>
              <w:bottom w:val="nil"/>
              <w:right w:val="single" w:sz="4" w:space="0" w:color="auto"/>
            </w:tcBorders>
            <w:shd w:val="clear" w:color="auto" w:fill="auto"/>
            <w:noWrap/>
            <w:hideMark/>
          </w:tcPr>
          <w:p w14:paraId="52EFE2B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None</w:t>
            </w:r>
          </w:p>
        </w:tc>
        <w:tc>
          <w:tcPr>
            <w:tcW w:w="1134" w:type="dxa"/>
            <w:tcBorders>
              <w:top w:val="single" w:sz="4" w:space="0" w:color="auto"/>
              <w:left w:val="nil"/>
              <w:bottom w:val="nil"/>
              <w:right w:val="single" w:sz="4" w:space="0" w:color="auto"/>
            </w:tcBorders>
            <w:shd w:val="clear" w:color="auto" w:fill="auto"/>
            <w:noWrap/>
            <w:hideMark/>
          </w:tcPr>
          <w:p w14:paraId="57D88A5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293F6CD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Low</w:t>
            </w:r>
          </w:p>
        </w:tc>
      </w:tr>
      <w:tr w:rsidR="00942FBB" w:rsidRPr="005B1792" w14:paraId="60CFEFB5"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50E36A1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HIV infection</w:t>
            </w:r>
          </w:p>
        </w:tc>
        <w:tc>
          <w:tcPr>
            <w:tcW w:w="1134" w:type="dxa"/>
            <w:tcBorders>
              <w:top w:val="single" w:sz="4" w:space="0" w:color="auto"/>
              <w:left w:val="nil"/>
              <w:bottom w:val="nil"/>
              <w:right w:val="single" w:sz="4" w:space="0" w:color="auto"/>
            </w:tcBorders>
            <w:shd w:val="clear" w:color="auto" w:fill="auto"/>
            <w:noWrap/>
            <w:hideMark/>
          </w:tcPr>
          <w:p w14:paraId="3F6A39C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Zhu 2019</w:t>
            </w:r>
          </w:p>
        </w:tc>
        <w:tc>
          <w:tcPr>
            <w:tcW w:w="1276" w:type="dxa"/>
            <w:tcBorders>
              <w:top w:val="single" w:sz="4" w:space="0" w:color="auto"/>
              <w:left w:val="nil"/>
              <w:bottom w:val="nil"/>
              <w:right w:val="single" w:sz="4" w:space="0" w:color="auto"/>
            </w:tcBorders>
            <w:shd w:val="clear" w:color="auto" w:fill="auto"/>
            <w:noWrap/>
            <w:hideMark/>
          </w:tcPr>
          <w:p w14:paraId="6937F79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548 / 3780</w:t>
            </w:r>
          </w:p>
        </w:tc>
        <w:tc>
          <w:tcPr>
            <w:tcW w:w="829" w:type="dxa"/>
            <w:tcBorders>
              <w:top w:val="single" w:sz="4" w:space="0" w:color="auto"/>
              <w:left w:val="nil"/>
              <w:bottom w:val="nil"/>
              <w:right w:val="single" w:sz="4" w:space="0" w:color="auto"/>
            </w:tcBorders>
            <w:shd w:val="clear" w:color="auto" w:fill="auto"/>
            <w:noWrap/>
            <w:hideMark/>
          </w:tcPr>
          <w:p w14:paraId="2322235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10</w:t>
            </w:r>
          </w:p>
        </w:tc>
        <w:tc>
          <w:tcPr>
            <w:tcW w:w="1297" w:type="dxa"/>
            <w:tcBorders>
              <w:top w:val="single" w:sz="4" w:space="0" w:color="auto"/>
              <w:left w:val="nil"/>
              <w:bottom w:val="nil"/>
              <w:right w:val="single" w:sz="4" w:space="0" w:color="auto"/>
            </w:tcBorders>
            <w:shd w:val="clear" w:color="auto" w:fill="auto"/>
            <w:noWrap/>
            <w:hideMark/>
          </w:tcPr>
          <w:p w14:paraId="6FB27F0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case-control, cross-sectional</w:t>
            </w:r>
          </w:p>
        </w:tc>
        <w:tc>
          <w:tcPr>
            <w:tcW w:w="705" w:type="dxa"/>
            <w:tcBorders>
              <w:top w:val="single" w:sz="4" w:space="0" w:color="auto"/>
              <w:left w:val="nil"/>
              <w:bottom w:val="nil"/>
              <w:right w:val="single" w:sz="4" w:space="0" w:color="auto"/>
            </w:tcBorders>
            <w:shd w:val="clear" w:color="auto" w:fill="auto"/>
            <w:noWrap/>
            <w:hideMark/>
          </w:tcPr>
          <w:p w14:paraId="2DBFC86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3178966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58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08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32)</w:t>
            </w:r>
          </w:p>
        </w:tc>
        <w:tc>
          <w:tcPr>
            <w:tcW w:w="992" w:type="dxa"/>
            <w:tcBorders>
              <w:top w:val="single" w:sz="4" w:space="0" w:color="auto"/>
              <w:left w:val="nil"/>
              <w:bottom w:val="nil"/>
              <w:right w:val="single" w:sz="4" w:space="0" w:color="auto"/>
            </w:tcBorders>
            <w:shd w:val="clear" w:color="auto" w:fill="auto"/>
            <w:noWrap/>
            <w:hideMark/>
          </w:tcPr>
          <w:p w14:paraId="7A2EA59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019</w:t>
            </w:r>
          </w:p>
        </w:tc>
        <w:tc>
          <w:tcPr>
            <w:tcW w:w="572" w:type="dxa"/>
            <w:tcBorders>
              <w:top w:val="single" w:sz="4" w:space="0" w:color="auto"/>
              <w:left w:val="nil"/>
              <w:bottom w:val="nil"/>
              <w:right w:val="single" w:sz="4" w:space="0" w:color="auto"/>
            </w:tcBorders>
            <w:shd w:val="clear" w:color="auto" w:fill="auto"/>
            <w:noWrap/>
            <w:hideMark/>
          </w:tcPr>
          <w:p w14:paraId="6A945AB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65%</w:t>
            </w:r>
          </w:p>
        </w:tc>
        <w:tc>
          <w:tcPr>
            <w:tcW w:w="1129" w:type="dxa"/>
            <w:tcBorders>
              <w:top w:val="single" w:sz="4" w:space="0" w:color="auto"/>
              <w:left w:val="nil"/>
              <w:bottom w:val="nil"/>
              <w:right w:val="single" w:sz="4" w:space="0" w:color="auto"/>
            </w:tcBorders>
            <w:shd w:val="clear" w:color="auto" w:fill="auto"/>
            <w:noWrap/>
            <w:hideMark/>
          </w:tcPr>
          <w:p w14:paraId="586900D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48 to 5</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17</w:t>
            </w:r>
          </w:p>
        </w:tc>
        <w:tc>
          <w:tcPr>
            <w:tcW w:w="1985" w:type="dxa"/>
            <w:tcBorders>
              <w:top w:val="single" w:sz="4" w:space="0" w:color="auto"/>
              <w:left w:val="nil"/>
              <w:bottom w:val="nil"/>
              <w:right w:val="single" w:sz="4" w:space="0" w:color="auto"/>
            </w:tcBorders>
            <w:shd w:val="clear" w:color="auto" w:fill="auto"/>
            <w:noWrap/>
            <w:hideMark/>
          </w:tcPr>
          <w:p w14:paraId="4F52E4B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 loss of significance under 10% credibility ceiling</w:t>
            </w:r>
          </w:p>
        </w:tc>
        <w:tc>
          <w:tcPr>
            <w:tcW w:w="1134" w:type="dxa"/>
            <w:tcBorders>
              <w:top w:val="single" w:sz="4" w:space="0" w:color="auto"/>
              <w:left w:val="nil"/>
              <w:bottom w:val="nil"/>
              <w:right w:val="single" w:sz="4" w:space="0" w:color="auto"/>
            </w:tcBorders>
            <w:shd w:val="clear" w:color="auto" w:fill="auto"/>
            <w:noWrap/>
            <w:hideMark/>
          </w:tcPr>
          <w:p w14:paraId="3A1D36C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Low</w:t>
            </w:r>
          </w:p>
        </w:tc>
        <w:tc>
          <w:tcPr>
            <w:tcW w:w="936" w:type="dxa"/>
            <w:tcBorders>
              <w:top w:val="single" w:sz="4" w:space="0" w:color="auto"/>
              <w:left w:val="nil"/>
              <w:bottom w:val="nil"/>
              <w:right w:val="single" w:sz="4" w:space="0" w:color="auto"/>
            </w:tcBorders>
          </w:tcPr>
          <w:p w14:paraId="0DCBDC5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1A4CF0C9"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242BDC4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Anemia during pregnancy</w:t>
            </w:r>
          </w:p>
        </w:tc>
        <w:tc>
          <w:tcPr>
            <w:tcW w:w="1134" w:type="dxa"/>
            <w:tcBorders>
              <w:top w:val="single" w:sz="4" w:space="0" w:color="auto"/>
              <w:left w:val="nil"/>
              <w:bottom w:val="nil"/>
              <w:right w:val="single" w:sz="4" w:space="0" w:color="auto"/>
            </w:tcBorders>
            <w:shd w:val="clear" w:color="auto" w:fill="auto"/>
            <w:noWrap/>
            <w:hideMark/>
          </w:tcPr>
          <w:p w14:paraId="41AD79D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Azami</w:t>
            </w:r>
            <w:proofErr w:type="spellEnd"/>
            <w:r w:rsidRPr="005B1792">
              <w:rPr>
                <w:rFonts w:ascii="Times New Roman" w:eastAsia="Malgun Gothic" w:hAnsi="Times New Roman" w:cs="Times New Roman"/>
                <w:color w:val="000000"/>
                <w:kern w:val="0"/>
                <w:sz w:val="16"/>
                <w:szCs w:val="16"/>
              </w:rPr>
              <w:t xml:space="preserve"> 2019</w:t>
            </w:r>
          </w:p>
        </w:tc>
        <w:tc>
          <w:tcPr>
            <w:tcW w:w="1276" w:type="dxa"/>
            <w:tcBorders>
              <w:top w:val="single" w:sz="4" w:space="0" w:color="auto"/>
              <w:left w:val="nil"/>
              <w:bottom w:val="nil"/>
              <w:right w:val="single" w:sz="4" w:space="0" w:color="auto"/>
            </w:tcBorders>
            <w:shd w:val="clear" w:color="auto" w:fill="auto"/>
            <w:noWrap/>
            <w:hideMark/>
          </w:tcPr>
          <w:p w14:paraId="3728DB5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261 / 2785</w:t>
            </w:r>
          </w:p>
        </w:tc>
        <w:tc>
          <w:tcPr>
            <w:tcW w:w="829" w:type="dxa"/>
            <w:tcBorders>
              <w:top w:val="single" w:sz="4" w:space="0" w:color="auto"/>
              <w:left w:val="nil"/>
              <w:bottom w:val="nil"/>
              <w:right w:val="single" w:sz="4" w:space="0" w:color="auto"/>
            </w:tcBorders>
            <w:shd w:val="clear" w:color="auto" w:fill="auto"/>
            <w:noWrap/>
            <w:hideMark/>
          </w:tcPr>
          <w:p w14:paraId="357474F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8</w:t>
            </w:r>
          </w:p>
        </w:tc>
        <w:tc>
          <w:tcPr>
            <w:tcW w:w="1297" w:type="dxa"/>
            <w:tcBorders>
              <w:top w:val="single" w:sz="4" w:space="0" w:color="auto"/>
              <w:left w:val="nil"/>
              <w:bottom w:val="nil"/>
              <w:right w:val="single" w:sz="4" w:space="0" w:color="auto"/>
            </w:tcBorders>
            <w:shd w:val="clear" w:color="auto" w:fill="auto"/>
            <w:noWrap/>
            <w:hideMark/>
          </w:tcPr>
          <w:p w14:paraId="4FB752E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w:t>
            </w:r>
          </w:p>
        </w:tc>
        <w:tc>
          <w:tcPr>
            <w:tcW w:w="705" w:type="dxa"/>
            <w:tcBorders>
              <w:top w:val="single" w:sz="4" w:space="0" w:color="auto"/>
              <w:left w:val="nil"/>
              <w:bottom w:val="nil"/>
              <w:right w:val="single" w:sz="4" w:space="0" w:color="auto"/>
            </w:tcBorders>
            <w:shd w:val="clear" w:color="auto" w:fill="auto"/>
            <w:noWrap/>
            <w:hideMark/>
          </w:tcPr>
          <w:p w14:paraId="46F49D2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RR</w:t>
            </w:r>
          </w:p>
        </w:tc>
        <w:tc>
          <w:tcPr>
            <w:tcW w:w="1563" w:type="dxa"/>
            <w:tcBorders>
              <w:top w:val="single" w:sz="4" w:space="0" w:color="auto"/>
              <w:left w:val="nil"/>
              <w:bottom w:val="nil"/>
              <w:right w:val="single" w:sz="4" w:space="0" w:color="auto"/>
            </w:tcBorders>
            <w:shd w:val="clear" w:color="auto" w:fill="auto"/>
            <w:noWrap/>
            <w:hideMark/>
          </w:tcPr>
          <w:p w14:paraId="313E635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24 (1 to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54)</w:t>
            </w:r>
          </w:p>
        </w:tc>
        <w:tc>
          <w:tcPr>
            <w:tcW w:w="992" w:type="dxa"/>
            <w:tcBorders>
              <w:top w:val="single" w:sz="4" w:space="0" w:color="auto"/>
              <w:left w:val="nil"/>
              <w:bottom w:val="nil"/>
              <w:right w:val="single" w:sz="4" w:space="0" w:color="auto"/>
            </w:tcBorders>
            <w:shd w:val="clear" w:color="auto" w:fill="auto"/>
            <w:noWrap/>
            <w:hideMark/>
          </w:tcPr>
          <w:p w14:paraId="41770AC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048</w:t>
            </w:r>
          </w:p>
        </w:tc>
        <w:tc>
          <w:tcPr>
            <w:tcW w:w="572" w:type="dxa"/>
            <w:tcBorders>
              <w:top w:val="single" w:sz="4" w:space="0" w:color="auto"/>
              <w:left w:val="nil"/>
              <w:bottom w:val="nil"/>
              <w:right w:val="single" w:sz="4" w:space="0" w:color="auto"/>
            </w:tcBorders>
            <w:shd w:val="clear" w:color="auto" w:fill="auto"/>
            <w:noWrap/>
            <w:hideMark/>
          </w:tcPr>
          <w:p w14:paraId="0EE64BC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39%</w:t>
            </w:r>
          </w:p>
        </w:tc>
        <w:tc>
          <w:tcPr>
            <w:tcW w:w="1129" w:type="dxa"/>
            <w:tcBorders>
              <w:top w:val="single" w:sz="4" w:space="0" w:color="auto"/>
              <w:left w:val="nil"/>
              <w:bottom w:val="nil"/>
              <w:right w:val="single" w:sz="4" w:space="0" w:color="auto"/>
            </w:tcBorders>
            <w:shd w:val="clear" w:color="auto" w:fill="auto"/>
            <w:noWrap/>
            <w:hideMark/>
          </w:tcPr>
          <w:p w14:paraId="33F56A4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73 to 2</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12</w:t>
            </w:r>
          </w:p>
        </w:tc>
        <w:tc>
          <w:tcPr>
            <w:tcW w:w="1985" w:type="dxa"/>
            <w:tcBorders>
              <w:top w:val="single" w:sz="4" w:space="0" w:color="auto"/>
              <w:left w:val="nil"/>
              <w:bottom w:val="nil"/>
              <w:right w:val="single" w:sz="4" w:space="0" w:color="auto"/>
            </w:tcBorders>
            <w:shd w:val="clear" w:color="auto" w:fill="auto"/>
            <w:noWrap/>
            <w:hideMark/>
          </w:tcPr>
          <w:p w14:paraId="68FA277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Loss of significance under 10% credibility ceiling; p curve analysis unavailable due to less than three significant studies</w:t>
            </w:r>
          </w:p>
        </w:tc>
        <w:tc>
          <w:tcPr>
            <w:tcW w:w="1134" w:type="dxa"/>
            <w:tcBorders>
              <w:top w:val="single" w:sz="4" w:space="0" w:color="auto"/>
              <w:left w:val="nil"/>
              <w:bottom w:val="nil"/>
              <w:right w:val="single" w:sz="4" w:space="0" w:color="auto"/>
            </w:tcBorders>
            <w:shd w:val="clear" w:color="auto" w:fill="auto"/>
            <w:noWrap/>
            <w:hideMark/>
          </w:tcPr>
          <w:p w14:paraId="5FC8D0A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35F8868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Low</w:t>
            </w:r>
          </w:p>
        </w:tc>
      </w:tr>
      <w:tr w:rsidR="00942FBB" w:rsidRPr="005B1792" w14:paraId="22B8C0F0"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14BE146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Female infant compared to male infant</w:t>
            </w:r>
          </w:p>
        </w:tc>
        <w:tc>
          <w:tcPr>
            <w:tcW w:w="1134" w:type="dxa"/>
            <w:tcBorders>
              <w:top w:val="single" w:sz="4" w:space="0" w:color="auto"/>
              <w:left w:val="nil"/>
              <w:bottom w:val="nil"/>
              <w:right w:val="single" w:sz="4" w:space="0" w:color="auto"/>
            </w:tcBorders>
            <w:shd w:val="clear" w:color="auto" w:fill="auto"/>
            <w:noWrap/>
            <w:hideMark/>
          </w:tcPr>
          <w:p w14:paraId="5B2194E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Ye 2020</w:t>
            </w:r>
          </w:p>
        </w:tc>
        <w:tc>
          <w:tcPr>
            <w:tcW w:w="1276" w:type="dxa"/>
            <w:tcBorders>
              <w:top w:val="single" w:sz="4" w:space="0" w:color="auto"/>
              <w:left w:val="nil"/>
              <w:bottom w:val="nil"/>
              <w:right w:val="single" w:sz="4" w:space="0" w:color="auto"/>
            </w:tcBorders>
            <w:shd w:val="clear" w:color="auto" w:fill="auto"/>
            <w:noWrap/>
            <w:hideMark/>
          </w:tcPr>
          <w:p w14:paraId="325A217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14358 / 119281</w:t>
            </w:r>
          </w:p>
        </w:tc>
        <w:tc>
          <w:tcPr>
            <w:tcW w:w="829" w:type="dxa"/>
            <w:tcBorders>
              <w:top w:val="single" w:sz="4" w:space="0" w:color="auto"/>
              <w:left w:val="nil"/>
              <w:bottom w:val="nil"/>
              <w:right w:val="single" w:sz="4" w:space="0" w:color="auto"/>
            </w:tcBorders>
            <w:shd w:val="clear" w:color="auto" w:fill="auto"/>
            <w:noWrap/>
            <w:hideMark/>
          </w:tcPr>
          <w:p w14:paraId="46C2608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29</w:t>
            </w:r>
          </w:p>
        </w:tc>
        <w:tc>
          <w:tcPr>
            <w:tcW w:w="1297" w:type="dxa"/>
            <w:tcBorders>
              <w:top w:val="single" w:sz="4" w:space="0" w:color="auto"/>
              <w:left w:val="nil"/>
              <w:bottom w:val="nil"/>
              <w:right w:val="single" w:sz="4" w:space="0" w:color="auto"/>
            </w:tcBorders>
            <w:shd w:val="clear" w:color="auto" w:fill="auto"/>
            <w:noWrap/>
            <w:hideMark/>
          </w:tcPr>
          <w:p w14:paraId="29FE829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case-control</w:t>
            </w:r>
          </w:p>
        </w:tc>
        <w:tc>
          <w:tcPr>
            <w:tcW w:w="705" w:type="dxa"/>
            <w:tcBorders>
              <w:top w:val="single" w:sz="4" w:space="0" w:color="auto"/>
              <w:left w:val="nil"/>
              <w:bottom w:val="nil"/>
              <w:right w:val="single" w:sz="4" w:space="0" w:color="auto"/>
            </w:tcBorders>
            <w:shd w:val="clear" w:color="auto" w:fill="auto"/>
            <w:noWrap/>
            <w:hideMark/>
          </w:tcPr>
          <w:p w14:paraId="23E3FF3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7CC2DB8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15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01 to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31)</w:t>
            </w:r>
          </w:p>
        </w:tc>
        <w:tc>
          <w:tcPr>
            <w:tcW w:w="992" w:type="dxa"/>
            <w:tcBorders>
              <w:top w:val="single" w:sz="4" w:space="0" w:color="auto"/>
              <w:left w:val="nil"/>
              <w:bottom w:val="nil"/>
              <w:right w:val="single" w:sz="4" w:space="0" w:color="auto"/>
            </w:tcBorders>
            <w:shd w:val="clear" w:color="auto" w:fill="auto"/>
            <w:noWrap/>
            <w:hideMark/>
          </w:tcPr>
          <w:p w14:paraId="5A6E037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035</w:t>
            </w:r>
          </w:p>
        </w:tc>
        <w:tc>
          <w:tcPr>
            <w:tcW w:w="572" w:type="dxa"/>
            <w:tcBorders>
              <w:top w:val="single" w:sz="4" w:space="0" w:color="auto"/>
              <w:left w:val="nil"/>
              <w:bottom w:val="nil"/>
              <w:right w:val="single" w:sz="4" w:space="0" w:color="auto"/>
            </w:tcBorders>
            <w:shd w:val="clear" w:color="auto" w:fill="auto"/>
            <w:noWrap/>
            <w:hideMark/>
          </w:tcPr>
          <w:p w14:paraId="4987080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75%</w:t>
            </w:r>
          </w:p>
        </w:tc>
        <w:tc>
          <w:tcPr>
            <w:tcW w:w="1129" w:type="dxa"/>
            <w:tcBorders>
              <w:top w:val="single" w:sz="4" w:space="0" w:color="auto"/>
              <w:left w:val="nil"/>
              <w:bottom w:val="nil"/>
              <w:right w:val="single" w:sz="4" w:space="0" w:color="auto"/>
            </w:tcBorders>
            <w:shd w:val="clear" w:color="auto" w:fill="auto"/>
            <w:noWrap/>
            <w:hideMark/>
          </w:tcPr>
          <w:p w14:paraId="5C4CBA2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66 to 2</w:t>
            </w:r>
          </w:p>
        </w:tc>
        <w:tc>
          <w:tcPr>
            <w:tcW w:w="1985" w:type="dxa"/>
            <w:tcBorders>
              <w:top w:val="single" w:sz="4" w:space="0" w:color="auto"/>
              <w:left w:val="nil"/>
              <w:bottom w:val="nil"/>
              <w:right w:val="single" w:sz="4" w:space="0" w:color="auto"/>
            </w:tcBorders>
            <w:shd w:val="clear" w:color="auto" w:fill="auto"/>
            <w:noWrap/>
            <w:hideMark/>
          </w:tcPr>
          <w:p w14:paraId="068F604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 small study effect; loss of significance under 10% credibility ceiling</w:t>
            </w:r>
          </w:p>
        </w:tc>
        <w:tc>
          <w:tcPr>
            <w:tcW w:w="1134" w:type="dxa"/>
            <w:tcBorders>
              <w:top w:val="single" w:sz="4" w:space="0" w:color="auto"/>
              <w:left w:val="nil"/>
              <w:bottom w:val="nil"/>
              <w:right w:val="single" w:sz="4" w:space="0" w:color="auto"/>
            </w:tcBorders>
            <w:shd w:val="clear" w:color="auto" w:fill="auto"/>
            <w:noWrap/>
            <w:hideMark/>
          </w:tcPr>
          <w:p w14:paraId="456DA7B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1AC8C19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12206616"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24CE784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Pre-pregnancy overweight</w:t>
            </w:r>
          </w:p>
        </w:tc>
        <w:tc>
          <w:tcPr>
            <w:tcW w:w="1134" w:type="dxa"/>
            <w:tcBorders>
              <w:top w:val="single" w:sz="4" w:space="0" w:color="auto"/>
              <w:left w:val="nil"/>
              <w:bottom w:val="nil"/>
              <w:right w:val="single" w:sz="4" w:space="0" w:color="auto"/>
            </w:tcBorders>
            <w:shd w:val="clear" w:color="auto" w:fill="auto"/>
            <w:noWrap/>
            <w:hideMark/>
          </w:tcPr>
          <w:p w14:paraId="1FE9F5E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Dachew</w:t>
            </w:r>
            <w:proofErr w:type="spellEnd"/>
            <w:r w:rsidRPr="005B1792">
              <w:rPr>
                <w:rFonts w:ascii="Times New Roman" w:eastAsia="Malgun Gothic" w:hAnsi="Times New Roman" w:cs="Times New Roman"/>
                <w:color w:val="000000"/>
                <w:kern w:val="0"/>
                <w:sz w:val="16"/>
                <w:szCs w:val="16"/>
              </w:rPr>
              <w:t xml:space="preserve"> 2021</w:t>
            </w:r>
          </w:p>
        </w:tc>
        <w:tc>
          <w:tcPr>
            <w:tcW w:w="1276" w:type="dxa"/>
            <w:tcBorders>
              <w:top w:val="single" w:sz="4" w:space="0" w:color="auto"/>
              <w:left w:val="nil"/>
              <w:bottom w:val="nil"/>
              <w:right w:val="single" w:sz="4" w:space="0" w:color="auto"/>
            </w:tcBorders>
            <w:shd w:val="clear" w:color="auto" w:fill="auto"/>
            <w:noWrap/>
            <w:hideMark/>
          </w:tcPr>
          <w:p w14:paraId="6D8B167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983 / 619568</w:t>
            </w:r>
          </w:p>
        </w:tc>
        <w:tc>
          <w:tcPr>
            <w:tcW w:w="829" w:type="dxa"/>
            <w:tcBorders>
              <w:top w:val="single" w:sz="4" w:space="0" w:color="auto"/>
              <w:left w:val="nil"/>
              <w:bottom w:val="nil"/>
              <w:right w:val="single" w:sz="4" w:space="0" w:color="auto"/>
            </w:tcBorders>
            <w:shd w:val="clear" w:color="auto" w:fill="auto"/>
            <w:noWrap/>
            <w:hideMark/>
          </w:tcPr>
          <w:p w14:paraId="0BE925D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w:t>
            </w:r>
          </w:p>
        </w:tc>
        <w:tc>
          <w:tcPr>
            <w:tcW w:w="1297" w:type="dxa"/>
            <w:tcBorders>
              <w:top w:val="single" w:sz="4" w:space="0" w:color="auto"/>
              <w:left w:val="nil"/>
              <w:bottom w:val="nil"/>
              <w:right w:val="single" w:sz="4" w:space="0" w:color="auto"/>
            </w:tcBorders>
            <w:shd w:val="clear" w:color="auto" w:fill="auto"/>
            <w:noWrap/>
            <w:hideMark/>
          </w:tcPr>
          <w:p w14:paraId="0A5CE6C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w:t>
            </w:r>
          </w:p>
        </w:tc>
        <w:tc>
          <w:tcPr>
            <w:tcW w:w="705" w:type="dxa"/>
            <w:tcBorders>
              <w:top w:val="single" w:sz="4" w:space="0" w:color="auto"/>
              <w:left w:val="nil"/>
              <w:bottom w:val="nil"/>
              <w:right w:val="single" w:sz="4" w:space="0" w:color="auto"/>
            </w:tcBorders>
            <w:shd w:val="clear" w:color="auto" w:fill="auto"/>
            <w:noWrap/>
            <w:hideMark/>
          </w:tcPr>
          <w:p w14:paraId="290EDD1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3A4502B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14 (1 to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w:t>
            </w:r>
          </w:p>
        </w:tc>
        <w:tc>
          <w:tcPr>
            <w:tcW w:w="992" w:type="dxa"/>
            <w:tcBorders>
              <w:top w:val="single" w:sz="4" w:space="0" w:color="auto"/>
              <w:left w:val="nil"/>
              <w:bottom w:val="nil"/>
              <w:right w:val="single" w:sz="4" w:space="0" w:color="auto"/>
            </w:tcBorders>
            <w:shd w:val="clear" w:color="auto" w:fill="auto"/>
            <w:noWrap/>
            <w:hideMark/>
          </w:tcPr>
          <w:p w14:paraId="0486F3C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043</w:t>
            </w:r>
          </w:p>
        </w:tc>
        <w:tc>
          <w:tcPr>
            <w:tcW w:w="572" w:type="dxa"/>
            <w:tcBorders>
              <w:top w:val="single" w:sz="4" w:space="0" w:color="auto"/>
              <w:left w:val="nil"/>
              <w:bottom w:val="nil"/>
              <w:right w:val="single" w:sz="4" w:space="0" w:color="auto"/>
            </w:tcBorders>
            <w:shd w:val="clear" w:color="auto" w:fill="auto"/>
            <w:noWrap/>
            <w:hideMark/>
          </w:tcPr>
          <w:p w14:paraId="4842574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27%</w:t>
            </w:r>
          </w:p>
        </w:tc>
        <w:tc>
          <w:tcPr>
            <w:tcW w:w="1129" w:type="dxa"/>
            <w:tcBorders>
              <w:top w:val="single" w:sz="4" w:space="0" w:color="auto"/>
              <w:left w:val="nil"/>
              <w:bottom w:val="nil"/>
              <w:right w:val="single" w:sz="4" w:space="0" w:color="auto"/>
            </w:tcBorders>
            <w:shd w:val="clear" w:color="auto" w:fill="auto"/>
            <w:noWrap/>
            <w:hideMark/>
          </w:tcPr>
          <w:p w14:paraId="341B3E0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85 to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53</w:t>
            </w:r>
          </w:p>
        </w:tc>
        <w:tc>
          <w:tcPr>
            <w:tcW w:w="1985" w:type="dxa"/>
            <w:tcBorders>
              <w:top w:val="single" w:sz="4" w:space="0" w:color="auto"/>
              <w:left w:val="nil"/>
              <w:bottom w:val="nil"/>
              <w:right w:val="single" w:sz="4" w:space="0" w:color="auto"/>
            </w:tcBorders>
            <w:shd w:val="clear" w:color="auto" w:fill="auto"/>
            <w:noWrap/>
            <w:hideMark/>
          </w:tcPr>
          <w:p w14:paraId="14272FF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Loss of significance under 10% credibility ceiling; p curve analysis unavailable due to less than three significant studies</w:t>
            </w:r>
          </w:p>
        </w:tc>
        <w:tc>
          <w:tcPr>
            <w:tcW w:w="1134" w:type="dxa"/>
            <w:tcBorders>
              <w:top w:val="single" w:sz="4" w:space="0" w:color="auto"/>
              <w:left w:val="nil"/>
              <w:bottom w:val="nil"/>
              <w:right w:val="single" w:sz="4" w:space="0" w:color="auto"/>
            </w:tcBorders>
            <w:shd w:val="clear" w:color="auto" w:fill="auto"/>
            <w:noWrap/>
            <w:hideMark/>
          </w:tcPr>
          <w:p w14:paraId="3E68E58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High</w:t>
            </w:r>
          </w:p>
        </w:tc>
        <w:tc>
          <w:tcPr>
            <w:tcW w:w="936" w:type="dxa"/>
            <w:tcBorders>
              <w:top w:val="single" w:sz="4" w:space="0" w:color="auto"/>
              <w:left w:val="nil"/>
              <w:bottom w:val="nil"/>
              <w:right w:val="single" w:sz="4" w:space="0" w:color="auto"/>
            </w:tcBorders>
          </w:tcPr>
          <w:p w14:paraId="59399BF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Low</w:t>
            </w:r>
          </w:p>
        </w:tc>
      </w:tr>
      <w:tr w:rsidR="00942FBB" w:rsidRPr="005B1792" w14:paraId="4F946F70"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7FF9254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Active husband participation in maternal healthcare/services during pregnancy</w:t>
            </w:r>
          </w:p>
        </w:tc>
        <w:tc>
          <w:tcPr>
            <w:tcW w:w="1134" w:type="dxa"/>
            <w:tcBorders>
              <w:top w:val="single" w:sz="4" w:space="0" w:color="auto"/>
              <w:left w:val="nil"/>
              <w:bottom w:val="nil"/>
              <w:right w:val="single" w:sz="4" w:space="0" w:color="auto"/>
            </w:tcBorders>
            <w:shd w:val="clear" w:color="auto" w:fill="auto"/>
            <w:noWrap/>
            <w:hideMark/>
          </w:tcPr>
          <w:p w14:paraId="14189D2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Yargawa</w:t>
            </w:r>
            <w:proofErr w:type="spellEnd"/>
            <w:r w:rsidRPr="005B1792">
              <w:rPr>
                <w:rFonts w:ascii="Times New Roman" w:eastAsia="Malgun Gothic" w:hAnsi="Times New Roman" w:cs="Times New Roman"/>
                <w:color w:val="000000"/>
                <w:kern w:val="0"/>
                <w:sz w:val="16"/>
                <w:szCs w:val="16"/>
              </w:rPr>
              <w:t xml:space="preserve"> 2015</w:t>
            </w:r>
          </w:p>
        </w:tc>
        <w:tc>
          <w:tcPr>
            <w:tcW w:w="1276" w:type="dxa"/>
            <w:tcBorders>
              <w:top w:val="single" w:sz="4" w:space="0" w:color="auto"/>
              <w:left w:val="nil"/>
              <w:bottom w:val="nil"/>
              <w:right w:val="single" w:sz="4" w:space="0" w:color="auto"/>
            </w:tcBorders>
            <w:shd w:val="clear" w:color="auto" w:fill="auto"/>
            <w:noWrap/>
            <w:hideMark/>
          </w:tcPr>
          <w:p w14:paraId="0F51415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156 / 875</w:t>
            </w:r>
          </w:p>
        </w:tc>
        <w:tc>
          <w:tcPr>
            <w:tcW w:w="829" w:type="dxa"/>
            <w:tcBorders>
              <w:top w:val="single" w:sz="4" w:space="0" w:color="auto"/>
              <w:left w:val="nil"/>
              <w:bottom w:val="nil"/>
              <w:right w:val="single" w:sz="4" w:space="0" w:color="auto"/>
            </w:tcBorders>
            <w:shd w:val="clear" w:color="auto" w:fill="auto"/>
            <w:noWrap/>
            <w:hideMark/>
          </w:tcPr>
          <w:p w14:paraId="3B43DF6D"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p>
        </w:tc>
        <w:tc>
          <w:tcPr>
            <w:tcW w:w="1297" w:type="dxa"/>
            <w:tcBorders>
              <w:top w:val="single" w:sz="4" w:space="0" w:color="auto"/>
              <w:left w:val="nil"/>
              <w:bottom w:val="nil"/>
              <w:right w:val="single" w:sz="4" w:space="0" w:color="auto"/>
            </w:tcBorders>
            <w:shd w:val="clear" w:color="auto" w:fill="auto"/>
            <w:noWrap/>
            <w:hideMark/>
          </w:tcPr>
          <w:p w14:paraId="35DF1D0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cross-sectional</w:t>
            </w:r>
          </w:p>
        </w:tc>
        <w:tc>
          <w:tcPr>
            <w:tcW w:w="705" w:type="dxa"/>
            <w:tcBorders>
              <w:top w:val="single" w:sz="4" w:space="0" w:color="auto"/>
              <w:left w:val="nil"/>
              <w:bottom w:val="nil"/>
              <w:right w:val="single" w:sz="4" w:space="0" w:color="auto"/>
            </w:tcBorders>
            <w:shd w:val="clear" w:color="auto" w:fill="auto"/>
            <w:noWrap/>
            <w:hideMark/>
          </w:tcPr>
          <w:p w14:paraId="4B68A95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09358A1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36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 to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68)</w:t>
            </w:r>
          </w:p>
        </w:tc>
        <w:tc>
          <w:tcPr>
            <w:tcW w:w="992" w:type="dxa"/>
            <w:tcBorders>
              <w:top w:val="single" w:sz="4" w:space="0" w:color="auto"/>
              <w:left w:val="nil"/>
              <w:bottom w:val="nil"/>
              <w:right w:val="single" w:sz="4" w:space="0" w:color="auto"/>
            </w:tcBorders>
            <w:shd w:val="clear" w:color="auto" w:fill="auto"/>
            <w:noWrap/>
            <w:hideMark/>
          </w:tcPr>
          <w:p w14:paraId="65FF1DC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0014</w:t>
            </w:r>
          </w:p>
        </w:tc>
        <w:tc>
          <w:tcPr>
            <w:tcW w:w="572" w:type="dxa"/>
            <w:tcBorders>
              <w:top w:val="single" w:sz="4" w:space="0" w:color="auto"/>
              <w:left w:val="nil"/>
              <w:bottom w:val="nil"/>
              <w:right w:val="single" w:sz="4" w:space="0" w:color="auto"/>
            </w:tcBorders>
            <w:shd w:val="clear" w:color="auto" w:fill="auto"/>
            <w:noWrap/>
            <w:hideMark/>
          </w:tcPr>
          <w:p w14:paraId="0726F09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48%</w:t>
            </w:r>
          </w:p>
        </w:tc>
        <w:tc>
          <w:tcPr>
            <w:tcW w:w="1129" w:type="dxa"/>
            <w:tcBorders>
              <w:top w:val="single" w:sz="4" w:space="0" w:color="auto"/>
              <w:left w:val="nil"/>
              <w:bottom w:val="nil"/>
              <w:right w:val="single" w:sz="4" w:space="0" w:color="auto"/>
            </w:tcBorders>
            <w:shd w:val="clear" w:color="auto" w:fill="auto"/>
            <w:noWrap/>
            <w:hideMark/>
          </w:tcPr>
          <w:p w14:paraId="7BE9277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NA</w:t>
            </w:r>
          </w:p>
        </w:tc>
        <w:tc>
          <w:tcPr>
            <w:tcW w:w="1985" w:type="dxa"/>
            <w:tcBorders>
              <w:top w:val="single" w:sz="4" w:space="0" w:color="auto"/>
              <w:left w:val="nil"/>
              <w:bottom w:val="nil"/>
              <w:right w:val="single" w:sz="4" w:space="0" w:color="auto"/>
            </w:tcBorders>
            <w:shd w:val="clear" w:color="auto" w:fill="auto"/>
            <w:noWrap/>
            <w:hideMark/>
          </w:tcPr>
          <w:p w14:paraId="3A9B490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Loss of significance under 10% credibility ceiling; p curve analysis unavailable due to less than three significant studies</w:t>
            </w:r>
          </w:p>
        </w:tc>
        <w:tc>
          <w:tcPr>
            <w:tcW w:w="1134" w:type="dxa"/>
            <w:tcBorders>
              <w:top w:val="single" w:sz="4" w:space="0" w:color="auto"/>
              <w:left w:val="nil"/>
              <w:bottom w:val="nil"/>
              <w:right w:val="single" w:sz="4" w:space="0" w:color="auto"/>
            </w:tcBorders>
            <w:shd w:val="clear" w:color="auto" w:fill="auto"/>
            <w:noWrap/>
            <w:hideMark/>
          </w:tcPr>
          <w:p w14:paraId="724CB0A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Low</w:t>
            </w:r>
          </w:p>
        </w:tc>
        <w:tc>
          <w:tcPr>
            <w:tcW w:w="936" w:type="dxa"/>
            <w:tcBorders>
              <w:top w:val="single" w:sz="4" w:space="0" w:color="auto"/>
              <w:left w:val="nil"/>
              <w:bottom w:val="nil"/>
              <w:right w:val="single" w:sz="4" w:space="0" w:color="auto"/>
            </w:tcBorders>
          </w:tcPr>
          <w:p w14:paraId="0322228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Low</w:t>
            </w:r>
          </w:p>
        </w:tc>
      </w:tr>
      <w:tr w:rsidR="00942FBB" w:rsidRPr="005B1792" w14:paraId="60FC595F"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0C83EAF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Active husband participation in maternal healthcare/services postpartum</w:t>
            </w:r>
          </w:p>
        </w:tc>
        <w:tc>
          <w:tcPr>
            <w:tcW w:w="1134" w:type="dxa"/>
            <w:tcBorders>
              <w:top w:val="single" w:sz="4" w:space="0" w:color="auto"/>
              <w:left w:val="nil"/>
              <w:bottom w:val="nil"/>
              <w:right w:val="single" w:sz="4" w:space="0" w:color="auto"/>
            </w:tcBorders>
            <w:shd w:val="clear" w:color="auto" w:fill="auto"/>
            <w:noWrap/>
            <w:hideMark/>
          </w:tcPr>
          <w:p w14:paraId="3BD9D6F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Yargawa</w:t>
            </w:r>
            <w:proofErr w:type="spellEnd"/>
            <w:r w:rsidRPr="005B1792">
              <w:rPr>
                <w:rFonts w:ascii="Times New Roman" w:eastAsia="Malgun Gothic" w:hAnsi="Times New Roman" w:cs="Times New Roman"/>
                <w:color w:val="000000"/>
                <w:kern w:val="0"/>
                <w:sz w:val="16"/>
                <w:szCs w:val="16"/>
              </w:rPr>
              <w:t xml:space="preserve"> 2015</w:t>
            </w:r>
          </w:p>
        </w:tc>
        <w:tc>
          <w:tcPr>
            <w:tcW w:w="1276" w:type="dxa"/>
            <w:tcBorders>
              <w:top w:val="single" w:sz="4" w:space="0" w:color="auto"/>
              <w:left w:val="nil"/>
              <w:bottom w:val="nil"/>
              <w:right w:val="single" w:sz="4" w:space="0" w:color="auto"/>
            </w:tcBorders>
            <w:shd w:val="clear" w:color="auto" w:fill="auto"/>
            <w:noWrap/>
            <w:hideMark/>
          </w:tcPr>
          <w:p w14:paraId="2F18249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484 / 2149</w:t>
            </w:r>
          </w:p>
        </w:tc>
        <w:tc>
          <w:tcPr>
            <w:tcW w:w="829" w:type="dxa"/>
            <w:tcBorders>
              <w:top w:val="single" w:sz="4" w:space="0" w:color="auto"/>
              <w:left w:val="nil"/>
              <w:bottom w:val="nil"/>
              <w:right w:val="single" w:sz="4" w:space="0" w:color="auto"/>
            </w:tcBorders>
            <w:shd w:val="clear" w:color="auto" w:fill="auto"/>
            <w:noWrap/>
            <w:hideMark/>
          </w:tcPr>
          <w:p w14:paraId="4C404F1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w:t>
            </w:r>
          </w:p>
        </w:tc>
        <w:tc>
          <w:tcPr>
            <w:tcW w:w="1297" w:type="dxa"/>
            <w:tcBorders>
              <w:top w:val="single" w:sz="4" w:space="0" w:color="auto"/>
              <w:left w:val="nil"/>
              <w:bottom w:val="nil"/>
              <w:right w:val="single" w:sz="4" w:space="0" w:color="auto"/>
            </w:tcBorders>
            <w:shd w:val="clear" w:color="auto" w:fill="auto"/>
            <w:noWrap/>
            <w:hideMark/>
          </w:tcPr>
          <w:p w14:paraId="5A26A22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case-control, cross-sectional</w:t>
            </w:r>
          </w:p>
        </w:tc>
        <w:tc>
          <w:tcPr>
            <w:tcW w:w="705" w:type="dxa"/>
            <w:tcBorders>
              <w:top w:val="single" w:sz="4" w:space="0" w:color="auto"/>
              <w:left w:val="nil"/>
              <w:bottom w:val="nil"/>
              <w:right w:val="single" w:sz="4" w:space="0" w:color="auto"/>
            </w:tcBorders>
            <w:shd w:val="clear" w:color="auto" w:fill="auto"/>
            <w:noWrap/>
            <w:hideMark/>
          </w:tcPr>
          <w:p w14:paraId="1726D37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478B18E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34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19 to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62)</w:t>
            </w:r>
          </w:p>
        </w:tc>
        <w:tc>
          <w:tcPr>
            <w:tcW w:w="992" w:type="dxa"/>
            <w:tcBorders>
              <w:top w:val="single" w:sz="4" w:space="0" w:color="auto"/>
              <w:left w:val="nil"/>
              <w:bottom w:val="nil"/>
              <w:right w:val="single" w:sz="4" w:space="0" w:color="auto"/>
            </w:tcBorders>
            <w:shd w:val="clear" w:color="auto" w:fill="auto"/>
            <w:noWrap/>
            <w:hideMark/>
          </w:tcPr>
          <w:p w14:paraId="3E482BB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00038</w:t>
            </w:r>
          </w:p>
        </w:tc>
        <w:tc>
          <w:tcPr>
            <w:tcW w:w="572" w:type="dxa"/>
            <w:tcBorders>
              <w:top w:val="single" w:sz="4" w:space="0" w:color="auto"/>
              <w:left w:val="nil"/>
              <w:bottom w:val="nil"/>
              <w:right w:val="single" w:sz="4" w:space="0" w:color="auto"/>
            </w:tcBorders>
            <w:shd w:val="clear" w:color="auto" w:fill="auto"/>
            <w:noWrap/>
            <w:hideMark/>
          </w:tcPr>
          <w:p w14:paraId="71C2E43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57%</w:t>
            </w:r>
          </w:p>
        </w:tc>
        <w:tc>
          <w:tcPr>
            <w:tcW w:w="1129" w:type="dxa"/>
            <w:tcBorders>
              <w:top w:val="single" w:sz="4" w:space="0" w:color="auto"/>
              <w:left w:val="nil"/>
              <w:bottom w:val="nil"/>
              <w:right w:val="single" w:sz="4" w:space="0" w:color="auto"/>
            </w:tcBorders>
            <w:shd w:val="clear" w:color="auto" w:fill="auto"/>
            <w:noWrap/>
            <w:hideMark/>
          </w:tcPr>
          <w:p w14:paraId="5CBA547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06 to 2</w:t>
            </w:r>
          </w:p>
        </w:tc>
        <w:tc>
          <w:tcPr>
            <w:tcW w:w="1985" w:type="dxa"/>
            <w:tcBorders>
              <w:top w:val="single" w:sz="4" w:space="0" w:color="auto"/>
              <w:left w:val="nil"/>
              <w:bottom w:val="nil"/>
              <w:right w:val="single" w:sz="4" w:space="0" w:color="auto"/>
            </w:tcBorders>
            <w:shd w:val="clear" w:color="auto" w:fill="auto"/>
            <w:noWrap/>
            <w:hideMark/>
          </w:tcPr>
          <w:p w14:paraId="7348544A"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38D69804"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Low</w:t>
            </w:r>
          </w:p>
        </w:tc>
        <w:tc>
          <w:tcPr>
            <w:tcW w:w="936" w:type="dxa"/>
            <w:tcBorders>
              <w:top w:val="single" w:sz="4" w:space="0" w:color="auto"/>
              <w:left w:val="nil"/>
              <w:bottom w:val="nil"/>
              <w:right w:val="single" w:sz="4" w:space="0" w:color="auto"/>
            </w:tcBorders>
          </w:tcPr>
          <w:p w14:paraId="1B92921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Low</w:t>
            </w:r>
          </w:p>
        </w:tc>
      </w:tr>
      <w:tr w:rsidR="00942FBB" w:rsidRPr="005B1792" w14:paraId="5484E7EF" w14:textId="77777777" w:rsidTr="00081D71">
        <w:trPr>
          <w:trHeight w:val="275"/>
        </w:trPr>
        <w:tc>
          <w:tcPr>
            <w:tcW w:w="15390" w:type="dxa"/>
            <w:gridSpan w:val="13"/>
            <w:tcBorders>
              <w:top w:val="single" w:sz="4" w:space="0" w:color="auto"/>
              <w:left w:val="single" w:sz="4" w:space="0" w:color="auto"/>
              <w:bottom w:val="single" w:sz="4" w:space="0" w:color="auto"/>
              <w:right w:val="single" w:sz="4" w:space="0" w:color="000000"/>
            </w:tcBorders>
            <w:shd w:val="clear" w:color="auto" w:fill="auto"/>
            <w:hideMark/>
          </w:tcPr>
          <w:p w14:paraId="4BFD6E7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5B1792">
              <w:rPr>
                <w:rFonts w:ascii="Times New Roman" w:eastAsia="Malgun Gothic" w:hAnsi="Times New Roman" w:cs="Times New Roman"/>
                <w:b/>
                <w:bCs/>
                <w:color w:val="000000"/>
                <w:kern w:val="0"/>
                <w:sz w:val="16"/>
                <w:szCs w:val="16"/>
              </w:rPr>
              <w:t>Not significant (NS)</w:t>
            </w:r>
          </w:p>
        </w:tc>
      </w:tr>
      <w:tr w:rsidR="00942FBB" w:rsidRPr="005B1792" w14:paraId="58984D34" w14:textId="77777777" w:rsidTr="00081D71">
        <w:trPr>
          <w:trHeight w:val="275"/>
        </w:trPr>
        <w:tc>
          <w:tcPr>
            <w:tcW w:w="1838" w:type="dxa"/>
            <w:tcBorders>
              <w:top w:val="nil"/>
              <w:left w:val="single" w:sz="4" w:space="0" w:color="auto"/>
              <w:bottom w:val="nil"/>
              <w:right w:val="single" w:sz="4" w:space="0" w:color="auto"/>
            </w:tcBorders>
            <w:shd w:val="clear" w:color="auto" w:fill="auto"/>
            <w:noWrap/>
            <w:hideMark/>
          </w:tcPr>
          <w:p w14:paraId="09C2A7F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Family history of mental illness</w:t>
            </w:r>
          </w:p>
        </w:tc>
        <w:tc>
          <w:tcPr>
            <w:tcW w:w="1134" w:type="dxa"/>
            <w:tcBorders>
              <w:top w:val="nil"/>
              <w:left w:val="nil"/>
              <w:bottom w:val="nil"/>
              <w:right w:val="single" w:sz="4" w:space="0" w:color="auto"/>
            </w:tcBorders>
            <w:shd w:val="clear" w:color="auto" w:fill="auto"/>
            <w:noWrap/>
            <w:hideMark/>
          </w:tcPr>
          <w:p w14:paraId="0BB1CCE1"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Necho</w:t>
            </w:r>
            <w:proofErr w:type="spellEnd"/>
            <w:r w:rsidRPr="005B1792">
              <w:rPr>
                <w:rFonts w:ascii="Times New Roman" w:eastAsia="Malgun Gothic" w:hAnsi="Times New Roman" w:cs="Times New Roman"/>
                <w:color w:val="000000"/>
                <w:kern w:val="0"/>
                <w:sz w:val="16"/>
                <w:szCs w:val="16"/>
              </w:rPr>
              <w:t xml:space="preserve"> 2020</w:t>
            </w:r>
          </w:p>
        </w:tc>
        <w:tc>
          <w:tcPr>
            <w:tcW w:w="1276" w:type="dxa"/>
            <w:tcBorders>
              <w:top w:val="nil"/>
              <w:left w:val="nil"/>
              <w:bottom w:val="nil"/>
              <w:right w:val="single" w:sz="4" w:space="0" w:color="auto"/>
            </w:tcBorders>
            <w:shd w:val="clear" w:color="auto" w:fill="auto"/>
            <w:noWrap/>
            <w:hideMark/>
          </w:tcPr>
          <w:p w14:paraId="3F0D7EA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299 / 1198</w:t>
            </w:r>
          </w:p>
        </w:tc>
        <w:tc>
          <w:tcPr>
            <w:tcW w:w="829" w:type="dxa"/>
            <w:tcBorders>
              <w:top w:val="nil"/>
              <w:left w:val="nil"/>
              <w:bottom w:val="nil"/>
              <w:right w:val="single" w:sz="4" w:space="0" w:color="auto"/>
            </w:tcBorders>
            <w:shd w:val="clear" w:color="auto" w:fill="auto"/>
            <w:noWrap/>
            <w:hideMark/>
          </w:tcPr>
          <w:p w14:paraId="03C1696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2</w:t>
            </w:r>
          </w:p>
        </w:tc>
        <w:tc>
          <w:tcPr>
            <w:tcW w:w="1297" w:type="dxa"/>
            <w:tcBorders>
              <w:top w:val="nil"/>
              <w:left w:val="nil"/>
              <w:bottom w:val="nil"/>
              <w:right w:val="single" w:sz="4" w:space="0" w:color="auto"/>
            </w:tcBorders>
            <w:shd w:val="clear" w:color="auto" w:fill="auto"/>
            <w:noWrap/>
            <w:hideMark/>
          </w:tcPr>
          <w:p w14:paraId="2DF52A8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Cross-sectional</w:t>
            </w:r>
          </w:p>
        </w:tc>
        <w:tc>
          <w:tcPr>
            <w:tcW w:w="705" w:type="dxa"/>
            <w:tcBorders>
              <w:top w:val="nil"/>
              <w:left w:val="nil"/>
              <w:bottom w:val="nil"/>
              <w:right w:val="single" w:sz="4" w:space="0" w:color="auto"/>
            </w:tcBorders>
            <w:shd w:val="clear" w:color="auto" w:fill="auto"/>
            <w:noWrap/>
            <w:hideMark/>
          </w:tcPr>
          <w:p w14:paraId="316D208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nil"/>
              <w:left w:val="nil"/>
              <w:bottom w:val="nil"/>
              <w:right w:val="single" w:sz="4" w:space="0" w:color="auto"/>
            </w:tcBorders>
            <w:shd w:val="clear" w:color="auto" w:fill="auto"/>
            <w:noWrap/>
            <w:hideMark/>
          </w:tcPr>
          <w:p w14:paraId="4286EB8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93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66 to 5</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62)</w:t>
            </w:r>
          </w:p>
        </w:tc>
        <w:tc>
          <w:tcPr>
            <w:tcW w:w="992" w:type="dxa"/>
            <w:tcBorders>
              <w:top w:val="nil"/>
              <w:left w:val="nil"/>
              <w:bottom w:val="nil"/>
              <w:right w:val="single" w:sz="4" w:space="0" w:color="auto"/>
            </w:tcBorders>
            <w:shd w:val="clear" w:color="auto" w:fill="auto"/>
            <w:noWrap/>
            <w:hideMark/>
          </w:tcPr>
          <w:p w14:paraId="4D06BB96"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23</w:t>
            </w:r>
          </w:p>
        </w:tc>
        <w:tc>
          <w:tcPr>
            <w:tcW w:w="572" w:type="dxa"/>
            <w:tcBorders>
              <w:top w:val="nil"/>
              <w:left w:val="nil"/>
              <w:bottom w:val="nil"/>
              <w:right w:val="single" w:sz="4" w:space="0" w:color="auto"/>
            </w:tcBorders>
            <w:shd w:val="clear" w:color="auto" w:fill="auto"/>
            <w:noWrap/>
            <w:hideMark/>
          </w:tcPr>
          <w:p w14:paraId="16575B03"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75%</w:t>
            </w:r>
          </w:p>
        </w:tc>
        <w:tc>
          <w:tcPr>
            <w:tcW w:w="1129" w:type="dxa"/>
            <w:tcBorders>
              <w:top w:val="nil"/>
              <w:left w:val="nil"/>
              <w:bottom w:val="nil"/>
              <w:right w:val="single" w:sz="4" w:space="0" w:color="auto"/>
            </w:tcBorders>
            <w:shd w:val="clear" w:color="auto" w:fill="auto"/>
            <w:noWrap/>
            <w:hideMark/>
          </w:tcPr>
          <w:p w14:paraId="304B3CA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NA</w:t>
            </w:r>
          </w:p>
        </w:tc>
        <w:tc>
          <w:tcPr>
            <w:tcW w:w="1985" w:type="dxa"/>
            <w:tcBorders>
              <w:top w:val="nil"/>
              <w:left w:val="nil"/>
              <w:bottom w:val="nil"/>
              <w:right w:val="single" w:sz="4" w:space="0" w:color="auto"/>
            </w:tcBorders>
            <w:shd w:val="clear" w:color="auto" w:fill="auto"/>
            <w:noWrap/>
            <w:hideMark/>
          </w:tcPr>
          <w:p w14:paraId="5163E11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nil"/>
              <w:left w:val="nil"/>
              <w:bottom w:val="nil"/>
              <w:right w:val="single" w:sz="4" w:space="0" w:color="auto"/>
            </w:tcBorders>
            <w:shd w:val="clear" w:color="auto" w:fill="auto"/>
            <w:noWrap/>
            <w:hideMark/>
          </w:tcPr>
          <w:p w14:paraId="7FBDF45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nil"/>
              <w:left w:val="nil"/>
              <w:bottom w:val="nil"/>
              <w:right w:val="single" w:sz="4" w:space="0" w:color="auto"/>
            </w:tcBorders>
          </w:tcPr>
          <w:p w14:paraId="355352B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5B1792" w14:paraId="622248EB" w14:textId="77777777" w:rsidTr="00081D71">
        <w:trPr>
          <w:trHeight w:val="275"/>
        </w:trPr>
        <w:tc>
          <w:tcPr>
            <w:tcW w:w="1838" w:type="dxa"/>
            <w:tcBorders>
              <w:top w:val="single" w:sz="4" w:space="0" w:color="auto"/>
              <w:left w:val="single" w:sz="4" w:space="0" w:color="auto"/>
              <w:bottom w:val="nil"/>
              <w:right w:val="single" w:sz="4" w:space="0" w:color="auto"/>
            </w:tcBorders>
            <w:shd w:val="clear" w:color="auto" w:fill="auto"/>
            <w:noWrap/>
            <w:hideMark/>
          </w:tcPr>
          <w:p w14:paraId="65D6BC3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Labor epidural analgesia</w:t>
            </w:r>
          </w:p>
        </w:tc>
        <w:tc>
          <w:tcPr>
            <w:tcW w:w="1134" w:type="dxa"/>
            <w:tcBorders>
              <w:top w:val="single" w:sz="4" w:space="0" w:color="auto"/>
              <w:left w:val="nil"/>
              <w:bottom w:val="nil"/>
              <w:right w:val="single" w:sz="4" w:space="0" w:color="auto"/>
            </w:tcBorders>
            <w:shd w:val="clear" w:color="auto" w:fill="auto"/>
            <w:noWrap/>
            <w:hideMark/>
          </w:tcPr>
          <w:p w14:paraId="79FFCBF7"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5B1792">
              <w:rPr>
                <w:rFonts w:ascii="Times New Roman" w:eastAsia="Malgun Gothic" w:hAnsi="Times New Roman" w:cs="Times New Roman"/>
                <w:color w:val="000000"/>
                <w:kern w:val="0"/>
                <w:sz w:val="16"/>
                <w:szCs w:val="16"/>
              </w:rPr>
              <w:t>Kountanis</w:t>
            </w:r>
            <w:proofErr w:type="spellEnd"/>
            <w:r w:rsidRPr="005B1792">
              <w:rPr>
                <w:rFonts w:ascii="Times New Roman" w:eastAsia="Malgun Gothic" w:hAnsi="Times New Roman" w:cs="Times New Roman"/>
                <w:color w:val="000000"/>
                <w:kern w:val="0"/>
                <w:sz w:val="16"/>
                <w:szCs w:val="16"/>
              </w:rPr>
              <w:t xml:space="preserve"> 2020</w:t>
            </w:r>
          </w:p>
        </w:tc>
        <w:tc>
          <w:tcPr>
            <w:tcW w:w="1276" w:type="dxa"/>
            <w:tcBorders>
              <w:top w:val="single" w:sz="4" w:space="0" w:color="auto"/>
              <w:left w:val="nil"/>
              <w:bottom w:val="nil"/>
              <w:right w:val="single" w:sz="4" w:space="0" w:color="auto"/>
            </w:tcBorders>
            <w:shd w:val="clear" w:color="auto" w:fill="auto"/>
            <w:noWrap/>
            <w:hideMark/>
          </w:tcPr>
          <w:p w14:paraId="6540CD32"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609 / 5322</w:t>
            </w:r>
          </w:p>
        </w:tc>
        <w:tc>
          <w:tcPr>
            <w:tcW w:w="829" w:type="dxa"/>
            <w:tcBorders>
              <w:top w:val="single" w:sz="4" w:space="0" w:color="auto"/>
              <w:left w:val="nil"/>
              <w:bottom w:val="nil"/>
              <w:right w:val="single" w:sz="4" w:space="0" w:color="auto"/>
            </w:tcBorders>
            <w:shd w:val="clear" w:color="auto" w:fill="auto"/>
            <w:noWrap/>
            <w:hideMark/>
          </w:tcPr>
          <w:p w14:paraId="020CEAC8"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10</w:t>
            </w:r>
          </w:p>
        </w:tc>
        <w:tc>
          <w:tcPr>
            <w:tcW w:w="1297" w:type="dxa"/>
            <w:tcBorders>
              <w:top w:val="single" w:sz="4" w:space="0" w:color="auto"/>
              <w:left w:val="nil"/>
              <w:bottom w:val="nil"/>
              <w:right w:val="single" w:sz="4" w:space="0" w:color="auto"/>
            </w:tcBorders>
            <w:shd w:val="clear" w:color="auto" w:fill="auto"/>
            <w:noWrap/>
            <w:hideMark/>
          </w:tcPr>
          <w:p w14:paraId="4497B88C"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Cohort, case-control</w:t>
            </w:r>
          </w:p>
        </w:tc>
        <w:tc>
          <w:tcPr>
            <w:tcW w:w="705" w:type="dxa"/>
            <w:tcBorders>
              <w:top w:val="single" w:sz="4" w:space="0" w:color="auto"/>
              <w:left w:val="nil"/>
              <w:bottom w:val="nil"/>
              <w:right w:val="single" w:sz="4" w:space="0" w:color="auto"/>
            </w:tcBorders>
            <w:shd w:val="clear" w:color="auto" w:fill="auto"/>
            <w:noWrap/>
            <w:hideMark/>
          </w:tcPr>
          <w:p w14:paraId="0B8FAE0E"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OR</w:t>
            </w:r>
          </w:p>
        </w:tc>
        <w:tc>
          <w:tcPr>
            <w:tcW w:w="1563" w:type="dxa"/>
            <w:tcBorders>
              <w:top w:val="single" w:sz="4" w:space="0" w:color="auto"/>
              <w:left w:val="nil"/>
              <w:bottom w:val="nil"/>
              <w:right w:val="single" w:sz="4" w:space="0" w:color="auto"/>
            </w:tcBorders>
            <w:shd w:val="clear" w:color="auto" w:fill="auto"/>
            <w:noWrap/>
            <w:hideMark/>
          </w:tcPr>
          <w:p w14:paraId="2214F56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03 (0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71 to 1</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52)</w:t>
            </w:r>
          </w:p>
        </w:tc>
        <w:tc>
          <w:tcPr>
            <w:tcW w:w="992" w:type="dxa"/>
            <w:tcBorders>
              <w:top w:val="single" w:sz="4" w:space="0" w:color="auto"/>
              <w:left w:val="nil"/>
              <w:bottom w:val="nil"/>
              <w:right w:val="single" w:sz="4" w:space="0" w:color="auto"/>
            </w:tcBorders>
            <w:shd w:val="clear" w:color="auto" w:fill="auto"/>
            <w:noWrap/>
            <w:hideMark/>
          </w:tcPr>
          <w:p w14:paraId="191636C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86</w:t>
            </w:r>
          </w:p>
        </w:tc>
        <w:tc>
          <w:tcPr>
            <w:tcW w:w="572" w:type="dxa"/>
            <w:tcBorders>
              <w:top w:val="single" w:sz="4" w:space="0" w:color="auto"/>
              <w:left w:val="nil"/>
              <w:bottom w:val="nil"/>
              <w:right w:val="single" w:sz="4" w:space="0" w:color="auto"/>
            </w:tcBorders>
            <w:shd w:val="clear" w:color="auto" w:fill="auto"/>
            <w:noWrap/>
            <w:hideMark/>
          </w:tcPr>
          <w:p w14:paraId="043F132F"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79%</w:t>
            </w:r>
          </w:p>
        </w:tc>
        <w:tc>
          <w:tcPr>
            <w:tcW w:w="1129" w:type="dxa"/>
            <w:tcBorders>
              <w:top w:val="single" w:sz="4" w:space="0" w:color="auto"/>
              <w:left w:val="nil"/>
              <w:bottom w:val="nil"/>
              <w:right w:val="single" w:sz="4" w:space="0" w:color="auto"/>
            </w:tcBorders>
            <w:shd w:val="clear" w:color="auto" w:fill="auto"/>
            <w:noWrap/>
            <w:hideMark/>
          </w:tcPr>
          <w:p w14:paraId="02CFA4BB"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0</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3 to 3</w:t>
            </w:r>
            <w:r w:rsidRPr="005B1792">
              <w:rPr>
                <w:rFonts w:ascii="Times New Roman" w:eastAsia="Malgun Gothic" w:hAnsi="Times New Roman" w:cs="Times New Roman"/>
                <w:b/>
                <w:bCs/>
                <w:color w:val="000000"/>
                <w:kern w:val="0"/>
                <w:sz w:val="16"/>
                <w:szCs w:val="16"/>
              </w:rPr>
              <w:t>.</w:t>
            </w:r>
            <w:r w:rsidRPr="005B1792">
              <w:rPr>
                <w:rFonts w:ascii="Times New Roman" w:eastAsia="Malgun Gothic" w:hAnsi="Times New Roman" w:cs="Times New Roman"/>
                <w:color w:val="000000"/>
                <w:kern w:val="0"/>
                <w:sz w:val="16"/>
                <w:szCs w:val="16"/>
              </w:rPr>
              <w:t>55</w:t>
            </w:r>
          </w:p>
        </w:tc>
        <w:tc>
          <w:tcPr>
            <w:tcW w:w="1985" w:type="dxa"/>
            <w:tcBorders>
              <w:top w:val="single" w:sz="4" w:space="0" w:color="auto"/>
              <w:left w:val="nil"/>
              <w:bottom w:val="nil"/>
              <w:right w:val="single" w:sz="4" w:space="0" w:color="auto"/>
            </w:tcBorders>
            <w:shd w:val="clear" w:color="auto" w:fill="auto"/>
            <w:noWrap/>
            <w:hideMark/>
          </w:tcPr>
          <w:p w14:paraId="72EF4550"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Large heterogeneity</w:t>
            </w:r>
          </w:p>
        </w:tc>
        <w:tc>
          <w:tcPr>
            <w:tcW w:w="1134" w:type="dxa"/>
            <w:tcBorders>
              <w:top w:val="single" w:sz="4" w:space="0" w:color="auto"/>
              <w:left w:val="nil"/>
              <w:bottom w:val="nil"/>
              <w:right w:val="single" w:sz="4" w:space="0" w:color="auto"/>
            </w:tcBorders>
            <w:shd w:val="clear" w:color="auto" w:fill="auto"/>
            <w:noWrap/>
            <w:hideMark/>
          </w:tcPr>
          <w:p w14:paraId="604314C9"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Critically low</w:t>
            </w:r>
          </w:p>
        </w:tc>
        <w:tc>
          <w:tcPr>
            <w:tcW w:w="936" w:type="dxa"/>
            <w:tcBorders>
              <w:top w:val="single" w:sz="4" w:space="0" w:color="auto"/>
              <w:left w:val="nil"/>
              <w:bottom w:val="nil"/>
              <w:right w:val="single" w:sz="4" w:space="0" w:color="auto"/>
            </w:tcBorders>
          </w:tcPr>
          <w:p w14:paraId="08814435" w14:textId="77777777" w:rsidR="00942FBB" w:rsidRPr="005B1792"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hint="eastAsia"/>
                <w:color w:val="000000"/>
                <w:kern w:val="0"/>
                <w:sz w:val="16"/>
                <w:szCs w:val="16"/>
              </w:rPr>
              <w:t>Very low</w:t>
            </w:r>
          </w:p>
        </w:tc>
      </w:tr>
      <w:tr w:rsidR="00942FBB" w:rsidRPr="00BE6E53" w14:paraId="34C9FFC5" w14:textId="77777777" w:rsidTr="00081D71">
        <w:trPr>
          <w:trHeight w:val="488"/>
        </w:trPr>
        <w:tc>
          <w:tcPr>
            <w:tcW w:w="15390" w:type="dxa"/>
            <w:gridSpan w:val="13"/>
            <w:tcBorders>
              <w:top w:val="single" w:sz="4" w:space="0" w:color="auto"/>
              <w:left w:val="single" w:sz="4" w:space="0" w:color="auto"/>
              <w:bottom w:val="single" w:sz="4" w:space="0" w:color="auto"/>
              <w:right w:val="single" w:sz="4" w:space="0" w:color="000000"/>
            </w:tcBorders>
            <w:shd w:val="clear" w:color="auto" w:fill="auto"/>
            <w:hideMark/>
          </w:tcPr>
          <w:p w14:paraId="58544AE4" w14:textId="77777777" w:rsidR="00942FBB" w:rsidRPr="00BE6E53" w:rsidRDefault="00942FBB" w:rsidP="00903ADE">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5B1792">
              <w:rPr>
                <w:rFonts w:ascii="Times New Roman" w:eastAsia="Malgun Gothic" w:hAnsi="Times New Roman" w:cs="Times New Roman"/>
                <w:color w:val="000000"/>
                <w:kern w:val="0"/>
                <w:sz w:val="16"/>
                <w:szCs w:val="16"/>
              </w:rPr>
              <w:t>All statistical tests are two-sided.</w:t>
            </w:r>
            <w:r w:rsidRPr="005B1792">
              <w:rPr>
                <w:rFonts w:ascii="Times New Roman" w:eastAsia="Malgun Gothic" w:hAnsi="Times New Roman" w:cs="Times New Roman"/>
                <w:color w:val="000000"/>
                <w:kern w:val="0"/>
                <w:sz w:val="16"/>
                <w:szCs w:val="16"/>
              </w:rPr>
              <w:br/>
              <w:t xml:space="preserve">Abbreviations: AMSTAR 2, A Measurement Tool to Assess Systematic Reviews 2; CI, confidence interval; GRADE, Grading of Recommendations, Assessment, Development and Evaluations; HIV, human immunodeficiency virus; NA, not available; </w:t>
            </w:r>
            <w:proofErr w:type="gramStart"/>
            <w:r w:rsidRPr="005B1792">
              <w:rPr>
                <w:rFonts w:ascii="Times New Roman" w:eastAsia="Malgun Gothic" w:hAnsi="Times New Roman" w:cs="Times New Roman"/>
                <w:color w:val="000000"/>
                <w:kern w:val="0"/>
                <w:sz w:val="16"/>
                <w:szCs w:val="16"/>
              </w:rPr>
              <w:t>OR,</w:t>
            </w:r>
            <w:proofErr w:type="gramEnd"/>
            <w:r w:rsidRPr="005B1792">
              <w:rPr>
                <w:rFonts w:ascii="Times New Roman" w:eastAsia="Malgun Gothic" w:hAnsi="Times New Roman" w:cs="Times New Roman"/>
                <w:color w:val="000000"/>
                <w:kern w:val="0"/>
                <w:sz w:val="16"/>
                <w:szCs w:val="16"/>
              </w:rPr>
              <w:t xml:space="preserve"> odds ratio; RR, relative risk</w:t>
            </w:r>
          </w:p>
        </w:tc>
      </w:tr>
    </w:tbl>
    <w:p w14:paraId="53A67274" w14:textId="1A22C660" w:rsidR="0087658C" w:rsidRDefault="0087658C" w:rsidP="00942FBB"/>
    <w:p w14:paraId="432100D4" w14:textId="6429A872" w:rsidR="00394B52" w:rsidRDefault="00394B52" w:rsidP="00942FBB"/>
    <w:p w14:paraId="2D2FF8AE" w14:textId="2463E7D4" w:rsidR="00394B52" w:rsidRDefault="00394B52" w:rsidP="00942FBB"/>
    <w:p w14:paraId="27C187D5" w14:textId="4684CBB9" w:rsidR="00394B52" w:rsidRDefault="00394B52" w:rsidP="00942FBB"/>
    <w:p w14:paraId="5493A424" w14:textId="77777777" w:rsidR="00394B52" w:rsidRPr="00394B52" w:rsidRDefault="00394B52" w:rsidP="00394B52">
      <w:pPr>
        <w:spacing w:line="312" w:lineRule="auto"/>
        <w:jc w:val="center"/>
        <w:rPr>
          <w:rFonts w:ascii="Times" w:hAnsi="Times" w:cs="Times"/>
          <w:b/>
          <w:bCs/>
          <w:sz w:val="28"/>
          <w:szCs w:val="28"/>
        </w:rPr>
      </w:pPr>
      <w:r w:rsidRPr="00394B52">
        <w:rPr>
          <w:rFonts w:ascii="Times" w:hAnsi="Times" w:cs="Times"/>
          <w:b/>
          <w:bCs/>
          <w:sz w:val="28"/>
          <w:szCs w:val="28"/>
        </w:rPr>
        <w:t>Supplementary material</w:t>
      </w:r>
    </w:p>
    <w:p w14:paraId="3F0CDB9C" w14:textId="77777777" w:rsidR="00394B52" w:rsidRPr="00394B52" w:rsidRDefault="00394B52" w:rsidP="00394B52">
      <w:pPr>
        <w:spacing w:line="312" w:lineRule="auto"/>
        <w:jc w:val="center"/>
        <w:rPr>
          <w:rFonts w:ascii="Times" w:hAnsi="Times" w:cs="Times"/>
          <w:sz w:val="28"/>
          <w:szCs w:val="28"/>
        </w:rPr>
      </w:pPr>
      <w:r w:rsidRPr="00394B52">
        <w:rPr>
          <w:rFonts w:ascii="Times" w:hAnsi="Times" w:cs="Times"/>
          <w:sz w:val="28"/>
          <w:szCs w:val="28"/>
        </w:rPr>
        <w:t>Environmental risk factors, protective factors, and biomarkers for postpartum depressive symptoms: an umbrella review</w:t>
      </w:r>
    </w:p>
    <w:p w14:paraId="6B51C40A" w14:textId="77777777" w:rsidR="00394B52" w:rsidRPr="00394B52" w:rsidRDefault="00394B52" w:rsidP="00394B52">
      <w:pPr>
        <w:spacing w:line="276" w:lineRule="auto"/>
        <w:jc w:val="center"/>
        <w:rPr>
          <w:rFonts w:ascii="Times" w:hAnsi="Times" w:cs="Times"/>
          <w:vertAlign w:val="superscript"/>
        </w:rPr>
      </w:pPr>
      <w:r w:rsidRPr="00394B52">
        <w:rPr>
          <w:rFonts w:ascii="Times" w:hAnsi="Times" w:cs="Times"/>
        </w:rPr>
        <w:t>Jae Han Kim</w:t>
      </w:r>
      <w:r w:rsidRPr="00394B52">
        <w:rPr>
          <w:rFonts w:ascii="Times" w:hAnsi="Times" w:cs="Times"/>
          <w:vertAlign w:val="superscript"/>
        </w:rPr>
        <w:t>1†</w:t>
      </w:r>
      <w:r w:rsidRPr="00394B52">
        <w:rPr>
          <w:rFonts w:ascii="Times" w:hAnsi="Times" w:cs="Times"/>
        </w:rPr>
        <w:t xml:space="preserve">, Jong </w:t>
      </w:r>
      <w:proofErr w:type="spellStart"/>
      <w:r w:rsidRPr="00394B52">
        <w:rPr>
          <w:rFonts w:ascii="Times" w:hAnsi="Times" w:cs="Times"/>
        </w:rPr>
        <w:t>Yeob</w:t>
      </w:r>
      <w:proofErr w:type="spellEnd"/>
      <w:r w:rsidRPr="00394B52">
        <w:rPr>
          <w:rFonts w:ascii="Times" w:hAnsi="Times" w:cs="Times"/>
        </w:rPr>
        <w:t xml:space="preserve"> Kim</w:t>
      </w:r>
      <w:r w:rsidRPr="00394B52">
        <w:rPr>
          <w:rFonts w:ascii="Times" w:hAnsi="Times" w:cs="Times"/>
          <w:vertAlign w:val="superscript"/>
        </w:rPr>
        <w:t>1†</w:t>
      </w:r>
      <w:r w:rsidRPr="00394B52">
        <w:rPr>
          <w:rFonts w:ascii="Times" w:hAnsi="Times" w:cs="Times"/>
        </w:rPr>
        <w:t xml:space="preserve">, </w:t>
      </w:r>
      <w:proofErr w:type="spellStart"/>
      <w:r w:rsidRPr="00394B52">
        <w:rPr>
          <w:rFonts w:ascii="Times" w:hAnsi="Times" w:cs="Times"/>
        </w:rPr>
        <w:t>Seul</w:t>
      </w:r>
      <w:proofErr w:type="spellEnd"/>
      <w:r w:rsidRPr="00394B52">
        <w:rPr>
          <w:rFonts w:ascii="Times" w:hAnsi="Times" w:cs="Times"/>
        </w:rPr>
        <w:t xml:space="preserve"> Lee</w:t>
      </w:r>
      <w:r w:rsidRPr="00394B52">
        <w:rPr>
          <w:rFonts w:ascii="Times" w:hAnsi="Times" w:cs="Times"/>
          <w:vertAlign w:val="superscript"/>
        </w:rPr>
        <w:t>1†</w:t>
      </w:r>
      <w:r w:rsidRPr="00394B52">
        <w:rPr>
          <w:rFonts w:ascii="Times" w:hAnsi="Times" w:cs="Times"/>
        </w:rPr>
        <w:t>, San Lee</w:t>
      </w:r>
      <w:r w:rsidRPr="00394B52">
        <w:rPr>
          <w:rFonts w:ascii="Times" w:hAnsi="Times" w:cs="Times"/>
          <w:vertAlign w:val="superscript"/>
        </w:rPr>
        <w:t>2</w:t>
      </w:r>
      <w:r w:rsidRPr="00394B52">
        <w:rPr>
          <w:rFonts w:ascii="Times" w:hAnsi="Times" w:cs="Times"/>
        </w:rPr>
        <w:t>, Brendon Stubbs</w:t>
      </w:r>
      <w:r w:rsidRPr="00394B52">
        <w:rPr>
          <w:rFonts w:ascii="Times" w:hAnsi="Times" w:cs="Times"/>
          <w:vertAlign w:val="superscript"/>
        </w:rPr>
        <w:t>3,4,5</w:t>
      </w:r>
      <w:r w:rsidRPr="00394B52">
        <w:rPr>
          <w:rFonts w:ascii="Times" w:hAnsi="Times" w:cs="Times" w:hint="eastAsia"/>
        </w:rPr>
        <w:t>,</w:t>
      </w:r>
      <w:r w:rsidRPr="00394B52">
        <w:rPr>
          <w:rFonts w:ascii="Times" w:hAnsi="Times" w:cs="Times"/>
        </w:rPr>
        <w:t xml:space="preserve"> Ai Koyanagi</w:t>
      </w:r>
      <w:r w:rsidRPr="00394B52">
        <w:rPr>
          <w:rFonts w:ascii="Times" w:hAnsi="Times" w:cs="Times"/>
          <w:vertAlign w:val="superscript"/>
        </w:rPr>
        <w:t>6,7</w:t>
      </w:r>
      <w:r w:rsidRPr="00394B52">
        <w:rPr>
          <w:rFonts w:ascii="Times" w:hAnsi="Times" w:cs="Times"/>
        </w:rPr>
        <w:t>, Elena Dragioti</w:t>
      </w:r>
      <w:r w:rsidRPr="00394B52">
        <w:rPr>
          <w:rFonts w:ascii="Times" w:hAnsi="Times" w:cs="Times"/>
          <w:vertAlign w:val="superscript"/>
        </w:rPr>
        <w:t>8</w:t>
      </w:r>
      <w:r w:rsidRPr="00394B52">
        <w:rPr>
          <w:rFonts w:ascii="Times" w:hAnsi="Times" w:cs="Times"/>
        </w:rPr>
        <w:t>, Louis Jacob</w:t>
      </w:r>
      <w:r w:rsidRPr="00394B52">
        <w:rPr>
          <w:rFonts w:ascii="Times" w:hAnsi="Times" w:cs="Times"/>
          <w:vertAlign w:val="superscript"/>
        </w:rPr>
        <w:t>9,10</w:t>
      </w:r>
      <w:r w:rsidRPr="00394B52">
        <w:rPr>
          <w:rFonts w:ascii="Times" w:hAnsi="Times" w:cs="Times"/>
        </w:rPr>
        <w:t xml:space="preserve">, </w:t>
      </w:r>
      <w:r w:rsidRPr="00394B52">
        <w:rPr>
          <w:rFonts w:ascii="Times" w:hAnsi="Times" w:cs="Times"/>
        </w:rPr>
        <w:lastRenderedPageBreak/>
        <w:t>Andre F. Carvalho</w:t>
      </w:r>
      <w:r w:rsidRPr="00394B52">
        <w:rPr>
          <w:rFonts w:ascii="Times" w:hAnsi="Times" w:cs="Times"/>
          <w:vertAlign w:val="superscript"/>
        </w:rPr>
        <w:t>11,12</w:t>
      </w:r>
      <w:r w:rsidRPr="00394B52">
        <w:rPr>
          <w:rFonts w:ascii="Times" w:hAnsi="Times" w:cs="Times"/>
        </w:rPr>
        <w:t>, Joaquim Radua</w:t>
      </w:r>
      <w:r w:rsidRPr="00394B52">
        <w:rPr>
          <w:rFonts w:ascii="Times" w:hAnsi="Times" w:cs="Times"/>
          <w:vertAlign w:val="superscript"/>
        </w:rPr>
        <w:t>13,14,15,16</w:t>
      </w:r>
      <w:r w:rsidRPr="00394B52">
        <w:rPr>
          <w:rFonts w:ascii="Times" w:hAnsi="Times" w:cs="Times"/>
        </w:rPr>
        <w:t>, Trevor Thompson</w:t>
      </w:r>
      <w:r w:rsidRPr="00394B52">
        <w:rPr>
          <w:rFonts w:ascii="Times" w:hAnsi="Times" w:cs="Times"/>
          <w:vertAlign w:val="superscript"/>
        </w:rPr>
        <w:t>17</w:t>
      </w:r>
      <w:r w:rsidRPr="00394B52">
        <w:rPr>
          <w:rFonts w:ascii="Times" w:hAnsi="Times" w:cs="Times"/>
        </w:rPr>
        <w:t>, Lee Smith</w:t>
      </w:r>
      <w:r w:rsidRPr="00394B52">
        <w:rPr>
          <w:rFonts w:ascii="Times" w:hAnsi="Times" w:cs="Times"/>
          <w:vertAlign w:val="superscript"/>
        </w:rPr>
        <w:t>18</w:t>
      </w:r>
      <w:r w:rsidRPr="00394B52">
        <w:rPr>
          <w:rFonts w:ascii="Times" w:hAnsi="Times" w:cs="Times"/>
        </w:rPr>
        <w:t>, Hans Oh</w:t>
      </w:r>
      <w:r w:rsidRPr="00394B52">
        <w:rPr>
          <w:rFonts w:ascii="Times" w:hAnsi="Times" w:cs="Times"/>
          <w:vertAlign w:val="superscript"/>
        </w:rPr>
        <w:t>19</w:t>
      </w:r>
      <w:r w:rsidRPr="00394B52">
        <w:rPr>
          <w:rFonts w:ascii="Times" w:hAnsi="Times" w:cs="Times"/>
        </w:rPr>
        <w:t>, Lin Yang</w:t>
      </w:r>
      <w:r w:rsidRPr="00394B52">
        <w:rPr>
          <w:rFonts w:ascii="Times" w:hAnsi="Times" w:cs="Times"/>
          <w:vertAlign w:val="superscript"/>
        </w:rPr>
        <w:t>20,21</w:t>
      </w:r>
      <w:r w:rsidRPr="00394B52">
        <w:rPr>
          <w:rFonts w:ascii="Times" w:hAnsi="Times" w:cs="Times"/>
        </w:rPr>
        <w:t>, Michele Fornaro</w:t>
      </w:r>
      <w:r w:rsidRPr="00394B52">
        <w:rPr>
          <w:rFonts w:ascii="Times" w:hAnsi="Times" w:cs="Times"/>
          <w:vertAlign w:val="superscript"/>
        </w:rPr>
        <w:t>22</w:t>
      </w:r>
      <w:r w:rsidRPr="00394B52">
        <w:rPr>
          <w:rFonts w:ascii="Times" w:hAnsi="Times" w:cs="Times"/>
        </w:rPr>
        <w:t>, Andrew Stickley</w:t>
      </w:r>
      <w:r w:rsidRPr="00394B52">
        <w:rPr>
          <w:rFonts w:ascii="Times" w:hAnsi="Times" w:cs="Times"/>
          <w:vertAlign w:val="superscript"/>
        </w:rPr>
        <w:t>23,24</w:t>
      </w:r>
      <w:r w:rsidRPr="00394B52">
        <w:rPr>
          <w:rFonts w:ascii="Times" w:hAnsi="Times" w:cs="Times"/>
        </w:rPr>
        <w:t>, Gonzalo Salazar de Pablo</w:t>
      </w:r>
      <w:r w:rsidRPr="00394B52">
        <w:rPr>
          <w:rFonts w:ascii="Times" w:hAnsi="Times" w:cs="Times"/>
          <w:vertAlign w:val="superscript"/>
        </w:rPr>
        <w:t>13,25,26</w:t>
      </w:r>
      <w:r w:rsidRPr="00394B52">
        <w:rPr>
          <w:rFonts w:ascii="Times" w:hAnsi="Times" w:cs="Times"/>
        </w:rPr>
        <w:t>, </w:t>
      </w:r>
      <w:proofErr w:type="spellStart"/>
      <w:r w:rsidRPr="00394B52">
        <w:rPr>
          <w:rFonts w:ascii="Times" w:hAnsi="Times" w:cs="Times"/>
        </w:rPr>
        <w:t>Kalthoum</w:t>
      </w:r>
      <w:proofErr w:type="spellEnd"/>
      <w:r w:rsidRPr="00394B52">
        <w:rPr>
          <w:rFonts w:ascii="Times" w:hAnsi="Times" w:cs="Times"/>
        </w:rPr>
        <w:t xml:space="preserve"> Tizaoui</w:t>
      </w:r>
      <w:r w:rsidRPr="00394B52">
        <w:rPr>
          <w:rFonts w:ascii="Times" w:hAnsi="Times" w:cs="Times"/>
          <w:vertAlign w:val="superscript"/>
        </w:rPr>
        <w:t>27</w:t>
      </w:r>
      <w:r w:rsidRPr="00394B52">
        <w:rPr>
          <w:rFonts w:ascii="Times" w:hAnsi="Times" w:cs="Times"/>
        </w:rPr>
        <w:t>, Dong Keon Yon</w:t>
      </w:r>
      <w:r w:rsidRPr="00394B52">
        <w:rPr>
          <w:rFonts w:ascii="Times" w:hAnsi="Times" w:cs="Times"/>
          <w:vertAlign w:val="superscript"/>
        </w:rPr>
        <w:t>28</w:t>
      </w:r>
      <w:r w:rsidRPr="00394B52">
        <w:rPr>
          <w:rFonts w:ascii="Times" w:hAnsi="Times" w:cs="Times"/>
        </w:rPr>
        <w:t>, Seung Won Lee</w:t>
      </w:r>
      <w:r w:rsidRPr="00394B52">
        <w:rPr>
          <w:rFonts w:ascii="Times" w:hAnsi="Times" w:cs="Times"/>
          <w:vertAlign w:val="superscript"/>
        </w:rPr>
        <w:t>29</w:t>
      </w:r>
      <w:r w:rsidRPr="00394B52">
        <w:rPr>
          <w:rFonts w:ascii="Times" w:hAnsi="Times" w:cs="Times"/>
        </w:rPr>
        <w:t>, Jimin Hwang</w:t>
      </w:r>
      <w:r w:rsidRPr="00394B52">
        <w:rPr>
          <w:rFonts w:ascii="Times" w:hAnsi="Times" w:cs="Times"/>
          <w:vertAlign w:val="superscript"/>
        </w:rPr>
        <w:t>30</w:t>
      </w:r>
      <w:r w:rsidRPr="00394B52">
        <w:rPr>
          <w:rFonts w:ascii="Times" w:hAnsi="Times" w:cs="Times"/>
        </w:rPr>
        <w:t>, Jae Il Shin</w:t>
      </w:r>
      <w:r w:rsidRPr="00394B52">
        <w:rPr>
          <w:rFonts w:ascii="Times" w:hAnsi="Times" w:cs="Times"/>
          <w:vertAlign w:val="superscript"/>
        </w:rPr>
        <w:t>31*</w:t>
      </w:r>
      <w:r w:rsidRPr="00394B52">
        <w:rPr>
          <w:rFonts w:ascii="Times" w:hAnsi="Times" w:cs="Times"/>
        </w:rPr>
        <w:t xml:space="preserve"> and Paolo Fusar-Poli</w:t>
      </w:r>
      <w:r w:rsidRPr="00394B52">
        <w:rPr>
          <w:rFonts w:ascii="Times" w:hAnsi="Times" w:cs="Times"/>
          <w:vertAlign w:val="superscript"/>
        </w:rPr>
        <w:t>13,32,33,34</w:t>
      </w:r>
    </w:p>
    <w:p w14:paraId="3ADAA1B4" w14:textId="77777777" w:rsidR="00394B52" w:rsidRPr="00394B52" w:rsidRDefault="00394B52" w:rsidP="00394B52">
      <w:pPr>
        <w:spacing w:after="0" w:line="276" w:lineRule="auto"/>
        <w:jc w:val="center"/>
        <w:rPr>
          <w:rFonts w:ascii="Times" w:hAnsi="Times"/>
          <w:szCs w:val="20"/>
        </w:rPr>
      </w:pPr>
      <w:r w:rsidRPr="00394B52">
        <w:rPr>
          <w:rFonts w:ascii="Times" w:hAnsi="Times" w:hint="eastAsia"/>
          <w:szCs w:val="20"/>
        </w:rPr>
        <w:t>A</w:t>
      </w:r>
      <w:r w:rsidRPr="00394B52">
        <w:rPr>
          <w:rFonts w:ascii="Times" w:hAnsi="Times"/>
          <w:szCs w:val="20"/>
        </w:rPr>
        <w:t>ffiliations:</w:t>
      </w:r>
    </w:p>
    <w:p w14:paraId="707A49C8"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1. Yonsei University College of Medicine, Seoul, Republic of Korea</w:t>
      </w:r>
    </w:p>
    <w:p w14:paraId="1E6D843B"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2. Department of Psychiatry, Yonsei University College of Medicine, Seoul, Republic of Korea</w:t>
      </w:r>
    </w:p>
    <w:p w14:paraId="6A768799"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3. Institute of Psychiatry, Psychology and Neuroscience, King’s College London, London, UK</w:t>
      </w:r>
    </w:p>
    <w:p w14:paraId="603CF350"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4. South London and Maudsley NHS Foundation Trust, London, UK</w:t>
      </w:r>
    </w:p>
    <w:p w14:paraId="1D4F3222"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5. Faculty of Health, Social Care and Education, Anglia Ruskin University, Chelmsford, UK</w:t>
      </w:r>
    </w:p>
    <w:p w14:paraId="024315AD" w14:textId="77777777" w:rsidR="00394B52" w:rsidRPr="00394B52" w:rsidRDefault="00394B52" w:rsidP="00394B52">
      <w:pPr>
        <w:spacing w:after="0" w:line="276" w:lineRule="auto"/>
        <w:jc w:val="center"/>
        <w:rPr>
          <w:rFonts w:ascii="Times" w:hAnsi="Times"/>
          <w:szCs w:val="20"/>
          <w:lang w:val="sv-SE"/>
        </w:rPr>
      </w:pPr>
      <w:r w:rsidRPr="00394B52">
        <w:rPr>
          <w:rFonts w:ascii="Times" w:hAnsi="Times"/>
          <w:szCs w:val="20"/>
          <w:lang w:val="sv-SE"/>
        </w:rPr>
        <w:t>6. Parc Sanitari Sant Joan de Déu/CIBERSAM, Universitat de Barcelona, Fundació Sant Joan de Déu, Sant Boi de Llobregat, Barcelona, Spain</w:t>
      </w:r>
    </w:p>
    <w:p w14:paraId="62A340B9" w14:textId="77777777" w:rsidR="00394B52" w:rsidRPr="00394B52" w:rsidRDefault="00394B52" w:rsidP="00394B52">
      <w:pPr>
        <w:spacing w:after="0" w:line="276" w:lineRule="auto"/>
        <w:jc w:val="center"/>
        <w:rPr>
          <w:rFonts w:ascii="Times" w:hAnsi="Times"/>
          <w:szCs w:val="20"/>
          <w:lang w:val="sv-SE"/>
        </w:rPr>
      </w:pPr>
      <w:r w:rsidRPr="00394B52">
        <w:rPr>
          <w:rFonts w:ascii="Times" w:hAnsi="Times" w:hint="eastAsia"/>
          <w:szCs w:val="20"/>
          <w:lang w:val="sv-SE"/>
        </w:rPr>
        <w:t>7</w:t>
      </w:r>
      <w:r w:rsidRPr="00394B52">
        <w:rPr>
          <w:rFonts w:ascii="Times" w:hAnsi="Times"/>
          <w:szCs w:val="20"/>
          <w:lang w:val="sv-SE"/>
        </w:rPr>
        <w:t>. ICREA, Pg. Lluis Companys 23, 08010, Barcelona, Spain</w:t>
      </w:r>
    </w:p>
    <w:p w14:paraId="2BF6DFDD"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8. Pain and Rehabilitation Centre, and Department of Health, Medicine and Caring Sciences, Linkoping University, Linkoping, Sweden</w:t>
      </w:r>
    </w:p>
    <w:p w14:paraId="38F6E5EC"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 xml:space="preserve">9. Research and Development Unit, Parc </w:t>
      </w:r>
      <w:proofErr w:type="spellStart"/>
      <w:r w:rsidRPr="00394B52">
        <w:rPr>
          <w:rFonts w:ascii="Times" w:hAnsi="Times"/>
          <w:szCs w:val="20"/>
        </w:rPr>
        <w:t>Sanitari</w:t>
      </w:r>
      <w:proofErr w:type="spellEnd"/>
      <w:r w:rsidRPr="00394B52">
        <w:rPr>
          <w:rFonts w:ascii="Times" w:hAnsi="Times"/>
          <w:szCs w:val="20"/>
        </w:rPr>
        <w:t xml:space="preserve"> Sant Joan de </w:t>
      </w:r>
      <w:proofErr w:type="spellStart"/>
      <w:r w:rsidRPr="00394B52">
        <w:rPr>
          <w:rFonts w:ascii="Times" w:hAnsi="Times"/>
          <w:szCs w:val="20"/>
        </w:rPr>
        <w:t>Déu</w:t>
      </w:r>
      <w:proofErr w:type="spellEnd"/>
      <w:r w:rsidRPr="00394B52">
        <w:rPr>
          <w:rFonts w:ascii="Times" w:hAnsi="Times"/>
          <w:szCs w:val="20"/>
        </w:rPr>
        <w:t xml:space="preserve">, CIBERSAM, Dr. Antoni Pujadas, 42, Sant </w:t>
      </w:r>
      <w:proofErr w:type="spellStart"/>
      <w:r w:rsidRPr="00394B52">
        <w:rPr>
          <w:rFonts w:ascii="Times" w:hAnsi="Times"/>
          <w:szCs w:val="20"/>
        </w:rPr>
        <w:t>Boi</w:t>
      </w:r>
      <w:proofErr w:type="spellEnd"/>
      <w:r w:rsidRPr="00394B52">
        <w:rPr>
          <w:rFonts w:ascii="Times" w:hAnsi="Times"/>
          <w:szCs w:val="20"/>
        </w:rPr>
        <w:t xml:space="preserve"> de </w:t>
      </w:r>
      <w:proofErr w:type="spellStart"/>
      <w:r w:rsidRPr="00394B52">
        <w:rPr>
          <w:rFonts w:ascii="Times" w:hAnsi="Times"/>
          <w:szCs w:val="20"/>
        </w:rPr>
        <w:t>Llobregat</w:t>
      </w:r>
      <w:proofErr w:type="spellEnd"/>
      <w:r w:rsidRPr="00394B52">
        <w:rPr>
          <w:rFonts w:ascii="Times" w:hAnsi="Times"/>
          <w:szCs w:val="20"/>
        </w:rPr>
        <w:t>, Barcelona 08830, Spain</w:t>
      </w:r>
    </w:p>
    <w:p w14:paraId="72DF50E5"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10. Faculty of Medicine, University of Versailles Saint-Quentin-</w:t>
      </w:r>
      <w:proofErr w:type="spellStart"/>
      <w:r w:rsidRPr="00394B52">
        <w:rPr>
          <w:rFonts w:ascii="Times" w:hAnsi="Times"/>
          <w:szCs w:val="20"/>
        </w:rPr>
        <w:t>en</w:t>
      </w:r>
      <w:proofErr w:type="spellEnd"/>
      <w:r w:rsidRPr="00394B52">
        <w:rPr>
          <w:rFonts w:ascii="Times" w:hAnsi="Times"/>
          <w:szCs w:val="20"/>
        </w:rPr>
        <w:t xml:space="preserve">-Yvelines, </w:t>
      </w:r>
      <w:proofErr w:type="spellStart"/>
      <w:r w:rsidRPr="00394B52">
        <w:rPr>
          <w:rFonts w:ascii="Times" w:hAnsi="Times"/>
          <w:szCs w:val="20"/>
        </w:rPr>
        <w:t>Montigny</w:t>
      </w:r>
      <w:proofErr w:type="spellEnd"/>
      <w:r w:rsidRPr="00394B52">
        <w:rPr>
          <w:rFonts w:ascii="Times" w:hAnsi="Times"/>
          <w:szCs w:val="20"/>
        </w:rPr>
        <w:t>-le-Bretonneux, France</w:t>
      </w:r>
    </w:p>
    <w:p w14:paraId="7C2F49F0"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11. Centre for Addiction and Mental Health (CAMH), Toronto, ON, Canada</w:t>
      </w:r>
    </w:p>
    <w:p w14:paraId="3D3479FE"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12. Department of Psychiatry, University of Toronto, Toronto, ON, Canada</w:t>
      </w:r>
    </w:p>
    <w:p w14:paraId="2138DE37"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13. Early Psychosis: Interventions and Clinical-detection (EPIC) lab, Department of Psychosis Studies, Institute of Psychiatry, Psychology &amp; Neuroscience, King's College London, London, UK</w:t>
      </w:r>
    </w:p>
    <w:p w14:paraId="1DB1AEC3"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 xml:space="preserve">14. Imaging of Mood- and Anxiety-Related Disorders (IMARD) group, </w:t>
      </w:r>
      <w:proofErr w:type="spellStart"/>
      <w:r w:rsidRPr="00394B52">
        <w:rPr>
          <w:rFonts w:ascii="Times" w:hAnsi="Times"/>
          <w:szCs w:val="20"/>
        </w:rPr>
        <w:t>Institut</w:t>
      </w:r>
      <w:proofErr w:type="spellEnd"/>
      <w:r w:rsidRPr="00394B52">
        <w:rPr>
          <w:rFonts w:ascii="Times" w:hAnsi="Times"/>
          <w:szCs w:val="20"/>
        </w:rPr>
        <w:t xml:space="preserve"> </w:t>
      </w:r>
      <w:proofErr w:type="spellStart"/>
      <w:r w:rsidRPr="00394B52">
        <w:rPr>
          <w:rFonts w:ascii="Times" w:hAnsi="Times"/>
          <w:szCs w:val="20"/>
        </w:rPr>
        <w:t>d’Investigacions</w:t>
      </w:r>
      <w:proofErr w:type="spellEnd"/>
      <w:r w:rsidRPr="00394B52">
        <w:rPr>
          <w:rFonts w:ascii="Times" w:hAnsi="Times"/>
          <w:szCs w:val="20"/>
        </w:rPr>
        <w:t xml:space="preserve"> </w:t>
      </w:r>
      <w:proofErr w:type="spellStart"/>
      <w:r w:rsidRPr="00394B52">
        <w:rPr>
          <w:rFonts w:ascii="Times" w:hAnsi="Times"/>
          <w:szCs w:val="20"/>
        </w:rPr>
        <w:t>Biomèdiques</w:t>
      </w:r>
      <w:proofErr w:type="spellEnd"/>
      <w:r w:rsidRPr="00394B52">
        <w:rPr>
          <w:rFonts w:ascii="Times" w:hAnsi="Times"/>
          <w:szCs w:val="20"/>
        </w:rPr>
        <w:t xml:space="preserve"> August Pi </w:t>
      </w:r>
      <w:proofErr w:type="spellStart"/>
      <w:r w:rsidRPr="00394B52">
        <w:rPr>
          <w:rFonts w:ascii="Times" w:hAnsi="Times"/>
          <w:szCs w:val="20"/>
        </w:rPr>
        <w:t>i</w:t>
      </w:r>
      <w:proofErr w:type="spellEnd"/>
      <w:r w:rsidRPr="00394B52">
        <w:rPr>
          <w:rFonts w:ascii="Times" w:hAnsi="Times"/>
          <w:szCs w:val="20"/>
        </w:rPr>
        <w:t xml:space="preserve"> </w:t>
      </w:r>
      <w:proofErr w:type="spellStart"/>
      <w:r w:rsidRPr="00394B52">
        <w:rPr>
          <w:rFonts w:ascii="Times" w:hAnsi="Times"/>
          <w:szCs w:val="20"/>
        </w:rPr>
        <w:t>Sunyer</w:t>
      </w:r>
      <w:proofErr w:type="spellEnd"/>
      <w:r w:rsidRPr="00394B52">
        <w:rPr>
          <w:rFonts w:ascii="Times" w:hAnsi="Times"/>
          <w:szCs w:val="20"/>
        </w:rPr>
        <w:t xml:space="preserve"> (IDIBAPS), Barcelona, Spain</w:t>
      </w:r>
    </w:p>
    <w:p w14:paraId="448A2CF5"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15. Mental Health Research Networking Center (CIBERSAM), Barcelona, Spain</w:t>
      </w:r>
    </w:p>
    <w:p w14:paraId="03EB7CBD"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 xml:space="preserve">16. Centre for Psychiatric Research, Department of Clinical Neuroscience, Karolinska </w:t>
      </w:r>
      <w:proofErr w:type="spellStart"/>
      <w:r w:rsidRPr="00394B52">
        <w:rPr>
          <w:rFonts w:ascii="Times" w:hAnsi="Times"/>
          <w:szCs w:val="20"/>
        </w:rPr>
        <w:t>Institutet</w:t>
      </w:r>
      <w:proofErr w:type="spellEnd"/>
      <w:r w:rsidRPr="00394B52">
        <w:rPr>
          <w:rFonts w:ascii="Times" w:hAnsi="Times"/>
          <w:szCs w:val="20"/>
        </w:rPr>
        <w:t>, Stockholm, Sweden</w:t>
      </w:r>
    </w:p>
    <w:p w14:paraId="7C1D07F1"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17. Department of Psychology, University of Greenwich, London, UK</w:t>
      </w:r>
    </w:p>
    <w:p w14:paraId="00C6ABFB"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18. The Cambridge Centre for Sport and Exercise Sciences, Anglia Ruskin University, Cambridge, UK</w:t>
      </w:r>
    </w:p>
    <w:p w14:paraId="60C0605F"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19. School of Social Work, University of Southern California, CA 90015, USA</w:t>
      </w:r>
    </w:p>
    <w:p w14:paraId="4F3E1273"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20. Department of Cancer Epidemiology and Prevention Research, Alberta Health Services, Calgary, Canada</w:t>
      </w:r>
    </w:p>
    <w:p w14:paraId="1B56A756"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21. Departments of Oncology and Community Health Sciences, Cumming School of Medicine, University of Calgary, Calgary, Canada</w:t>
      </w:r>
    </w:p>
    <w:p w14:paraId="665E54BF"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22. Department of Neuroscience, Reproductive Sciences and Dentistry, Federico II University, Naples, Italy</w:t>
      </w:r>
    </w:p>
    <w:p w14:paraId="4BE620AB"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23. Department of Preventive Intervention for Psychiatric Disorders, National Institute of Mental Health, National Center of Neurology and Psychiatry, Tokyo, Japan</w:t>
      </w:r>
    </w:p>
    <w:p w14:paraId="56800E92"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 xml:space="preserve">24. Stockholm Center for Health and Social Change (SCOHOST), </w:t>
      </w:r>
      <w:proofErr w:type="spellStart"/>
      <w:r w:rsidRPr="00394B52">
        <w:rPr>
          <w:rFonts w:ascii="Times" w:hAnsi="Times"/>
          <w:szCs w:val="20"/>
        </w:rPr>
        <w:t>Södertörn</w:t>
      </w:r>
      <w:proofErr w:type="spellEnd"/>
      <w:r w:rsidRPr="00394B52">
        <w:rPr>
          <w:rFonts w:ascii="Times" w:hAnsi="Times"/>
          <w:szCs w:val="20"/>
        </w:rPr>
        <w:t xml:space="preserve"> University, Huddinge, Sweden</w:t>
      </w:r>
    </w:p>
    <w:p w14:paraId="09BBD7B3"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25. Department of Child and Adolescent Psychiatry, Institute of Psychiatry, Psychology &amp; Neuroscience, King's College London, London, UK</w:t>
      </w:r>
    </w:p>
    <w:p w14:paraId="064EADA5"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 xml:space="preserve">26. Institute of Psychiatry and Mental Health. Department of Child and Adolescent Psychiatry, Hospital General Universitario Gregorio </w:t>
      </w:r>
      <w:proofErr w:type="spellStart"/>
      <w:r w:rsidRPr="00394B52">
        <w:rPr>
          <w:rFonts w:ascii="Times" w:hAnsi="Times"/>
          <w:szCs w:val="20"/>
        </w:rPr>
        <w:t>Marañón</w:t>
      </w:r>
      <w:proofErr w:type="spellEnd"/>
      <w:r w:rsidRPr="00394B52">
        <w:rPr>
          <w:rFonts w:ascii="Times" w:hAnsi="Times"/>
          <w:szCs w:val="20"/>
        </w:rPr>
        <w:t xml:space="preserve"> School of Medicine, Universidad </w:t>
      </w:r>
      <w:proofErr w:type="spellStart"/>
      <w:r w:rsidRPr="00394B52">
        <w:rPr>
          <w:rFonts w:ascii="Times" w:hAnsi="Times"/>
          <w:szCs w:val="20"/>
        </w:rPr>
        <w:t>Complutense</w:t>
      </w:r>
      <w:proofErr w:type="spellEnd"/>
      <w:r w:rsidRPr="00394B52">
        <w:rPr>
          <w:rFonts w:ascii="Times" w:hAnsi="Times"/>
          <w:szCs w:val="20"/>
        </w:rPr>
        <w:t xml:space="preserve">, Instituto de </w:t>
      </w:r>
      <w:proofErr w:type="spellStart"/>
      <w:r w:rsidRPr="00394B52">
        <w:rPr>
          <w:rFonts w:ascii="Times" w:hAnsi="Times"/>
          <w:szCs w:val="20"/>
        </w:rPr>
        <w:t>Investigación</w:t>
      </w:r>
      <w:proofErr w:type="spellEnd"/>
      <w:r w:rsidRPr="00394B52">
        <w:rPr>
          <w:rFonts w:ascii="Times" w:hAnsi="Times"/>
          <w:szCs w:val="20"/>
        </w:rPr>
        <w:t xml:space="preserve"> Sanitaria Gregorio </w:t>
      </w:r>
      <w:proofErr w:type="spellStart"/>
      <w:r w:rsidRPr="00394B52">
        <w:rPr>
          <w:rFonts w:ascii="Times" w:hAnsi="Times"/>
          <w:szCs w:val="20"/>
        </w:rPr>
        <w:t>Marañón</w:t>
      </w:r>
      <w:proofErr w:type="spellEnd"/>
      <w:r w:rsidRPr="00394B52">
        <w:rPr>
          <w:rFonts w:ascii="Times" w:hAnsi="Times"/>
          <w:szCs w:val="20"/>
        </w:rPr>
        <w:t xml:space="preserve"> (</w:t>
      </w:r>
      <w:proofErr w:type="spellStart"/>
      <w:r w:rsidRPr="00394B52">
        <w:rPr>
          <w:rFonts w:ascii="Times" w:hAnsi="Times"/>
          <w:szCs w:val="20"/>
        </w:rPr>
        <w:t>IiSGM</w:t>
      </w:r>
      <w:proofErr w:type="spellEnd"/>
      <w:r w:rsidRPr="00394B52">
        <w:rPr>
          <w:rFonts w:ascii="Times" w:hAnsi="Times"/>
          <w:szCs w:val="20"/>
        </w:rPr>
        <w:t>), CIBERSAM, Madrid, Spain</w:t>
      </w:r>
    </w:p>
    <w:p w14:paraId="13684E96"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 xml:space="preserve">27. Department of Basic Sciences, Medicine Faculty of Tunis, Tunis El </w:t>
      </w:r>
      <w:proofErr w:type="spellStart"/>
      <w:r w:rsidRPr="00394B52">
        <w:rPr>
          <w:rFonts w:ascii="Times" w:hAnsi="Times"/>
          <w:szCs w:val="20"/>
        </w:rPr>
        <w:t>Manar</w:t>
      </w:r>
      <w:proofErr w:type="spellEnd"/>
      <w:r w:rsidRPr="00394B52">
        <w:rPr>
          <w:rFonts w:ascii="Times" w:hAnsi="Times"/>
          <w:szCs w:val="20"/>
        </w:rPr>
        <w:t xml:space="preserve"> University, 15 Rue Djebel </w:t>
      </w:r>
      <w:proofErr w:type="spellStart"/>
      <w:r w:rsidRPr="00394B52">
        <w:rPr>
          <w:rFonts w:ascii="Times" w:hAnsi="Times"/>
          <w:szCs w:val="20"/>
        </w:rPr>
        <w:t>Lakdar</w:t>
      </w:r>
      <w:proofErr w:type="spellEnd"/>
      <w:r w:rsidRPr="00394B52">
        <w:rPr>
          <w:rFonts w:ascii="Times" w:hAnsi="Times"/>
          <w:szCs w:val="20"/>
        </w:rPr>
        <w:t>, Tunis 1007, Tunisia</w:t>
      </w:r>
    </w:p>
    <w:p w14:paraId="239B9A73"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28. Department of Pediatrics, Seoul National University Hospital, Seoul National University College of Medicine, Seoul, Republic of Korea</w:t>
      </w:r>
    </w:p>
    <w:p w14:paraId="2380EBF8"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29. Department of Data Science, Sejong University College of Software Convergence, Seoul, Republic of Korea</w:t>
      </w:r>
    </w:p>
    <w:p w14:paraId="23E959CB" w14:textId="77777777" w:rsidR="00394B52" w:rsidRPr="00394B52" w:rsidRDefault="00394B52" w:rsidP="00394B52">
      <w:pPr>
        <w:spacing w:after="0" w:line="276" w:lineRule="auto"/>
        <w:jc w:val="center"/>
        <w:rPr>
          <w:rFonts w:ascii="Times" w:eastAsia="Times New Roman" w:hAnsi="Times" w:cs="Times New Roman"/>
          <w:kern w:val="0"/>
          <w:szCs w:val="20"/>
        </w:rPr>
      </w:pPr>
      <w:r w:rsidRPr="00394B52">
        <w:rPr>
          <w:rFonts w:ascii="Times" w:hAnsi="Times"/>
          <w:szCs w:val="20"/>
        </w:rPr>
        <w:t xml:space="preserve">30. </w:t>
      </w:r>
      <w:r w:rsidRPr="00394B52">
        <w:rPr>
          <w:rFonts w:ascii="Times" w:eastAsia="Times New Roman" w:hAnsi="Times" w:cs="Times New Roman"/>
          <w:color w:val="000000"/>
          <w:kern w:val="0"/>
          <w:szCs w:val="20"/>
          <w:shd w:val="clear" w:color="auto" w:fill="FFFFFF"/>
        </w:rPr>
        <w:t>Department of Epidemiology, Johns Hopkins Bloomberg School of Public Health, Baltimore, USA</w:t>
      </w:r>
    </w:p>
    <w:p w14:paraId="4A268C46"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31. Department of Pediatrics, Yonsei University College of Medicine, Seoul, Republic of Korea</w:t>
      </w:r>
    </w:p>
    <w:p w14:paraId="43E036DE"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 xml:space="preserve">32. Department of Brain and </w:t>
      </w:r>
      <w:proofErr w:type="spellStart"/>
      <w:r w:rsidRPr="00394B52">
        <w:rPr>
          <w:rFonts w:ascii="Times" w:hAnsi="Times"/>
          <w:szCs w:val="20"/>
        </w:rPr>
        <w:t>Behavioural</w:t>
      </w:r>
      <w:proofErr w:type="spellEnd"/>
      <w:r w:rsidRPr="00394B52">
        <w:rPr>
          <w:rFonts w:ascii="Times" w:hAnsi="Times"/>
          <w:szCs w:val="20"/>
        </w:rPr>
        <w:t xml:space="preserve"> Sciences, University of Pavia, Pavia, Italy</w:t>
      </w:r>
    </w:p>
    <w:p w14:paraId="0BA5A989"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33. OASIS service, South London and Maudsley NHS Foundation Trust, London, UK</w:t>
      </w:r>
    </w:p>
    <w:p w14:paraId="6D6599CD" w14:textId="77777777" w:rsidR="00394B52" w:rsidRPr="00394B52" w:rsidRDefault="00394B52" w:rsidP="00394B52">
      <w:pPr>
        <w:spacing w:after="0" w:line="276" w:lineRule="auto"/>
        <w:jc w:val="center"/>
        <w:rPr>
          <w:rFonts w:ascii="Times" w:hAnsi="Times"/>
          <w:szCs w:val="20"/>
        </w:rPr>
      </w:pPr>
      <w:r w:rsidRPr="00394B52">
        <w:rPr>
          <w:rFonts w:ascii="Times" w:hAnsi="Times"/>
          <w:szCs w:val="20"/>
        </w:rPr>
        <w:t>34. National Institute of Health Research Maudsley Biomedical Research Centre, South London and Maudsley NHS Foundation Trust, London, UK</w:t>
      </w:r>
    </w:p>
    <w:p w14:paraId="6DCA2DAE" w14:textId="77777777" w:rsidR="00394B52" w:rsidRPr="00394B52" w:rsidRDefault="00394B52" w:rsidP="00394B52">
      <w:pPr>
        <w:spacing w:line="276" w:lineRule="auto"/>
        <w:rPr>
          <w:rFonts w:ascii="Times" w:hAnsi="Times" w:cs="Times"/>
        </w:rPr>
      </w:pPr>
    </w:p>
    <w:p w14:paraId="00474EBF" w14:textId="77777777" w:rsidR="00394B52" w:rsidRPr="00394B52" w:rsidRDefault="00394B52" w:rsidP="00394B52">
      <w:pPr>
        <w:spacing w:line="276" w:lineRule="auto"/>
        <w:rPr>
          <w:rFonts w:ascii="Times" w:hAnsi="Times" w:cs="Times"/>
        </w:rPr>
      </w:pPr>
      <w:r w:rsidRPr="00394B52">
        <w:rPr>
          <w:rFonts w:ascii="Times" w:hAnsi="Times" w:cs="Times"/>
          <w:b/>
          <w:bCs/>
          <w:sz w:val="22"/>
          <w:szCs w:val="24"/>
        </w:rPr>
        <w:t>Corresponding Author</w:t>
      </w:r>
      <w:r w:rsidRPr="00394B52">
        <w:rPr>
          <w:rFonts w:ascii="Times" w:hAnsi="Times" w:cs="Times"/>
        </w:rPr>
        <w:br/>
      </w:r>
      <w:r w:rsidRPr="00394B52">
        <w:rPr>
          <w:rFonts w:ascii="Times" w:hAnsi="Times" w:cs="Times"/>
        </w:rPr>
        <w:lastRenderedPageBreak/>
        <w:t xml:space="preserve">Prof. Jae Il Shin, MD. </w:t>
      </w:r>
      <w:r w:rsidRPr="00394B52">
        <w:rPr>
          <w:rFonts w:ascii="Times" w:hAnsi="Times" w:cs="Times"/>
        </w:rPr>
        <w:br/>
        <w:t>Address: Yonsei-</w:t>
      </w:r>
      <w:proofErr w:type="spellStart"/>
      <w:r w:rsidRPr="00394B52">
        <w:rPr>
          <w:rFonts w:ascii="Times" w:hAnsi="Times" w:cs="Times"/>
        </w:rPr>
        <w:t>ro</w:t>
      </w:r>
      <w:proofErr w:type="spellEnd"/>
      <w:r w:rsidRPr="00394B52">
        <w:rPr>
          <w:rFonts w:ascii="Times" w:hAnsi="Times" w:cs="Times"/>
        </w:rPr>
        <w:t xml:space="preserve"> 50, </w:t>
      </w:r>
      <w:proofErr w:type="spellStart"/>
      <w:r w:rsidRPr="00394B52">
        <w:rPr>
          <w:rFonts w:ascii="Times" w:hAnsi="Times" w:cs="Times"/>
        </w:rPr>
        <w:t>Seodaemun-gu</w:t>
      </w:r>
      <w:proofErr w:type="spellEnd"/>
      <w:r w:rsidRPr="00394B52">
        <w:rPr>
          <w:rFonts w:ascii="Times" w:hAnsi="Times" w:cs="Times"/>
        </w:rPr>
        <w:t>, C.P.O. Box 8044, Department of Pediatrics, Yonsei University College of Medicine, Seoul 120-752, Korea</w:t>
      </w:r>
      <w:r w:rsidRPr="00394B52">
        <w:rPr>
          <w:rFonts w:ascii="Times" w:hAnsi="Times" w:cs="Times"/>
        </w:rPr>
        <w:br/>
        <w:t>Tel.: +82-2-2228-2050; Fax: +82-2-393-9118; E-mail: shinji@yuhs.ac</w:t>
      </w:r>
    </w:p>
    <w:p w14:paraId="4AA4A378" w14:textId="77777777" w:rsidR="00394B52" w:rsidRPr="00394B52" w:rsidRDefault="00394B52" w:rsidP="00394B52">
      <w:pPr>
        <w:spacing w:line="240" w:lineRule="auto"/>
        <w:rPr>
          <w:rFonts w:ascii="Times" w:hAnsi="Times" w:cs="Times"/>
        </w:rPr>
      </w:pPr>
    </w:p>
    <w:p w14:paraId="29200146" w14:textId="77777777" w:rsidR="00394B52" w:rsidRPr="00394B52" w:rsidRDefault="00394B52" w:rsidP="00394B52">
      <w:pPr>
        <w:widowControl/>
        <w:wordWrap/>
        <w:autoSpaceDE/>
        <w:autoSpaceDN/>
        <w:rPr>
          <w:rFonts w:ascii="Times" w:hAnsi="Times" w:cs="Times"/>
        </w:rPr>
      </w:pPr>
      <w:r w:rsidRPr="00394B52">
        <w:rPr>
          <w:rFonts w:ascii="Times" w:hAnsi="Times" w:cs="Times"/>
        </w:rPr>
        <w:br w:type="page"/>
      </w:r>
    </w:p>
    <w:p w14:paraId="4BDD91A7" w14:textId="77777777" w:rsidR="00394B52" w:rsidRPr="00394B52" w:rsidRDefault="00394B52" w:rsidP="00394B52">
      <w:pPr>
        <w:spacing w:line="240" w:lineRule="auto"/>
        <w:jc w:val="center"/>
        <w:rPr>
          <w:rFonts w:ascii="Times" w:hAnsi="Times" w:cs="Times"/>
          <w:b/>
          <w:bCs/>
          <w:sz w:val="24"/>
          <w:szCs w:val="28"/>
        </w:rPr>
      </w:pPr>
      <w:r w:rsidRPr="00394B52">
        <w:rPr>
          <w:rFonts w:ascii="Times" w:hAnsi="Times" w:cs="Times" w:hint="eastAsia"/>
          <w:b/>
          <w:bCs/>
          <w:sz w:val="24"/>
          <w:szCs w:val="28"/>
        </w:rPr>
        <w:lastRenderedPageBreak/>
        <w:t>I</w:t>
      </w:r>
      <w:r w:rsidRPr="00394B52">
        <w:rPr>
          <w:rFonts w:ascii="Times" w:hAnsi="Times" w:cs="Times"/>
          <w:b/>
          <w:bCs/>
          <w:sz w:val="24"/>
          <w:szCs w:val="28"/>
        </w:rPr>
        <w:t>NDEX</w:t>
      </w:r>
    </w:p>
    <w:p w14:paraId="0E29887D" w14:textId="77777777" w:rsidR="00394B52" w:rsidRPr="00394B52" w:rsidRDefault="00394B52" w:rsidP="00394B52">
      <w:pPr>
        <w:spacing w:line="240" w:lineRule="auto"/>
        <w:rPr>
          <w:rFonts w:ascii="Times" w:hAnsi="Times" w:cs="Times"/>
        </w:rPr>
      </w:pPr>
      <w:r w:rsidRPr="00394B52">
        <w:rPr>
          <w:rFonts w:ascii="Times" w:hAnsi="Times" w:cs="Times"/>
        </w:rPr>
        <w:t xml:space="preserve">PRISMA checklist </w:t>
      </w:r>
    </w:p>
    <w:p w14:paraId="6A65EE90" w14:textId="77777777" w:rsidR="00394B52" w:rsidRPr="00394B52" w:rsidRDefault="00394B52" w:rsidP="00394B52">
      <w:pPr>
        <w:spacing w:line="240" w:lineRule="auto"/>
        <w:rPr>
          <w:rFonts w:ascii="Times" w:hAnsi="Times" w:cs="Times"/>
        </w:rPr>
      </w:pPr>
      <w:r w:rsidRPr="00394B52">
        <w:rPr>
          <w:rFonts w:ascii="Times" w:hAnsi="Times" w:cs="Times"/>
        </w:rPr>
        <w:t>PRISMA Abstract checklist</w:t>
      </w:r>
    </w:p>
    <w:p w14:paraId="637DEB45" w14:textId="77777777" w:rsidR="00394B52" w:rsidRPr="00394B52" w:rsidRDefault="00394B52" w:rsidP="00394B52">
      <w:pPr>
        <w:spacing w:line="240" w:lineRule="auto"/>
        <w:rPr>
          <w:rFonts w:ascii="Times" w:hAnsi="Times" w:cs="Times"/>
        </w:rPr>
      </w:pPr>
      <w:r w:rsidRPr="00394B52">
        <w:rPr>
          <w:rFonts w:ascii="Times" w:hAnsi="Times" w:cs="Times"/>
        </w:rPr>
        <w:t xml:space="preserve">Full search strategy (The last search done in Jan 12, 2021) </w:t>
      </w:r>
    </w:p>
    <w:p w14:paraId="70B7918D" w14:textId="77777777" w:rsidR="00394B52" w:rsidRPr="00394B52" w:rsidRDefault="00394B52" w:rsidP="00394B52">
      <w:pPr>
        <w:spacing w:line="240" w:lineRule="auto"/>
        <w:rPr>
          <w:rFonts w:ascii="Times" w:hAnsi="Times" w:cs="Times"/>
        </w:rPr>
      </w:pPr>
      <w:r w:rsidRPr="00394B52">
        <w:rPr>
          <w:rFonts w:ascii="Times" w:hAnsi="Times" w:cs="Times"/>
        </w:rPr>
        <w:t xml:space="preserve">Definitions of environmental risk/protective factor and biomarker </w:t>
      </w:r>
    </w:p>
    <w:p w14:paraId="4D57C61C" w14:textId="77777777" w:rsidR="00394B52" w:rsidRPr="00394B52" w:rsidRDefault="00394B52" w:rsidP="00394B52">
      <w:pPr>
        <w:spacing w:line="240" w:lineRule="auto"/>
        <w:rPr>
          <w:rFonts w:ascii="Times" w:hAnsi="Times" w:cs="Times"/>
        </w:rPr>
      </w:pPr>
      <w:r w:rsidRPr="00394B52">
        <w:rPr>
          <w:rFonts w:ascii="Times" w:hAnsi="Times" w:cs="Times"/>
        </w:rPr>
        <w:t>Validated diagnostic criteria and cut-off values used to diagnose postpartum depressive symptoms</w:t>
      </w:r>
    </w:p>
    <w:p w14:paraId="3B57EBA0" w14:textId="77777777" w:rsidR="00394B52" w:rsidRPr="00394B52" w:rsidRDefault="00394B52" w:rsidP="00394B52">
      <w:pPr>
        <w:spacing w:line="240" w:lineRule="auto"/>
        <w:rPr>
          <w:rFonts w:ascii="Times" w:hAnsi="Times" w:cs="Times"/>
        </w:rPr>
      </w:pPr>
      <w:r w:rsidRPr="00394B52">
        <w:rPr>
          <w:rFonts w:ascii="Times" w:hAnsi="Times" w:cs="Times" w:hint="eastAsia"/>
        </w:rPr>
        <w:t>R</w:t>
      </w:r>
      <w:r w:rsidRPr="00394B52">
        <w:rPr>
          <w:rFonts w:ascii="Times" w:hAnsi="Times" w:cs="Times"/>
        </w:rPr>
        <w:t>eferences of the included meta-analyses</w:t>
      </w:r>
    </w:p>
    <w:p w14:paraId="36F72F98" w14:textId="77777777" w:rsidR="00394B52" w:rsidRPr="00394B52" w:rsidRDefault="00394B52" w:rsidP="00394B52">
      <w:pPr>
        <w:spacing w:line="240" w:lineRule="auto"/>
        <w:rPr>
          <w:rFonts w:ascii="Times" w:hAnsi="Times" w:cs="Times"/>
        </w:rPr>
      </w:pPr>
      <w:r w:rsidRPr="00394B52">
        <w:rPr>
          <w:rFonts w:ascii="Times" w:hAnsi="Times" w:cs="Times"/>
        </w:rPr>
        <w:t>The list of excluded meta-analyses by full text screening with exclusion reason</w:t>
      </w:r>
    </w:p>
    <w:p w14:paraId="43E9A539" w14:textId="77777777" w:rsidR="00394B52" w:rsidRPr="00394B52" w:rsidRDefault="00394B52" w:rsidP="00394B52">
      <w:pPr>
        <w:spacing w:line="240" w:lineRule="auto"/>
        <w:rPr>
          <w:rFonts w:ascii="Times" w:hAnsi="Times" w:cs="Times"/>
        </w:rPr>
      </w:pPr>
      <w:r w:rsidRPr="00394B52">
        <w:rPr>
          <w:rFonts w:ascii="Times" w:hAnsi="Times" w:cs="Times"/>
        </w:rPr>
        <w:t>References of the excluded meta-analyses by full text screening</w:t>
      </w:r>
    </w:p>
    <w:p w14:paraId="75744EBA" w14:textId="77777777" w:rsidR="00394B52" w:rsidRPr="00394B52" w:rsidRDefault="00394B52" w:rsidP="00394B52">
      <w:pPr>
        <w:rPr>
          <w:rFonts w:ascii="Times" w:hAnsi="Times"/>
        </w:rPr>
      </w:pPr>
      <w:r w:rsidRPr="00394B52">
        <w:rPr>
          <w:rFonts w:ascii="Times" w:hAnsi="Times" w:hint="eastAsia"/>
        </w:rPr>
        <w:t>T</w:t>
      </w:r>
      <w:r w:rsidRPr="00394B52">
        <w:rPr>
          <w:rFonts w:ascii="Times" w:hAnsi="Times"/>
        </w:rPr>
        <w:t>able S1. Biomarkers of postpartum depressive symptoms</w:t>
      </w:r>
    </w:p>
    <w:p w14:paraId="09FD194E" w14:textId="77777777" w:rsidR="00394B52" w:rsidRPr="00394B52" w:rsidRDefault="00394B52" w:rsidP="00394B52">
      <w:pPr>
        <w:spacing w:line="240" w:lineRule="auto"/>
        <w:rPr>
          <w:rFonts w:ascii="Times" w:hAnsi="Times" w:cs="Times"/>
        </w:rPr>
      </w:pPr>
      <w:r w:rsidRPr="00394B52">
        <w:rPr>
          <w:rFonts w:ascii="Times" w:hAnsi="Times" w:cs="Times"/>
        </w:rPr>
        <w:t>Table S2. Sensitivity analyses of associations graded as convincing (class I) or highly suggestive (class II)</w:t>
      </w:r>
    </w:p>
    <w:p w14:paraId="4DC06FD2" w14:textId="77777777" w:rsidR="00394B52" w:rsidRPr="00394B52" w:rsidRDefault="00394B52" w:rsidP="00394B52">
      <w:pPr>
        <w:spacing w:line="240" w:lineRule="auto"/>
        <w:rPr>
          <w:rFonts w:ascii="Times" w:hAnsi="Times" w:cs="Times"/>
        </w:rPr>
      </w:pPr>
      <w:r w:rsidRPr="00394B52">
        <w:rPr>
          <w:rFonts w:ascii="Times" w:hAnsi="Times" w:cs="Times"/>
        </w:rPr>
        <w:t>Table S3. Supplementary analyses results of environmental risk and protective factors</w:t>
      </w:r>
    </w:p>
    <w:p w14:paraId="6A8EA4C0" w14:textId="77777777" w:rsidR="00394B52" w:rsidRPr="00394B52" w:rsidRDefault="00394B52" w:rsidP="00394B52">
      <w:pPr>
        <w:spacing w:line="240" w:lineRule="auto"/>
        <w:rPr>
          <w:rFonts w:ascii="Times" w:hAnsi="Times" w:cs="Times"/>
        </w:rPr>
      </w:pPr>
      <w:r w:rsidRPr="00394B52">
        <w:rPr>
          <w:rFonts w:ascii="Times" w:hAnsi="Times" w:cs="Times"/>
        </w:rPr>
        <w:t>Table S4. Grading of Recommendations, Assessment, Development and Evaluations appraisal for environmental risk and protective factors</w:t>
      </w:r>
    </w:p>
    <w:p w14:paraId="7D53554E" w14:textId="77777777" w:rsidR="00394B52" w:rsidRPr="00394B52" w:rsidRDefault="00394B52" w:rsidP="00394B52">
      <w:pPr>
        <w:widowControl/>
        <w:wordWrap/>
        <w:autoSpaceDE/>
        <w:autoSpaceDN/>
        <w:rPr>
          <w:rFonts w:ascii="Times" w:hAnsi="Times" w:cs="Times"/>
        </w:rPr>
      </w:pPr>
      <w:r w:rsidRPr="00394B52">
        <w:rPr>
          <w:rFonts w:ascii="Times" w:hAnsi="Times" w:cs="Times"/>
        </w:rPr>
        <w:t xml:space="preserve">Table S5. Grading of Recommendations, Assessment, Development and Evaluations appraisal for biomarkers </w:t>
      </w:r>
    </w:p>
    <w:p w14:paraId="00FC7F56" w14:textId="77777777" w:rsidR="00394B52" w:rsidRPr="00394B52" w:rsidRDefault="00394B52" w:rsidP="00394B52">
      <w:pPr>
        <w:rPr>
          <w:rFonts w:ascii="Times New Roman" w:hAnsi="Times New Roman" w:cs="Times New Roman"/>
          <w:szCs w:val="20"/>
        </w:rPr>
      </w:pPr>
      <w:r w:rsidRPr="00394B52">
        <w:rPr>
          <w:rFonts w:ascii="Times New Roman" w:hAnsi="Times New Roman" w:cs="Times New Roman"/>
          <w:szCs w:val="20"/>
        </w:rPr>
        <w:t>Figure S1. Antenatal anxiety (Forest plot, funnel plot, p curve analysis plot)</w:t>
      </w:r>
    </w:p>
    <w:p w14:paraId="71ADAC3A" w14:textId="77777777" w:rsidR="00394B52" w:rsidRPr="00394B52" w:rsidRDefault="00394B52" w:rsidP="00394B52">
      <w:pPr>
        <w:rPr>
          <w:rFonts w:ascii="Times" w:hAnsi="Times" w:cs="Times"/>
          <w:szCs w:val="20"/>
        </w:rPr>
      </w:pPr>
      <w:r w:rsidRPr="00394B52">
        <w:rPr>
          <w:rFonts w:ascii="Times" w:hAnsi="Times" w:cs="Times"/>
          <w:szCs w:val="20"/>
        </w:rPr>
        <w:t>Figure S2. Psychological violence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2EB530CC" w14:textId="77777777" w:rsidR="00394B52" w:rsidRPr="00394B52" w:rsidRDefault="00394B52" w:rsidP="00394B52">
      <w:pPr>
        <w:rPr>
          <w:rFonts w:ascii="Times" w:hAnsi="Times" w:cs="Times"/>
          <w:szCs w:val="20"/>
        </w:rPr>
      </w:pPr>
      <w:r w:rsidRPr="00394B52">
        <w:rPr>
          <w:rFonts w:ascii="Times" w:hAnsi="Times" w:cs="Times"/>
          <w:szCs w:val="20"/>
        </w:rPr>
        <w:t>Figure S3. Intimate partner violence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781DCD8F" w14:textId="77777777" w:rsidR="00394B52" w:rsidRPr="00394B52" w:rsidRDefault="00394B52" w:rsidP="00394B52">
      <w:pPr>
        <w:rPr>
          <w:rFonts w:ascii="Times" w:hAnsi="Times" w:cs="Times"/>
          <w:szCs w:val="20"/>
        </w:rPr>
      </w:pPr>
      <w:r w:rsidRPr="00394B52">
        <w:rPr>
          <w:rFonts w:ascii="Times" w:hAnsi="Times" w:cs="Times"/>
          <w:szCs w:val="20"/>
        </w:rPr>
        <w:t>Figure S4. Intimate partner violence during pregnancy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2A63E3C8" w14:textId="77777777" w:rsidR="00394B52" w:rsidRPr="00394B52" w:rsidRDefault="00394B52" w:rsidP="00394B52">
      <w:pPr>
        <w:rPr>
          <w:rFonts w:ascii="Times" w:hAnsi="Times" w:cs="Times"/>
          <w:szCs w:val="20"/>
        </w:rPr>
      </w:pPr>
      <w:r w:rsidRPr="00394B52">
        <w:rPr>
          <w:rFonts w:ascii="Times" w:hAnsi="Times" w:cs="Times"/>
          <w:szCs w:val="20"/>
        </w:rPr>
        <w:t>Figure S5. Smoking during pregnancy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55263ACF" w14:textId="77777777" w:rsidR="00394B52" w:rsidRPr="00394B52" w:rsidRDefault="00394B52" w:rsidP="00394B52">
      <w:pPr>
        <w:rPr>
          <w:rFonts w:ascii="Times" w:hAnsi="Times" w:cs="Times"/>
          <w:szCs w:val="20"/>
        </w:rPr>
      </w:pPr>
      <w:r w:rsidRPr="00394B52">
        <w:rPr>
          <w:rFonts w:ascii="Times" w:hAnsi="Times" w:cs="Times"/>
          <w:szCs w:val="20"/>
        </w:rPr>
        <w:t>Figure S6. History of premenstrual syndrome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36AAF828" w14:textId="77777777" w:rsidR="00394B52" w:rsidRPr="00394B52" w:rsidRDefault="00394B52" w:rsidP="00394B52">
      <w:pPr>
        <w:rPr>
          <w:rFonts w:ascii="Times" w:hAnsi="Times" w:cs="Times"/>
          <w:szCs w:val="20"/>
        </w:rPr>
      </w:pPr>
      <w:r w:rsidRPr="00394B52">
        <w:rPr>
          <w:rFonts w:ascii="Times" w:hAnsi="Times" w:cs="Times"/>
          <w:szCs w:val="20"/>
        </w:rPr>
        <w:t>Figure S7. Any type of violence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57FEF204" w14:textId="77777777" w:rsidR="00394B52" w:rsidRPr="00394B52" w:rsidRDefault="00394B52" w:rsidP="00394B52">
      <w:pPr>
        <w:rPr>
          <w:rFonts w:ascii="Times" w:hAnsi="Times" w:cs="Times"/>
          <w:szCs w:val="20"/>
        </w:rPr>
      </w:pPr>
      <w:r w:rsidRPr="00394B52">
        <w:rPr>
          <w:rFonts w:ascii="Times" w:hAnsi="Times" w:cs="Times"/>
          <w:szCs w:val="20"/>
        </w:rPr>
        <w:t>Figure S8. Primiparity compared to multiparity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6A977B56" w14:textId="77777777" w:rsidR="00394B52" w:rsidRPr="00394B52" w:rsidRDefault="00394B52" w:rsidP="00394B52">
      <w:pPr>
        <w:rPr>
          <w:rFonts w:ascii="Times" w:hAnsi="Times" w:cs="Times"/>
          <w:szCs w:val="20"/>
        </w:rPr>
      </w:pPr>
      <w:r w:rsidRPr="00394B52">
        <w:rPr>
          <w:rFonts w:ascii="Times" w:hAnsi="Times" w:cs="Times"/>
          <w:szCs w:val="20"/>
        </w:rPr>
        <w:t>Figure S9. Unintended pregnancy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5063840F" w14:textId="77777777" w:rsidR="00394B52" w:rsidRPr="00394B52" w:rsidRDefault="00394B52" w:rsidP="00394B52">
      <w:pPr>
        <w:rPr>
          <w:rFonts w:ascii="Times" w:hAnsi="Times" w:cs="Times"/>
          <w:szCs w:val="20"/>
        </w:rPr>
      </w:pPr>
      <w:r w:rsidRPr="00394B52">
        <w:rPr>
          <w:rFonts w:ascii="Times" w:hAnsi="Times" w:cs="Times"/>
          <w:szCs w:val="20"/>
        </w:rPr>
        <w:t>Figure S10. History of mental disorders (Forest plot, funnel plot, p curve analysis plot)</w:t>
      </w:r>
    </w:p>
    <w:p w14:paraId="14CE09EB" w14:textId="77777777" w:rsidR="00394B52" w:rsidRPr="00394B52" w:rsidRDefault="00394B52" w:rsidP="00394B52">
      <w:pPr>
        <w:rPr>
          <w:rFonts w:ascii="Times" w:hAnsi="Times" w:cs="Times"/>
          <w:szCs w:val="20"/>
        </w:rPr>
      </w:pPr>
      <w:r w:rsidRPr="00394B52">
        <w:rPr>
          <w:rFonts w:ascii="Times" w:hAnsi="Times" w:cs="Times"/>
          <w:szCs w:val="20"/>
        </w:rPr>
        <w:t>Figure S11. Intimate partner violence in the past year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3F5F4760" w14:textId="77777777" w:rsidR="00394B52" w:rsidRPr="00394B52" w:rsidRDefault="00394B52" w:rsidP="00394B52">
      <w:pPr>
        <w:rPr>
          <w:rFonts w:ascii="Times" w:hAnsi="Times" w:cs="Times"/>
          <w:szCs w:val="20"/>
        </w:rPr>
      </w:pPr>
      <w:r w:rsidRPr="00394B52">
        <w:rPr>
          <w:rFonts w:ascii="Times" w:hAnsi="Times" w:cs="Times"/>
          <w:szCs w:val="20"/>
        </w:rPr>
        <w:t>Figure S12. Preterm birth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454200E5" w14:textId="77777777" w:rsidR="00394B52" w:rsidRPr="00394B52" w:rsidRDefault="00394B52" w:rsidP="00394B52">
      <w:pPr>
        <w:rPr>
          <w:rFonts w:ascii="Times" w:hAnsi="Times" w:cs="Times"/>
          <w:szCs w:val="20"/>
        </w:rPr>
      </w:pPr>
      <w:r w:rsidRPr="00394B52">
        <w:rPr>
          <w:rFonts w:ascii="Times" w:hAnsi="Times" w:cs="Times"/>
          <w:szCs w:val="20"/>
        </w:rPr>
        <w:t>Figure S13. Perinatal anemia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102934ED" w14:textId="77777777" w:rsidR="00394B52" w:rsidRPr="00394B52" w:rsidRDefault="00394B52" w:rsidP="00394B52">
      <w:pPr>
        <w:rPr>
          <w:rFonts w:ascii="Times" w:hAnsi="Times" w:cs="Times"/>
          <w:szCs w:val="20"/>
        </w:rPr>
      </w:pPr>
      <w:r w:rsidRPr="00394B52">
        <w:rPr>
          <w:rFonts w:ascii="Times" w:hAnsi="Times" w:cs="Times"/>
          <w:szCs w:val="20"/>
        </w:rPr>
        <w:t>Figure S14. Domestic violence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17E01283" w14:textId="77777777" w:rsidR="00394B52" w:rsidRPr="00394B52" w:rsidRDefault="00394B52" w:rsidP="00394B52">
      <w:pPr>
        <w:rPr>
          <w:rFonts w:ascii="Times" w:hAnsi="Times" w:cs="Times"/>
          <w:szCs w:val="20"/>
        </w:rPr>
      </w:pPr>
      <w:r w:rsidRPr="00394B52">
        <w:rPr>
          <w:rFonts w:ascii="Times" w:hAnsi="Times" w:cs="Times"/>
          <w:szCs w:val="20"/>
        </w:rPr>
        <w:t>Figure S15. Physical violence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0A32D7BA" w14:textId="77777777" w:rsidR="00394B52" w:rsidRPr="00394B52" w:rsidRDefault="00394B52" w:rsidP="00394B52">
      <w:pPr>
        <w:rPr>
          <w:rFonts w:ascii="Times" w:hAnsi="Times" w:cs="Times"/>
          <w:szCs w:val="20"/>
        </w:rPr>
      </w:pPr>
      <w:r w:rsidRPr="00394B52">
        <w:rPr>
          <w:rFonts w:ascii="Times" w:hAnsi="Times" w:cs="Times"/>
          <w:szCs w:val="20"/>
        </w:rPr>
        <w:t>Figure S16. Immigration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5B8AAD85" w14:textId="77777777" w:rsidR="00394B52" w:rsidRPr="00394B52" w:rsidRDefault="00394B52" w:rsidP="00394B52">
      <w:pPr>
        <w:rPr>
          <w:rFonts w:ascii="Times" w:hAnsi="Times" w:cs="Times"/>
          <w:szCs w:val="20"/>
        </w:rPr>
      </w:pPr>
      <w:r w:rsidRPr="00394B52">
        <w:rPr>
          <w:rFonts w:ascii="Times" w:hAnsi="Times" w:cs="Times"/>
          <w:szCs w:val="20"/>
        </w:rPr>
        <w:t>Figure S17. Pre-pregnancy underweight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722FB4EF" w14:textId="77777777" w:rsidR="00394B52" w:rsidRPr="00394B52" w:rsidRDefault="00394B52" w:rsidP="00394B52">
      <w:pPr>
        <w:rPr>
          <w:rFonts w:ascii="Times" w:hAnsi="Times" w:cs="Times"/>
          <w:szCs w:val="20"/>
        </w:rPr>
      </w:pPr>
      <w:r w:rsidRPr="00394B52">
        <w:rPr>
          <w:rFonts w:ascii="Times" w:hAnsi="Times" w:cs="Times"/>
          <w:szCs w:val="20"/>
        </w:rPr>
        <w:t>Figure S18. Sexual violence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2B3D2B10" w14:textId="77777777" w:rsidR="00394B52" w:rsidRPr="00394B52" w:rsidRDefault="00394B52" w:rsidP="00394B52">
      <w:pPr>
        <w:rPr>
          <w:rFonts w:ascii="Times" w:hAnsi="Times" w:cs="Times"/>
          <w:szCs w:val="20"/>
        </w:rPr>
      </w:pPr>
      <w:r w:rsidRPr="00394B52">
        <w:rPr>
          <w:rFonts w:ascii="Times" w:hAnsi="Times" w:cs="Times"/>
          <w:szCs w:val="20"/>
        </w:rPr>
        <w:t>Figure S19. Cesarean section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64A9D090" w14:textId="77777777" w:rsidR="00394B52" w:rsidRPr="00394B52" w:rsidRDefault="00394B52" w:rsidP="00394B52">
      <w:pPr>
        <w:rPr>
          <w:rFonts w:ascii="Times" w:hAnsi="Times" w:cs="Times"/>
          <w:szCs w:val="20"/>
        </w:rPr>
      </w:pPr>
      <w:r w:rsidRPr="00394B52">
        <w:rPr>
          <w:rFonts w:ascii="Times" w:hAnsi="Times" w:cs="Times"/>
          <w:szCs w:val="20"/>
        </w:rPr>
        <w:t>Figure S20. Pre-pregnancy obesity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61B316A7" w14:textId="77777777" w:rsidR="00394B52" w:rsidRPr="00394B52" w:rsidRDefault="00394B52" w:rsidP="00394B52">
      <w:pPr>
        <w:rPr>
          <w:rFonts w:ascii="Times" w:hAnsi="Times" w:cs="Times"/>
          <w:szCs w:val="20"/>
        </w:rPr>
      </w:pPr>
      <w:r w:rsidRPr="00394B52">
        <w:rPr>
          <w:rFonts w:ascii="Times" w:hAnsi="Times" w:cs="Times"/>
          <w:szCs w:val="20"/>
        </w:rPr>
        <w:t>Figure S21. Elective cesarean section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2E78E58D" w14:textId="77777777" w:rsidR="00394B52" w:rsidRPr="00394B52" w:rsidRDefault="00394B52" w:rsidP="00394B52">
      <w:pPr>
        <w:rPr>
          <w:rFonts w:ascii="Times" w:hAnsi="Times" w:cs="Times"/>
          <w:szCs w:val="20"/>
        </w:rPr>
      </w:pPr>
      <w:r w:rsidRPr="00394B52">
        <w:rPr>
          <w:rFonts w:ascii="Times" w:hAnsi="Times" w:cs="Times"/>
          <w:szCs w:val="20"/>
        </w:rPr>
        <w:t>Figure S22. Poor social support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6F0B26BD" w14:textId="77777777" w:rsidR="00394B52" w:rsidRPr="00394B52" w:rsidRDefault="00394B52" w:rsidP="00394B52">
      <w:pPr>
        <w:rPr>
          <w:rFonts w:ascii="Times" w:hAnsi="Times" w:cs="Times"/>
          <w:szCs w:val="20"/>
        </w:rPr>
      </w:pPr>
      <w:r w:rsidRPr="00394B52">
        <w:rPr>
          <w:rFonts w:ascii="Times" w:hAnsi="Times" w:cs="Times"/>
          <w:szCs w:val="20"/>
        </w:rPr>
        <w:lastRenderedPageBreak/>
        <w:t>Figure S23. History of depression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19DA1CAB" w14:textId="77777777" w:rsidR="00394B52" w:rsidRPr="00394B52" w:rsidRDefault="00394B52" w:rsidP="00394B52">
      <w:pPr>
        <w:rPr>
          <w:rFonts w:ascii="Times" w:hAnsi="Times" w:cs="Times"/>
          <w:szCs w:val="20"/>
        </w:rPr>
      </w:pPr>
      <w:r w:rsidRPr="00394B52">
        <w:rPr>
          <w:rFonts w:ascii="Times" w:hAnsi="Times" w:cs="Times"/>
          <w:szCs w:val="20"/>
        </w:rPr>
        <w:t>Figure S25. Poor sleep quality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5F8A9746" w14:textId="77777777" w:rsidR="00394B52" w:rsidRPr="00394B52" w:rsidRDefault="00394B52" w:rsidP="00394B52">
      <w:pPr>
        <w:rPr>
          <w:rFonts w:ascii="Times" w:hAnsi="Times" w:cs="Times"/>
          <w:szCs w:val="20"/>
        </w:rPr>
      </w:pPr>
      <w:r w:rsidRPr="00394B52">
        <w:rPr>
          <w:rFonts w:ascii="Times" w:hAnsi="Times" w:cs="Times"/>
          <w:szCs w:val="20"/>
        </w:rPr>
        <w:t>Figure S26. History of substance abuse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62DA3963" w14:textId="77777777" w:rsidR="00394B52" w:rsidRPr="00394B52" w:rsidRDefault="00394B52" w:rsidP="00394B52">
      <w:pPr>
        <w:rPr>
          <w:rFonts w:ascii="Times" w:hAnsi="Times" w:cs="Times"/>
          <w:szCs w:val="20"/>
        </w:rPr>
      </w:pPr>
      <w:r w:rsidRPr="00394B52">
        <w:rPr>
          <w:rFonts w:ascii="Times" w:hAnsi="Times" w:cs="Times"/>
          <w:szCs w:val="20"/>
        </w:rPr>
        <w:t>Figure S27. History of infant death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68D86673" w14:textId="77777777" w:rsidR="00394B52" w:rsidRPr="00394B52" w:rsidRDefault="00394B52" w:rsidP="00394B52">
      <w:pPr>
        <w:rPr>
          <w:rFonts w:ascii="Times" w:hAnsi="Times" w:cs="Times"/>
          <w:szCs w:val="20"/>
        </w:rPr>
      </w:pPr>
      <w:r w:rsidRPr="00394B52">
        <w:rPr>
          <w:rFonts w:ascii="Times" w:hAnsi="Times" w:cs="Times"/>
          <w:szCs w:val="20"/>
        </w:rPr>
        <w:t>Figure S28. Poor marital relationship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50DF41A9" w14:textId="77777777" w:rsidR="00394B52" w:rsidRPr="00394B52" w:rsidRDefault="00394B52" w:rsidP="00394B52">
      <w:pPr>
        <w:rPr>
          <w:rFonts w:ascii="Times" w:hAnsi="Times" w:cs="Times"/>
          <w:szCs w:val="20"/>
        </w:rPr>
      </w:pPr>
      <w:r w:rsidRPr="00394B52">
        <w:rPr>
          <w:rFonts w:ascii="Times" w:hAnsi="Times" w:cs="Times"/>
          <w:szCs w:val="20"/>
        </w:rPr>
        <w:t>Figure S29. History of stressful life event (</w:t>
      </w:r>
      <w:r w:rsidRPr="00394B52">
        <w:rPr>
          <w:rFonts w:ascii="Times New Roman" w:hAnsi="Times New Roman" w:cs="Times New Roman"/>
          <w:szCs w:val="20"/>
        </w:rPr>
        <w:t>Forest plot</w:t>
      </w:r>
      <w:r w:rsidRPr="00394B52">
        <w:rPr>
          <w:rFonts w:ascii="Times" w:hAnsi="Times" w:cs="Times"/>
          <w:szCs w:val="20"/>
        </w:rPr>
        <w:t>)</w:t>
      </w:r>
    </w:p>
    <w:p w14:paraId="1FE6E236"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t>Figure S30. Exposure to different types of intimate partner violence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77810815" w14:textId="77777777" w:rsidR="00394B52" w:rsidRPr="00394B52" w:rsidRDefault="00394B52" w:rsidP="00394B52">
      <w:pPr>
        <w:rPr>
          <w:rFonts w:ascii="Times" w:hAnsi="Times" w:cs="Times"/>
          <w:szCs w:val="20"/>
        </w:rPr>
      </w:pPr>
      <w:r w:rsidRPr="00394B52">
        <w:rPr>
          <w:rFonts w:ascii="Times" w:hAnsi="Times" w:cs="Times"/>
          <w:szCs w:val="20"/>
        </w:rPr>
        <w:t>Figure S31. Low income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2C1FFEFF" w14:textId="77777777" w:rsidR="00394B52" w:rsidRPr="00394B52" w:rsidRDefault="00394B52" w:rsidP="00394B52">
      <w:pPr>
        <w:rPr>
          <w:rFonts w:ascii="Times" w:hAnsi="Times" w:cs="Times"/>
          <w:szCs w:val="20"/>
        </w:rPr>
      </w:pPr>
      <w:r w:rsidRPr="00394B52">
        <w:rPr>
          <w:rFonts w:ascii="Times" w:hAnsi="Times" w:cs="Times"/>
          <w:szCs w:val="20"/>
        </w:rPr>
        <w:t>Figure S32. Adverse birth and infant health conditions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62864FBB" w14:textId="77777777" w:rsidR="00394B52" w:rsidRPr="00394B52" w:rsidRDefault="00394B52" w:rsidP="00394B52">
      <w:pPr>
        <w:rPr>
          <w:rFonts w:ascii="Times" w:hAnsi="Times" w:cs="Times"/>
          <w:szCs w:val="20"/>
        </w:rPr>
      </w:pPr>
      <w:r w:rsidRPr="00394B52">
        <w:rPr>
          <w:rFonts w:ascii="Times" w:hAnsi="Times" w:cs="Times"/>
          <w:szCs w:val="20"/>
        </w:rPr>
        <w:t>Figure S33. Postpartum anemia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55ADA3A1" w14:textId="77777777" w:rsidR="00394B52" w:rsidRPr="00394B52" w:rsidRDefault="00394B52" w:rsidP="00394B52">
      <w:pPr>
        <w:rPr>
          <w:rFonts w:ascii="Times" w:hAnsi="Times" w:cs="Times"/>
          <w:szCs w:val="20"/>
        </w:rPr>
      </w:pPr>
      <w:r w:rsidRPr="00394B52">
        <w:rPr>
          <w:rFonts w:ascii="Times" w:hAnsi="Times" w:cs="Times"/>
          <w:szCs w:val="20"/>
        </w:rPr>
        <w:t>Figure S34. Poor obstetric conditions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016B4A82" w14:textId="77777777" w:rsidR="00394B52" w:rsidRPr="00394B52" w:rsidRDefault="00394B52" w:rsidP="00394B52">
      <w:pPr>
        <w:rPr>
          <w:rFonts w:ascii="Times" w:hAnsi="Times" w:cs="Times"/>
          <w:szCs w:val="20"/>
        </w:rPr>
      </w:pPr>
      <w:r w:rsidRPr="00394B52">
        <w:rPr>
          <w:rFonts w:ascii="Times" w:hAnsi="Times" w:cs="Times"/>
          <w:szCs w:val="20"/>
        </w:rPr>
        <w:t>Figure S35. Gestational diabetes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0C1609BD" w14:textId="77777777" w:rsidR="00394B52" w:rsidRPr="00394B52" w:rsidRDefault="00394B52" w:rsidP="00394B52">
      <w:pPr>
        <w:rPr>
          <w:rFonts w:ascii="Times" w:hAnsi="Times" w:cs="Times"/>
          <w:szCs w:val="20"/>
        </w:rPr>
      </w:pPr>
      <w:r w:rsidRPr="00394B52">
        <w:rPr>
          <w:rFonts w:ascii="Times" w:hAnsi="Times" w:cs="Times"/>
          <w:szCs w:val="20"/>
        </w:rPr>
        <w:t>Figure S36. Emergency cesarean section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44804717" w14:textId="77777777" w:rsidR="00394B52" w:rsidRPr="00394B52" w:rsidRDefault="00394B52" w:rsidP="00394B52">
      <w:pPr>
        <w:rPr>
          <w:rFonts w:ascii="Times" w:hAnsi="Times" w:cs="Times"/>
          <w:szCs w:val="20"/>
        </w:rPr>
      </w:pPr>
      <w:r w:rsidRPr="00394B52">
        <w:rPr>
          <w:rFonts w:ascii="Times" w:hAnsi="Times" w:cs="Times"/>
          <w:szCs w:val="20"/>
        </w:rPr>
        <w:t>Figure S37. Childhood abuse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083421E0" w14:textId="77777777" w:rsidR="00394B52" w:rsidRPr="00394B52" w:rsidRDefault="00394B52" w:rsidP="00394B52">
      <w:pPr>
        <w:rPr>
          <w:rFonts w:ascii="Times" w:hAnsi="Times" w:cs="Times"/>
          <w:szCs w:val="20"/>
        </w:rPr>
      </w:pPr>
      <w:r w:rsidRPr="00394B52">
        <w:rPr>
          <w:rFonts w:ascii="Times" w:hAnsi="Times" w:cs="Times"/>
          <w:szCs w:val="20"/>
        </w:rPr>
        <w:t>Figure S38. HIV infection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5304485E" w14:textId="77777777" w:rsidR="00394B52" w:rsidRPr="00394B52" w:rsidRDefault="00394B52" w:rsidP="00394B52">
      <w:pPr>
        <w:rPr>
          <w:rFonts w:ascii="Times" w:hAnsi="Times" w:cs="Times"/>
          <w:szCs w:val="20"/>
        </w:rPr>
      </w:pPr>
      <w:r w:rsidRPr="00394B52">
        <w:rPr>
          <w:rFonts w:ascii="Times" w:hAnsi="Times" w:cs="Times"/>
          <w:szCs w:val="20"/>
        </w:rPr>
        <w:t>Figure S39. Anemia during pregnancy (</w:t>
      </w:r>
      <w:r w:rsidRPr="00394B52">
        <w:rPr>
          <w:rFonts w:ascii="Times New Roman" w:hAnsi="Times New Roman" w:cs="Times New Roman"/>
          <w:szCs w:val="20"/>
        </w:rPr>
        <w:t>Forest plot, funnel plot</w:t>
      </w:r>
      <w:r w:rsidRPr="00394B52">
        <w:rPr>
          <w:rFonts w:ascii="Times" w:hAnsi="Times" w:cs="Times"/>
          <w:szCs w:val="20"/>
        </w:rPr>
        <w:t>)</w:t>
      </w:r>
    </w:p>
    <w:p w14:paraId="66592E9D" w14:textId="77777777" w:rsidR="00394B52" w:rsidRPr="00394B52" w:rsidRDefault="00394B52" w:rsidP="00394B52">
      <w:pPr>
        <w:rPr>
          <w:rFonts w:ascii="Times" w:hAnsi="Times" w:cs="Times"/>
          <w:szCs w:val="20"/>
        </w:rPr>
      </w:pPr>
      <w:r w:rsidRPr="00394B52">
        <w:rPr>
          <w:rFonts w:ascii="Times" w:hAnsi="Times" w:cs="Times"/>
          <w:szCs w:val="20"/>
        </w:rPr>
        <w:t>Figure S40. Female infant compared to male infant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065E2F88" w14:textId="77777777" w:rsidR="00394B52" w:rsidRPr="00394B52" w:rsidRDefault="00394B52" w:rsidP="00394B52">
      <w:pPr>
        <w:rPr>
          <w:rFonts w:ascii="Times" w:hAnsi="Times" w:cs="Times"/>
          <w:szCs w:val="20"/>
        </w:rPr>
      </w:pPr>
      <w:r w:rsidRPr="00394B52">
        <w:rPr>
          <w:rFonts w:ascii="Times" w:hAnsi="Times" w:cs="Times"/>
          <w:szCs w:val="20"/>
        </w:rPr>
        <w:t>Figure S41. Pre-pregnancy overweight (</w:t>
      </w:r>
      <w:r w:rsidRPr="00394B52">
        <w:rPr>
          <w:rFonts w:ascii="Times New Roman" w:hAnsi="Times New Roman" w:cs="Times New Roman"/>
          <w:szCs w:val="20"/>
        </w:rPr>
        <w:t>Forest plot, funnel plot)</w:t>
      </w:r>
    </w:p>
    <w:p w14:paraId="6652167F" w14:textId="77777777" w:rsidR="00394B52" w:rsidRPr="00394B52" w:rsidRDefault="00394B52" w:rsidP="00394B52">
      <w:pPr>
        <w:rPr>
          <w:rFonts w:ascii="Times" w:hAnsi="Times" w:cs="Times"/>
          <w:szCs w:val="20"/>
        </w:rPr>
      </w:pPr>
      <w:r w:rsidRPr="00394B52">
        <w:rPr>
          <w:rFonts w:ascii="Times" w:hAnsi="Times" w:cs="Times"/>
          <w:szCs w:val="20"/>
        </w:rPr>
        <w:t>Figure S42. Active husband participation in maternal healthcare/services during pregnancy (Forest plot)</w:t>
      </w:r>
    </w:p>
    <w:p w14:paraId="7635F8C6" w14:textId="77777777" w:rsidR="00394B52" w:rsidRPr="00394B52" w:rsidRDefault="00394B52" w:rsidP="00394B52">
      <w:pPr>
        <w:rPr>
          <w:rFonts w:ascii="Times" w:hAnsi="Times" w:cs="Times"/>
          <w:szCs w:val="20"/>
        </w:rPr>
      </w:pPr>
      <w:r w:rsidRPr="00394B52">
        <w:rPr>
          <w:rFonts w:ascii="Times" w:hAnsi="Times" w:cs="Times"/>
          <w:szCs w:val="20"/>
        </w:rPr>
        <w:t>Figure S43. Active husband participation in maternal healthcare/services postpartum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0F95C0B0" w14:textId="77777777" w:rsidR="00394B52" w:rsidRPr="00394B52" w:rsidRDefault="00394B52" w:rsidP="00394B52">
      <w:pPr>
        <w:rPr>
          <w:rFonts w:ascii="Times" w:hAnsi="Times" w:cs="Times"/>
          <w:szCs w:val="20"/>
        </w:rPr>
      </w:pPr>
      <w:r w:rsidRPr="00394B52">
        <w:rPr>
          <w:rFonts w:ascii="Times" w:hAnsi="Times" w:cs="Times"/>
          <w:szCs w:val="20"/>
        </w:rPr>
        <w:t>Figure S44. Family history of mental illness (</w:t>
      </w:r>
      <w:r w:rsidRPr="00394B52">
        <w:rPr>
          <w:rFonts w:ascii="Times New Roman" w:hAnsi="Times New Roman" w:cs="Times New Roman"/>
          <w:szCs w:val="20"/>
        </w:rPr>
        <w:t>Forest plot</w:t>
      </w:r>
      <w:r w:rsidRPr="00394B52">
        <w:rPr>
          <w:rFonts w:ascii="Times" w:hAnsi="Times" w:cs="Times"/>
          <w:szCs w:val="20"/>
        </w:rPr>
        <w:t>)</w:t>
      </w:r>
    </w:p>
    <w:p w14:paraId="7F0DE40B" w14:textId="77777777" w:rsidR="00394B52" w:rsidRPr="00394B52" w:rsidRDefault="00394B52" w:rsidP="00394B52">
      <w:pPr>
        <w:rPr>
          <w:rFonts w:ascii="Times" w:hAnsi="Times" w:cs="Times"/>
          <w:szCs w:val="20"/>
        </w:rPr>
      </w:pPr>
      <w:r w:rsidRPr="00394B52">
        <w:rPr>
          <w:rFonts w:ascii="Times" w:hAnsi="Times" w:cs="Times"/>
          <w:szCs w:val="20"/>
        </w:rPr>
        <w:t>Figure S45. Labor epidural analgesia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52F27E78" w14:textId="77777777" w:rsidR="00394B52" w:rsidRPr="00394B52" w:rsidRDefault="00394B52" w:rsidP="00394B52">
      <w:pPr>
        <w:rPr>
          <w:rFonts w:ascii="Times" w:hAnsi="Times" w:cs="Times"/>
          <w:szCs w:val="20"/>
        </w:rPr>
      </w:pPr>
      <w:r w:rsidRPr="00394B52">
        <w:rPr>
          <w:rFonts w:ascii="Times" w:hAnsi="Times" w:cs="Times"/>
          <w:szCs w:val="20"/>
        </w:rPr>
        <w:t>Figure S46. Serum 25(OH)D level &lt; 50 nmol/L (</w:t>
      </w:r>
      <w:r w:rsidRPr="00394B52">
        <w:rPr>
          <w:rFonts w:ascii="Times New Roman" w:hAnsi="Times New Roman" w:cs="Times New Roman"/>
          <w:szCs w:val="20"/>
        </w:rPr>
        <w:t>Forest plot, funnel plot</w:t>
      </w:r>
      <w:r w:rsidRPr="00394B52">
        <w:rPr>
          <w:rFonts w:ascii="Times" w:hAnsi="Times" w:cs="Times"/>
          <w:szCs w:val="20"/>
        </w:rPr>
        <w:t>)</w:t>
      </w:r>
    </w:p>
    <w:p w14:paraId="3BEAA0D4" w14:textId="77777777" w:rsidR="00394B52" w:rsidRPr="00394B52" w:rsidRDefault="00394B52" w:rsidP="00394B52">
      <w:pPr>
        <w:rPr>
          <w:rFonts w:ascii="Times" w:hAnsi="Times" w:cs="Times"/>
          <w:szCs w:val="20"/>
        </w:rPr>
      </w:pPr>
      <w:r w:rsidRPr="00394B52">
        <w:rPr>
          <w:rFonts w:ascii="Times" w:hAnsi="Times" w:cs="Times"/>
          <w:szCs w:val="20"/>
        </w:rPr>
        <w:t>Figure S47. High concentration of serum 25(OH)D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3328B9B0" w14:textId="77777777" w:rsidR="00394B52" w:rsidRPr="00394B52" w:rsidRDefault="00394B52" w:rsidP="00394B52">
      <w:pPr>
        <w:rPr>
          <w:rFonts w:ascii="Times" w:hAnsi="Times" w:cs="Times"/>
          <w:szCs w:val="20"/>
        </w:rPr>
      </w:pPr>
      <w:r w:rsidRPr="00394B52">
        <w:rPr>
          <w:rFonts w:ascii="Times" w:hAnsi="Times" w:cs="Times"/>
          <w:szCs w:val="20"/>
        </w:rPr>
        <w:t>Figure S48. Omega-6/omega-3 ratio (</w:t>
      </w:r>
      <w:r w:rsidRPr="00394B52">
        <w:rPr>
          <w:rFonts w:ascii="Times New Roman" w:hAnsi="Times New Roman" w:cs="Times New Roman"/>
          <w:szCs w:val="20"/>
        </w:rPr>
        <w:t>Forest plot, funnel plot</w:t>
      </w:r>
      <w:r w:rsidRPr="00394B52">
        <w:rPr>
          <w:rFonts w:ascii="Times" w:hAnsi="Times" w:cs="Times"/>
          <w:szCs w:val="20"/>
        </w:rPr>
        <w:t>)</w:t>
      </w:r>
    </w:p>
    <w:p w14:paraId="3C685228"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t>Figure S49. Positive anti-</w:t>
      </w:r>
      <w:proofErr w:type="spellStart"/>
      <w:r w:rsidRPr="00394B52">
        <w:rPr>
          <w:rFonts w:ascii="Times" w:hAnsi="Times" w:cs="Times"/>
          <w:szCs w:val="20"/>
        </w:rPr>
        <w:t>thyroperoxidase</w:t>
      </w:r>
      <w:proofErr w:type="spellEnd"/>
      <w:r w:rsidRPr="00394B52">
        <w:rPr>
          <w:rFonts w:ascii="Times" w:hAnsi="Times" w:cs="Times"/>
          <w:szCs w:val="20"/>
        </w:rPr>
        <w:t xml:space="preserve"> antibodies (</w:t>
      </w:r>
      <w:r w:rsidRPr="00394B52">
        <w:rPr>
          <w:rFonts w:ascii="Times New Roman" w:hAnsi="Times New Roman" w:cs="Times New Roman"/>
          <w:szCs w:val="20"/>
        </w:rPr>
        <w:t>Forest plot, funnel plot, p curve analysis plot</w:t>
      </w:r>
      <w:r w:rsidRPr="00394B52">
        <w:rPr>
          <w:rFonts w:ascii="Times" w:hAnsi="Times" w:cs="Times"/>
          <w:szCs w:val="20"/>
        </w:rPr>
        <w:t>)</w:t>
      </w:r>
    </w:p>
    <w:p w14:paraId="09248B5F" w14:textId="77777777" w:rsidR="00394B52" w:rsidRPr="00394B52" w:rsidRDefault="00394B52" w:rsidP="00394B52">
      <w:pPr>
        <w:rPr>
          <w:rFonts w:ascii="Times" w:hAnsi="Times" w:cs="Times"/>
          <w:szCs w:val="20"/>
        </w:rPr>
      </w:pPr>
      <w:r w:rsidRPr="00394B52">
        <w:rPr>
          <w:rFonts w:ascii="Times" w:hAnsi="Times" w:cs="Times"/>
          <w:szCs w:val="20"/>
        </w:rPr>
        <w:t>Figure S50. Total omega-6 acid (</w:t>
      </w:r>
      <w:r w:rsidRPr="00394B52">
        <w:rPr>
          <w:rFonts w:ascii="Times New Roman" w:hAnsi="Times New Roman" w:cs="Times New Roman"/>
          <w:szCs w:val="20"/>
        </w:rPr>
        <w:t>Forest plot, funnel plot</w:t>
      </w:r>
      <w:r w:rsidRPr="00394B52">
        <w:rPr>
          <w:rFonts w:ascii="Times" w:hAnsi="Times" w:cs="Times"/>
          <w:szCs w:val="20"/>
        </w:rPr>
        <w:t>)</w:t>
      </w:r>
    </w:p>
    <w:p w14:paraId="5A036FE3" w14:textId="77777777" w:rsidR="00394B52" w:rsidRPr="00394B52" w:rsidRDefault="00394B52" w:rsidP="00394B52">
      <w:pPr>
        <w:rPr>
          <w:rFonts w:ascii="Times" w:hAnsi="Times" w:cs="Times"/>
          <w:szCs w:val="20"/>
        </w:rPr>
      </w:pPr>
      <w:r w:rsidRPr="00394B52">
        <w:rPr>
          <w:rFonts w:ascii="Times" w:hAnsi="Times" w:cs="Times"/>
          <w:szCs w:val="20"/>
        </w:rPr>
        <w:t>Figure S51. Arachidonic acid (</w:t>
      </w:r>
      <w:r w:rsidRPr="00394B52">
        <w:rPr>
          <w:rFonts w:ascii="Times New Roman" w:hAnsi="Times New Roman" w:cs="Times New Roman"/>
          <w:szCs w:val="20"/>
        </w:rPr>
        <w:t>Forest plot, funnel plot</w:t>
      </w:r>
      <w:r w:rsidRPr="00394B52">
        <w:rPr>
          <w:rFonts w:ascii="Times" w:hAnsi="Times" w:cs="Times"/>
          <w:szCs w:val="20"/>
        </w:rPr>
        <w:t>)</w:t>
      </w:r>
    </w:p>
    <w:p w14:paraId="50E83008" w14:textId="77777777" w:rsidR="00394B52" w:rsidRPr="00394B52" w:rsidRDefault="00394B52" w:rsidP="00394B52">
      <w:pPr>
        <w:rPr>
          <w:rFonts w:ascii="Times" w:hAnsi="Times" w:cs="Times"/>
          <w:szCs w:val="20"/>
        </w:rPr>
      </w:pPr>
      <w:r w:rsidRPr="00394B52">
        <w:rPr>
          <w:rFonts w:ascii="Times" w:hAnsi="Times" w:cs="Times"/>
          <w:szCs w:val="20"/>
        </w:rPr>
        <w:t xml:space="preserve">Figure S52. </w:t>
      </w:r>
      <w:proofErr w:type="spellStart"/>
      <w:r w:rsidRPr="00394B52">
        <w:rPr>
          <w:rFonts w:ascii="Times" w:hAnsi="Times" w:cs="Times"/>
          <w:szCs w:val="20"/>
        </w:rPr>
        <w:t>Eicosapentaenoic</w:t>
      </w:r>
      <w:proofErr w:type="spellEnd"/>
      <w:r w:rsidRPr="00394B52">
        <w:rPr>
          <w:rFonts w:ascii="Times" w:hAnsi="Times" w:cs="Times"/>
          <w:szCs w:val="20"/>
        </w:rPr>
        <w:t xml:space="preserve"> acid (</w:t>
      </w:r>
      <w:r w:rsidRPr="00394B52">
        <w:rPr>
          <w:rFonts w:ascii="Times New Roman" w:hAnsi="Times New Roman" w:cs="Times New Roman"/>
          <w:szCs w:val="20"/>
        </w:rPr>
        <w:t>Forest plot, funnel plot</w:t>
      </w:r>
      <w:r w:rsidRPr="00394B52">
        <w:rPr>
          <w:rFonts w:ascii="Times" w:hAnsi="Times" w:cs="Times"/>
          <w:szCs w:val="20"/>
        </w:rPr>
        <w:t>)</w:t>
      </w:r>
    </w:p>
    <w:p w14:paraId="76877134" w14:textId="77777777" w:rsidR="00394B52" w:rsidRPr="00394B52" w:rsidRDefault="00394B52" w:rsidP="00394B52">
      <w:pPr>
        <w:rPr>
          <w:rFonts w:ascii="Times" w:hAnsi="Times" w:cs="Times"/>
          <w:szCs w:val="20"/>
        </w:rPr>
      </w:pPr>
      <w:r w:rsidRPr="00394B52">
        <w:rPr>
          <w:rFonts w:ascii="Times" w:hAnsi="Times" w:cs="Times"/>
          <w:szCs w:val="20"/>
        </w:rPr>
        <w:t>Figure S53. Docosahexaenoic acid (</w:t>
      </w:r>
      <w:r w:rsidRPr="00394B52">
        <w:rPr>
          <w:rFonts w:ascii="Times New Roman" w:hAnsi="Times New Roman" w:cs="Times New Roman"/>
          <w:szCs w:val="20"/>
        </w:rPr>
        <w:t>Forest plot, funnel plot</w:t>
      </w:r>
      <w:r w:rsidRPr="00394B52">
        <w:rPr>
          <w:rFonts w:ascii="Times" w:hAnsi="Times" w:cs="Times"/>
          <w:szCs w:val="20"/>
        </w:rPr>
        <w:t>)</w:t>
      </w:r>
    </w:p>
    <w:p w14:paraId="450ED0FA" w14:textId="77777777" w:rsidR="00394B52" w:rsidRPr="00394B52" w:rsidRDefault="00394B52" w:rsidP="00394B52">
      <w:pPr>
        <w:rPr>
          <w:rFonts w:ascii="Times" w:hAnsi="Times" w:cs="Times"/>
          <w:szCs w:val="20"/>
        </w:rPr>
      </w:pPr>
      <w:r w:rsidRPr="00394B52">
        <w:rPr>
          <w:rFonts w:ascii="Times" w:hAnsi="Times" w:cs="Times"/>
          <w:szCs w:val="20"/>
        </w:rPr>
        <w:t>Figure S54. Total omega-3 acid (</w:t>
      </w:r>
      <w:r w:rsidRPr="00394B52">
        <w:rPr>
          <w:rFonts w:ascii="Times New Roman" w:hAnsi="Times New Roman" w:cs="Times New Roman"/>
          <w:szCs w:val="20"/>
        </w:rPr>
        <w:t>Forest plot, funnel plot</w:t>
      </w:r>
      <w:r w:rsidRPr="00394B52">
        <w:rPr>
          <w:rFonts w:ascii="Times" w:hAnsi="Times" w:cs="Times"/>
          <w:szCs w:val="20"/>
        </w:rPr>
        <w:t>)</w:t>
      </w:r>
    </w:p>
    <w:p w14:paraId="6473CEAD" w14:textId="77777777" w:rsidR="00394B52" w:rsidRPr="00394B52" w:rsidRDefault="00394B52" w:rsidP="00394B52">
      <w:pPr>
        <w:widowControl/>
        <w:wordWrap/>
        <w:autoSpaceDE/>
        <w:autoSpaceDN/>
        <w:rPr>
          <w:rFonts w:ascii="Times" w:hAnsi="Times" w:cs="Times"/>
        </w:rPr>
      </w:pPr>
      <w:r w:rsidRPr="00394B52">
        <w:rPr>
          <w:rFonts w:ascii="Times" w:hAnsi="Times" w:cs="Times"/>
        </w:rPr>
        <w:br w:type="page"/>
      </w:r>
    </w:p>
    <w:p w14:paraId="49CCA41B" w14:textId="77777777" w:rsidR="00394B52" w:rsidRPr="00394B52" w:rsidRDefault="00394B52" w:rsidP="00394B52">
      <w:pPr>
        <w:jc w:val="left"/>
        <w:rPr>
          <w:rFonts w:ascii="Times" w:hAnsi="Times" w:cs="Times"/>
          <w:b/>
          <w:bCs/>
        </w:rPr>
      </w:pPr>
      <w:r w:rsidRPr="00394B52">
        <w:rPr>
          <w:rFonts w:ascii="Times" w:hAnsi="Times" w:cs="Times"/>
          <w:b/>
          <w:bCs/>
        </w:rPr>
        <w:lastRenderedPageBreak/>
        <w:t xml:space="preserve">PRISMA checklist </w:t>
      </w:r>
    </w:p>
    <w:tbl>
      <w:tblPr>
        <w:tblW w:w="10368" w:type="dxa"/>
        <w:tblBorders>
          <w:top w:val="nil"/>
          <w:left w:val="nil"/>
          <w:bottom w:val="nil"/>
          <w:right w:val="nil"/>
        </w:tblBorders>
        <w:tblLook w:val="0000" w:firstRow="0" w:lastRow="0" w:firstColumn="0" w:lastColumn="0" w:noHBand="0" w:noVBand="0"/>
      </w:tblPr>
      <w:tblGrid>
        <w:gridCol w:w="1700"/>
        <w:gridCol w:w="671"/>
        <w:gridCol w:w="6412"/>
        <w:gridCol w:w="1585"/>
      </w:tblGrid>
      <w:tr w:rsidR="00394B52" w:rsidRPr="00394B52" w14:paraId="220623AF" w14:textId="77777777" w:rsidTr="00E01118">
        <w:trPr>
          <w:trHeight w:val="63"/>
          <w:tblHeader/>
        </w:trPr>
        <w:tc>
          <w:tcPr>
            <w:tcW w:w="1700" w:type="dxa"/>
            <w:tcBorders>
              <w:top w:val="double" w:sz="5" w:space="0" w:color="000000"/>
              <w:left w:val="single" w:sz="5" w:space="0" w:color="000000"/>
              <w:bottom w:val="double" w:sz="2" w:space="0" w:color="FFFFCC"/>
              <w:right w:val="single" w:sz="5" w:space="0" w:color="000000"/>
            </w:tcBorders>
            <w:shd w:val="clear" w:color="auto" w:fill="63639A"/>
            <w:vAlign w:val="center"/>
          </w:tcPr>
          <w:p w14:paraId="4AC070CE" w14:textId="77777777" w:rsidR="00394B52" w:rsidRPr="00394B52" w:rsidRDefault="00394B52" w:rsidP="00394B52">
            <w:pPr>
              <w:wordWrap/>
              <w:adjustRightInd w:val="0"/>
              <w:spacing w:after="0" w:line="240" w:lineRule="auto"/>
              <w:jc w:val="left"/>
              <w:rPr>
                <w:rFonts w:ascii="Times" w:hAnsi="Times" w:cs="Times"/>
                <w:color w:val="FFFFFF"/>
                <w:kern w:val="0"/>
                <w:sz w:val="18"/>
                <w:szCs w:val="18"/>
                <w:lang w:val="en-CA" w:eastAsia="en-CA"/>
              </w:rPr>
            </w:pPr>
            <w:r w:rsidRPr="00394B52">
              <w:rPr>
                <w:rFonts w:ascii="Times" w:hAnsi="Times" w:cs="Times"/>
                <w:color w:val="FFFFFF"/>
                <w:kern w:val="0"/>
                <w:sz w:val="18"/>
                <w:szCs w:val="18"/>
                <w:lang w:val="en-CA" w:eastAsia="en-CA"/>
              </w:rPr>
              <w:t xml:space="preserve">Section and Topic </w:t>
            </w:r>
          </w:p>
        </w:tc>
        <w:tc>
          <w:tcPr>
            <w:tcW w:w="671" w:type="dxa"/>
            <w:tcBorders>
              <w:top w:val="double" w:sz="5" w:space="0" w:color="000000"/>
              <w:left w:val="single" w:sz="5" w:space="0" w:color="000000"/>
              <w:bottom w:val="double" w:sz="2" w:space="0" w:color="FFFFCC"/>
              <w:right w:val="single" w:sz="5" w:space="0" w:color="000000"/>
            </w:tcBorders>
            <w:shd w:val="clear" w:color="auto" w:fill="63639A"/>
            <w:vAlign w:val="center"/>
          </w:tcPr>
          <w:p w14:paraId="53B4763C" w14:textId="77777777" w:rsidR="00394B52" w:rsidRPr="00394B52" w:rsidRDefault="00394B52" w:rsidP="00394B52">
            <w:pPr>
              <w:wordWrap/>
              <w:adjustRightInd w:val="0"/>
              <w:spacing w:after="0" w:line="240" w:lineRule="auto"/>
              <w:jc w:val="left"/>
              <w:rPr>
                <w:rFonts w:ascii="Times" w:hAnsi="Times" w:cs="Times"/>
                <w:color w:val="FFFFFF"/>
                <w:kern w:val="0"/>
                <w:sz w:val="18"/>
                <w:szCs w:val="18"/>
                <w:lang w:val="en-CA" w:eastAsia="en-CA"/>
              </w:rPr>
            </w:pPr>
            <w:r w:rsidRPr="00394B52">
              <w:rPr>
                <w:rFonts w:ascii="Times" w:hAnsi="Times" w:cs="Times"/>
                <w:color w:val="FFFFFF"/>
                <w:kern w:val="0"/>
                <w:sz w:val="18"/>
                <w:szCs w:val="18"/>
                <w:lang w:val="en-CA" w:eastAsia="en-CA"/>
              </w:rPr>
              <w:t>Item #</w:t>
            </w:r>
          </w:p>
        </w:tc>
        <w:tc>
          <w:tcPr>
            <w:tcW w:w="6412" w:type="dxa"/>
            <w:tcBorders>
              <w:top w:val="double" w:sz="5" w:space="0" w:color="000000"/>
              <w:left w:val="single" w:sz="5" w:space="0" w:color="000000"/>
              <w:bottom w:val="double" w:sz="5" w:space="0" w:color="000000"/>
              <w:right w:val="single" w:sz="5" w:space="0" w:color="000000"/>
            </w:tcBorders>
            <w:shd w:val="clear" w:color="auto" w:fill="63639A"/>
            <w:vAlign w:val="center"/>
          </w:tcPr>
          <w:p w14:paraId="4D28CF1C" w14:textId="77777777" w:rsidR="00394B52" w:rsidRPr="00394B52" w:rsidRDefault="00394B52" w:rsidP="00394B52">
            <w:pPr>
              <w:wordWrap/>
              <w:adjustRightInd w:val="0"/>
              <w:spacing w:after="0" w:line="240" w:lineRule="auto"/>
              <w:jc w:val="left"/>
              <w:rPr>
                <w:rFonts w:ascii="Times" w:hAnsi="Times" w:cs="Times"/>
                <w:color w:val="FFFFFF"/>
                <w:kern w:val="0"/>
                <w:sz w:val="18"/>
                <w:szCs w:val="18"/>
                <w:lang w:val="en-CA" w:eastAsia="en-CA"/>
              </w:rPr>
            </w:pPr>
            <w:r w:rsidRPr="00394B52">
              <w:rPr>
                <w:rFonts w:ascii="Times" w:hAnsi="Times" w:cs="Times"/>
                <w:color w:val="FFFFFF"/>
                <w:kern w:val="0"/>
                <w:sz w:val="18"/>
                <w:szCs w:val="18"/>
                <w:lang w:val="en-CA" w:eastAsia="en-CA"/>
              </w:rPr>
              <w:t xml:space="preserve">Checklist item </w:t>
            </w:r>
          </w:p>
        </w:tc>
        <w:tc>
          <w:tcPr>
            <w:tcW w:w="1585" w:type="dxa"/>
            <w:tcBorders>
              <w:top w:val="double" w:sz="5" w:space="0" w:color="000000"/>
              <w:left w:val="single" w:sz="5" w:space="0" w:color="000000"/>
              <w:bottom w:val="double" w:sz="5" w:space="0" w:color="000000"/>
              <w:right w:val="single" w:sz="5" w:space="0" w:color="000000"/>
            </w:tcBorders>
            <w:shd w:val="clear" w:color="auto" w:fill="63639A"/>
            <w:vAlign w:val="center"/>
          </w:tcPr>
          <w:p w14:paraId="319E53EB" w14:textId="77777777" w:rsidR="00394B52" w:rsidRPr="00394B52" w:rsidRDefault="00394B52" w:rsidP="00394B52">
            <w:pPr>
              <w:wordWrap/>
              <w:adjustRightInd w:val="0"/>
              <w:spacing w:after="0" w:line="240" w:lineRule="auto"/>
              <w:jc w:val="left"/>
              <w:rPr>
                <w:rFonts w:ascii="Times" w:hAnsi="Times" w:cs="Times"/>
                <w:color w:val="FFFFFF"/>
                <w:kern w:val="0"/>
                <w:sz w:val="18"/>
                <w:szCs w:val="18"/>
                <w:lang w:val="en-CA" w:eastAsia="en-CA"/>
              </w:rPr>
            </w:pPr>
            <w:r w:rsidRPr="00394B52">
              <w:rPr>
                <w:rFonts w:ascii="Times" w:hAnsi="Times" w:cs="Times"/>
                <w:color w:val="FFFFFF"/>
                <w:kern w:val="0"/>
                <w:sz w:val="18"/>
                <w:szCs w:val="18"/>
                <w:lang w:val="en-CA" w:eastAsia="en-CA"/>
              </w:rPr>
              <w:t xml:space="preserve">Location where item is reported </w:t>
            </w:r>
          </w:p>
        </w:tc>
      </w:tr>
      <w:tr w:rsidR="00394B52" w:rsidRPr="00394B52" w14:paraId="310AAD19" w14:textId="77777777" w:rsidTr="00E01118">
        <w:trPr>
          <w:trHeight w:val="23"/>
        </w:trPr>
        <w:tc>
          <w:tcPr>
            <w:tcW w:w="8783"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6093A4B9" w14:textId="77777777" w:rsidR="00394B52" w:rsidRPr="00394B52" w:rsidRDefault="00394B52" w:rsidP="00394B52">
            <w:pPr>
              <w:wordWrap/>
              <w:adjustRightInd w:val="0"/>
              <w:spacing w:after="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TITLE </w:t>
            </w:r>
          </w:p>
        </w:tc>
        <w:tc>
          <w:tcPr>
            <w:tcW w:w="1585" w:type="dxa"/>
            <w:tcBorders>
              <w:top w:val="double" w:sz="5" w:space="0" w:color="000000"/>
              <w:left w:val="single" w:sz="5" w:space="0" w:color="000000"/>
              <w:bottom w:val="single" w:sz="5" w:space="0" w:color="000000"/>
              <w:right w:val="single" w:sz="5" w:space="0" w:color="000000"/>
            </w:tcBorders>
            <w:shd w:val="clear" w:color="auto" w:fill="FFFFCC"/>
          </w:tcPr>
          <w:p w14:paraId="1B23373C" w14:textId="77777777" w:rsidR="00394B52" w:rsidRPr="00394B52" w:rsidRDefault="00394B52" w:rsidP="00394B52">
            <w:pPr>
              <w:wordWrap/>
              <w:adjustRightInd w:val="0"/>
              <w:spacing w:after="0" w:line="240" w:lineRule="auto"/>
              <w:jc w:val="right"/>
              <w:rPr>
                <w:rFonts w:ascii="Times" w:hAnsi="Times" w:cs="Times"/>
                <w:kern w:val="0"/>
                <w:sz w:val="18"/>
                <w:szCs w:val="18"/>
                <w:lang w:val="en-CA" w:eastAsia="en-CA"/>
              </w:rPr>
            </w:pPr>
          </w:p>
        </w:tc>
      </w:tr>
      <w:tr w:rsidR="00394B52" w:rsidRPr="00394B52" w14:paraId="167185FF" w14:textId="77777777" w:rsidTr="00E01118">
        <w:trPr>
          <w:trHeight w:val="46"/>
        </w:trPr>
        <w:tc>
          <w:tcPr>
            <w:tcW w:w="1700" w:type="dxa"/>
            <w:tcBorders>
              <w:top w:val="single" w:sz="5" w:space="0" w:color="000000"/>
              <w:left w:val="single" w:sz="5" w:space="0" w:color="000000"/>
              <w:bottom w:val="double" w:sz="2" w:space="0" w:color="FFFFCC"/>
              <w:right w:val="single" w:sz="5" w:space="0" w:color="000000"/>
            </w:tcBorders>
          </w:tcPr>
          <w:p w14:paraId="019F69AF"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Title </w:t>
            </w:r>
          </w:p>
        </w:tc>
        <w:tc>
          <w:tcPr>
            <w:tcW w:w="671" w:type="dxa"/>
            <w:tcBorders>
              <w:top w:val="single" w:sz="5" w:space="0" w:color="000000"/>
              <w:left w:val="single" w:sz="5" w:space="0" w:color="000000"/>
              <w:bottom w:val="double" w:sz="2" w:space="0" w:color="FFFFCC"/>
              <w:right w:val="single" w:sz="5" w:space="0" w:color="000000"/>
            </w:tcBorders>
          </w:tcPr>
          <w:p w14:paraId="5BA60AA1"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w:t>
            </w:r>
          </w:p>
        </w:tc>
        <w:tc>
          <w:tcPr>
            <w:tcW w:w="6412" w:type="dxa"/>
            <w:tcBorders>
              <w:top w:val="single" w:sz="5" w:space="0" w:color="000000"/>
              <w:left w:val="single" w:sz="5" w:space="0" w:color="000000"/>
              <w:bottom w:val="double" w:sz="5" w:space="0" w:color="000000"/>
              <w:right w:val="single" w:sz="5" w:space="0" w:color="000000"/>
            </w:tcBorders>
          </w:tcPr>
          <w:p w14:paraId="0BF2BB34"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Identify the report as a systematic review.</w:t>
            </w:r>
          </w:p>
        </w:tc>
        <w:tc>
          <w:tcPr>
            <w:tcW w:w="1585" w:type="dxa"/>
            <w:tcBorders>
              <w:top w:val="single" w:sz="5" w:space="0" w:color="000000"/>
              <w:left w:val="single" w:sz="5" w:space="0" w:color="000000"/>
              <w:bottom w:val="double" w:sz="5" w:space="0" w:color="000000"/>
              <w:right w:val="single" w:sz="5" w:space="0" w:color="000000"/>
            </w:tcBorders>
          </w:tcPr>
          <w:p w14:paraId="7A046A5E"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1</w:t>
            </w:r>
          </w:p>
        </w:tc>
      </w:tr>
      <w:tr w:rsidR="00394B52" w:rsidRPr="00394B52" w14:paraId="041D9777" w14:textId="77777777" w:rsidTr="00E01118">
        <w:trPr>
          <w:trHeight w:val="23"/>
        </w:trPr>
        <w:tc>
          <w:tcPr>
            <w:tcW w:w="8783"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1C2E4634" w14:textId="77777777" w:rsidR="00394B52" w:rsidRPr="00394B52" w:rsidRDefault="00394B52" w:rsidP="00394B52">
            <w:pPr>
              <w:wordWrap/>
              <w:adjustRightInd w:val="0"/>
              <w:spacing w:after="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ABSTRACT </w:t>
            </w:r>
          </w:p>
        </w:tc>
        <w:tc>
          <w:tcPr>
            <w:tcW w:w="1585" w:type="dxa"/>
            <w:tcBorders>
              <w:top w:val="double" w:sz="5" w:space="0" w:color="000000"/>
              <w:left w:val="single" w:sz="5" w:space="0" w:color="000000"/>
              <w:bottom w:val="single" w:sz="5" w:space="0" w:color="000000"/>
              <w:right w:val="single" w:sz="5" w:space="0" w:color="000000"/>
            </w:tcBorders>
            <w:shd w:val="clear" w:color="auto" w:fill="FFFFCC"/>
          </w:tcPr>
          <w:p w14:paraId="36480611" w14:textId="77777777" w:rsidR="00394B52" w:rsidRPr="00394B52" w:rsidRDefault="00394B52" w:rsidP="00394B52">
            <w:pPr>
              <w:wordWrap/>
              <w:adjustRightInd w:val="0"/>
              <w:spacing w:after="0" w:line="240" w:lineRule="auto"/>
              <w:jc w:val="right"/>
              <w:rPr>
                <w:rFonts w:ascii="Times" w:hAnsi="Times" w:cs="Times"/>
                <w:kern w:val="0"/>
                <w:sz w:val="18"/>
                <w:szCs w:val="18"/>
                <w:lang w:val="en-CA" w:eastAsia="en-CA"/>
              </w:rPr>
            </w:pPr>
          </w:p>
        </w:tc>
      </w:tr>
      <w:tr w:rsidR="00394B52" w:rsidRPr="00394B52" w14:paraId="74CF5C4B" w14:textId="77777777" w:rsidTr="00E01118">
        <w:trPr>
          <w:trHeight w:val="46"/>
        </w:trPr>
        <w:tc>
          <w:tcPr>
            <w:tcW w:w="1700" w:type="dxa"/>
            <w:tcBorders>
              <w:top w:val="single" w:sz="5" w:space="0" w:color="000000"/>
              <w:left w:val="single" w:sz="5" w:space="0" w:color="000000"/>
              <w:bottom w:val="double" w:sz="2" w:space="0" w:color="FFFFCC"/>
              <w:right w:val="single" w:sz="5" w:space="0" w:color="000000"/>
            </w:tcBorders>
          </w:tcPr>
          <w:p w14:paraId="7E48692C"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Abstract </w:t>
            </w:r>
          </w:p>
        </w:tc>
        <w:tc>
          <w:tcPr>
            <w:tcW w:w="671" w:type="dxa"/>
            <w:tcBorders>
              <w:top w:val="single" w:sz="5" w:space="0" w:color="000000"/>
              <w:left w:val="single" w:sz="5" w:space="0" w:color="000000"/>
              <w:bottom w:val="double" w:sz="2" w:space="0" w:color="FFFFCC"/>
              <w:right w:val="single" w:sz="5" w:space="0" w:color="000000"/>
            </w:tcBorders>
          </w:tcPr>
          <w:p w14:paraId="3AF7BEFC"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w:t>
            </w:r>
          </w:p>
        </w:tc>
        <w:tc>
          <w:tcPr>
            <w:tcW w:w="6412" w:type="dxa"/>
            <w:tcBorders>
              <w:top w:val="single" w:sz="5" w:space="0" w:color="000000"/>
              <w:left w:val="single" w:sz="5" w:space="0" w:color="000000"/>
              <w:bottom w:val="double" w:sz="5" w:space="0" w:color="000000"/>
              <w:right w:val="single" w:sz="5" w:space="0" w:color="000000"/>
            </w:tcBorders>
          </w:tcPr>
          <w:p w14:paraId="4D66A914"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See the PRISMA 2020 for Abstract checklist.</w:t>
            </w:r>
          </w:p>
        </w:tc>
        <w:tc>
          <w:tcPr>
            <w:tcW w:w="1585" w:type="dxa"/>
            <w:tcBorders>
              <w:top w:val="single" w:sz="5" w:space="0" w:color="000000"/>
              <w:left w:val="single" w:sz="5" w:space="0" w:color="000000"/>
              <w:bottom w:val="double" w:sz="5" w:space="0" w:color="000000"/>
              <w:right w:val="single" w:sz="5" w:space="0" w:color="000000"/>
            </w:tcBorders>
          </w:tcPr>
          <w:p w14:paraId="767154CE" w14:textId="77777777" w:rsidR="00394B52" w:rsidRPr="00394B52" w:rsidRDefault="00394B52" w:rsidP="00394B52">
            <w:pPr>
              <w:wordWrap/>
              <w:adjustRightInd w:val="0"/>
              <w:spacing w:before="40" w:after="40" w:line="240" w:lineRule="auto"/>
              <w:jc w:val="left"/>
              <w:rPr>
                <w:rFonts w:ascii="Times" w:hAnsi="Times" w:cs="Times"/>
                <w:kern w:val="0"/>
                <w:sz w:val="18"/>
                <w:szCs w:val="18"/>
              </w:rPr>
            </w:pPr>
            <w:r w:rsidRPr="00394B52">
              <w:rPr>
                <w:rFonts w:ascii="Times" w:hAnsi="Times" w:cs="Times" w:hint="eastAsia"/>
                <w:kern w:val="0"/>
                <w:sz w:val="18"/>
                <w:szCs w:val="18"/>
                <w:lang w:val="en-CA"/>
              </w:rPr>
              <w:t>S</w:t>
            </w:r>
            <w:r w:rsidRPr="00394B52">
              <w:rPr>
                <w:rFonts w:ascii="Times" w:hAnsi="Times" w:cs="Times"/>
                <w:kern w:val="0"/>
                <w:sz w:val="18"/>
                <w:szCs w:val="18"/>
                <w:lang w:val="en-CA"/>
              </w:rPr>
              <w:t>upplementary material p 7</w:t>
            </w:r>
          </w:p>
        </w:tc>
      </w:tr>
      <w:tr w:rsidR="00394B52" w:rsidRPr="00394B52" w14:paraId="024D1250" w14:textId="77777777" w:rsidTr="00E01118">
        <w:trPr>
          <w:trHeight w:val="23"/>
        </w:trPr>
        <w:tc>
          <w:tcPr>
            <w:tcW w:w="8783"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52149405" w14:textId="77777777" w:rsidR="00394B52" w:rsidRPr="00394B52" w:rsidRDefault="00394B52" w:rsidP="00394B52">
            <w:pPr>
              <w:wordWrap/>
              <w:adjustRightInd w:val="0"/>
              <w:spacing w:after="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INTRODUCTION </w:t>
            </w:r>
          </w:p>
        </w:tc>
        <w:tc>
          <w:tcPr>
            <w:tcW w:w="1585" w:type="dxa"/>
            <w:tcBorders>
              <w:top w:val="double" w:sz="5" w:space="0" w:color="000000"/>
              <w:left w:val="single" w:sz="5" w:space="0" w:color="000000"/>
              <w:bottom w:val="single" w:sz="5" w:space="0" w:color="000000"/>
              <w:right w:val="single" w:sz="5" w:space="0" w:color="000000"/>
            </w:tcBorders>
            <w:shd w:val="clear" w:color="auto" w:fill="FFFFCC"/>
          </w:tcPr>
          <w:p w14:paraId="7A7F5782" w14:textId="77777777" w:rsidR="00394B52" w:rsidRPr="00394B52" w:rsidRDefault="00394B52" w:rsidP="00394B52">
            <w:pPr>
              <w:wordWrap/>
              <w:adjustRightInd w:val="0"/>
              <w:spacing w:after="0" w:line="240" w:lineRule="auto"/>
              <w:jc w:val="right"/>
              <w:rPr>
                <w:rFonts w:ascii="Times" w:hAnsi="Times" w:cs="Times"/>
                <w:kern w:val="0"/>
                <w:sz w:val="18"/>
                <w:szCs w:val="18"/>
                <w:lang w:val="en-CA" w:eastAsia="en-CA"/>
              </w:rPr>
            </w:pPr>
          </w:p>
        </w:tc>
      </w:tr>
      <w:tr w:rsidR="00394B52" w:rsidRPr="00394B52" w14:paraId="786F1D6B" w14:textId="77777777" w:rsidTr="00E01118">
        <w:trPr>
          <w:trHeight w:val="46"/>
        </w:trPr>
        <w:tc>
          <w:tcPr>
            <w:tcW w:w="1700" w:type="dxa"/>
            <w:tcBorders>
              <w:top w:val="single" w:sz="5" w:space="0" w:color="000000"/>
              <w:left w:val="single" w:sz="5" w:space="0" w:color="000000"/>
              <w:bottom w:val="single" w:sz="5" w:space="0" w:color="000000"/>
              <w:right w:val="single" w:sz="5" w:space="0" w:color="000000"/>
            </w:tcBorders>
          </w:tcPr>
          <w:p w14:paraId="61C432BE"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Rationale </w:t>
            </w:r>
          </w:p>
        </w:tc>
        <w:tc>
          <w:tcPr>
            <w:tcW w:w="671" w:type="dxa"/>
            <w:tcBorders>
              <w:top w:val="single" w:sz="5" w:space="0" w:color="000000"/>
              <w:left w:val="single" w:sz="5" w:space="0" w:color="000000"/>
              <w:bottom w:val="single" w:sz="5" w:space="0" w:color="000000"/>
              <w:right w:val="single" w:sz="5" w:space="0" w:color="000000"/>
            </w:tcBorders>
          </w:tcPr>
          <w:p w14:paraId="3EDB9F42"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3</w:t>
            </w:r>
          </w:p>
        </w:tc>
        <w:tc>
          <w:tcPr>
            <w:tcW w:w="6412" w:type="dxa"/>
            <w:tcBorders>
              <w:top w:val="single" w:sz="5" w:space="0" w:color="000000"/>
              <w:left w:val="single" w:sz="5" w:space="0" w:color="000000"/>
              <w:bottom w:val="single" w:sz="5" w:space="0" w:color="000000"/>
              <w:right w:val="single" w:sz="5" w:space="0" w:color="000000"/>
            </w:tcBorders>
          </w:tcPr>
          <w:p w14:paraId="0A79779A"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Describe the rationale for the review in the context of existing knowledge.</w:t>
            </w:r>
          </w:p>
        </w:tc>
        <w:tc>
          <w:tcPr>
            <w:tcW w:w="1585" w:type="dxa"/>
            <w:tcBorders>
              <w:top w:val="single" w:sz="5" w:space="0" w:color="000000"/>
              <w:left w:val="single" w:sz="5" w:space="0" w:color="000000"/>
              <w:bottom w:val="single" w:sz="5" w:space="0" w:color="000000"/>
              <w:right w:val="single" w:sz="5" w:space="0" w:color="000000"/>
            </w:tcBorders>
          </w:tcPr>
          <w:p w14:paraId="70EE1381"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4</w:t>
            </w:r>
          </w:p>
        </w:tc>
      </w:tr>
      <w:tr w:rsidR="00394B52" w:rsidRPr="00394B52" w14:paraId="1633E6C5" w14:textId="77777777" w:rsidTr="00E01118">
        <w:trPr>
          <w:trHeight w:val="46"/>
        </w:trPr>
        <w:tc>
          <w:tcPr>
            <w:tcW w:w="1700" w:type="dxa"/>
            <w:tcBorders>
              <w:top w:val="single" w:sz="5" w:space="0" w:color="000000"/>
              <w:left w:val="single" w:sz="5" w:space="0" w:color="000000"/>
              <w:bottom w:val="double" w:sz="2" w:space="0" w:color="FFFFCC"/>
              <w:right w:val="single" w:sz="5" w:space="0" w:color="000000"/>
            </w:tcBorders>
          </w:tcPr>
          <w:p w14:paraId="59C87EE4"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Objectives </w:t>
            </w:r>
          </w:p>
        </w:tc>
        <w:tc>
          <w:tcPr>
            <w:tcW w:w="671" w:type="dxa"/>
            <w:tcBorders>
              <w:top w:val="single" w:sz="5" w:space="0" w:color="000000"/>
              <w:left w:val="single" w:sz="5" w:space="0" w:color="000000"/>
              <w:bottom w:val="double" w:sz="2" w:space="0" w:color="FFFFCC"/>
              <w:right w:val="single" w:sz="5" w:space="0" w:color="000000"/>
            </w:tcBorders>
          </w:tcPr>
          <w:p w14:paraId="7BB8D5C1"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4</w:t>
            </w:r>
          </w:p>
        </w:tc>
        <w:tc>
          <w:tcPr>
            <w:tcW w:w="6412" w:type="dxa"/>
            <w:tcBorders>
              <w:top w:val="single" w:sz="5" w:space="0" w:color="000000"/>
              <w:left w:val="single" w:sz="5" w:space="0" w:color="000000"/>
              <w:bottom w:val="double" w:sz="5" w:space="0" w:color="000000"/>
              <w:right w:val="single" w:sz="5" w:space="0" w:color="000000"/>
            </w:tcBorders>
          </w:tcPr>
          <w:p w14:paraId="7CED40A6"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Provide an explicit statement of the objective(s) or question(s) the review addresses.</w:t>
            </w:r>
          </w:p>
        </w:tc>
        <w:tc>
          <w:tcPr>
            <w:tcW w:w="1585" w:type="dxa"/>
            <w:tcBorders>
              <w:top w:val="single" w:sz="5" w:space="0" w:color="000000"/>
              <w:left w:val="single" w:sz="5" w:space="0" w:color="000000"/>
              <w:bottom w:val="double" w:sz="5" w:space="0" w:color="000000"/>
              <w:right w:val="single" w:sz="5" w:space="0" w:color="000000"/>
            </w:tcBorders>
          </w:tcPr>
          <w:p w14:paraId="34D6241B"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4</w:t>
            </w:r>
          </w:p>
        </w:tc>
      </w:tr>
      <w:tr w:rsidR="00394B52" w:rsidRPr="00394B52" w14:paraId="2CEDD8BF" w14:textId="77777777" w:rsidTr="00E01118">
        <w:trPr>
          <w:trHeight w:val="23"/>
        </w:trPr>
        <w:tc>
          <w:tcPr>
            <w:tcW w:w="8783"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6028C791" w14:textId="77777777" w:rsidR="00394B52" w:rsidRPr="00394B52" w:rsidRDefault="00394B52" w:rsidP="00394B52">
            <w:pPr>
              <w:wordWrap/>
              <w:adjustRightInd w:val="0"/>
              <w:spacing w:after="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METHODS </w:t>
            </w:r>
          </w:p>
        </w:tc>
        <w:tc>
          <w:tcPr>
            <w:tcW w:w="1585" w:type="dxa"/>
            <w:tcBorders>
              <w:top w:val="double" w:sz="5" w:space="0" w:color="000000"/>
              <w:left w:val="single" w:sz="5" w:space="0" w:color="000000"/>
              <w:bottom w:val="single" w:sz="5" w:space="0" w:color="000000"/>
              <w:right w:val="single" w:sz="5" w:space="0" w:color="000000"/>
            </w:tcBorders>
            <w:shd w:val="clear" w:color="auto" w:fill="FFFFCC"/>
          </w:tcPr>
          <w:p w14:paraId="177CE1C4" w14:textId="77777777" w:rsidR="00394B52" w:rsidRPr="00394B52" w:rsidRDefault="00394B52" w:rsidP="00394B52">
            <w:pPr>
              <w:wordWrap/>
              <w:adjustRightInd w:val="0"/>
              <w:spacing w:after="0" w:line="240" w:lineRule="auto"/>
              <w:jc w:val="right"/>
              <w:rPr>
                <w:rFonts w:ascii="Times" w:hAnsi="Times" w:cs="Times"/>
                <w:kern w:val="0"/>
                <w:sz w:val="18"/>
                <w:szCs w:val="18"/>
                <w:lang w:val="en-CA" w:eastAsia="en-CA"/>
              </w:rPr>
            </w:pPr>
          </w:p>
        </w:tc>
      </w:tr>
      <w:tr w:rsidR="00394B52" w:rsidRPr="00394B52" w14:paraId="28A2A0C6" w14:textId="77777777" w:rsidTr="00E01118">
        <w:trPr>
          <w:trHeight w:val="46"/>
        </w:trPr>
        <w:tc>
          <w:tcPr>
            <w:tcW w:w="1700" w:type="dxa"/>
            <w:tcBorders>
              <w:top w:val="single" w:sz="5" w:space="0" w:color="000000"/>
              <w:left w:val="single" w:sz="5" w:space="0" w:color="000000"/>
              <w:bottom w:val="single" w:sz="5" w:space="0" w:color="000000"/>
              <w:right w:val="single" w:sz="5" w:space="0" w:color="000000"/>
            </w:tcBorders>
          </w:tcPr>
          <w:p w14:paraId="3BA0E83C"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Eligibility criteria </w:t>
            </w:r>
          </w:p>
        </w:tc>
        <w:tc>
          <w:tcPr>
            <w:tcW w:w="671" w:type="dxa"/>
            <w:tcBorders>
              <w:top w:val="single" w:sz="5" w:space="0" w:color="000000"/>
              <w:left w:val="single" w:sz="5" w:space="0" w:color="000000"/>
              <w:bottom w:val="single" w:sz="5" w:space="0" w:color="000000"/>
              <w:right w:val="single" w:sz="5" w:space="0" w:color="000000"/>
            </w:tcBorders>
          </w:tcPr>
          <w:p w14:paraId="26FA1F43"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5</w:t>
            </w:r>
          </w:p>
        </w:tc>
        <w:tc>
          <w:tcPr>
            <w:tcW w:w="6412" w:type="dxa"/>
            <w:tcBorders>
              <w:top w:val="single" w:sz="5" w:space="0" w:color="000000"/>
              <w:left w:val="single" w:sz="5" w:space="0" w:color="000000"/>
              <w:bottom w:val="single" w:sz="5" w:space="0" w:color="000000"/>
              <w:right w:val="single" w:sz="5" w:space="0" w:color="000000"/>
            </w:tcBorders>
          </w:tcPr>
          <w:p w14:paraId="648E2288"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Specify the inclusion and exclusion criteria for the review and how studies were grouped for the syntheses.</w:t>
            </w:r>
          </w:p>
        </w:tc>
        <w:tc>
          <w:tcPr>
            <w:tcW w:w="1585" w:type="dxa"/>
            <w:tcBorders>
              <w:top w:val="single" w:sz="5" w:space="0" w:color="000000"/>
              <w:left w:val="single" w:sz="5" w:space="0" w:color="000000"/>
              <w:bottom w:val="single" w:sz="5" w:space="0" w:color="000000"/>
              <w:right w:val="single" w:sz="5" w:space="0" w:color="000000"/>
            </w:tcBorders>
          </w:tcPr>
          <w:p w14:paraId="3BCFA967"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5</w:t>
            </w:r>
          </w:p>
        </w:tc>
      </w:tr>
      <w:tr w:rsidR="00394B52" w:rsidRPr="00394B52" w14:paraId="42572D3E" w14:textId="77777777" w:rsidTr="00E01118">
        <w:trPr>
          <w:trHeight w:val="185"/>
        </w:trPr>
        <w:tc>
          <w:tcPr>
            <w:tcW w:w="1700" w:type="dxa"/>
            <w:tcBorders>
              <w:top w:val="single" w:sz="5" w:space="0" w:color="000000"/>
              <w:left w:val="single" w:sz="5" w:space="0" w:color="000000"/>
              <w:bottom w:val="single" w:sz="5" w:space="0" w:color="000000"/>
              <w:right w:val="single" w:sz="5" w:space="0" w:color="000000"/>
            </w:tcBorders>
          </w:tcPr>
          <w:p w14:paraId="01FE82EE"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Information sources </w:t>
            </w:r>
          </w:p>
        </w:tc>
        <w:tc>
          <w:tcPr>
            <w:tcW w:w="671" w:type="dxa"/>
            <w:tcBorders>
              <w:top w:val="single" w:sz="5" w:space="0" w:color="000000"/>
              <w:left w:val="single" w:sz="5" w:space="0" w:color="000000"/>
              <w:bottom w:val="single" w:sz="5" w:space="0" w:color="000000"/>
              <w:right w:val="single" w:sz="5" w:space="0" w:color="000000"/>
            </w:tcBorders>
          </w:tcPr>
          <w:p w14:paraId="1BF1A461"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6</w:t>
            </w:r>
          </w:p>
        </w:tc>
        <w:tc>
          <w:tcPr>
            <w:tcW w:w="6412" w:type="dxa"/>
            <w:tcBorders>
              <w:top w:val="single" w:sz="5" w:space="0" w:color="000000"/>
              <w:left w:val="single" w:sz="5" w:space="0" w:color="000000"/>
              <w:bottom w:val="single" w:sz="5" w:space="0" w:color="000000"/>
              <w:right w:val="single" w:sz="5" w:space="0" w:color="000000"/>
            </w:tcBorders>
          </w:tcPr>
          <w:p w14:paraId="203BCE65"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Specify all databases, registers, websites, organisations, reference lists and other sources searched or consulted to identify studies. Specify the date when each source was last searched or consulted.</w:t>
            </w:r>
          </w:p>
        </w:tc>
        <w:tc>
          <w:tcPr>
            <w:tcW w:w="1585" w:type="dxa"/>
            <w:tcBorders>
              <w:top w:val="single" w:sz="5" w:space="0" w:color="000000"/>
              <w:left w:val="single" w:sz="5" w:space="0" w:color="000000"/>
              <w:bottom w:val="single" w:sz="5" w:space="0" w:color="000000"/>
              <w:right w:val="single" w:sz="5" w:space="0" w:color="000000"/>
            </w:tcBorders>
          </w:tcPr>
          <w:p w14:paraId="3169C92A"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5, Figure 1</w:t>
            </w:r>
          </w:p>
        </w:tc>
      </w:tr>
      <w:tr w:rsidR="00394B52" w:rsidRPr="00394B52" w14:paraId="74EEFB2C" w14:textId="77777777" w:rsidTr="00E01118">
        <w:trPr>
          <w:trHeight w:val="46"/>
        </w:trPr>
        <w:tc>
          <w:tcPr>
            <w:tcW w:w="1700" w:type="dxa"/>
            <w:tcBorders>
              <w:top w:val="single" w:sz="5" w:space="0" w:color="000000"/>
              <w:left w:val="single" w:sz="5" w:space="0" w:color="000000"/>
              <w:bottom w:val="single" w:sz="5" w:space="0" w:color="000000"/>
              <w:right w:val="single" w:sz="5" w:space="0" w:color="000000"/>
            </w:tcBorders>
          </w:tcPr>
          <w:p w14:paraId="256F8D53"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Search strategy</w:t>
            </w:r>
          </w:p>
        </w:tc>
        <w:tc>
          <w:tcPr>
            <w:tcW w:w="671" w:type="dxa"/>
            <w:tcBorders>
              <w:top w:val="single" w:sz="5" w:space="0" w:color="000000"/>
              <w:left w:val="single" w:sz="5" w:space="0" w:color="000000"/>
              <w:bottom w:val="single" w:sz="5" w:space="0" w:color="000000"/>
              <w:right w:val="single" w:sz="5" w:space="0" w:color="000000"/>
            </w:tcBorders>
          </w:tcPr>
          <w:p w14:paraId="438D6EE9"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7</w:t>
            </w:r>
          </w:p>
        </w:tc>
        <w:tc>
          <w:tcPr>
            <w:tcW w:w="6412" w:type="dxa"/>
            <w:tcBorders>
              <w:top w:val="single" w:sz="5" w:space="0" w:color="000000"/>
              <w:left w:val="single" w:sz="5" w:space="0" w:color="000000"/>
              <w:bottom w:val="single" w:sz="5" w:space="0" w:color="000000"/>
              <w:right w:val="single" w:sz="5" w:space="0" w:color="000000"/>
            </w:tcBorders>
          </w:tcPr>
          <w:p w14:paraId="23E4BE9B"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Present the full search strategies for all databases, registers and websites, including any filters and limits used.</w:t>
            </w:r>
          </w:p>
        </w:tc>
        <w:tc>
          <w:tcPr>
            <w:tcW w:w="1585" w:type="dxa"/>
            <w:tcBorders>
              <w:top w:val="single" w:sz="5" w:space="0" w:color="000000"/>
              <w:left w:val="single" w:sz="5" w:space="0" w:color="000000"/>
              <w:bottom w:val="single" w:sz="5" w:space="0" w:color="000000"/>
              <w:right w:val="single" w:sz="5" w:space="0" w:color="000000"/>
            </w:tcBorders>
          </w:tcPr>
          <w:p w14:paraId="1971119C"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5,</w:t>
            </w:r>
          </w:p>
          <w:p w14:paraId="21BD4439"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Supplementary material p 8</w:t>
            </w:r>
          </w:p>
        </w:tc>
      </w:tr>
      <w:tr w:rsidR="00394B52" w:rsidRPr="00394B52" w14:paraId="19E6ABB3" w14:textId="77777777" w:rsidTr="00E01118">
        <w:trPr>
          <w:trHeight w:val="46"/>
        </w:trPr>
        <w:tc>
          <w:tcPr>
            <w:tcW w:w="1700" w:type="dxa"/>
            <w:tcBorders>
              <w:top w:val="single" w:sz="5" w:space="0" w:color="000000"/>
              <w:left w:val="single" w:sz="5" w:space="0" w:color="000000"/>
              <w:bottom w:val="single" w:sz="5" w:space="0" w:color="000000"/>
              <w:right w:val="single" w:sz="5" w:space="0" w:color="000000"/>
            </w:tcBorders>
          </w:tcPr>
          <w:p w14:paraId="0F26B73B"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Selection process</w:t>
            </w:r>
          </w:p>
        </w:tc>
        <w:tc>
          <w:tcPr>
            <w:tcW w:w="671" w:type="dxa"/>
            <w:tcBorders>
              <w:top w:val="single" w:sz="5" w:space="0" w:color="000000"/>
              <w:left w:val="single" w:sz="5" w:space="0" w:color="000000"/>
              <w:bottom w:val="single" w:sz="5" w:space="0" w:color="000000"/>
              <w:right w:val="single" w:sz="5" w:space="0" w:color="000000"/>
            </w:tcBorders>
          </w:tcPr>
          <w:p w14:paraId="5B5009CE"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8</w:t>
            </w:r>
          </w:p>
        </w:tc>
        <w:tc>
          <w:tcPr>
            <w:tcW w:w="6412" w:type="dxa"/>
            <w:tcBorders>
              <w:top w:val="single" w:sz="5" w:space="0" w:color="000000"/>
              <w:left w:val="single" w:sz="5" w:space="0" w:color="000000"/>
              <w:bottom w:val="single" w:sz="5" w:space="0" w:color="000000"/>
              <w:right w:val="single" w:sz="5" w:space="0" w:color="000000"/>
            </w:tcBorders>
          </w:tcPr>
          <w:p w14:paraId="28950698"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Specify the methods used to decide whether a study met the inclusion criteria of the review, including how many reviewers screened each record and each report retrieved, whether they worked independently, and if applicable, details of automation tools used in the process.</w:t>
            </w:r>
          </w:p>
        </w:tc>
        <w:tc>
          <w:tcPr>
            <w:tcW w:w="1585" w:type="dxa"/>
            <w:tcBorders>
              <w:top w:val="single" w:sz="5" w:space="0" w:color="000000"/>
              <w:left w:val="single" w:sz="5" w:space="0" w:color="000000"/>
              <w:bottom w:val="single" w:sz="5" w:space="0" w:color="000000"/>
              <w:right w:val="single" w:sz="5" w:space="0" w:color="000000"/>
            </w:tcBorders>
          </w:tcPr>
          <w:p w14:paraId="782AB820"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5</w:t>
            </w:r>
          </w:p>
        </w:tc>
      </w:tr>
      <w:tr w:rsidR="00394B52" w:rsidRPr="00394B52" w14:paraId="183AC173" w14:textId="77777777" w:rsidTr="00E01118">
        <w:trPr>
          <w:trHeight w:val="147"/>
        </w:trPr>
        <w:tc>
          <w:tcPr>
            <w:tcW w:w="1700" w:type="dxa"/>
            <w:tcBorders>
              <w:top w:val="single" w:sz="5" w:space="0" w:color="000000"/>
              <w:left w:val="single" w:sz="5" w:space="0" w:color="000000"/>
              <w:bottom w:val="single" w:sz="5" w:space="0" w:color="000000"/>
              <w:right w:val="single" w:sz="5" w:space="0" w:color="000000"/>
            </w:tcBorders>
          </w:tcPr>
          <w:p w14:paraId="4155A01C"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Data collection process </w:t>
            </w:r>
          </w:p>
        </w:tc>
        <w:tc>
          <w:tcPr>
            <w:tcW w:w="671" w:type="dxa"/>
            <w:tcBorders>
              <w:top w:val="single" w:sz="5" w:space="0" w:color="000000"/>
              <w:left w:val="single" w:sz="5" w:space="0" w:color="000000"/>
              <w:bottom w:val="single" w:sz="5" w:space="0" w:color="000000"/>
              <w:right w:val="single" w:sz="5" w:space="0" w:color="000000"/>
            </w:tcBorders>
          </w:tcPr>
          <w:p w14:paraId="0CEC20DA"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9</w:t>
            </w:r>
          </w:p>
        </w:tc>
        <w:tc>
          <w:tcPr>
            <w:tcW w:w="6412" w:type="dxa"/>
            <w:tcBorders>
              <w:top w:val="single" w:sz="5" w:space="0" w:color="000000"/>
              <w:left w:val="single" w:sz="5" w:space="0" w:color="000000"/>
              <w:bottom w:val="single" w:sz="5" w:space="0" w:color="000000"/>
              <w:right w:val="single" w:sz="5" w:space="0" w:color="000000"/>
            </w:tcBorders>
          </w:tcPr>
          <w:p w14:paraId="59B4F408"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Specify the methods used to collect data from reports, including how many reviewers collected data from each report, whether they worked independently, any processes for obtaining or confirming data from study investigators, and if applicable, details of automation tools used in the process.</w:t>
            </w:r>
          </w:p>
        </w:tc>
        <w:tc>
          <w:tcPr>
            <w:tcW w:w="1585" w:type="dxa"/>
            <w:tcBorders>
              <w:top w:val="single" w:sz="5" w:space="0" w:color="000000"/>
              <w:left w:val="single" w:sz="5" w:space="0" w:color="000000"/>
              <w:bottom w:val="single" w:sz="5" w:space="0" w:color="000000"/>
              <w:right w:val="single" w:sz="5" w:space="0" w:color="000000"/>
            </w:tcBorders>
          </w:tcPr>
          <w:p w14:paraId="0E02B086"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5</w:t>
            </w:r>
          </w:p>
        </w:tc>
      </w:tr>
      <w:tr w:rsidR="00394B52" w:rsidRPr="00394B52" w14:paraId="4FAE3A82" w14:textId="77777777" w:rsidTr="00E01118">
        <w:trPr>
          <w:trHeight w:val="46"/>
        </w:trPr>
        <w:tc>
          <w:tcPr>
            <w:tcW w:w="1700" w:type="dxa"/>
            <w:vMerge w:val="restart"/>
            <w:tcBorders>
              <w:top w:val="single" w:sz="5" w:space="0" w:color="000000"/>
              <w:left w:val="single" w:sz="5" w:space="0" w:color="000000"/>
              <w:right w:val="single" w:sz="5" w:space="0" w:color="000000"/>
            </w:tcBorders>
          </w:tcPr>
          <w:p w14:paraId="211C182B"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Data items </w:t>
            </w:r>
          </w:p>
        </w:tc>
        <w:tc>
          <w:tcPr>
            <w:tcW w:w="671" w:type="dxa"/>
            <w:tcBorders>
              <w:top w:val="single" w:sz="5" w:space="0" w:color="000000"/>
              <w:left w:val="single" w:sz="5" w:space="0" w:color="000000"/>
              <w:bottom w:val="single" w:sz="5" w:space="0" w:color="000000"/>
              <w:right w:val="single" w:sz="5" w:space="0" w:color="000000"/>
            </w:tcBorders>
          </w:tcPr>
          <w:p w14:paraId="4DD7F6B9"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10a</w:t>
            </w:r>
          </w:p>
        </w:tc>
        <w:tc>
          <w:tcPr>
            <w:tcW w:w="6412" w:type="dxa"/>
            <w:tcBorders>
              <w:top w:val="single" w:sz="5" w:space="0" w:color="000000"/>
              <w:left w:val="single" w:sz="5" w:space="0" w:color="000000"/>
              <w:bottom w:val="single" w:sz="5" w:space="0" w:color="000000"/>
              <w:right w:val="single" w:sz="5" w:space="0" w:color="000000"/>
            </w:tcBorders>
          </w:tcPr>
          <w:p w14:paraId="7120ED86"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List and define all outcomes for which data were sought. Specify whether all results that were compatible with each outcome domain in each study were sought (</w:t>
            </w:r>
            <w:proofErr w:type="gramStart"/>
            <w:r w:rsidRPr="00394B52">
              <w:rPr>
                <w:rFonts w:ascii="Times" w:hAnsi="Times" w:cs="Times"/>
                <w:color w:val="000000"/>
                <w:kern w:val="0"/>
                <w:sz w:val="18"/>
                <w:szCs w:val="18"/>
                <w:lang w:val="en-CA" w:eastAsia="en-CA"/>
              </w:rPr>
              <w:t>e.g.</w:t>
            </w:r>
            <w:proofErr w:type="gramEnd"/>
            <w:r w:rsidRPr="00394B52">
              <w:rPr>
                <w:rFonts w:ascii="Times" w:hAnsi="Times" w:cs="Times"/>
                <w:color w:val="000000"/>
                <w:kern w:val="0"/>
                <w:sz w:val="18"/>
                <w:szCs w:val="18"/>
                <w:lang w:val="en-CA" w:eastAsia="en-CA"/>
              </w:rPr>
              <w:t xml:space="preserve"> for all measures, time points, analyses), and if not, the methods used to decide which results to collect.</w:t>
            </w:r>
          </w:p>
        </w:tc>
        <w:tc>
          <w:tcPr>
            <w:tcW w:w="1585" w:type="dxa"/>
            <w:tcBorders>
              <w:top w:val="single" w:sz="5" w:space="0" w:color="000000"/>
              <w:left w:val="single" w:sz="5" w:space="0" w:color="000000"/>
              <w:bottom w:val="single" w:sz="5" w:space="0" w:color="000000"/>
              <w:right w:val="single" w:sz="5" w:space="0" w:color="000000"/>
            </w:tcBorders>
          </w:tcPr>
          <w:p w14:paraId="1745111D"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5-6</w:t>
            </w:r>
          </w:p>
        </w:tc>
      </w:tr>
      <w:tr w:rsidR="00394B52" w:rsidRPr="00394B52" w14:paraId="3E8C2AE9" w14:textId="77777777" w:rsidTr="00E01118">
        <w:trPr>
          <w:trHeight w:val="46"/>
        </w:trPr>
        <w:tc>
          <w:tcPr>
            <w:tcW w:w="1700" w:type="dxa"/>
            <w:vMerge/>
            <w:tcBorders>
              <w:left w:val="single" w:sz="5" w:space="0" w:color="000000"/>
              <w:bottom w:val="single" w:sz="5" w:space="0" w:color="000000"/>
              <w:right w:val="single" w:sz="5" w:space="0" w:color="000000"/>
            </w:tcBorders>
          </w:tcPr>
          <w:p w14:paraId="6A07772C"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5" w:space="0" w:color="000000"/>
              <w:left w:val="single" w:sz="5" w:space="0" w:color="000000"/>
              <w:bottom w:val="single" w:sz="5" w:space="0" w:color="000000"/>
              <w:right w:val="single" w:sz="5" w:space="0" w:color="000000"/>
            </w:tcBorders>
          </w:tcPr>
          <w:p w14:paraId="3B73CD0B"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10b</w:t>
            </w:r>
          </w:p>
        </w:tc>
        <w:tc>
          <w:tcPr>
            <w:tcW w:w="6412" w:type="dxa"/>
            <w:tcBorders>
              <w:top w:val="single" w:sz="5" w:space="0" w:color="000000"/>
              <w:left w:val="single" w:sz="5" w:space="0" w:color="000000"/>
              <w:bottom w:val="single" w:sz="5" w:space="0" w:color="000000"/>
              <w:right w:val="single" w:sz="5" w:space="0" w:color="000000"/>
            </w:tcBorders>
          </w:tcPr>
          <w:p w14:paraId="648DF4B6"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List and define all other variables for which data were sought (</w:t>
            </w:r>
            <w:proofErr w:type="gramStart"/>
            <w:r w:rsidRPr="00394B52">
              <w:rPr>
                <w:rFonts w:ascii="Times" w:hAnsi="Times" w:cs="Times"/>
                <w:color w:val="000000"/>
                <w:kern w:val="0"/>
                <w:sz w:val="18"/>
                <w:szCs w:val="18"/>
                <w:lang w:val="en-CA" w:eastAsia="en-CA"/>
              </w:rPr>
              <w:t>e.g.</w:t>
            </w:r>
            <w:proofErr w:type="gramEnd"/>
            <w:r w:rsidRPr="00394B52">
              <w:rPr>
                <w:rFonts w:ascii="Times" w:hAnsi="Times" w:cs="Times"/>
                <w:color w:val="000000"/>
                <w:kern w:val="0"/>
                <w:sz w:val="18"/>
                <w:szCs w:val="18"/>
                <w:lang w:val="en-CA" w:eastAsia="en-CA"/>
              </w:rPr>
              <w:t xml:space="preserve"> participant and intervention characteristics, funding sources). Describe any assumptions made about any missing or unclear information.</w:t>
            </w:r>
          </w:p>
        </w:tc>
        <w:tc>
          <w:tcPr>
            <w:tcW w:w="1585" w:type="dxa"/>
            <w:tcBorders>
              <w:top w:val="single" w:sz="5" w:space="0" w:color="000000"/>
              <w:left w:val="single" w:sz="5" w:space="0" w:color="000000"/>
              <w:bottom w:val="single" w:sz="5" w:space="0" w:color="000000"/>
              <w:right w:val="single" w:sz="5" w:space="0" w:color="000000"/>
            </w:tcBorders>
          </w:tcPr>
          <w:p w14:paraId="34F1E287"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5-6</w:t>
            </w:r>
          </w:p>
        </w:tc>
      </w:tr>
      <w:tr w:rsidR="00394B52" w:rsidRPr="00394B52" w14:paraId="7A0185B0" w14:textId="77777777" w:rsidTr="00E01118">
        <w:trPr>
          <w:trHeight w:val="46"/>
        </w:trPr>
        <w:tc>
          <w:tcPr>
            <w:tcW w:w="1700" w:type="dxa"/>
            <w:tcBorders>
              <w:top w:val="single" w:sz="5" w:space="0" w:color="000000"/>
              <w:left w:val="single" w:sz="5" w:space="0" w:color="000000"/>
              <w:bottom w:val="single" w:sz="5" w:space="0" w:color="000000"/>
              <w:right w:val="single" w:sz="5" w:space="0" w:color="000000"/>
            </w:tcBorders>
          </w:tcPr>
          <w:p w14:paraId="22570CA1"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Study risk of bias assessment</w:t>
            </w:r>
          </w:p>
        </w:tc>
        <w:tc>
          <w:tcPr>
            <w:tcW w:w="671" w:type="dxa"/>
            <w:tcBorders>
              <w:top w:val="single" w:sz="5" w:space="0" w:color="000000"/>
              <w:left w:val="single" w:sz="5" w:space="0" w:color="000000"/>
              <w:bottom w:val="single" w:sz="5" w:space="0" w:color="000000"/>
              <w:right w:val="single" w:sz="5" w:space="0" w:color="000000"/>
            </w:tcBorders>
          </w:tcPr>
          <w:p w14:paraId="008C4A1E"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11</w:t>
            </w:r>
          </w:p>
        </w:tc>
        <w:tc>
          <w:tcPr>
            <w:tcW w:w="6412" w:type="dxa"/>
            <w:tcBorders>
              <w:top w:val="single" w:sz="5" w:space="0" w:color="000000"/>
              <w:left w:val="single" w:sz="5" w:space="0" w:color="000000"/>
              <w:bottom w:val="single" w:sz="5" w:space="0" w:color="000000"/>
              <w:right w:val="single" w:sz="5" w:space="0" w:color="000000"/>
            </w:tcBorders>
          </w:tcPr>
          <w:p w14:paraId="21041B45"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Specify the methods used to assess risk of bias in the included studies, including details of the tool(s) used, how many reviewers assessed each study and whether they worked independently, and if applicable, details of automation tools used in the process.</w:t>
            </w:r>
          </w:p>
        </w:tc>
        <w:tc>
          <w:tcPr>
            <w:tcW w:w="1585" w:type="dxa"/>
            <w:tcBorders>
              <w:top w:val="single" w:sz="5" w:space="0" w:color="000000"/>
              <w:left w:val="single" w:sz="5" w:space="0" w:color="000000"/>
              <w:bottom w:val="single" w:sz="5" w:space="0" w:color="000000"/>
              <w:right w:val="single" w:sz="5" w:space="0" w:color="000000"/>
            </w:tcBorders>
          </w:tcPr>
          <w:p w14:paraId="3596ECA7"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6</w:t>
            </w:r>
          </w:p>
        </w:tc>
      </w:tr>
      <w:tr w:rsidR="00394B52" w:rsidRPr="00394B52" w14:paraId="47D8E7C5" w14:textId="77777777" w:rsidTr="00E01118">
        <w:trPr>
          <w:trHeight w:val="46"/>
        </w:trPr>
        <w:tc>
          <w:tcPr>
            <w:tcW w:w="1700" w:type="dxa"/>
            <w:tcBorders>
              <w:top w:val="single" w:sz="5" w:space="0" w:color="000000"/>
              <w:left w:val="single" w:sz="5" w:space="0" w:color="000000"/>
              <w:bottom w:val="single" w:sz="5" w:space="0" w:color="000000"/>
              <w:right w:val="single" w:sz="5" w:space="0" w:color="000000"/>
            </w:tcBorders>
          </w:tcPr>
          <w:p w14:paraId="2772B051"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Effect measures </w:t>
            </w:r>
          </w:p>
        </w:tc>
        <w:tc>
          <w:tcPr>
            <w:tcW w:w="671" w:type="dxa"/>
            <w:tcBorders>
              <w:top w:val="single" w:sz="5" w:space="0" w:color="000000"/>
              <w:left w:val="single" w:sz="5" w:space="0" w:color="000000"/>
              <w:bottom w:val="single" w:sz="5" w:space="0" w:color="000000"/>
              <w:right w:val="single" w:sz="5" w:space="0" w:color="000000"/>
            </w:tcBorders>
          </w:tcPr>
          <w:p w14:paraId="75E2E52B"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12</w:t>
            </w:r>
          </w:p>
        </w:tc>
        <w:tc>
          <w:tcPr>
            <w:tcW w:w="6412" w:type="dxa"/>
            <w:tcBorders>
              <w:top w:val="single" w:sz="5" w:space="0" w:color="000000"/>
              <w:left w:val="single" w:sz="5" w:space="0" w:color="000000"/>
              <w:bottom w:val="single" w:sz="5" w:space="0" w:color="000000"/>
              <w:right w:val="single" w:sz="5" w:space="0" w:color="000000"/>
            </w:tcBorders>
          </w:tcPr>
          <w:p w14:paraId="1C7EA958"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Specify for each outcome the effect measure(s) (</w:t>
            </w:r>
            <w:proofErr w:type="gramStart"/>
            <w:r w:rsidRPr="00394B52">
              <w:rPr>
                <w:rFonts w:ascii="Times" w:hAnsi="Times" w:cs="Times"/>
                <w:color w:val="000000"/>
                <w:kern w:val="0"/>
                <w:sz w:val="18"/>
                <w:szCs w:val="18"/>
                <w:lang w:val="en-CA" w:eastAsia="en-CA"/>
              </w:rPr>
              <w:t>e.g.</w:t>
            </w:r>
            <w:proofErr w:type="gramEnd"/>
            <w:r w:rsidRPr="00394B52">
              <w:rPr>
                <w:rFonts w:ascii="Times" w:hAnsi="Times" w:cs="Times"/>
                <w:color w:val="000000"/>
                <w:kern w:val="0"/>
                <w:sz w:val="18"/>
                <w:szCs w:val="18"/>
                <w:lang w:val="en-CA" w:eastAsia="en-CA"/>
              </w:rPr>
              <w:t xml:space="preserve"> risk ratio, mean difference) used in the synthesis or presentation of results.</w:t>
            </w:r>
          </w:p>
        </w:tc>
        <w:tc>
          <w:tcPr>
            <w:tcW w:w="1585" w:type="dxa"/>
            <w:tcBorders>
              <w:top w:val="single" w:sz="5" w:space="0" w:color="000000"/>
              <w:left w:val="single" w:sz="5" w:space="0" w:color="000000"/>
              <w:bottom w:val="single" w:sz="5" w:space="0" w:color="000000"/>
              <w:right w:val="single" w:sz="5" w:space="0" w:color="000000"/>
            </w:tcBorders>
          </w:tcPr>
          <w:p w14:paraId="42335F39"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6</w:t>
            </w:r>
          </w:p>
        </w:tc>
      </w:tr>
      <w:tr w:rsidR="00394B52" w:rsidRPr="00394B52" w14:paraId="718FEA55" w14:textId="77777777" w:rsidTr="00E01118">
        <w:trPr>
          <w:trHeight w:val="46"/>
        </w:trPr>
        <w:tc>
          <w:tcPr>
            <w:tcW w:w="1700" w:type="dxa"/>
            <w:vMerge w:val="restart"/>
            <w:tcBorders>
              <w:top w:val="single" w:sz="5" w:space="0" w:color="000000"/>
              <w:left w:val="single" w:sz="5" w:space="0" w:color="000000"/>
              <w:right w:val="single" w:sz="5" w:space="0" w:color="000000"/>
            </w:tcBorders>
          </w:tcPr>
          <w:p w14:paraId="67405724"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Synthesis methods</w:t>
            </w:r>
          </w:p>
        </w:tc>
        <w:tc>
          <w:tcPr>
            <w:tcW w:w="671" w:type="dxa"/>
            <w:tcBorders>
              <w:top w:val="single" w:sz="5" w:space="0" w:color="000000"/>
              <w:left w:val="single" w:sz="5" w:space="0" w:color="000000"/>
              <w:bottom w:val="single" w:sz="5" w:space="0" w:color="000000"/>
              <w:right w:val="single" w:sz="5" w:space="0" w:color="000000"/>
            </w:tcBorders>
          </w:tcPr>
          <w:p w14:paraId="2A5BF378"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13a</w:t>
            </w:r>
          </w:p>
        </w:tc>
        <w:tc>
          <w:tcPr>
            <w:tcW w:w="6412" w:type="dxa"/>
            <w:tcBorders>
              <w:top w:val="single" w:sz="5" w:space="0" w:color="000000"/>
              <w:left w:val="single" w:sz="5" w:space="0" w:color="000000"/>
              <w:bottom w:val="single" w:sz="5" w:space="0" w:color="000000"/>
              <w:right w:val="single" w:sz="5" w:space="0" w:color="000000"/>
            </w:tcBorders>
          </w:tcPr>
          <w:p w14:paraId="249811F2"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Describe the processes used to decide which studies were eligible for each synthesis (</w:t>
            </w:r>
            <w:proofErr w:type="gramStart"/>
            <w:r w:rsidRPr="00394B52">
              <w:rPr>
                <w:rFonts w:ascii="Times" w:hAnsi="Times" w:cs="Times"/>
                <w:color w:val="000000"/>
                <w:kern w:val="0"/>
                <w:sz w:val="18"/>
                <w:szCs w:val="18"/>
                <w:lang w:val="en-CA" w:eastAsia="en-CA"/>
              </w:rPr>
              <w:t>e.g.</w:t>
            </w:r>
            <w:proofErr w:type="gramEnd"/>
            <w:r w:rsidRPr="00394B52">
              <w:rPr>
                <w:rFonts w:ascii="Times" w:hAnsi="Times" w:cs="Times"/>
                <w:color w:val="000000"/>
                <w:kern w:val="0"/>
                <w:sz w:val="18"/>
                <w:szCs w:val="18"/>
                <w:lang w:val="en-CA" w:eastAsia="en-CA"/>
              </w:rPr>
              <w:t xml:space="preserve"> tabulating the study intervention characteristics and comparing against the planned groups for each synthesis (item #5)).</w:t>
            </w:r>
          </w:p>
        </w:tc>
        <w:tc>
          <w:tcPr>
            <w:tcW w:w="1585" w:type="dxa"/>
            <w:tcBorders>
              <w:top w:val="single" w:sz="5" w:space="0" w:color="000000"/>
              <w:left w:val="single" w:sz="5" w:space="0" w:color="000000"/>
              <w:bottom w:val="single" w:sz="5" w:space="0" w:color="000000"/>
              <w:right w:val="single" w:sz="5" w:space="0" w:color="000000"/>
            </w:tcBorders>
          </w:tcPr>
          <w:p w14:paraId="78F53219"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6</w:t>
            </w:r>
          </w:p>
        </w:tc>
      </w:tr>
      <w:tr w:rsidR="00394B52" w:rsidRPr="00394B52" w14:paraId="470B59D9" w14:textId="77777777" w:rsidTr="00E01118">
        <w:trPr>
          <w:trHeight w:val="46"/>
        </w:trPr>
        <w:tc>
          <w:tcPr>
            <w:tcW w:w="1700" w:type="dxa"/>
            <w:vMerge/>
            <w:tcBorders>
              <w:left w:val="single" w:sz="5" w:space="0" w:color="000000"/>
              <w:right w:val="single" w:sz="5" w:space="0" w:color="000000"/>
            </w:tcBorders>
          </w:tcPr>
          <w:p w14:paraId="391DA575"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5" w:space="0" w:color="000000"/>
              <w:left w:val="single" w:sz="5" w:space="0" w:color="000000"/>
              <w:bottom w:val="single" w:sz="5" w:space="0" w:color="000000"/>
              <w:right w:val="single" w:sz="5" w:space="0" w:color="000000"/>
            </w:tcBorders>
          </w:tcPr>
          <w:p w14:paraId="4161469B"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13b</w:t>
            </w:r>
          </w:p>
        </w:tc>
        <w:tc>
          <w:tcPr>
            <w:tcW w:w="6412" w:type="dxa"/>
            <w:tcBorders>
              <w:top w:val="single" w:sz="5" w:space="0" w:color="000000"/>
              <w:left w:val="single" w:sz="5" w:space="0" w:color="000000"/>
              <w:bottom w:val="single" w:sz="5" w:space="0" w:color="000000"/>
              <w:right w:val="single" w:sz="5" w:space="0" w:color="000000"/>
            </w:tcBorders>
          </w:tcPr>
          <w:p w14:paraId="4BDE7EA0"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Describe any methods required to prepare the data for presentation or synthesis, such as handling of missing summary statistics, or data conversions.</w:t>
            </w:r>
          </w:p>
        </w:tc>
        <w:tc>
          <w:tcPr>
            <w:tcW w:w="1585" w:type="dxa"/>
            <w:tcBorders>
              <w:top w:val="single" w:sz="5" w:space="0" w:color="000000"/>
              <w:left w:val="single" w:sz="5" w:space="0" w:color="000000"/>
              <w:bottom w:val="single" w:sz="5" w:space="0" w:color="000000"/>
              <w:right w:val="single" w:sz="5" w:space="0" w:color="000000"/>
            </w:tcBorders>
          </w:tcPr>
          <w:p w14:paraId="31ACA38E" w14:textId="77777777" w:rsidR="00394B52" w:rsidRPr="00394B52" w:rsidRDefault="00394B52" w:rsidP="00394B52">
            <w:pPr>
              <w:wordWrap/>
              <w:adjustRightInd w:val="0"/>
              <w:spacing w:before="40" w:after="40" w:line="240" w:lineRule="auto"/>
              <w:jc w:val="left"/>
              <w:rPr>
                <w:rFonts w:ascii="Times" w:hAnsi="Times" w:cs="Times"/>
                <w:kern w:val="0"/>
                <w:sz w:val="18"/>
                <w:szCs w:val="18"/>
              </w:rPr>
            </w:pPr>
            <w:r w:rsidRPr="00394B52">
              <w:rPr>
                <w:rFonts w:ascii="Times" w:hAnsi="Times" w:cs="Times"/>
                <w:kern w:val="0"/>
                <w:sz w:val="18"/>
                <w:szCs w:val="18"/>
                <w:lang w:val="en-CA"/>
              </w:rPr>
              <w:t>Manuscript p 6</w:t>
            </w:r>
          </w:p>
        </w:tc>
      </w:tr>
      <w:tr w:rsidR="00394B52" w:rsidRPr="00394B52" w14:paraId="1E79D524" w14:textId="77777777" w:rsidTr="00E01118">
        <w:trPr>
          <w:trHeight w:val="46"/>
        </w:trPr>
        <w:tc>
          <w:tcPr>
            <w:tcW w:w="1700" w:type="dxa"/>
            <w:vMerge/>
            <w:tcBorders>
              <w:left w:val="single" w:sz="5" w:space="0" w:color="000000"/>
              <w:right w:val="single" w:sz="5" w:space="0" w:color="000000"/>
            </w:tcBorders>
          </w:tcPr>
          <w:p w14:paraId="1982BCD1"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5" w:space="0" w:color="000000"/>
              <w:left w:val="single" w:sz="5" w:space="0" w:color="000000"/>
              <w:bottom w:val="single" w:sz="5" w:space="0" w:color="000000"/>
              <w:right w:val="single" w:sz="5" w:space="0" w:color="000000"/>
            </w:tcBorders>
          </w:tcPr>
          <w:p w14:paraId="47924F61"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13c</w:t>
            </w:r>
          </w:p>
        </w:tc>
        <w:tc>
          <w:tcPr>
            <w:tcW w:w="6412" w:type="dxa"/>
            <w:tcBorders>
              <w:top w:val="single" w:sz="5" w:space="0" w:color="000000"/>
              <w:left w:val="single" w:sz="5" w:space="0" w:color="000000"/>
              <w:bottom w:val="single" w:sz="5" w:space="0" w:color="000000"/>
              <w:right w:val="single" w:sz="5" w:space="0" w:color="000000"/>
            </w:tcBorders>
          </w:tcPr>
          <w:p w14:paraId="52FC1195"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Describe any methods used to tabulate or visually display results of individual studies and syntheses.</w:t>
            </w:r>
          </w:p>
        </w:tc>
        <w:tc>
          <w:tcPr>
            <w:tcW w:w="1585" w:type="dxa"/>
            <w:tcBorders>
              <w:top w:val="single" w:sz="5" w:space="0" w:color="000000"/>
              <w:left w:val="single" w:sz="5" w:space="0" w:color="000000"/>
              <w:bottom w:val="single" w:sz="5" w:space="0" w:color="000000"/>
              <w:right w:val="single" w:sz="5" w:space="0" w:color="000000"/>
            </w:tcBorders>
          </w:tcPr>
          <w:p w14:paraId="2B3B56B3"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6</w:t>
            </w:r>
          </w:p>
        </w:tc>
      </w:tr>
      <w:tr w:rsidR="00394B52" w:rsidRPr="00394B52" w14:paraId="19C7617B" w14:textId="77777777" w:rsidTr="00E01118">
        <w:trPr>
          <w:trHeight w:val="46"/>
        </w:trPr>
        <w:tc>
          <w:tcPr>
            <w:tcW w:w="1700" w:type="dxa"/>
            <w:vMerge/>
            <w:tcBorders>
              <w:left w:val="single" w:sz="5" w:space="0" w:color="000000"/>
              <w:right w:val="single" w:sz="5" w:space="0" w:color="000000"/>
            </w:tcBorders>
          </w:tcPr>
          <w:p w14:paraId="42F27DD3"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5" w:space="0" w:color="000000"/>
              <w:left w:val="single" w:sz="5" w:space="0" w:color="000000"/>
              <w:bottom w:val="single" w:sz="5" w:space="0" w:color="000000"/>
              <w:right w:val="single" w:sz="5" w:space="0" w:color="000000"/>
            </w:tcBorders>
          </w:tcPr>
          <w:p w14:paraId="6BD1E6E2"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13d</w:t>
            </w:r>
          </w:p>
        </w:tc>
        <w:tc>
          <w:tcPr>
            <w:tcW w:w="6412" w:type="dxa"/>
            <w:tcBorders>
              <w:top w:val="single" w:sz="5" w:space="0" w:color="000000"/>
              <w:left w:val="single" w:sz="5" w:space="0" w:color="000000"/>
              <w:bottom w:val="single" w:sz="5" w:space="0" w:color="000000"/>
              <w:right w:val="single" w:sz="5" w:space="0" w:color="000000"/>
            </w:tcBorders>
          </w:tcPr>
          <w:p w14:paraId="6E936722"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Describe any methods used to synthesize results and provide a rationale for the choice(s). If meta-analysis was performed, describe the model(s), method(s) to identify the presence and extent of statistical heterogeneity, and software package(s) used.</w:t>
            </w:r>
          </w:p>
        </w:tc>
        <w:tc>
          <w:tcPr>
            <w:tcW w:w="1585" w:type="dxa"/>
            <w:tcBorders>
              <w:top w:val="single" w:sz="5" w:space="0" w:color="000000"/>
              <w:left w:val="single" w:sz="5" w:space="0" w:color="000000"/>
              <w:bottom w:val="single" w:sz="5" w:space="0" w:color="000000"/>
              <w:right w:val="single" w:sz="5" w:space="0" w:color="000000"/>
            </w:tcBorders>
          </w:tcPr>
          <w:p w14:paraId="27E86715" w14:textId="77777777" w:rsidR="00394B52" w:rsidRPr="00394B52" w:rsidRDefault="00394B52" w:rsidP="00394B52">
            <w:pPr>
              <w:wordWrap/>
              <w:adjustRightInd w:val="0"/>
              <w:spacing w:before="40" w:after="40" w:line="240" w:lineRule="auto"/>
              <w:jc w:val="left"/>
              <w:rPr>
                <w:rFonts w:ascii="Times" w:hAnsi="Times" w:cs="Times"/>
                <w:kern w:val="0"/>
                <w:sz w:val="18"/>
                <w:szCs w:val="18"/>
              </w:rPr>
            </w:pPr>
            <w:r w:rsidRPr="00394B52">
              <w:rPr>
                <w:rFonts w:ascii="Times" w:hAnsi="Times" w:cs="Times"/>
                <w:kern w:val="0"/>
                <w:sz w:val="18"/>
                <w:szCs w:val="18"/>
                <w:lang w:val="en-CA"/>
              </w:rPr>
              <w:t>Manuscript p 6</w:t>
            </w:r>
          </w:p>
        </w:tc>
      </w:tr>
      <w:tr w:rsidR="00394B52" w:rsidRPr="00394B52" w14:paraId="12CA4967" w14:textId="77777777" w:rsidTr="00E01118">
        <w:trPr>
          <w:trHeight w:val="46"/>
        </w:trPr>
        <w:tc>
          <w:tcPr>
            <w:tcW w:w="1700" w:type="dxa"/>
            <w:vMerge/>
            <w:tcBorders>
              <w:left w:val="single" w:sz="5" w:space="0" w:color="000000"/>
              <w:right w:val="single" w:sz="5" w:space="0" w:color="000000"/>
            </w:tcBorders>
          </w:tcPr>
          <w:p w14:paraId="10F35ECA"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5" w:space="0" w:color="000000"/>
              <w:left w:val="single" w:sz="5" w:space="0" w:color="000000"/>
              <w:bottom w:val="single" w:sz="5" w:space="0" w:color="000000"/>
              <w:right w:val="single" w:sz="5" w:space="0" w:color="000000"/>
            </w:tcBorders>
          </w:tcPr>
          <w:p w14:paraId="63881A36"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13e</w:t>
            </w:r>
          </w:p>
        </w:tc>
        <w:tc>
          <w:tcPr>
            <w:tcW w:w="6412" w:type="dxa"/>
            <w:tcBorders>
              <w:top w:val="single" w:sz="5" w:space="0" w:color="000000"/>
              <w:left w:val="single" w:sz="5" w:space="0" w:color="000000"/>
              <w:bottom w:val="single" w:sz="5" w:space="0" w:color="000000"/>
              <w:right w:val="single" w:sz="5" w:space="0" w:color="000000"/>
            </w:tcBorders>
          </w:tcPr>
          <w:p w14:paraId="7762779C"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Describe any methods used to explore possible causes of heterogeneity among study results (</w:t>
            </w:r>
            <w:proofErr w:type="gramStart"/>
            <w:r w:rsidRPr="00394B52">
              <w:rPr>
                <w:rFonts w:ascii="Times" w:hAnsi="Times" w:cs="Times"/>
                <w:color w:val="000000"/>
                <w:kern w:val="0"/>
                <w:sz w:val="18"/>
                <w:szCs w:val="18"/>
                <w:lang w:val="en-CA" w:eastAsia="en-CA"/>
              </w:rPr>
              <w:t>e.g.</w:t>
            </w:r>
            <w:proofErr w:type="gramEnd"/>
            <w:r w:rsidRPr="00394B52">
              <w:rPr>
                <w:rFonts w:ascii="Times" w:hAnsi="Times" w:cs="Times"/>
                <w:color w:val="000000"/>
                <w:kern w:val="0"/>
                <w:sz w:val="18"/>
                <w:szCs w:val="18"/>
                <w:lang w:val="en-CA" w:eastAsia="en-CA"/>
              </w:rPr>
              <w:t xml:space="preserve"> subgroup analysis, meta-regression).</w:t>
            </w:r>
          </w:p>
        </w:tc>
        <w:tc>
          <w:tcPr>
            <w:tcW w:w="1585" w:type="dxa"/>
            <w:tcBorders>
              <w:top w:val="single" w:sz="5" w:space="0" w:color="000000"/>
              <w:left w:val="single" w:sz="5" w:space="0" w:color="000000"/>
              <w:bottom w:val="single" w:sz="5" w:space="0" w:color="000000"/>
              <w:right w:val="single" w:sz="5" w:space="0" w:color="000000"/>
            </w:tcBorders>
          </w:tcPr>
          <w:p w14:paraId="17938E64"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6-7</w:t>
            </w:r>
          </w:p>
        </w:tc>
      </w:tr>
      <w:tr w:rsidR="00394B52" w:rsidRPr="00394B52" w14:paraId="0F58D21E" w14:textId="77777777" w:rsidTr="00E01118">
        <w:trPr>
          <w:trHeight w:val="48"/>
        </w:trPr>
        <w:tc>
          <w:tcPr>
            <w:tcW w:w="1700" w:type="dxa"/>
            <w:vMerge/>
            <w:tcBorders>
              <w:left w:val="single" w:sz="5" w:space="0" w:color="000000"/>
              <w:bottom w:val="single" w:sz="5" w:space="0" w:color="000000"/>
              <w:right w:val="single" w:sz="5" w:space="0" w:color="000000"/>
            </w:tcBorders>
          </w:tcPr>
          <w:p w14:paraId="756EBB4C"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5" w:space="0" w:color="000000"/>
              <w:left w:val="single" w:sz="5" w:space="0" w:color="000000"/>
              <w:bottom w:val="single" w:sz="5" w:space="0" w:color="000000"/>
              <w:right w:val="single" w:sz="5" w:space="0" w:color="000000"/>
            </w:tcBorders>
          </w:tcPr>
          <w:p w14:paraId="34144C5E"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13f</w:t>
            </w:r>
          </w:p>
        </w:tc>
        <w:tc>
          <w:tcPr>
            <w:tcW w:w="6412" w:type="dxa"/>
            <w:tcBorders>
              <w:top w:val="single" w:sz="5" w:space="0" w:color="000000"/>
              <w:left w:val="single" w:sz="5" w:space="0" w:color="000000"/>
              <w:bottom w:val="single" w:sz="5" w:space="0" w:color="000000"/>
              <w:right w:val="single" w:sz="5" w:space="0" w:color="000000"/>
            </w:tcBorders>
          </w:tcPr>
          <w:p w14:paraId="09C2926F"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Describe any sensitivity analyses conducted to assess robustness of the synthesized results.</w:t>
            </w:r>
          </w:p>
        </w:tc>
        <w:tc>
          <w:tcPr>
            <w:tcW w:w="1585" w:type="dxa"/>
            <w:tcBorders>
              <w:top w:val="single" w:sz="5" w:space="0" w:color="000000"/>
              <w:left w:val="single" w:sz="5" w:space="0" w:color="000000"/>
              <w:bottom w:val="single" w:sz="5" w:space="0" w:color="000000"/>
              <w:right w:val="single" w:sz="5" w:space="0" w:color="000000"/>
            </w:tcBorders>
          </w:tcPr>
          <w:p w14:paraId="08786F77"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6-7</w:t>
            </w:r>
          </w:p>
        </w:tc>
      </w:tr>
      <w:tr w:rsidR="00394B52" w:rsidRPr="00394B52" w14:paraId="6ADCD39F" w14:textId="77777777" w:rsidTr="00E01118">
        <w:trPr>
          <w:trHeight w:val="46"/>
        </w:trPr>
        <w:tc>
          <w:tcPr>
            <w:tcW w:w="1700" w:type="dxa"/>
            <w:tcBorders>
              <w:top w:val="single" w:sz="5" w:space="0" w:color="000000"/>
              <w:left w:val="single" w:sz="5" w:space="0" w:color="000000"/>
              <w:bottom w:val="single" w:sz="5" w:space="0" w:color="000000"/>
              <w:right w:val="single" w:sz="5" w:space="0" w:color="000000"/>
            </w:tcBorders>
          </w:tcPr>
          <w:p w14:paraId="5D8190FA"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Reporting bias assessment</w:t>
            </w:r>
          </w:p>
        </w:tc>
        <w:tc>
          <w:tcPr>
            <w:tcW w:w="671" w:type="dxa"/>
            <w:tcBorders>
              <w:top w:val="single" w:sz="5" w:space="0" w:color="000000"/>
              <w:left w:val="single" w:sz="5" w:space="0" w:color="000000"/>
              <w:bottom w:val="single" w:sz="5" w:space="0" w:color="000000"/>
              <w:right w:val="single" w:sz="5" w:space="0" w:color="000000"/>
            </w:tcBorders>
          </w:tcPr>
          <w:p w14:paraId="4EA3BCFB"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14</w:t>
            </w:r>
          </w:p>
        </w:tc>
        <w:tc>
          <w:tcPr>
            <w:tcW w:w="6412" w:type="dxa"/>
            <w:tcBorders>
              <w:top w:val="single" w:sz="5" w:space="0" w:color="000000"/>
              <w:left w:val="single" w:sz="5" w:space="0" w:color="000000"/>
              <w:bottom w:val="single" w:sz="5" w:space="0" w:color="000000"/>
              <w:right w:val="single" w:sz="5" w:space="0" w:color="000000"/>
            </w:tcBorders>
          </w:tcPr>
          <w:p w14:paraId="7A95D42E"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Describe any methods used to assess risk of bias due to missing results in a synthesis (arising from reporting biases).</w:t>
            </w:r>
          </w:p>
        </w:tc>
        <w:tc>
          <w:tcPr>
            <w:tcW w:w="1585" w:type="dxa"/>
            <w:tcBorders>
              <w:top w:val="single" w:sz="5" w:space="0" w:color="000000"/>
              <w:left w:val="single" w:sz="5" w:space="0" w:color="000000"/>
              <w:bottom w:val="single" w:sz="5" w:space="0" w:color="000000"/>
              <w:right w:val="single" w:sz="5" w:space="0" w:color="000000"/>
            </w:tcBorders>
          </w:tcPr>
          <w:p w14:paraId="60F9D13C"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6-7</w:t>
            </w:r>
          </w:p>
        </w:tc>
      </w:tr>
      <w:tr w:rsidR="00394B52" w:rsidRPr="00394B52" w14:paraId="0C6C999B" w14:textId="77777777" w:rsidTr="00E01118">
        <w:trPr>
          <w:trHeight w:val="46"/>
        </w:trPr>
        <w:tc>
          <w:tcPr>
            <w:tcW w:w="1700" w:type="dxa"/>
            <w:tcBorders>
              <w:top w:val="single" w:sz="5" w:space="0" w:color="000000"/>
              <w:left w:val="single" w:sz="5" w:space="0" w:color="000000"/>
              <w:bottom w:val="single" w:sz="5" w:space="0" w:color="000000"/>
              <w:right w:val="single" w:sz="5" w:space="0" w:color="000000"/>
            </w:tcBorders>
          </w:tcPr>
          <w:p w14:paraId="34AF5906"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Certainty </w:t>
            </w:r>
            <w:r w:rsidRPr="00394B52">
              <w:rPr>
                <w:rFonts w:ascii="Times" w:hAnsi="Times" w:cs="Times"/>
                <w:color w:val="000000"/>
                <w:kern w:val="0"/>
                <w:sz w:val="18"/>
                <w:szCs w:val="18"/>
                <w:lang w:val="en-CA" w:eastAsia="en-CA"/>
              </w:rPr>
              <w:lastRenderedPageBreak/>
              <w:t>assessment</w:t>
            </w:r>
          </w:p>
        </w:tc>
        <w:tc>
          <w:tcPr>
            <w:tcW w:w="671" w:type="dxa"/>
            <w:tcBorders>
              <w:top w:val="single" w:sz="5" w:space="0" w:color="000000"/>
              <w:left w:val="single" w:sz="5" w:space="0" w:color="000000"/>
              <w:bottom w:val="single" w:sz="5" w:space="0" w:color="000000"/>
              <w:right w:val="single" w:sz="5" w:space="0" w:color="000000"/>
            </w:tcBorders>
          </w:tcPr>
          <w:p w14:paraId="45F70223"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lastRenderedPageBreak/>
              <w:t>15</w:t>
            </w:r>
          </w:p>
        </w:tc>
        <w:tc>
          <w:tcPr>
            <w:tcW w:w="6412" w:type="dxa"/>
            <w:tcBorders>
              <w:top w:val="single" w:sz="5" w:space="0" w:color="000000"/>
              <w:left w:val="single" w:sz="5" w:space="0" w:color="000000"/>
              <w:bottom w:val="single" w:sz="5" w:space="0" w:color="000000"/>
              <w:right w:val="single" w:sz="5" w:space="0" w:color="000000"/>
            </w:tcBorders>
          </w:tcPr>
          <w:p w14:paraId="3019D314"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Describe any methods used to assess certainty (or confidence) in the body of </w:t>
            </w:r>
            <w:r w:rsidRPr="00394B52">
              <w:rPr>
                <w:rFonts w:ascii="Times" w:hAnsi="Times" w:cs="Times"/>
                <w:color w:val="000000"/>
                <w:kern w:val="0"/>
                <w:sz w:val="18"/>
                <w:szCs w:val="18"/>
                <w:lang w:val="en-CA" w:eastAsia="en-CA"/>
              </w:rPr>
              <w:lastRenderedPageBreak/>
              <w:t>evidence for an outcome.</w:t>
            </w:r>
          </w:p>
        </w:tc>
        <w:tc>
          <w:tcPr>
            <w:tcW w:w="1585" w:type="dxa"/>
            <w:tcBorders>
              <w:top w:val="single" w:sz="5" w:space="0" w:color="000000"/>
              <w:left w:val="single" w:sz="5" w:space="0" w:color="000000"/>
              <w:bottom w:val="single" w:sz="5" w:space="0" w:color="000000"/>
              <w:right w:val="single" w:sz="5" w:space="0" w:color="000000"/>
            </w:tcBorders>
          </w:tcPr>
          <w:p w14:paraId="69C3825A"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lastRenderedPageBreak/>
              <w:t>Manuscript p 6</w:t>
            </w:r>
          </w:p>
        </w:tc>
      </w:tr>
      <w:tr w:rsidR="00394B52" w:rsidRPr="00394B52" w14:paraId="0133FED1" w14:textId="77777777" w:rsidTr="00E01118">
        <w:trPr>
          <w:trHeight w:val="23"/>
        </w:trPr>
        <w:tc>
          <w:tcPr>
            <w:tcW w:w="8783"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3D4D79CB" w14:textId="77777777" w:rsidR="00394B52" w:rsidRPr="00394B52" w:rsidRDefault="00394B52" w:rsidP="00394B52">
            <w:pPr>
              <w:wordWrap/>
              <w:adjustRightInd w:val="0"/>
              <w:spacing w:after="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RESULTS </w:t>
            </w:r>
          </w:p>
        </w:tc>
        <w:tc>
          <w:tcPr>
            <w:tcW w:w="1585" w:type="dxa"/>
            <w:tcBorders>
              <w:top w:val="double" w:sz="5" w:space="0" w:color="000000"/>
              <w:left w:val="single" w:sz="5" w:space="0" w:color="000000"/>
              <w:bottom w:val="single" w:sz="5" w:space="0" w:color="000000"/>
              <w:right w:val="single" w:sz="5" w:space="0" w:color="000000"/>
            </w:tcBorders>
            <w:shd w:val="clear" w:color="auto" w:fill="FFFFCC"/>
          </w:tcPr>
          <w:p w14:paraId="60463A35" w14:textId="77777777" w:rsidR="00394B52" w:rsidRPr="00394B52" w:rsidRDefault="00394B52" w:rsidP="00394B52">
            <w:pPr>
              <w:wordWrap/>
              <w:adjustRightInd w:val="0"/>
              <w:spacing w:after="0" w:line="240" w:lineRule="auto"/>
              <w:jc w:val="center"/>
              <w:rPr>
                <w:rFonts w:ascii="Times" w:hAnsi="Times" w:cs="Times"/>
                <w:kern w:val="0"/>
                <w:sz w:val="18"/>
                <w:szCs w:val="18"/>
                <w:lang w:val="en-CA" w:eastAsia="en-CA"/>
              </w:rPr>
            </w:pPr>
          </w:p>
        </w:tc>
      </w:tr>
      <w:tr w:rsidR="00394B52" w:rsidRPr="00394B52" w14:paraId="1AE42965" w14:textId="77777777" w:rsidTr="00E01118">
        <w:trPr>
          <w:trHeight w:val="46"/>
        </w:trPr>
        <w:tc>
          <w:tcPr>
            <w:tcW w:w="1700" w:type="dxa"/>
            <w:vMerge w:val="restart"/>
            <w:tcBorders>
              <w:top w:val="single" w:sz="5" w:space="0" w:color="000000"/>
              <w:left w:val="single" w:sz="5" w:space="0" w:color="000000"/>
              <w:right w:val="single" w:sz="5" w:space="0" w:color="000000"/>
            </w:tcBorders>
          </w:tcPr>
          <w:p w14:paraId="42C33932"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Study selection </w:t>
            </w:r>
          </w:p>
        </w:tc>
        <w:tc>
          <w:tcPr>
            <w:tcW w:w="671" w:type="dxa"/>
            <w:tcBorders>
              <w:top w:val="single" w:sz="5" w:space="0" w:color="000000"/>
              <w:left w:val="single" w:sz="5" w:space="0" w:color="000000"/>
              <w:bottom w:val="single" w:sz="5" w:space="0" w:color="000000"/>
              <w:right w:val="single" w:sz="5" w:space="0" w:color="000000"/>
            </w:tcBorders>
          </w:tcPr>
          <w:p w14:paraId="5675FF84"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16a</w:t>
            </w:r>
          </w:p>
        </w:tc>
        <w:tc>
          <w:tcPr>
            <w:tcW w:w="6412" w:type="dxa"/>
            <w:tcBorders>
              <w:top w:val="single" w:sz="5" w:space="0" w:color="000000"/>
              <w:left w:val="single" w:sz="5" w:space="0" w:color="000000"/>
              <w:bottom w:val="single" w:sz="5" w:space="0" w:color="000000"/>
              <w:right w:val="single" w:sz="5" w:space="0" w:color="000000"/>
            </w:tcBorders>
          </w:tcPr>
          <w:p w14:paraId="07D853C8"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Describe the results of the search and selection process, from the number of records identified in the search to the number of studies included in the review, ideally using a flow diagram.</w:t>
            </w:r>
          </w:p>
        </w:tc>
        <w:tc>
          <w:tcPr>
            <w:tcW w:w="1585" w:type="dxa"/>
            <w:tcBorders>
              <w:top w:val="single" w:sz="5" w:space="0" w:color="000000"/>
              <w:left w:val="single" w:sz="5" w:space="0" w:color="000000"/>
              <w:bottom w:val="single" w:sz="5" w:space="0" w:color="000000"/>
              <w:right w:val="single" w:sz="5" w:space="0" w:color="000000"/>
            </w:tcBorders>
          </w:tcPr>
          <w:p w14:paraId="1112D78E"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7, Figure 1</w:t>
            </w:r>
          </w:p>
        </w:tc>
      </w:tr>
      <w:tr w:rsidR="00394B52" w:rsidRPr="00394B52" w14:paraId="48A78FAE" w14:textId="77777777" w:rsidTr="00E01118">
        <w:trPr>
          <w:trHeight w:val="46"/>
        </w:trPr>
        <w:tc>
          <w:tcPr>
            <w:tcW w:w="1700" w:type="dxa"/>
            <w:vMerge/>
            <w:tcBorders>
              <w:left w:val="single" w:sz="5" w:space="0" w:color="000000"/>
              <w:bottom w:val="single" w:sz="5" w:space="0" w:color="000000"/>
              <w:right w:val="single" w:sz="5" w:space="0" w:color="000000"/>
            </w:tcBorders>
          </w:tcPr>
          <w:p w14:paraId="3E14D41E"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5" w:space="0" w:color="000000"/>
              <w:left w:val="single" w:sz="5" w:space="0" w:color="000000"/>
              <w:bottom w:val="single" w:sz="5" w:space="0" w:color="000000"/>
              <w:right w:val="single" w:sz="5" w:space="0" w:color="000000"/>
            </w:tcBorders>
          </w:tcPr>
          <w:p w14:paraId="401A673A"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16b</w:t>
            </w:r>
          </w:p>
        </w:tc>
        <w:tc>
          <w:tcPr>
            <w:tcW w:w="6412" w:type="dxa"/>
            <w:tcBorders>
              <w:top w:val="single" w:sz="5" w:space="0" w:color="000000"/>
              <w:left w:val="single" w:sz="5" w:space="0" w:color="000000"/>
              <w:bottom w:val="single" w:sz="5" w:space="0" w:color="000000"/>
              <w:right w:val="single" w:sz="5" w:space="0" w:color="000000"/>
            </w:tcBorders>
          </w:tcPr>
          <w:p w14:paraId="4FF6FE3A"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Cite studies that might appear to meet the inclusion criteria, but which were excluded, and explain why they were excluded.</w:t>
            </w:r>
          </w:p>
        </w:tc>
        <w:tc>
          <w:tcPr>
            <w:tcW w:w="1585" w:type="dxa"/>
            <w:tcBorders>
              <w:top w:val="single" w:sz="5" w:space="0" w:color="000000"/>
              <w:left w:val="single" w:sz="5" w:space="0" w:color="000000"/>
              <w:bottom w:val="single" w:sz="5" w:space="0" w:color="000000"/>
              <w:right w:val="single" w:sz="5" w:space="0" w:color="000000"/>
            </w:tcBorders>
          </w:tcPr>
          <w:p w14:paraId="5183CEF6"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eastAsia="en-CA"/>
              </w:rPr>
            </w:pPr>
            <w:r w:rsidRPr="00394B52">
              <w:rPr>
                <w:rFonts w:ascii="Times" w:hAnsi="Times" w:cs="Times"/>
                <w:kern w:val="0"/>
                <w:sz w:val="18"/>
                <w:szCs w:val="18"/>
                <w:lang w:val="en-CA"/>
              </w:rPr>
              <w:t>Supplementary material pp 13-18</w:t>
            </w:r>
          </w:p>
        </w:tc>
      </w:tr>
      <w:tr w:rsidR="00394B52" w:rsidRPr="00394B52" w14:paraId="5D20A798" w14:textId="77777777" w:rsidTr="00E01118">
        <w:trPr>
          <w:trHeight w:val="99"/>
        </w:trPr>
        <w:tc>
          <w:tcPr>
            <w:tcW w:w="1700" w:type="dxa"/>
            <w:tcBorders>
              <w:top w:val="single" w:sz="5" w:space="0" w:color="000000"/>
              <w:left w:val="single" w:sz="5" w:space="0" w:color="000000"/>
              <w:bottom w:val="single" w:sz="5" w:space="0" w:color="000000"/>
              <w:right w:val="single" w:sz="5" w:space="0" w:color="000000"/>
            </w:tcBorders>
          </w:tcPr>
          <w:p w14:paraId="5F3FD7A8"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Study characteristics </w:t>
            </w:r>
          </w:p>
        </w:tc>
        <w:tc>
          <w:tcPr>
            <w:tcW w:w="671" w:type="dxa"/>
            <w:tcBorders>
              <w:top w:val="single" w:sz="5" w:space="0" w:color="000000"/>
              <w:left w:val="single" w:sz="5" w:space="0" w:color="000000"/>
              <w:bottom w:val="single" w:sz="5" w:space="0" w:color="000000"/>
              <w:right w:val="single" w:sz="5" w:space="0" w:color="000000"/>
            </w:tcBorders>
          </w:tcPr>
          <w:p w14:paraId="2F4132E1"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17</w:t>
            </w:r>
          </w:p>
        </w:tc>
        <w:tc>
          <w:tcPr>
            <w:tcW w:w="6412" w:type="dxa"/>
            <w:tcBorders>
              <w:top w:val="single" w:sz="5" w:space="0" w:color="000000"/>
              <w:left w:val="single" w:sz="5" w:space="0" w:color="000000"/>
              <w:bottom w:val="single" w:sz="5" w:space="0" w:color="000000"/>
              <w:right w:val="single" w:sz="5" w:space="0" w:color="000000"/>
            </w:tcBorders>
          </w:tcPr>
          <w:p w14:paraId="7349BC53"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Cite each included study and present its characteristics.</w:t>
            </w:r>
          </w:p>
        </w:tc>
        <w:tc>
          <w:tcPr>
            <w:tcW w:w="1585" w:type="dxa"/>
            <w:tcBorders>
              <w:top w:val="single" w:sz="5" w:space="0" w:color="000000"/>
              <w:left w:val="single" w:sz="5" w:space="0" w:color="000000"/>
              <w:bottom w:val="single" w:sz="5" w:space="0" w:color="000000"/>
              <w:right w:val="single" w:sz="5" w:space="0" w:color="000000"/>
            </w:tcBorders>
          </w:tcPr>
          <w:p w14:paraId="6ECAAD24"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Table 2,</w:t>
            </w:r>
          </w:p>
          <w:p w14:paraId="70613AFB"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7, Supplementary material pp 11-12</w:t>
            </w:r>
          </w:p>
        </w:tc>
      </w:tr>
      <w:tr w:rsidR="00394B52" w:rsidRPr="00394B52" w14:paraId="1CEBCBC2" w14:textId="77777777" w:rsidTr="00E01118">
        <w:trPr>
          <w:trHeight w:val="46"/>
        </w:trPr>
        <w:tc>
          <w:tcPr>
            <w:tcW w:w="1700" w:type="dxa"/>
            <w:tcBorders>
              <w:top w:val="single" w:sz="5" w:space="0" w:color="000000"/>
              <w:left w:val="single" w:sz="5" w:space="0" w:color="000000"/>
              <w:bottom w:val="single" w:sz="5" w:space="0" w:color="000000"/>
              <w:right w:val="single" w:sz="5" w:space="0" w:color="000000"/>
            </w:tcBorders>
          </w:tcPr>
          <w:p w14:paraId="48CA4829"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Risk of bias in studies </w:t>
            </w:r>
          </w:p>
        </w:tc>
        <w:tc>
          <w:tcPr>
            <w:tcW w:w="671" w:type="dxa"/>
            <w:tcBorders>
              <w:top w:val="single" w:sz="5" w:space="0" w:color="000000"/>
              <w:left w:val="single" w:sz="5" w:space="0" w:color="000000"/>
              <w:bottom w:val="single" w:sz="5" w:space="0" w:color="000000"/>
              <w:right w:val="single" w:sz="5" w:space="0" w:color="000000"/>
            </w:tcBorders>
          </w:tcPr>
          <w:p w14:paraId="133F33D9"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18</w:t>
            </w:r>
          </w:p>
        </w:tc>
        <w:tc>
          <w:tcPr>
            <w:tcW w:w="6412" w:type="dxa"/>
            <w:tcBorders>
              <w:top w:val="single" w:sz="5" w:space="0" w:color="000000"/>
              <w:left w:val="single" w:sz="5" w:space="0" w:color="000000"/>
              <w:bottom w:val="single" w:sz="5" w:space="0" w:color="000000"/>
              <w:right w:val="single" w:sz="5" w:space="0" w:color="000000"/>
            </w:tcBorders>
          </w:tcPr>
          <w:p w14:paraId="7AB4D555"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Present assessments of risk of bias for each included study.</w:t>
            </w:r>
          </w:p>
        </w:tc>
        <w:tc>
          <w:tcPr>
            <w:tcW w:w="1585" w:type="dxa"/>
            <w:tcBorders>
              <w:top w:val="single" w:sz="5" w:space="0" w:color="000000"/>
              <w:left w:val="single" w:sz="5" w:space="0" w:color="000000"/>
              <w:bottom w:val="single" w:sz="5" w:space="0" w:color="000000"/>
              <w:right w:val="single" w:sz="5" w:space="0" w:color="000000"/>
            </w:tcBorders>
          </w:tcPr>
          <w:p w14:paraId="0669255A"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Table 2,</w:t>
            </w:r>
          </w:p>
          <w:p w14:paraId="0ACAB0C2"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8</w:t>
            </w:r>
          </w:p>
        </w:tc>
      </w:tr>
      <w:tr w:rsidR="00394B52" w:rsidRPr="00394B52" w14:paraId="294B858B" w14:textId="77777777" w:rsidTr="00E01118">
        <w:trPr>
          <w:trHeight w:val="46"/>
        </w:trPr>
        <w:tc>
          <w:tcPr>
            <w:tcW w:w="1700" w:type="dxa"/>
            <w:tcBorders>
              <w:top w:val="single" w:sz="5" w:space="0" w:color="000000"/>
              <w:left w:val="single" w:sz="5" w:space="0" w:color="000000"/>
              <w:bottom w:val="single" w:sz="5" w:space="0" w:color="000000"/>
              <w:right w:val="single" w:sz="5" w:space="0" w:color="000000"/>
            </w:tcBorders>
          </w:tcPr>
          <w:p w14:paraId="1CF49DAE"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Results of individual studies </w:t>
            </w:r>
          </w:p>
        </w:tc>
        <w:tc>
          <w:tcPr>
            <w:tcW w:w="671" w:type="dxa"/>
            <w:tcBorders>
              <w:top w:val="single" w:sz="5" w:space="0" w:color="000000"/>
              <w:left w:val="single" w:sz="5" w:space="0" w:color="000000"/>
              <w:bottom w:val="single" w:sz="5" w:space="0" w:color="000000"/>
              <w:right w:val="single" w:sz="5" w:space="0" w:color="000000"/>
            </w:tcBorders>
          </w:tcPr>
          <w:p w14:paraId="6F51EBA2"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19</w:t>
            </w:r>
          </w:p>
        </w:tc>
        <w:tc>
          <w:tcPr>
            <w:tcW w:w="6412" w:type="dxa"/>
            <w:tcBorders>
              <w:top w:val="single" w:sz="5" w:space="0" w:color="000000"/>
              <w:left w:val="single" w:sz="5" w:space="0" w:color="000000"/>
              <w:bottom w:val="single" w:sz="5" w:space="0" w:color="000000"/>
              <w:right w:val="single" w:sz="5" w:space="0" w:color="000000"/>
            </w:tcBorders>
          </w:tcPr>
          <w:p w14:paraId="34C9945F"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For all outcomes, present, for each study: (a) summary statistics for each group (where appropriate) and (b) an effect </w:t>
            </w:r>
            <w:proofErr w:type="gramStart"/>
            <w:r w:rsidRPr="00394B52">
              <w:rPr>
                <w:rFonts w:ascii="Times" w:hAnsi="Times" w:cs="Times"/>
                <w:color w:val="000000"/>
                <w:kern w:val="0"/>
                <w:sz w:val="18"/>
                <w:szCs w:val="18"/>
                <w:lang w:val="en-CA" w:eastAsia="en-CA"/>
              </w:rPr>
              <w:t>estimate</w:t>
            </w:r>
            <w:proofErr w:type="gramEnd"/>
            <w:r w:rsidRPr="00394B52">
              <w:rPr>
                <w:rFonts w:ascii="Times" w:hAnsi="Times" w:cs="Times"/>
                <w:color w:val="000000"/>
                <w:kern w:val="0"/>
                <w:sz w:val="18"/>
                <w:szCs w:val="18"/>
                <w:lang w:val="en-CA" w:eastAsia="en-CA"/>
              </w:rPr>
              <w:t xml:space="preserve"> and its precision (e.g. confidence/credible interval), ideally using structured tables or plots.</w:t>
            </w:r>
          </w:p>
        </w:tc>
        <w:tc>
          <w:tcPr>
            <w:tcW w:w="1585" w:type="dxa"/>
            <w:tcBorders>
              <w:top w:val="single" w:sz="5" w:space="0" w:color="000000"/>
              <w:left w:val="single" w:sz="5" w:space="0" w:color="000000"/>
              <w:bottom w:val="single" w:sz="5" w:space="0" w:color="000000"/>
              <w:right w:val="single" w:sz="5" w:space="0" w:color="000000"/>
            </w:tcBorders>
          </w:tcPr>
          <w:p w14:paraId="344DD75B"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hint="eastAsia"/>
                <w:kern w:val="0"/>
                <w:sz w:val="18"/>
                <w:szCs w:val="18"/>
                <w:lang w:val="en-CA"/>
              </w:rPr>
              <w:t>T</w:t>
            </w:r>
            <w:r w:rsidRPr="00394B52">
              <w:rPr>
                <w:rFonts w:ascii="Times" w:hAnsi="Times" w:cs="Times"/>
                <w:kern w:val="0"/>
                <w:sz w:val="18"/>
                <w:szCs w:val="18"/>
                <w:lang w:val="en-CA"/>
              </w:rPr>
              <w:t>able 2, S1-3, Figure 2, S1-54</w:t>
            </w:r>
          </w:p>
        </w:tc>
      </w:tr>
      <w:tr w:rsidR="00394B52" w:rsidRPr="00394B52" w14:paraId="765A74DA" w14:textId="77777777" w:rsidTr="00E01118">
        <w:trPr>
          <w:trHeight w:val="46"/>
        </w:trPr>
        <w:tc>
          <w:tcPr>
            <w:tcW w:w="1700" w:type="dxa"/>
            <w:vMerge w:val="restart"/>
            <w:tcBorders>
              <w:top w:val="single" w:sz="5" w:space="0" w:color="000000"/>
              <w:left w:val="single" w:sz="5" w:space="0" w:color="000000"/>
              <w:right w:val="single" w:sz="5" w:space="0" w:color="000000"/>
            </w:tcBorders>
          </w:tcPr>
          <w:p w14:paraId="514EE3E9"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Results of syntheses</w:t>
            </w:r>
          </w:p>
        </w:tc>
        <w:tc>
          <w:tcPr>
            <w:tcW w:w="671" w:type="dxa"/>
            <w:tcBorders>
              <w:top w:val="single" w:sz="5" w:space="0" w:color="000000"/>
              <w:left w:val="single" w:sz="5" w:space="0" w:color="000000"/>
              <w:bottom w:val="single" w:sz="5" w:space="0" w:color="000000"/>
              <w:right w:val="single" w:sz="5" w:space="0" w:color="000000"/>
            </w:tcBorders>
          </w:tcPr>
          <w:p w14:paraId="5A8A473F"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20a</w:t>
            </w:r>
          </w:p>
        </w:tc>
        <w:tc>
          <w:tcPr>
            <w:tcW w:w="6412" w:type="dxa"/>
            <w:tcBorders>
              <w:top w:val="single" w:sz="5" w:space="0" w:color="000000"/>
              <w:left w:val="single" w:sz="5" w:space="0" w:color="000000"/>
              <w:bottom w:val="single" w:sz="5" w:space="0" w:color="000000"/>
              <w:right w:val="single" w:sz="5" w:space="0" w:color="000000"/>
            </w:tcBorders>
          </w:tcPr>
          <w:p w14:paraId="05DC216B"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For each synthesis, briefly summarise the characteristics and risk of bias among contributing studies.</w:t>
            </w:r>
          </w:p>
        </w:tc>
        <w:tc>
          <w:tcPr>
            <w:tcW w:w="1585" w:type="dxa"/>
            <w:tcBorders>
              <w:top w:val="single" w:sz="5" w:space="0" w:color="000000"/>
              <w:left w:val="single" w:sz="5" w:space="0" w:color="000000"/>
              <w:bottom w:val="single" w:sz="5" w:space="0" w:color="000000"/>
              <w:right w:val="single" w:sz="5" w:space="0" w:color="000000"/>
            </w:tcBorders>
          </w:tcPr>
          <w:p w14:paraId="68FABE11" w14:textId="77777777" w:rsidR="00394B52" w:rsidRPr="00394B52" w:rsidRDefault="00394B52" w:rsidP="00394B52">
            <w:pPr>
              <w:wordWrap/>
              <w:adjustRightInd w:val="0"/>
              <w:spacing w:before="40" w:after="40" w:line="240" w:lineRule="auto"/>
              <w:jc w:val="left"/>
              <w:rPr>
                <w:rFonts w:ascii="Times" w:hAnsi="Times" w:cs="Times"/>
                <w:kern w:val="0"/>
                <w:sz w:val="18"/>
                <w:szCs w:val="18"/>
              </w:rPr>
            </w:pPr>
            <w:r w:rsidRPr="00394B52">
              <w:rPr>
                <w:rFonts w:ascii="Times" w:hAnsi="Times" w:cs="Times" w:hint="eastAsia"/>
                <w:kern w:val="0"/>
                <w:sz w:val="18"/>
                <w:szCs w:val="18"/>
                <w:lang w:val="en-CA"/>
              </w:rPr>
              <w:t>T</w:t>
            </w:r>
            <w:r w:rsidRPr="00394B52">
              <w:rPr>
                <w:rFonts w:ascii="Times" w:hAnsi="Times" w:cs="Times"/>
                <w:kern w:val="0"/>
                <w:sz w:val="18"/>
                <w:szCs w:val="18"/>
                <w:lang w:val="en-CA"/>
              </w:rPr>
              <w:t>able 2, S1-3, Figure 2, S1-54</w:t>
            </w:r>
          </w:p>
        </w:tc>
      </w:tr>
      <w:tr w:rsidR="00394B52" w:rsidRPr="00394B52" w14:paraId="243FBBAB" w14:textId="77777777" w:rsidTr="00E01118">
        <w:trPr>
          <w:trHeight w:val="197"/>
        </w:trPr>
        <w:tc>
          <w:tcPr>
            <w:tcW w:w="1700" w:type="dxa"/>
            <w:vMerge/>
            <w:tcBorders>
              <w:left w:val="single" w:sz="5" w:space="0" w:color="000000"/>
              <w:right w:val="single" w:sz="5" w:space="0" w:color="000000"/>
            </w:tcBorders>
          </w:tcPr>
          <w:p w14:paraId="0741D7DE"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5" w:space="0" w:color="000000"/>
              <w:left w:val="single" w:sz="5" w:space="0" w:color="000000"/>
              <w:bottom w:val="single" w:sz="5" w:space="0" w:color="000000"/>
              <w:right w:val="single" w:sz="5" w:space="0" w:color="000000"/>
            </w:tcBorders>
          </w:tcPr>
          <w:p w14:paraId="04031F1E"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20b</w:t>
            </w:r>
          </w:p>
        </w:tc>
        <w:tc>
          <w:tcPr>
            <w:tcW w:w="6412" w:type="dxa"/>
            <w:tcBorders>
              <w:top w:val="single" w:sz="5" w:space="0" w:color="000000"/>
              <w:left w:val="single" w:sz="5" w:space="0" w:color="000000"/>
              <w:bottom w:val="single" w:sz="5" w:space="0" w:color="000000"/>
              <w:right w:val="single" w:sz="5" w:space="0" w:color="000000"/>
            </w:tcBorders>
          </w:tcPr>
          <w:p w14:paraId="06CD6F9C"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Present results of all statistical syntheses conducted. If meta-analysis was done, present for each the summary estimate and its precision (</w:t>
            </w:r>
            <w:proofErr w:type="gramStart"/>
            <w:r w:rsidRPr="00394B52">
              <w:rPr>
                <w:rFonts w:ascii="Times" w:hAnsi="Times" w:cs="Times"/>
                <w:color w:val="000000"/>
                <w:kern w:val="0"/>
                <w:sz w:val="18"/>
                <w:szCs w:val="18"/>
                <w:lang w:val="en-CA" w:eastAsia="en-CA"/>
              </w:rPr>
              <w:t>e.g.</w:t>
            </w:r>
            <w:proofErr w:type="gramEnd"/>
            <w:r w:rsidRPr="00394B52">
              <w:rPr>
                <w:rFonts w:ascii="Times" w:hAnsi="Times" w:cs="Times"/>
                <w:color w:val="000000"/>
                <w:kern w:val="0"/>
                <w:sz w:val="18"/>
                <w:szCs w:val="18"/>
                <w:lang w:val="en-CA" w:eastAsia="en-CA"/>
              </w:rPr>
              <w:t xml:space="preserve"> confidence/credible interval) and measures of statistical heterogeneity. If comparing groups, describe the direction of the effect.</w:t>
            </w:r>
          </w:p>
        </w:tc>
        <w:tc>
          <w:tcPr>
            <w:tcW w:w="1585" w:type="dxa"/>
            <w:tcBorders>
              <w:top w:val="single" w:sz="5" w:space="0" w:color="000000"/>
              <w:left w:val="single" w:sz="5" w:space="0" w:color="000000"/>
              <w:bottom w:val="single" w:sz="5" w:space="0" w:color="000000"/>
              <w:right w:val="single" w:sz="5" w:space="0" w:color="000000"/>
            </w:tcBorders>
          </w:tcPr>
          <w:p w14:paraId="123F5F82"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hint="eastAsia"/>
                <w:kern w:val="0"/>
                <w:sz w:val="18"/>
                <w:szCs w:val="18"/>
                <w:lang w:val="en-CA"/>
              </w:rPr>
              <w:t>T</w:t>
            </w:r>
            <w:r w:rsidRPr="00394B52">
              <w:rPr>
                <w:rFonts w:ascii="Times" w:hAnsi="Times" w:cs="Times"/>
                <w:kern w:val="0"/>
                <w:sz w:val="18"/>
                <w:szCs w:val="18"/>
                <w:lang w:val="en-CA"/>
              </w:rPr>
              <w:t>able 2, S1-3, Figure 2, S1-54</w:t>
            </w:r>
          </w:p>
        </w:tc>
      </w:tr>
      <w:tr w:rsidR="00394B52" w:rsidRPr="00394B52" w14:paraId="4C4C6B34" w14:textId="77777777" w:rsidTr="00E01118">
        <w:trPr>
          <w:trHeight w:val="46"/>
        </w:trPr>
        <w:tc>
          <w:tcPr>
            <w:tcW w:w="1700" w:type="dxa"/>
            <w:vMerge/>
            <w:tcBorders>
              <w:left w:val="single" w:sz="5" w:space="0" w:color="000000"/>
              <w:right w:val="single" w:sz="5" w:space="0" w:color="000000"/>
            </w:tcBorders>
          </w:tcPr>
          <w:p w14:paraId="3C0F66DD"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5" w:space="0" w:color="000000"/>
              <w:left w:val="single" w:sz="5" w:space="0" w:color="000000"/>
              <w:bottom w:val="single" w:sz="5" w:space="0" w:color="000000"/>
              <w:right w:val="single" w:sz="5" w:space="0" w:color="000000"/>
            </w:tcBorders>
          </w:tcPr>
          <w:p w14:paraId="35E9FAA9"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20c</w:t>
            </w:r>
          </w:p>
        </w:tc>
        <w:tc>
          <w:tcPr>
            <w:tcW w:w="6412" w:type="dxa"/>
            <w:tcBorders>
              <w:top w:val="single" w:sz="5" w:space="0" w:color="000000"/>
              <w:left w:val="single" w:sz="5" w:space="0" w:color="000000"/>
              <w:bottom w:val="single" w:sz="5" w:space="0" w:color="000000"/>
              <w:right w:val="single" w:sz="5" w:space="0" w:color="000000"/>
            </w:tcBorders>
          </w:tcPr>
          <w:p w14:paraId="6C41FF15"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Present results of all investigations of possible causes of heterogeneity among study results.</w:t>
            </w:r>
          </w:p>
        </w:tc>
        <w:tc>
          <w:tcPr>
            <w:tcW w:w="1585" w:type="dxa"/>
            <w:tcBorders>
              <w:top w:val="single" w:sz="5" w:space="0" w:color="000000"/>
              <w:left w:val="single" w:sz="5" w:space="0" w:color="000000"/>
              <w:bottom w:val="single" w:sz="5" w:space="0" w:color="000000"/>
              <w:right w:val="single" w:sz="5" w:space="0" w:color="000000"/>
            </w:tcBorders>
          </w:tcPr>
          <w:p w14:paraId="3AE3B2BA"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hint="eastAsia"/>
                <w:kern w:val="0"/>
                <w:sz w:val="18"/>
                <w:szCs w:val="18"/>
                <w:lang w:val="en-CA"/>
              </w:rPr>
              <w:t>M</w:t>
            </w:r>
            <w:r w:rsidRPr="00394B52">
              <w:rPr>
                <w:rFonts w:ascii="Times" w:hAnsi="Times" w:cs="Times"/>
                <w:kern w:val="0"/>
                <w:sz w:val="18"/>
                <w:szCs w:val="18"/>
                <w:lang w:val="en-CA"/>
              </w:rPr>
              <w:t>anuscript pp 8-9, Table S2</w:t>
            </w:r>
          </w:p>
        </w:tc>
      </w:tr>
      <w:tr w:rsidR="00394B52" w:rsidRPr="00394B52" w14:paraId="3CFE477B" w14:textId="77777777" w:rsidTr="00E01118">
        <w:trPr>
          <w:trHeight w:val="46"/>
        </w:trPr>
        <w:tc>
          <w:tcPr>
            <w:tcW w:w="1700" w:type="dxa"/>
            <w:vMerge/>
            <w:tcBorders>
              <w:left w:val="single" w:sz="5" w:space="0" w:color="000000"/>
              <w:bottom w:val="single" w:sz="5" w:space="0" w:color="000000"/>
              <w:right w:val="single" w:sz="5" w:space="0" w:color="000000"/>
            </w:tcBorders>
          </w:tcPr>
          <w:p w14:paraId="2AB9775E"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5" w:space="0" w:color="000000"/>
              <w:left w:val="single" w:sz="5" w:space="0" w:color="000000"/>
              <w:bottom w:val="single" w:sz="5" w:space="0" w:color="000000"/>
              <w:right w:val="single" w:sz="5" w:space="0" w:color="000000"/>
            </w:tcBorders>
          </w:tcPr>
          <w:p w14:paraId="282523F2"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20d</w:t>
            </w:r>
          </w:p>
        </w:tc>
        <w:tc>
          <w:tcPr>
            <w:tcW w:w="6412" w:type="dxa"/>
            <w:tcBorders>
              <w:top w:val="single" w:sz="5" w:space="0" w:color="000000"/>
              <w:left w:val="single" w:sz="5" w:space="0" w:color="000000"/>
              <w:bottom w:val="single" w:sz="5" w:space="0" w:color="000000"/>
              <w:right w:val="single" w:sz="5" w:space="0" w:color="000000"/>
            </w:tcBorders>
          </w:tcPr>
          <w:p w14:paraId="33E0C9BD"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Present results of all sensitivity analyses conducted to assess the robustness of the synthesized results.</w:t>
            </w:r>
          </w:p>
        </w:tc>
        <w:tc>
          <w:tcPr>
            <w:tcW w:w="1585" w:type="dxa"/>
            <w:tcBorders>
              <w:top w:val="single" w:sz="5" w:space="0" w:color="000000"/>
              <w:left w:val="single" w:sz="5" w:space="0" w:color="000000"/>
              <w:bottom w:val="single" w:sz="5" w:space="0" w:color="000000"/>
              <w:right w:val="single" w:sz="5" w:space="0" w:color="000000"/>
            </w:tcBorders>
          </w:tcPr>
          <w:p w14:paraId="51A834CC"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hint="eastAsia"/>
                <w:kern w:val="0"/>
                <w:sz w:val="18"/>
                <w:szCs w:val="18"/>
                <w:lang w:val="en-CA"/>
              </w:rPr>
              <w:t>M</w:t>
            </w:r>
            <w:r w:rsidRPr="00394B52">
              <w:rPr>
                <w:rFonts w:ascii="Times" w:hAnsi="Times" w:cs="Times"/>
                <w:kern w:val="0"/>
                <w:sz w:val="18"/>
                <w:szCs w:val="18"/>
                <w:lang w:val="en-CA"/>
              </w:rPr>
              <w:t>anuscript pp 8-9, Table S2</w:t>
            </w:r>
          </w:p>
        </w:tc>
      </w:tr>
      <w:tr w:rsidR="00394B52" w:rsidRPr="00394B52" w14:paraId="2FFB5CD7" w14:textId="77777777" w:rsidTr="00E01118">
        <w:trPr>
          <w:trHeight w:val="46"/>
        </w:trPr>
        <w:tc>
          <w:tcPr>
            <w:tcW w:w="1700" w:type="dxa"/>
            <w:tcBorders>
              <w:top w:val="single" w:sz="5" w:space="0" w:color="000000"/>
              <w:left w:val="single" w:sz="5" w:space="0" w:color="000000"/>
              <w:bottom w:val="single" w:sz="5" w:space="0" w:color="000000"/>
              <w:right w:val="single" w:sz="5" w:space="0" w:color="000000"/>
            </w:tcBorders>
          </w:tcPr>
          <w:p w14:paraId="02091D91"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Reporting biases</w:t>
            </w:r>
          </w:p>
        </w:tc>
        <w:tc>
          <w:tcPr>
            <w:tcW w:w="671" w:type="dxa"/>
            <w:tcBorders>
              <w:top w:val="single" w:sz="5" w:space="0" w:color="000000"/>
              <w:left w:val="single" w:sz="5" w:space="0" w:color="000000"/>
              <w:bottom w:val="single" w:sz="5" w:space="0" w:color="000000"/>
              <w:right w:val="single" w:sz="5" w:space="0" w:color="000000"/>
            </w:tcBorders>
          </w:tcPr>
          <w:p w14:paraId="32BFFC06"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21</w:t>
            </w:r>
          </w:p>
        </w:tc>
        <w:tc>
          <w:tcPr>
            <w:tcW w:w="6412" w:type="dxa"/>
            <w:tcBorders>
              <w:top w:val="single" w:sz="5" w:space="0" w:color="000000"/>
              <w:left w:val="single" w:sz="5" w:space="0" w:color="000000"/>
              <w:bottom w:val="single" w:sz="5" w:space="0" w:color="000000"/>
              <w:right w:val="single" w:sz="5" w:space="0" w:color="000000"/>
            </w:tcBorders>
          </w:tcPr>
          <w:p w14:paraId="0A343C71"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Present assessments of risk of bias due to missing results (arising from reporting biases) for each synthesis assessed.</w:t>
            </w:r>
          </w:p>
        </w:tc>
        <w:tc>
          <w:tcPr>
            <w:tcW w:w="1585" w:type="dxa"/>
            <w:tcBorders>
              <w:top w:val="single" w:sz="5" w:space="0" w:color="000000"/>
              <w:left w:val="single" w:sz="5" w:space="0" w:color="000000"/>
              <w:bottom w:val="single" w:sz="5" w:space="0" w:color="000000"/>
              <w:right w:val="single" w:sz="5" w:space="0" w:color="000000"/>
            </w:tcBorders>
          </w:tcPr>
          <w:p w14:paraId="10FF5F65"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hint="eastAsia"/>
                <w:kern w:val="0"/>
                <w:sz w:val="18"/>
                <w:szCs w:val="18"/>
                <w:lang w:val="en-CA"/>
              </w:rPr>
              <w:t>M</w:t>
            </w:r>
            <w:r w:rsidRPr="00394B52">
              <w:rPr>
                <w:rFonts w:ascii="Times" w:hAnsi="Times" w:cs="Times"/>
                <w:kern w:val="0"/>
                <w:sz w:val="18"/>
                <w:szCs w:val="18"/>
                <w:lang w:val="en-CA"/>
              </w:rPr>
              <w:t>anuscript pp 7-8, Table S2</w:t>
            </w:r>
          </w:p>
        </w:tc>
      </w:tr>
      <w:tr w:rsidR="00394B52" w:rsidRPr="00394B52" w14:paraId="4055E43B" w14:textId="77777777" w:rsidTr="00E01118">
        <w:trPr>
          <w:trHeight w:val="46"/>
        </w:trPr>
        <w:tc>
          <w:tcPr>
            <w:tcW w:w="1700" w:type="dxa"/>
            <w:tcBorders>
              <w:top w:val="single" w:sz="5" w:space="0" w:color="000000"/>
              <w:left w:val="single" w:sz="5" w:space="0" w:color="000000"/>
              <w:bottom w:val="single" w:sz="5" w:space="0" w:color="000000"/>
              <w:right w:val="single" w:sz="5" w:space="0" w:color="000000"/>
            </w:tcBorders>
          </w:tcPr>
          <w:p w14:paraId="592571F4"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Certainty of evidence </w:t>
            </w:r>
          </w:p>
        </w:tc>
        <w:tc>
          <w:tcPr>
            <w:tcW w:w="671" w:type="dxa"/>
            <w:tcBorders>
              <w:top w:val="single" w:sz="5" w:space="0" w:color="000000"/>
              <w:left w:val="single" w:sz="5" w:space="0" w:color="000000"/>
              <w:bottom w:val="single" w:sz="5" w:space="0" w:color="000000"/>
              <w:right w:val="single" w:sz="5" w:space="0" w:color="000000"/>
            </w:tcBorders>
          </w:tcPr>
          <w:p w14:paraId="0C919348"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22</w:t>
            </w:r>
          </w:p>
        </w:tc>
        <w:tc>
          <w:tcPr>
            <w:tcW w:w="6412" w:type="dxa"/>
            <w:tcBorders>
              <w:top w:val="single" w:sz="5" w:space="0" w:color="000000"/>
              <w:left w:val="single" w:sz="5" w:space="0" w:color="000000"/>
              <w:bottom w:val="single" w:sz="5" w:space="0" w:color="000000"/>
              <w:right w:val="single" w:sz="5" w:space="0" w:color="000000"/>
            </w:tcBorders>
          </w:tcPr>
          <w:p w14:paraId="47CBEB60"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Present assessments of certainty (or confidence) in the body of evidence for each outcome assessed.</w:t>
            </w:r>
          </w:p>
        </w:tc>
        <w:tc>
          <w:tcPr>
            <w:tcW w:w="1585" w:type="dxa"/>
            <w:tcBorders>
              <w:top w:val="single" w:sz="5" w:space="0" w:color="000000"/>
              <w:left w:val="single" w:sz="5" w:space="0" w:color="000000"/>
              <w:bottom w:val="single" w:sz="5" w:space="0" w:color="000000"/>
              <w:right w:val="single" w:sz="5" w:space="0" w:color="000000"/>
            </w:tcBorders>
          </w:tcPr>
          <w:p w14:paraId="7511A0E2"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hint="eastAsia"/>
                <w:kern w:val="0"/>
                <w:sz w:val="18"/>
                <w:szCs w:val="18"/>
                <w:lang w:val="en-CA"/>
              </w:rPr>
              <w:t>M</w:t>
            </w:r>
            <w:r w:rsidRPr="00394B52">
              <w:rPr>
                <w:rFonts w:ascii="Times" w:hAnsi="Times" w:cs="Times"/>
                <w:kern w:val="0"/>
                <w:sz w:val="18"/>
                <w:szCs w:val="18"/>
                <w:lang w:val="en-CA"/>
              </w:rPr>
              <w:t>anuscript pp 7-8, Table 2, Figure 2</w:t>
            </w:r>
          </w:p>
        </w:tc>
      </w:tr>
      <w:tr w:rsidR="00394B52" w:rsidRPr="00394B52" w14:paraId="7B5B8673" w14:textId="77777777" w:rsidTr="00E01118">
        <w:trPr>
          <w:trHeight w:val="23"/>
        </w:trPr>
        <w:tc>
          <w:tcPr>
            <w:tcW w:w="8783"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3A217517" w14:textId="77777777" w:rsidR="00394B52" w:rsidRPr="00394B52" w:rsidRDefault="00394B52" w:rsidP="00394B52">
            <w:pPr>
              <w:wordWrap/>
              <w:adjustRightInd w:val="0"/>
              <w:spacing w:after="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DISCUSSION </w:t>
            </w:r>
          </w:p>
        </w:tc>
        <w:tc>
          <w:tcPr>
            <w:tcW w:w="1585" w:type="dxa"/>
            <w:tcBorders>
              <w:top w:val="double" w:sz="5" w:space="0" w:color="000000"/>
              <w:left w:val="single" w:sz="5" w:space="0" w:color="000000"/>
              <w:bottom w:val="single" w:sz="5" w:space="0" w:color="000000"/>
              <w:right w:val="single" w:sz="5" w:space="0" w:color="000000"/>
            </w:tcBorders>
            <w:shd w:val="clear" w:color="auto" w:fill="FFFFCC"/>
          </w:tcPr>
          <w:p w14:paraId="3095BC0A" w14:textId="77777777" w:rsidR="00394B52" w:rsidRPr="00394B52" w:rsidRDefault="00394B52" w:rsidP="00394B52">
            <w:pPr>
              <w:wordWrap/>
              <w:adjustRightInd w:val="0"/>
              <w:spacing w:after="0" w:line="240" w:lineRule="auto"/>
              <w:jc w:val="center"/>
              <w:rPr>
                <w:rFonts w:ascii="Times" w:hAnsi="Times" w:cs="Times"/>
                <w:kern w:val="0"/>
                <w:sz w:val="18"/>
                <w:szCs w:val="18"/>
                <w:lang w:val="en-CA" w:eastAsia="en-CA"/>
              </w:rPr>
            </w:pPr>
          </w:p>
        </w:tc>
      </w:tr>
      <w:tr w:rsidR="00394B52" w:rsidRPr="00394B52" w14:paraId="7C4E9AF8" w14:textId="77777777" w:rsidTr="00E01118">
        <w:trPr>
          <w:trHeight w:val="46"/>
        </w:trPr>
        <w:tc>
          <w:tcPr>
            <w:tcW w:w="1700" w:type="dxa"/>
            <w:vMerge w:val="restart"/>
            <w:tcBorders>
              <w:top w:val="single" w:sz="5" w:space="0" w:color="000000"/>
              <w:left w:val="single" w:sz="5" w:space="0" w:color="000000"/>
              <w:right w:val="single" w:sz="5" w:space="0" w:color="000000"/>
            </w:tcBorders>
          </w:tcPr>
          <w:p w14:paraId="0141DA2D"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Discussion </w:t>
            </w:r>
          </w:p>
        </w:tc>
        <w:tc>
          <w:tcPr>
            <w:tcW w:w="671" w:type="dxa"/>
            <w:tcBorders>
              <w:top w:val="single" w:sz="5" w:space="0" w:color="000000"/>
              <w:left w:val="single" w:sz="5" w:space="0" w:color="000000"/>
              <w:bottom w:val="single" w:sz="5" w:space="0" w:color="000000"/>
              <w:right w:val="single" w:sz="5" w:space="0" w:color="000000"/>
            </w:tcBorders>
          </w:tcPr>
          <w:p w14:paraId="565B8F24"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23a</w:t>
            </w:r>
          </w:p>
        </w:tc>
        <w:tc>
          <w:tcPr>
            <w:tcW w:w="6412" w:type="dxa"/>
            <w:tcBorders>
              <w:top w:val="single" w:sz="5" w:space="0" w:color="000000"/>
              <w:left w:val="single" w:sz="5" w:space="0" w:color="000000"/>
              <w:bottom w:val="single" w:sz="5" w:space="0" w:color="000000"/>
              <w:right w:val="single" w:sz="5" w:space="0" w:color="000000"/>
            </w:tcBorders>
          </w:tcPr>
          <w:p w14:paraId="118F4B06"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Provide a general interpretation of the results in the context of other evidence.</w:t>
            </w:r>
          </w:p>
        </w:tc>
        <w:tc>
          <w:tcPr>
            <w:tcW w:w="1585" w:type="dxa"/>
            <w:tcBorders>
              <w:top w:val="single" w:sz="5" w:space="0" w:color="000000"/>
              <w:left w:val="single" w:sz="5" w:space="0" w:color="000000"/>
              <w:bottom w:val="single" w:sz="5" w:space="0" w:color="000000"/>
              <w:right w:val="single" w:sz="5" w:space="0" w:color="000000"/>
            </w:tcBorders>
          </w:tcPr>
          <w:p w14:paraId="413DD62F"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9</w:t>
            </w:r>
          </w:p>
        </w:tc>
      </w:tr>
      <w:tr w:rsidR="00394B52" w:rsidRPr="00394B52" w14:paraId="4ACA3551" w14:textId="77777777" w:rsidTr="00E01118">
        <w:trPr>
          <w:trHeight w:val="46"/>
        </w:trPr>
        <w:tc>
          <w:tcPr>
            <w:tcW w:w="1700" w:type="dxa"/>
            <w:vMerge/>
            <w:tcBorders>
              <w:left w:val="single" w:sz="5" w:space="0" w:color="000000"/>
              <w:right w:val="single" w:sz="5" w:space="0" w:color="000000"/>
            </w:tcBorders>
          </w:tcPr>
          <w:p w14:paraId="6E9C0A63"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5" w:space="0" w:color="000000"/>
              <w:left w:val="single" w:sz="5" w:space="0" w:color="000000"/>
              <w:bottom w:val="single" w:sz="5" w:space="0" w:color="000000"/>
              <w:right w:val="single" w:sz="5" w:space="0" w:color="000000"/>
            </w:tcBorders>
          </w:tcPr>
          <w:p w14:paraId="73476030"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23b</w:t>
            </w:r>
          </w:p>
        </w:tc>
        <w:tc>
          <w:tcPr>
            <w:tcW w:w="6412" w:type="dxa"/>
            <w:tcBorders>
              <w:top w:val="single" w:sz="5" w:space="0" w:color="000000"/>
              <w:left w:val="single" w:sz="5" w:space="0" w:color="000000"/>
              <w:bottom w:val="single" w:sz="5" w:space="0" w:color="000000"/>
              <w:right w:val="single" w:sz="5" w:space="0" w:color="000000"/>
            </w:tcBorders>
          </w:tcPr>
          <w:p w14:paraId="144204C1"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Discuss any limitations of the evidence included in the review.</w:t>
            </w:r>
          </w:p>
        </w:tc>
        <w:tc>
          <w:tcPr>
            <w:tcW w:w="1585" w:type="dxa"/>
            <w:tcBorders>
              <w:top w:val="single" w:sz="5" w:space="0" w:color="000000"/>
              <w:left w:val="single" w:sz="5" w:space="0" w:color="000000"/>
              <w:bottom w:val="single" w:sz="5" w:space="0" w:color="000000"/>
              <w:right w:val="single" w:sz="5" w:space="0" w:color="000000"/>
            </w:tcBorders>
          </w:tcPr>
          <w:p w14:paraId="43BD2892"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 xml:space="preserve">Manuscript </w:t>
            </w:r>
            <w:r w:rsidRPr="00394B52">
              <w:rPr>
                <w:rFonts w:ascii="Times" w:hAnsi="Times" w:cs="Times"/>
                <w:kern w:val="0"/>
                <w:sz w:val="18"/>
                <w:szCs w:val="18"/>
              </w:rPr>
              <w:t>p 13</w:t>
            </w:r>
          </w:p>
        </w:tc>
      </w:tr>
      <w:tr w:rsidR="00394B52" w:rsidRPr="00394B52" w14:paraId="0959CD3E" w14:textId="77777777" w:rsidTr="00E01118">
        <w:trPr>
          <w:trHeight w:val="46"/>
        </w:trPr>
        <w:tc>
          <w:tcPr>
            <w:tcW w:w="1700" w:type="dxa"/>
            <w:vMerge/>
            <w:tcBorders>
              <w:left w:val="single" w:sz="5" w:space="0" w:color="000000"/>
              <w:right w:val="single" w:sz="5" w:space="0" w:color="000000"/>
            </w:tcBorders>
          </w:tcPr>
          <w:p w14:paraId="4A6C3AD1"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5" w:space="0" w:color="000000"/>
              <w:left w:val="single" w:sz="5" w:space="0" w:color="000000"/>
              <w:bottom w:val="single" w:sz="4" w:space="0" w:color="auto"/>
              <w:right w:val="single" w:sz="5" w:space="0" w:color="000000"/>
            </w:tcBorders>
          </w:tcPr>
          <w:p w14:paraId="35194E53"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23c</w:t>
            </w:r>
          </w:p>
        </w:tc>
        <w:tc>
          <w:tcPr>
            <w:tcW w:w="6412" w:type="dxa"/>
            <w:tcBorders>
              <w:top w:val="single" w:sz="5" w:space="0" w:color="000000"/>
              <w:left w:val="single" w:sz="5" w:space="0" w:color="000000"/>
              <w:bottom w:val="single" w:sz="5" w:space="0" w:color="000000"/>
              <w:right w:val="single" w:sz="5" w:space="0" w:color="000000"/>
            </w:tcBorders>
          </w:tcPr>
          <w:p w14:paraId="26DE9D4C"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Discuss any limitations of the review processes used.</w:t>
            </w:r>
          </w:p>
        </w:tc>
        <w:tc>
          <w:tcPr>
            <w:tcW w:w="1585" w:type="dxa"/>
            <w:tcBorders>
              <w:top w:val="single" w:sz="5" w:space="0" w:color="000000"/>
              <w:left w:val="single" w:sz="5" w:space="0" w:color="000000"/>
              <w:bottom w:val="single" w:sz="5" w:space="0" w:color="000000"/>
              <w:right w:val="single" w:sz="5" w:space="0" w:color="000000"/>
            </w:tcBorders>
          </w:tcPr>
          <w:p w14:paraId="4545299A"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13</w:t>
            </w:r>
          </w:p>
        </w:tc>
      </w:tr>
      <w:tr w:rsidR="00394B52" w:rsidRPr="00394B52" w14:paraId="5C5E5E02" w14:textId="77777777" w:rsidTr="00E01118">
        <w:trPr>
          <w:trHeight w:val="46"/>
        </w:trPr>
        <w:tc>
          <w:tcPr>
            <w:tcW w:w="1700" w:type="dxa"/>
            <w:vMerge/>
            <w:tcBorders>
              <w:left w:val="single" w:sz="5" w:space="0" w:color="000000"/>
              <w:bottom w:val="single" w:sz="4" w:space="0" w:color="auto"/>
              <w:right w:val="single" w:sz="5" w:space="0" w:color="000000"/>
            </w:tcBorders>
          </w:tcPr>
          <w:p w14:paraId="55238443"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4" w:space="0" w:color="auto"/>
              <w:left w:val="single" w:sz="5" w:space="0" w:color="000000"/>
              <w:bottom w:val="single" w:sz="4" w:space="0" w:color="auto"/>
              <w:right w:val="single" w:sz="4" w:space="0" w:color="auto"/>
            </w:tcBorders>
          </w:tcPr>
          <w:p w14:paraId="4E95D5C8"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23d</w:t>
            </w:r>
          </w:p>
        </w:tc>
        <w:tc>
          <w:tcPr>
            <w:tcW w:w="6412" w:type="dxa"/>
            <w:tcBorders>
              <w:top w:val="single" w:sz="5" w:space="0" w:color="000000"/>
              <w:left w:val="single" w:sz="4" w:space="0" w:color="auto"/>
              <w:bottom w:val="double" w:sz="5" w:space="0" w:color="000000"/>
              <w:right w:val="single" w:sz="5" w:space="0" w:color="000000"/>
            </w:tcBorders>
          </w:tcPr>
          <w:p w14:paraId="65373285"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Discuss implications of the results for practice, policy, and future research.</w:t>
            </w:r>
          </w:p>
        </w:tc>
        <w:tc>
          <w:tcPr>
            <w:tcW w:w="1585" w:type="dxa"/>
            <w:tcBorders>
              <w:top w:val="single" w:sz="5" w:space="0" w:color="000000"/>
              <w:left w:val="single" w:sz="5" w:space="0" w:color="000000"/>
              <w:bottom w:val="double" w:sz="5" w:space="0" w:color="000000"/>
              <w:right w:val="single" w:sz="5" w:space="0" w:color="000000"/>
            </w:tcBorders>
          </w:tcPr>
          <w:p w14:paraId="119A027E" w14:textId="77777777" w:rsidR="00394B52" w:rsidRPr="00394B52" w:rsidRDefault="00394B52" w:rsidP="00394B52">
            <w:pPr>
              <w:wordWrap/>
              <w:adjustRightInd w:val="0"/>
              <w:spacing w:before="40" w:after="40" w:line="240" w:lineRule="auto"/>
              <w:jc w:val="left"/>
              <w:rPr>
                <w:rFonts w:ascii="Times" w:hAnsi="Times" w:cs="Times"/>
                <w:kern w:val="0"/>
                <w:sz w:val="18"/>
                <w:szCs w:val="18"/>
              </w:rPr>
            </w:pPr>
            <w:r w:rsidRPr="00394B52">
              <w:rPr>
                <w:rFonts w:ascii="Times" w:hAnsi="Times" w:cs="Times"/>
                <w:kern w:val="0"/>
                <w:sz w:val="18"/>
                <w:szCs w:val="18"/>
                <w:lang w:val="en-CA"/>
              </w:rPr>
              <w:t>Manuscript pp 9-</w:t>
            </w:r>
            <w:r w:rsidRPr="00394B52">
              <w:rPr>
                <w:rFonts w:ascii="Times" w:hAnsi="Times" w:cs="Times" w:hint="eastAsia"/>
                <w:kern w:val="0"/>
                <w:sz w:val="18"/>
                <w:szCs w:val="18"/>
                <w:lang w:val="en-CA"/>
              </w:rPr>
              <w:t>1</w:t>
            </w:r>
            <w:r w:rsidRPr="00394B52">
              <w:rPr>
                <w:rFonts w:ascii="Times" w:hAnsi="Times" w:cs="Times"/>
                <w:kern w:val="0"/>
                <w:sz w:val="18"/>
                <w:szCs w:val="18"/>
                <w:lang w:val="en-CA"/>
              </w:rPr>
              <w:t>3</w:t>
            </w:r>
          </w:p>
        </w:tc>
      </w:tr>
      <w:tr w:rsidR="00394B52" w:rsidRPr="00394B52" w14:paraId="2D687FCC" w14:textId="77777777" w:rsidTr="00E01118">
        <w:trPr>
          <w:trHeight w:val="23"/>
        </w:trPr>
        <w:tc>
          <w:tcPr>
            <w:tcW w:w="8783"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2B496272" w14:textId="77777777" w:rsidR="00394B52" w:rsidRPr="00394B52" w:rsidRDefault="00394B52" w:rsidP="00394B52">
            <w:pPr>
              <w:wordWrap/>
              <w:adjustRightInd w:val="0"/>
              <w:spacing w:after="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OTHER INFORMATION</w:t>
            </w:r>
          </w:p>
        </w:tc>
        <w:tc>
          <w:tcPr>
            <w:tcW w:w="1585" w:type="dxa"/>
            <w:tcBorders>
              <w:top w:val="double" w:sz="5" w:space="0" w:color="000000"/>
              <w:left w:val="single" w:sz="5" w:space="0" w:color="000000"/>
              <w:bottom w:val="single" w:sz="5" w:space="0" w:color="000000"/>
              <w:right w:val="single" w:sz="5" w:space="0" w:color="000000"/>
            </w:tcBorders>
            <w:shd w:val="clear" w:color="auto" w:fill="FFFFCC"/>
          </w:tcPr>
          <w:p w14:paraId="39528296" w14:textId="77777777" w:rsidR="00394B52" w:rsidRPr="00394B52" w:rsidRDefault="00394B52" w:rsidP="00394B52">
            <w:pPr>
              <w:wordWrap/>
              <w:adjustRightInd w:val="0"/>
              <w:spacing w:after="0" w:line="240" w:lineRule="auto"/>
              <w:jc w:val="center"/>
              <w:rPr>
                <w:rFonts w:ascii="Times" w:hAnsi="Times" w:cs="Times"/>
                <w:kern w:val="0"/>
                <w:sz w:val="18"/>
                <w:szCs w:val="18"/>
                <w:lang w:val="en-CA" w:eastAsia="en-CA"/>
              </w:rPr>
            </w:pPr>
          </w:p>
        </w:tc>
      </w:tr>
      <w:tr w:rsidR="00394B52" w:rsidRPr="00394B52" w14:paraId="24FB3197" w14:textId="77777777" w:rsidTr="00E01118">
        <w:trPr>
          <w:trHeight w:val="46"/>
        </w:trPr>
        <w:tc>
          <w:tcPr>
            <w:tcW w:w="1700" w:type="dxa"/>
            <w:vMerge w:val="restart"/>
            <w:tcBorders>
              <w:top w:val="single" w:sz="5" w:space="0" w:color="000000"/>
              <w:left w:val="single" w:sz="5" w:space="0" w:color="000000"/>
              <w:right w:val="single" w:sz="5" w:space="0" w:color="000000"/>
            </w:tcBorders>
          </w:tcPr>
          <w:p w14:paraId="1CFB7DA4"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Registration and protocol</w:t>
            </w:r>
          </w:p>
        </w:tc>
        <w:tc>
          <w:tcPr>
            <w:tcW w:w="671" w:type="dxa"/>
            <w:tcBorders>
              <w:top w:val="single" w:sz="5" w:space="0" w:color="000000"/>
              <w:left w:val="single" w:sz="5" w:space="0" w:color="000000"/>
              <w:bottom w:val="single" w:sz="5" w:space="0" w:color="000000"/>
              <w:right w:val="single" w:sz="5" w:space="0" w:color="000000"/>
            </w:tcBorders>
          </w:tcPr>
          <w:p w14:paraId="770FCFD2"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24a</w:t>
            </w:r>
          </w:p>
        </w:tc>
        <w:tc>
          <w:tcPr>
            <w:tcW w:w="6412" w:type="dxa"/>
            <w:tcBorders>
              <w:top w:val="single" w:sz="5" w:space="0" w:color="000000"/>
              <w:left w:val="single" w:sz="5" w:space="0" w:color="000000"/>
              <w:bottom w:val="single" w:sz="5" w:space="0" w:color="000000"/>
              <w:right w:val="single" w:sz="5" w:space="0" w:color="000000"/>
            </w:tcBorders>
          </w:tcPr>
          <w:p w14:paraId="34A4A3ED"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Provide registration information for the review, including register name and registration number, or state that the review was not registered.</w:t>
            </w:r>
          </w:p>
        </w:tc>
        <w:tc>
          <w:tcPr>
            <w:tcW w:w="1585" w:type="dxa"/>
            <w:tcBorders>
              <w:top w:val="single" w:sz="5" w:space="0" w:color="000000"/>
              <w:left w:val="single" w:sz="5" w:space="0" w:color="000000"/>
              <w:bottom w:val="single" w:sz="5" w:space="0" w:color="000000"/>
              <w:right w:val="single" w:sz="5" w:space="0" w:color="000000"/>
            </w:tcBorders>
          </w:tcPr>
          <w:p w14:paraId="2B317FA9"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5</w:t>
            </w:r>
          </w:p>
        </w:tc>
      </w:tr>
      <w:tr w:rsidR="00394B52" w:rsidRPr="00394B52" w14:paraId="425867D1" w14:textId="77777777" w:rsidTr="00E01118">
        <w:trPr>
          <w:trHeight w:val="55"/>
        </w:trPr>
        <w:tc>
          <w:tcPr>
            <w:tcW w:w="1700" w:type="dxa"/>
            <w:vMerge/>
            <w:tcBorders>
              <w:left w:val="single" w:sz="5" w:space="0" w:color="000000"/>
              <w:right w:val="single" w:sz="5" w:space="0" w:color="000000"/>
            </w:tcBorders>
          </w:tcPr>
          <w:p w14:paraId="53AA345D"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5" w:space="0" w:color="000000"/>
              <w:left w:val="single" w:sz="5" w:space="0" w:color="000000"/>
              <w:bottom w:val="single" w:sz="5" w:space="0" w:color="000000"/>
              <w:right w:val="single" w:sz="5" w:space="0" w:color="000000"/>
            </w:tcBorders>
          </w:tcPr>
          <w:p w14:paraId="43A7AAB4"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24b</w:t>
            </w:r>
          </w:p>
        </w:tc>
        <w:tc>
          <w:tcPr>
            <w:tcW w:w="6412" w:type="dxa"/>
            <w:tcBorders>
              <w:top w:val="single" w:sz="5" w:space="0" w:color="000000"/>
              <w:left w:val="single" w:sz="5" w:space="0" w:color="000000"/>
              <w:bottom w:val="single" w:sz="5" w:space="0" w:color="000000"/>
              <w:right w:val="single" w:sz="5" w:space="0" w:color="000000"/>
            </w:tcBorders>
          </w:tcPr>
          <w:p w14:paraId="124C89D8"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Indicate where the review protocol can be accessed, or state that a protocol was not prepared.</w:t>
            </w:r>
          </w:p>
        </w:tc>
        <w:tc>
          <w:tcPr>
            <w:tcW w:w="1585" w:type="dxa"/>
            <w:tcBorders>
              <w:top w:val="single" w:sz="5" w:space="0" w:color="000000"/>
              <w:left w:val="single" w:sz="5" w:space="0" w:color="000000"/>
              <w:bottom w:val="single" w:sz="5" w:space="0" w:color="000000"/>
              <w:right w:val="single" w:sz="5" w:space="0" w:color="000000"/>
            </w:tcBorders>
          </w:tcPr>
          <w:p w14:paraId="1D50DDC4"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kern w:val="0"/>
                <w:sz w:val="18"/>
                <w:szCs w:val="18"/>
                <w:lang w:val="en-CA"/>
              </w:rPr>
              <w:t>Manuscript p 5</w:t>
            </w:r>
          </w:p>
        </w:tc>
      </w:tr>
      <w:tr w:rsidR="00394B52" w:rsidRPr="00394B52" w14:paraId="7B76F401" w14:textId="77777777" w:rsidTr="00E01118">
        <w:trPr>
          <w:trHeight w:val="46"/>
        </w:trPr>
        <w:tc>
          <w:tcPr>
            <w:tcW w:w="1700" w:type="dxa"/>
            <w:vMerge/>
            <w:tcBorders>
              <w:left w:val="single" w:sz="5" w:space="0" w:color="000000"/>
              <w:bottom w:val="single" w:sz="5" w:space="0" w:color="000000"/>
              <w:right w:val="single" w:sz="5" w:space="0" w:color="000000"/>
            </w:tcBorders>
          </w:tcPr>
          <w:p w14:paraId="54939EEE"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p>
        </w:tc>
        <w:tc>
          <w:tcPr>
            <w:tcW w:w="671" w:type="dxa"/>
            <w:tcBorders>
              <w:top w:val="single" w:sz="5" w:space="0" w:color="000000"/>
              <w:left w:val="single" w:sz="5" w:space="0" w:color="000000"/>
              <w:bottom w:val="single" w:sz="5" w:space="0" w:color="000000"/>
              <w:right w:val="single" w:sz="5" w:space="0" w:color="000000"/>
            </w:tcBorders>
          </w:tcPr>
          <w:p w14:paraId="3E4500C7"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24c</w:t>
            </w:r>
          </w:p>
        </w:tc>
        <w:tc>
          <w:tcPr>
            <w:tcW w:w="6412" w:type="dxa"/>
            <w:tcBorders>
              <w:top w:val="single" w:sz="5" w:space="0" w:color="000000"/>
              <w:left w:val="single" w:sz="5" w:space="0" w:color="000000"/>
              <w:bottom w:val="single" w:sz="5" w:space="0" w:color="000000"/>
              <w:right w:val="single" w:sz="5" w:space="0" w:color="000000"/>
            </w:tcBorders>
          </w:tcPr>
          <w:p w14:paraId="783BB6D8"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Describe and explain any amendments to information provided at registration or in the protocol.</w:t>
            </w:r>
          </w:p>
        </w:tc>
        <w:tc>
          <w:tcPr>
            <w:tcW w:w="1585" w:type="dxa"/>
            <w:tcBorders>
              <w:top w:val="single" w:sz="5" w:space="0" w:color="000000"/>
              <w:left w:val="single" w:sz="5" w:space="0" w:color="000000"/>
              <w:bottom w:val="single" w:sz="5" w:space="0" w:color="000000"/>
              <w:right w:val="single" w:sz="5" w:space="0" w:color="000000"/>
            </w:tcBorders>
          </w:tcPr>
          <w:p w14:paraId="25E27388"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hint="eastAsia"/>
                <w:kern w:val="0"/>
                <w:sz w:val="18"/>
                <w:szCs w:val="18"/>
                <w:lang w:val="en-CA"/>
              </w:rPr>
              <w:t>N</w:t>
            </w:r>
            <w:r w:rsidRPr="00394B52">
              <w:rPr>
                <w:rFonts w:ascii="Times" w:hAnsi="Times" w:cs="Times"/>
                <w:kern w:val="0"/>
                <w:sz w:val="18"/>
                <w:szCs w:val="18"/>
                <w:lang w:val="en-CA"/>
              </w:rPr>
              <w:t>o amendments to information</w:t>
            </w:r>
          </w:p>
        </w:tc>
      </w:tr>
      <w:tr w:rsidR="00394B52" w:rsidRPr="00394B52" w14:paraId="5A1BA51B" w14:textId="77777777" w:rsidTr="00E01118">
        <w:trPr>
          <w:trHeight w:val="46"/>
        </w:trPr>
        <w:tc>
          <w:tcPr>
            <w:tcW w:w="1700" w:type="dxa"/>
            <w:tcBorders>
              <w:top w:val="single" w:sz="5" w:space="0" w:color="000000"/>
              <w:left w:val="single" w:sz="5" w:space="0" w:color="000000"/>
              <w:bottom w:val="single" w:sz="5" w:space="0" w:color="000000"/>
              <w:right w:val="single" w:sz="5" w:space="0" w:color="000000"/>
            </w:tcBorders>
          </w:tcPr>
          <w:p w14:paraId="1D7BD522"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Support</w:t>
            </w:r>
          </w:p>
        </w:tc>
        <w:tc>
          <w:tcPr>
            <w:tcW w:w="671" w:type="dxa"/>
            <w:tcBorders>
              <w:top w:val="single" w:sz="5" w:space="0" w:color="000000"/>
              <w:left w:val="single" w:sz="5" w:space="0" w:color="000000"/>
              <w:bottom w:val="single" w:sz="5" w:space="0" w:color="000000"/>
              <w:right w:val="single" w:sz="5" w:space="0" w:color="000000"/>
            </w:tcBorders>
          </w:tcPr>
          <w:p w14:paraId="32AC3C1D"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25</w:t>
            </w:r>
          </w:p>
        </w:tc>
        <w:tc>
          <w:tcPr>
            <w:tcW w:w="6412" w:type="dxa"/>
            <w:tcBorders>
              <w:top w:val="single" w:sz="5" w:space="0" w:color="000000"/>
              <w:left w:val="single" w:sz="5" w:space="0" w:color="000000"/>
              <w:bottom w:val="single" w:sz="5" w:space="0" w:color="000000"/>
              <w:right w:val="single" w:sz="5" w:space="0" w:color="000000"/>
            </w:tcBorders>
          </w:tcPr>
          <w:p w14:paraId="148AF84F"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Describe sources of financial or non-financial support for the review, and the role of the funders or sponsors in the review.</w:t>
            </w:r>
          </w:p>
        </w:tc>
        <w:tc>
          <w:tcPr>
            <w:tcW w:w="1585" w:type="dxa"/>
            <w:tcBorders>
              <w:top w:val="single" w:sz="5" w:space="0" w:color="000000"/>
              <w:left w:val="single" w:sz="5" w:space="0" w:color="000000"/>
              <w:bottom w:val="single" w:sz="5" w:space="0" w:color="000000"/>
              <w:right w:val="single" w:sz="5" w:space="0" w:color="000000"/>
            </w:tcBorders>
          </w:tcPr>
          <w:p w14:paraId="3264A506"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hint="eastAsia"/>
                <w:kern w:val="0"/>
                <w:sz w:val="18"/>
                <w:szCs w:val="18"/>
                <w:lang w:val="en-CA"/>
              </w:rPr>
              <w:t>M</w:t>
            </w:r>
            <w:r w:rsidRPr="00394B52">
              <w:rPr>
                <w:rFonts w:ascii="Times" w:hAnsi="Times" w:cs="Times"/>
                <w:kern w:val="0"/>
                <w:sz w:val="18"/>
                <w:szCs w:val="18"/>
                <w:lang w:val="en-CA"/>
              </w:rPr>
              <w:t>anuscript p 14</w:t>
            </w:r>
          </w:p>
        </w:tc>
      </w:tr>
      <w:tr w:rsidR="00394B52" w:rsidRPr="00394B52" w14:paraId="1A6DC84B" w14:textId="77777777" w:rsidTr="00E01118">
        <w:trPr>
          <w:trHeight w:val="46"/>
        </w:trPr>
        <w:tc>
          <w:tcPr>
            <w:tcW w:w="1700" w:type="dxa"/>
            <w:tcBorders>
              <w:top w:val="single" w:sz="5" w:space="0" w:color="000000"/>
              <w:left w:val="single" w:sz="5" w:space="0" w:color="000000"/>
              <w:bottom w:val="single" w:sz="5" w:space="0" w:color="000000"/>
              <w:right w:val="single" w:sz="5" w:space="0" w:color="000000"/>
            </w:tcBorders>
          </w:tcPr>
          <w:p w14:paraId="7199D30C"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Competing interests</w:t>
            </w:r>
          </w:p>
        </w:tc>
        <w:tc>
          <w:tcPr>
            <w:tcW w:w="671" w:type="dxa"/>
            <w:tcBorders>
              <w:top w:val="single" w:sz="5" w:space="0" w:color="000000"/>
              <w:left w:val="single" w:sz="5" w:space="0" w:color="000000"/>
              <w:bottom w:val="single" w:sz="5" w:space="0" w:color="000000"/>
              <w:right w:val="single" w:sz="5" w:space="0" w:color="000000"/>
            </w:tcBorders>
          </w:tcPr>
          <w:p w14:paraId="3542762F"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26</w:t>
            </w:r>
          </w:p>
        </w:tc>
        <w:tc>
          <w:tcPr>
            <w:tcW w:w="6412" w:type="dxa"/>
            <w:tcBorders>
              <w:top w:val="single" w:sz="5" w:space="0" w:color="000000"/>
              <w:left w:val="single" w:sz="5" w:space="0" w:color="000000"/>
              <w:bottom w:val="single" w:sz="5" w:space="0" w:color="000000"/>
              <w:right w:val="single" w:sz="5" w:space="0" w:color="000000"/>
            </w:tcBorders>
          </w:tcPr>
          <w:p w14:paraId="51BCC89B"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Declare any competing interests of review authors.</w:t>
            </w:r>
          </w:p>
        </w:tc>
        <w:tc>
          <w:tcPr>
            <w:tcW w:w="1585" w:type="dxa"/>
            <w:tcBorders>
              <w:top w:val="single" w:sz="5" w:space="0" w:color="000000"/>
              <w:left w:val="single" w:sz="5" w:space="0" w:color="000000"/>
              <w:bottom w:val="single" w:sz="5" w:space="0" w:color="000000"/>
              <w:right w:val="single" w:sz="5" w:space="0" w:color="000000"/>
            </w:tcBorders>
          </w:tcPr>
          <w:p w14:paraId="5268D2DA"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hint="eastAsia"/>
                <w:kern w:val="0"/>
                <w:sz w:val="18"/>
                <w:szCs w:val="18"/>
                <w:lang w:val="en-CA"/>
              </w:rPr>
              <w:t>M</w:t>
            </w:r>
            <w:r w:rsidRPr="00394B52">
              <w:rPr>
                <w:rFonts w:ascii="Times" w:hAnsi="Times" w:cs="Times"/>
                <w:kern w:val="0"/>
                <w:sz w:val="18"/>
                <w:szCs w:val="18"/>
                <w:lang w:val="en-CA"/>
              </w:rPr>
              <w:t>anuscript p 14</w:t>
            </w:r>
          </w:p>
        </w:tc>
      </w:tr>
      <w:tr w:rsidR="00394B52" w:rsidRPr="00394B52" w14:paraId="07F2F2E9" w14:textId="77777777" w:rsidTr="00E01118">
        <w:trPr>
          <w:trHeight w:val="212"/>
        </w:trPr>
        <w:tc>
          <w:tcPr>
            <w:tcW w:w="1700" w:type="dxa"/>
            <w:tcBorders>
              <w:top w:val="single" w:sz="5" w:space="0" w:color="000000"/>
              <w:left w:val="single" w:sz="5" w:space="0" w:color="000000"/>
              <w:bottom w:val="double" w:sz="5" w:space="0" w:color="000000"/>
              <w:right w:val="single" w:sz="5" w:space="0" w:color="000000"/>
            </w:tcBorders>
          </w:tcPr>
          <w:p w14:paraId="00A9A996"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Availability of data, code and other materials</w:t>
            </w:r>
          </w:p>
        </w:tc>
        <w:tc>
          <w:tcPr>
            <w:tcW w:w="671" w:type="dxa"/>
            <w:tcBorders>
              <w:top w:val="single" w:sz="5" w:space="0" w:color="000000"/>
              <w:left w:val="single" w:sz="5" w:space="0" w:color="000000"/>
              <w:bottom w:val="double" w:sz="5" w:space="0" w:color="000000"/>
              <w:right w:val="single" w:sz="5" w:space="0" w:color="000000"/>
            </w:tcBorders>
          </w:tcPr>
          <w:p w14:paraId="07DB85C9" w14:textId="77777777" w:rsidR="00394B52" w:rsidRPr="00394B52" w:rsidRDefault="00394B52" w:rsidP="00394B52">
            <w:pPr>
              <w:wordWrap/>
              <w:adjustRightInd w:val="0"/>
              <w:spacing w:before="40" w:after="40" w:line="240" w:lineRule="auto"/>
              <w:jc w:val="righ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27</w:t>
            </w:r>
          </w:p>
        </w:tc>
        <w:tc>
          <w:tcPr>
            <w:tcW w:w="6412" w:type="dxa"/>
            <w:tcBorders>
              <w:top w:val="single" w:sz="5" w:space="0" w:color="000000"/>
              <w:left w:val="single" w:sz="5" w:space="0" w:color="000000"/>
              <w:bottom w:val="double" w:sz="5" w:space="0" w:color="000000"/>
              <w:right w:val="single" w:sz="5" w:space="0" w:color="000000"/>
            </w:tcBorders>
          </w:tcPr>
          <w:p w14:paraId="0BA81C88" w14:textId="77777777" w:rsidR="00394B52" w:rsidRPr="00394B52" w:rsidRDefault="00394B52" w:rsidP="00394B52">
            <w:pPr>
              <w:wordWrap/>
              <w:adjustRightInd w:val="0"/>
              <w:spacing w:before="40" w:after="40" w:line="240" w:lineRule="auto"/>
              <w:jc w:val="left"/>
              <w:rPr>
                <w:rFonts w:ascii="Times" w:hAnsi="Times" w:cs="Times"/>
                <w:color w:val="000000"/>
                <w:kern w:val="0"/>
                <w:sz w:val="18"/>
                <w:szCs w:val="18"/>
                <w:lang w:val="en-CA" w:eastAsia="en-CA"/>
              </w:rPr>
            </w:pPr>
            <w:r w:rsidRPr="00394B52">
              <w:rPr>
                <w:rFonts w:ascii="Times" w:hAnsi="Times" w:cs="Times"/>
                <w:color w:val="000000"/>
                <w:kern w:val="0"/>
                <w:sz w:val="18"/>
                <w:szCs w:val="18"/>
                <w:lang w:val="en-CA" w:eastAsia="en-CA"/>
              </w:rPr>
              <w:t xml:space="preserve">Report which of the following are publicly available and where they can be </w:t>
            </w:r>
            <w:proofErr w:type="gramStart"/>
            <w:r w:rsidRPr="00394B52">
              <w:rPr>
                <w:rFonts w:ascii="Times" w:hAnsi="Times" w:cs="Times"/>
                <w:color w:val="000000"/>
                <w:kern w:val="0"/>
                <w:sz w:val="18"/>
                <w:szCs w:val="18"/>
                <w:lang w:val="en-CA" w:eastAsia="en-CA"/>
              </w:rPr>
              <w:t>found:</w:t>
            </w:r>
            <w:proofErr w:type="gramEnd"/>
            <w:r w:rsidRPr="00394B52">
              <w:rPr>
                <w:rFonts w:ascii="Times" w:hAnsi="Times" w:cs="Times"/>
                <w:color w:val="000000"/>
                <w:kern w:val="0"/>
                <w:sz w:val="18"/>
                <w:szCs w:val="18"/>
                <w:lang w:val="en-CA" w:eastAsia="en-CA"/>
              </w:rPr>
              <w:t xml:space="preserve"> template data collection forms; data extracted from included studies; data used for all analyses; analytic code; any other materials used in the review.</w:t>
            </w:r>
          </w:p>
        </w:tc>
        <w:tc>
          <w:tcPr>
            <w:tcW w:w="1585" w:type="dxa"/>
            <w:tcBorders>
              <w:top w:val="single" w:sz="5" w:space="0" w:color="000000"/>
              <w:left w:val="single" w:sz="5" w:space="0" w:color="000000"/>
              <w:bottom w:val="double" w:sz="5" w:space="0" w:color="000000"/>
              <w:right w:val="single" w:sz="5" w:space="0" w:color="000000"/>
            </w:tcBorders>
          </w:tcPr>
          <w:p w14:paraId="4B5B4856" w14:textId="77777777" w:rsidR="00394B52" w:rsidRPr="00394B52" w:rsidRDefault="00394B52" w:rsidP="00394B52">
            <w:pPr>
              <w:wordWrap/>
              <w:adjustRightInd w:val="0"/>
              <w:spacing w:before="40" w:after="40" w:line="240" w:lineRule="auto"/>
              <w:jc w:val="left"/>
              <w:rPr>
                <w:rFonts w:ascii="Times" w:hAnsi="Times" w:cs="Times"/>
                <w:kern w:val="0"/>
                <w:sz w:val="18"/>
                <w:szCs w:val="18"/>
                <w:lang w:val="en-CA"/>
              </w:rPr>
            </w:pPr>
            <w:r w:rsidRPr="00394B52">
              <w:rPr>
                <w:rFonts w:ascii="Times" w:hAnsi="Times" w:cs="Times" w:hint="eastAsia"/>
                <w:kern w:val="0"/>
                <w:sz w:val="18"/>
                <w:szCs w:val="18"/>
                <w:lang w:val="en-CA"/>
              </w:rPr>
              <w:t>M</w:t>
            </w:r>
            <w:r w:rsidRPr="00394B52">
              <w:rPr>
                <w:rFonts w:ascii="Times" w:hAnsi="Times" w:cs="Times"/>
                <w:kern w:val="0"/>
                <w:sz w:val="18"/>
                <w:szCs w:val="18"/>
                <w:lang w:val="en-CA"/>
              </w:rPr>
              <w:t>anuscript p 14</w:t>
            </w:r>
          </w:p>
        </w:tc>
      </w:tr>
    </w:tbl>
    <w:p w14:paraId="0E5D8068" w14:textId="77777777" w:rsidR="00394B52" w:rsidRPr="00394B52" w:rsidRDefault="00394B52" w:rsidP="00394B52">
      <w:pPr>
        <w:wordWrap/>
        <w:adjustRightInd w:val="0"/>
        <w:spacing w:after="0" w:line="240" w:lineRule="auto"/>
        <w:jc w:val="left"/>
        <w:rPr>
          <w:rFonts w:ascii="Times" w:hAnsi="Times" w:cs="Times"/>
          <w:kern w:val="0"/>
          <w:sz w:val="24"/>
          <w:szCs w:val="24"/>
          <w:lang w:val="en-CA" w:eastAsia="en-CA"/>
        </w:rPr>
      </w:pPr>
    </w:p>
    <w:p w14:paraId="3413CC41" w14:textId="77777777" w:rsidR="00394B52" w:rsidRPr="00394B52" w:rsidRDefault="00394B52" w:rsidP="00394B52">
      <w:pPr>
        <w:wordWrap/>
        <w:adjustRightInd w:val="0"/>
        <w:spacing w:after="0" w:line="183" w:lineRule="atLeast"/>
        <w:rPr>
          <w:rFonts w:ascii="Times" w:hAnsi="Times" w:cs="Times"/>
          <w:kern w:val="0"/>
          <w:sz w:val="16"/>
          <w:szCs w:val="16"/>
          <w:lang w:val="da-DK" w:eastAsia="en-CA"/>
        </w:rPr>
      </w:pPr>
      <w:r w:rsidRPr="00394B52">
        <w:rPr>
          <w:rFonts w:ascii="Times" w:hAnsi="Times" w:cs="Times"/>
          <w:i/>
          <w:iCs/>
          <w:kern w:val="0"/>
          <w:sz w:val="16"/>
          <w:szCs w:val="16"/>
          <w:lang w:val="en-CA" w:eastAsia="en-CA"/>
        </w:rPr>
        <w:t xml:space="preserve">From: </w:t>
      </w:r>
      <w:r w:rsidRPr="00394B52">
        <w:rPr>
          <w:rFonts w:ascii="Times" w:hAnsi="Times" w:cs="Times"/>
          <w:kern w:val="0"/>
          <w:sz w:val="16"/>
          <w:szCs w:val="16"/>
          <w:lang w:val="en-CA" w:eastAsia="en-CA"/>
        </w:rPr>
        <w:t xml:space="preserve"> Page MJ, McKenzie JE, </w:t>
      </w:r>
      <w:proofErr w:type="spellStart"/>
      <w:r w:rsidRPr="00394B52">
        <w:rPr>
          <w:rFonts w:ascii="Times" w:hAnsi="Times" w:cs="Times"/>
          <w:kern w:val="0"/>
          <w:sz w:val="16"/>
          <w:szCs w:val="16"/>
          <w:lang w:val="en-CA" w:eastAsia="en-CA"/>
        </w:rPr>
        <w:t>Bossuyt</w:t>
      </w:r>
      <w:proofErr w:type="spellEnd"/>
      <w:r w:rsidRPr="00394B52">
        <w:rPr>
          <w:rFonts w:ascii="Times" w:hAnsi="Times" w:cs="Times"/>
          <w:kern w:val="0"/>
          <w:sz w:val="16"/>
          <w:szCs w:val="16"/>
          <w:lang w:val="en-CA" w:eastAsia="en-CA"/>
        </w:rPr>
        <w:t xml:space="preserve"> PM, </w:t>
      </w:r>
      <w:proofErr w:type="spellStart"/>
      <w:r w:rsidRPr="00394B52">
        <w:rPr>
          <w:rFonts w:ascii="Times" w:hAnsi="Times" w:cs="Times"/>
          <w:kern w:val="0"/>
          <w:sz w:val="16"/>
          <w:szCs w:val="16"/>
          <w:lang w:val="en-CA" w:eastAsia="en-CA"/>
        </w:rPr>
        <w:t>Boutron</w:t>
      </w:r>
      <w:proofErr w:type="spellEnd"/>
      <w:r w:rsidRPr="00394B52">
        <w:rPr>
          <w:rFonts w:ascii="Times" w:hAnsi="Times" w:cs="Times"/>
          <w:kern w:val="0"/>
          <w:sz w:val="16"/>
          <w:szCs w:val="16"/>
          <w:lang w:val="en-CA" w:eastAsia="en-CA"/>
        </w:rPr>
        <w:t xml:space="preserve"> I, Hoffmann TC, Mulrow CD, et al. The PRISMA 2020 statement: an updated guideline for reporting systematic reviews. BMJ 2021;</w:t>
      </w:r>
      <w:proofErr w:type="gramStart"/>
      <w:r w:rsidRPr="00394B52">
        <w:rPr>
          <w:rFonts w:ascii="Times" w:hAnsi="Times" w:cs="Times"/>
          <w:kern w:val="0"/>
          <w:sz w:val="16"/>
          <w:szCs w:val="16"/>
          <w:lang w:val="en-CA" w:eastAsia="en-CA"/>
        </w:rPr>
        <w:t>372:n</w:t>
      </w:r>
      <w:proofErr w:type="gramEnd"/>
      <w:r w:rsidRPr="00394B52">
        <w:rPr>
          <w:rFonts w:ascii="Times" w:hAnsi="Times" w:cs="Times"/>
          <w:kern w:val="0"/>
          <w:sz w:val="16"/>
          <w:szCs w:val="16"/>
          <w:lang w:val="en-CA" w:eastAsia="en-CA"/>
        </w:rPr>
        <w:t xml:space="preserve">71. </w:t>
      </w:r>
      <w:proofErr w:type="spellStart"/>
      <w:r w:rsidRPr="00394B52">
        <w:rPr>
          <w:rFonts w:ascii="Times" w:hAnsi="Times" w:cs="Times"/>
          <w:kern w:val="0"/>
          <w:sz w:val="16"/>
          <w:szCs w:val="16"/>
          <w:lang w:val="en-CA" w:eastAsia="en-CA"/>
        </w:rPr>
        <w:t>doi</w:t>
      </w:r>
      <w:proofErr w:type="spellEnd"/>
      <w:r w:rsidRPr="00394B52">
        <w:rPr>
          <w:rFonts w:ascii="Times" w:hAnsi="Times" w:cs="Times"/>
          <w:kern w:val="0"/>
          <w:sz w:val="16"/>
          <w:szCs w:val="16"/>
          <w:lang w:val="en-CA" w:eastAsia="en-CA"/>
        </w:rPr>
        <w:t>: 10.1136/</w:t>
      </w:r>
      <w:proofErr w:type="gramStart"/>
      <w:r w:rsidRPr="00394B52">
        <w:rPr>
          <w:rFonts w:ascii="Times" w:hAnsi="Times" w:cs="Times"/>
          <w:kern w:val="0"/>
          <w:sz w:val="16"/>
          <w:szCs w:val="16"/>
          <w:lang w:val="en-CA" w:eastAsia="en-CA"/>
        </w:rPr>
        <w:t>bmj.n</w:t>
      </w:r>
      <w:proofErr w:type="gramEnd"/>
      <w:r w:rsidRPr="00394B52">
        <w:rPr>
          <w:rFonts w:ascii="Times" w:hAnsi="Times" w:cs="Times"/>
          <w:kern w:val="0"/>
          <w:sz w:val="16"/>
          <w:szCs w:val="16"/>
          <w:lang w:val="en-CA" w:eastAsia="en-CA"/>
        </w:rPr>
        <w:t>71</w:t>
      </w:r>
    </w:p>
    <w:p w14:paraId="768FB579" w14:textId="77777777" w:rsidR="00394B52" w:rsidRPr="00394B52" w:rsidRDefault="00394B52" w:rsidP="00394B52">
      <w:pPr>
        <w:widowControl/>
        <w:wordWrap/>
        <w:autoSpaceDE/>
        <w:autoSpaceDN/>
        <w:rPr>
          <w:rFonts w:ascii="Times" w:hAnsi="Times" w:cs="Times"/>
          <w:b/>
          <w:bCs/>
        </w:rPr>
      </w:pPr>
      <w:r w:rsidRPr="00394B52">
        <w:rPr>
          <w:rFonts w:ascii="Times" w:hAnsi="Times" w:cs="Times"/>
          <w:b/>
          <w:bCs/>
        </w:rPr>
        <w:br w:type="page"/>
      </w:r>
    </w:p>
    <w:p w14:paraId="0231D753" w14:textId="77777777" w:rsidR="00394B52" w:rsidRPr="00394B52" w:rsidRDefault="00394B52" w:rsidP="00394B52">
      <w:pPr>
        <w:jc w:val="left"/>
        <w:rPr>
          <w:rFonts w:ascii="Times" w:hAnsi="Times" w:cs="Times"/>
          <w:b/>
          <w:bCs/>
        </w:rPr>
      </w:pPr>
      <w:r w:rsidRPr="00394B52">
        <w:rPr>
          <w:rFonts w:ascii="Times" w:hAnsi="Times" w:cs="Times"/>
          <w:b/>
          <w:bCs/>
        </w:rPr>
        <w:lastRenderedPageBreak/>
        <w:t xml:space="preserve">PRISMA Abstract checklist </w:t>
      </w:r>
    </w:p>
    <w:p w14:paraId="4D1E4213" w14:textId="77777777" w:rsidR="00394B52" w:rsidRPr="00394B52" w:rsidRDefault="00394B52" w:rsidP="00394B52">
      <w:pPr>
        <w:wordWrap/>
        <w:adjustRightInd w:val="0"/>
        <w:spacing w:after="0" w:line="183" w:lineRule="atLeast"/>
        <w:rPr>
          <w:rFonts w:ascii="Times" w:hAnsi="Times" w:cs="Arial"/>
          <w:kern w:val="0"/>
          <w:szCs w:val="20"/>
          <w:lang w:val="da-DK"/>
        </w:rPr>
      </w:pPr>
      <w:r w:rsidRPr="00394B52">
        <w:rPr>
          <w:rFonts w:ascii="Times" w:hAnsi="Times" w:cs="Arial"/>
          <w:kern w:val="0"/>
          <w:szCs w:val="20"/>
          <w:lang w:val="da-DK"/>
        </w:rPr>
        <w:t>Some checklist items cannot be included in the abstract due to the word count restriction. (&lt;170 words)</w:t>
      </w:r>
    </w:p>
    <w:p w14:paraId="1CD9B237" w14:textId="77777777" w:rsidR="00394B52" w:rsidRPr="00394B52" w:rsidRDefault="00394B52" w:rsidP="00394B52">
      <w:pPr>
        <w:wordWrap/>
        <w:adjustRightInd w:val="0"/>
        <w:spacing w:after="0" w:line="183" w:lineRule="atLeast"/>
        <w:rPr>
          <w:rFonts w:ascii="Times" w:hAnsi="Times" w:cs="Arial"/>
          <w:i/>
          <w:iCs/>
          <w:kern w:val="0"/>
          <w:szCs w:val="20"/>
          <w:lang w:val="en-CA" w:eastAsia="en-CA"/>
        </w:rPr>
      </w:pPr>
    </w:p>
    <w:tbl>
      <w:tblPr>
        <w:tblpPr w:leftFromText="142" w:rightFromText="142" w:vertAnchor="page" w:horzAnchor="margin" w:tblpY="1699"/>
        <w:tblW w:w="10444" w:type="dxa"/>
        <w:tblBorders>
          <w:top w:val="nil"/>
          <w:left w:val="nil"/>
          <w:bottom w:val="nil"/>
          <w:right w:val="nil"/>
        </w:tblBorders>
        <w:tblLook w:val="0000" w:firstRow="0" w:lastRow="0" w:firstColumn="0" w:lastColumn="0" w:noHBand="0" w:noVBand="0"/>
      </w:tblPr>
      <w:tblGrid>
        <w:gridCol w:w="1709"/>
        <w:gridCol w:w="669"/>
        <w:gridCol w:w="6884"/>
        <w:gridCol w:w="1182"/>
      </w:tblGrid>
      <w:tr w:rsidR="00394B52" w:rsidRPr="00394B52" w14:paraId="2CEBC36E" w14:textId="77777777" w:rsidTr="00E01118">
        <w:trPr>
          <w:trHeight w:val="76"/>
          <w:tblHeader/>
        </w:trPr>
        <w:tc>
          <w:tcPr>
            <w:tcW w:w="1709" w:type="dxa"/>
            <w:tcBorders>
              <w:top w:val="double" w:sz="5" w:space="0" w:color="000000"/>
              <w:left w:val="single" w:sz="5" w:space="0" w:color="000000"/>
              <w:bottom w:val="double" w:sz="2" w:space="0" w:color="FFFFCC"/>
              <w:right w:val="single" w:sz="5" w:space="0" w:color="000000"/>
            </w:tcBorders>
            <w:shd w:val="clear" w:color="auto" w:fill="63639A"/>
            <w:vAlign w:val="center"/>
          </w:tcPr>
          <w:p w14:paraId="6696B441" w14:textId="77777777" w:rsidR="00394B52" w:rsidRPr="00394B52" w:rsidRDefault="00394B52" w:rsidP="00394B52">
            <w:pPr>
              <w:wordWrap/>
              <w:adjustRightInd w:val="0"/>
              <w:spacing w:after="0" w:line="240" w:lineRule="auto"/>
              <w:jc w:val="left"/>
              <w:rPr>
                <w:rFonts w:ascii="Times" w:hAnsi="Times" w:cs="Arial"/>
                <w:color w:val="FFFFFF"/>
                <w:kern w:val="0"/>
                <w:sz w:val="18"/>
                <w:szCs w:val="18"/>
                <w:lang w:val="en-CA" w:eastAsia="en-CA"/>
              </w:rPr>
            </w:pPr>
            <w:r w:rsidRPr="00394B52">
              <w:rPr>
                <w:rFonts w:ascii="Times" w:hAnsi="Times" w:cs="Arial"/>
                <w:color w:val="FFFFFF"/>
                <w:kern w:val="0"/>
                <w:sz w:val="18"/>
                <w:szCs w:val="18"/>
                <w:lang w:val="en-CA" w:eastAsia="en-CA"/>
              </w:rPr>
              <w:t xml:space="preserve">Section and Topic </w:t>
            </w:r>
          </w:p>
        </w:tc>
        <w:tc>
          <w:tcPr>
            <w:tcW w:w="669" w:type="dxa"/>
            <w:tcBorders>
              <w:top w:val="double" w:sz="5" w:space="0" w:color="000000"/>
              <w:left w:val="single" w:sz="5" w:space="0" w:color="000000"/>
              <w:bottom w:val="double" w:sz="2" w:space="0" w:color="FFFFCC"/>
              <w:right w:val="single" w:sz="5" w:space="0" w:color="000000"/>
            </w:tcBorders>
            <w:shd w:val="clear" w:color="auto" w:fill="63639A"/>
            <w:vAlign w:val="center"/>
          </w:tcPr>
          <w:p w14:paraId="3E8E1E5F" w14:textId="77777777" w:rsidR="00394B52" w:rsidRPr="00394B52" w:rsidRDefault="00394B52" w:rsidP="00394B52">
            <w:pPr>
              <w:wordWrap/>
              <w:adjustRightInd w:val="0"/>
              <w:spacing w:after="0" w:line="240" w:lineRule="auto"/>
              <w:jc w:val="left"/>
              <w:rPr>
                <w:rFonts w:ascii="Times" w:hAnsi="Times" w:cs="Arial"/>
                <w:color w:val="FFFFFF"/>
                <w:kern w:val="0"/>
                <w:sz w:val="18"/>
                <w:szCs w:val="18"/>
                <w:lang w:val="en-CA" w:eastAsia="en-CA"/>
              </w:rPr>
            </w:pPr>
            <w:r w:rsidRPr="00394B52">
              <w:rPr>
                <w:rFonts w:ascii="Times" w:hAnsi="Times" w:cs="Arial"/>
                <w:color w:val="FFFFFF"/>
                <w:kern w:val="0"/>
                <w:sz w:val="18"/>
                <w:szCs w:val="18"/>
                <w:lang w:val="en-CA" w:eastAsia="en-CA"/>
              </w:rPr>
              <w:t>Item #</w:t>
            </w:r>
          </w:p>
        </w:tc>
        <w:tc>
          <w:tcPr>
            <w:tcW w:w="6884" w:type="dxa"/>
            <w:tcBorders>
              <w:top w:val="double" w:sz="5" w:space="0" w:color="000000"/>
              <w:left w:val="single" w:sz="5" w:space="0" w:color="000000"/>
              <w:bottom w:val="double" w:sz="5" w:space="0" w:color="000000"/>
              <w:right w:val="single" w:sz="5" w:space="0" w:color="000000"/>
            </w:tcBorders>
            <w:shd w:val="clear" w:color="auto" w:fill="63639A"/>
            <w:vAlign w:val="center"/>
          </w:tcPr>
          <w:p w14:paraId="6D2FE68B" w14:textId="77777777" w:rsidR="00394B52" w:rsidRPr="00394B52" w:rsidRDefault="00394B52" w:rsidP="00394B52">
            <w:pPr>
              <w:wordWrap/>
              <w:adjustRightInd w:val="0"/>
              <w:spacing w:after="0" w:line="240" w:lineRule="auto"/>
              <w:jc w:val="left"/>
              <w:rPr>
                <w:rFonts w:ascii="Times" w:hAnsi="Times" w:cs="Arial"/>
                <w:color w:val="FFFFFF"/>
                <w:kern w:val="0"/>
                <w:sz w:val="18"/>
                <w:szCs w:val="18"/>
                <w:lang w:val="en-CA" w:eastAsia="en-CA"/>
              </w:rPr>
            </w:pPr>
            <w:r w:rsidRPr="00394B52">
              <w:rPr>
                <w:rFonts w:ascii="Times" w:hAnsi="Times" w:cs="Arial"/>
                <w:color w:val="FFFFFF"/>
                <w:kern w:val="0"/>
                <w:sz w:val="18"/>
                <w:szCs w:val="18"/>
                <w:lang w:val="en-CA" w:eastAsia="en-CA"/>
              </w:rPr>
              <w:t xml:space="preserve">Checklist item </w:t>
            </w:r>
          </w:p>
        </w:tc>
        <w:tc>
          <w:tcPr>
            <w:tcW w:w="1182" w:type="dxa"/>
            <w:tcBorders>
              <w:top w:val="double" w:sz="5" w:space="0" w:color="000000"/>
              <w:left w:val="single" w:sz="5" w:space="0" w:color="000000"/>
              <w:bottom w:val="double" w:sz="5" w:space="0" w:color="000000"/>
              <w:right w:val="single" w:sz="5" w:space="0" w:color="000000"/>
            </w:tcBorders>
            <w:shd w:val="clear" w:color="auto" w:fill="63639A"/>
            <w:vAlign w:val="center"/>
          </w:tcPr>
          <w:p w14:paraId="61AC6000" w14:textId="77777777" w:rsidR="00394B52" w:rsidRPr="00394B52" w:rsidRDefault="00394B52" w:rsidP="00394B52">
            <w:pPr>
              <w:wordWrap/>
              <w:adjustRightInd w:val="0"/>
              <w:spacing w:after="0" w:line="240" w:lineRule="auto"/>
              <w:jc w:val="left"/>
              <w:rPr>
                <w:rFonts w:ascii="Times" w:hAnsi="Times" w:cs="Arial"/>
                <w:color w:val="FFFFFF"/>
                <w:kern w:val="0"/>
                <w:sz w:val="18"/>
                <w:szCs w:val="18"/>
                <w:lang w:val="en-CA" w:eastAsia="en-CA"/>
              </w:rPr>
            </w:pPr>
            <w:r w:rsidRPr="00394B52">
              <w:rPr>
                <w:rFonts w:ascii="Times" w:hAnsi="Times" w:cs="Arial"/>
                <w:color w:val="FFFFFF"/>
                <w:kern w:val="0"/>
                <w:sz w:val="18"/>
                <w:szCs w:val="18"/>
                <w:lang w:val="en-CA" w:eastAsia="en-CA"/>
              </w:rPr>
              <w:t xml:space="preserve">Reported (Yes/No) </w:t>
            </w:r>
          </w:p>
        </w:tc>
      </w:tr>
      <w:tr w:rsidR="00394B52" w:rsidRPr="00394B52" w14:paraId="4654EED4" w14:textId="77777777" w:rsidTr="00E01118">
        <w:trPr>
          <w:trHeight w:val="28"/>
        </w:trPr>
        <w:tc>
          <w:tcPr>
            <w:tcW w:w="9262"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6BB52E39" w14:textId="77777777" w:rsidR="00394B52" w:rsidRPr="00394B52" w:rsidRDefault="00394B52" w:rsidP="00394B52">
            <w:pPr>
              <w:wordWrap/>
              <w:adjustRightInd w:val="0"/>
              <w:spacing w:after="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 xml:space="preserve">TITLE </w:t>
            </w:r>
          </w:p>
        </w:tc>
        <w:tc>
          <w:tcPr>
            <w:tcW w:w="1182" w:type="dxa"/>
            <w:tcBorders>
              <w:top w:val="double" w:sz="5" w:space="0" w:color="000000"/>
              <w:left w:val="single" w:sz="5" w:space="0" w:color="000000"/>
              <w:bottom w:val="single" w:sz="5" w:space="0" w:color="000000"/>
              <w:right w:val="single" w:sz="5" w:space="0" w:color="000000"/>
            </w:tcBorders>
            <w:shd w:val="clear" w:color="auto" w:fill="FFFFCC"/>
          </w:tcPr>
          <w:p w14:paraId="20BB23B1" w14:textId="77777777" w:rsidR="00394B52" w:rsidRPr="00394B52" w:rsidRDefault="00394B52" w:rsidP="00394B52">
            <w:pPr>
              <w:wordWrap/>
              <w:adjustRightInd w:val="0"/>
              <w:spacing w:after="0" w:line="240" w:lineRule="auto"/>
              <w:jc w:val="right"/>
              <w:rPr>
                <w:rFonts w:ascii="Times" w:hAnsi="Times" w:cs="Arial"/>
                <w:kern w:val="0"/>
                <w:sz w:val="18"/>
                <w:szCs w:val="18"/>
                <w:lang w:val="en-CA" w:eastAsia="en-CA"/>
              </w:rPr>
            </w:pPr>
          </w:p>
        </w:tc>
      </w:tr>
      <w:tr w:rsidR="00394B52" w:rsidRPr="00394B52" w14:paraId="2EB035AB" w14:textId="77777777" w:rsidTr="00E01118">
        <w:trPr>
          <w:trHeight w:val="56"/>
        </w:trPr>
        <w:tc>
          <w:tcPr>
            <w:tcW w:w="1709" w:type="dxa"/>
            <w:tcBorders>
              <w:top w:val="single" w:sz="5" w:space="0" w:color="000000"/>
              <w:left w:val="single" w:sz="5" w:space="0" w:color="000000"/>
              <w:bottom w:val="double" w:sz="2" w:space="0" w:color="FFFFCC"/>
              <w:right w:val="single" w:sz="5" w:space="0" w:color="000000"/>
            </w:tcBorders>
          </w:tcPr>
          <w:p w14:paraId="435B1754"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 xml:space="preserve">Title </w:t>
            </w:r>
          </w:p>
        </w:tc>
        <w:tc>
          <w:tcPr>
            <w:tcW w:w="669" w:type="dxa"/>
            <w:tcBorders>
              <w:top w:val="single" w:sz="5" w:space="0" w:color="000000"/>
              <w:left w:val="single" w:sz="5" w:space="0" w:color="000000"/>
              <w:bottom w:val="double" w:sz="2" w:space="0" w:color="FFFFCC"/>
              <w:right w:val="single" w:sz="5" w:space="0" w:color="000000"/>
            </w:tcBorders>
          </w:tcPr>
          <w:p w14:paraId="189AC2F7" w14:textId="77777777" w:rsidR="00394B52" w:rsidRPr="00394B52" w:rsidRDefault="00394B52" w:rsidP="00394B52">
            <w:pPr>
              <w:wordWrap/>
              <w:adjustRightInd w:val="0"/>
              <w:spacing w:before="40" w:after="40" w:line="240" w:lineRule="auto"/>
              <w:jc w:val="righ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1</w:t>
            </w:r>
          </w:p>
        </w:tc>
        <w:tc>
          <w:tcPr>
            <w:tcW w:w="6884" w:type="dxa"/>
            <w:tcBorders>
              <w:top w:val="single" w:sz="5" w:space="0" w:color="000000"/>
              <w:left w:val="single" w:sz="5" w:space="0" w:color="000000"/>
              <w:bottom w:val="double" w:sz="5" w:space="0" w:color="000000"/>
              <w:right w:val="single" w:sz="5" w:space="0" w:color="000000"/>
            </w:tcBorders>
          </w:tcPr>
          <w:p w14:paraId="04364238"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Identify the report as a systematic review.</w:t>
            </w:r>
          </w:p>
        </w:tc>
        <w:tc>
          <w:tcPr>
            <w:tcW w:w="1182" w:type="dxa"/>
            <w:tcBorders>
              <w:top w:val="single" w:sz="5" w:space="0" w:color="000000"/>
              <w:left w:val="single" w:sz="5" w:space="0" w:color="000000"/>
              <w:bottom w:val="double" w:sz="5" w:space="0" w:color="000000"/>
              <w:right w:val="single" w:sz="5" w:space="0" w:color="000000"/>
            </w:tcBorders>
          </w:tcPr>
          <w:p w14:paraId="30971292" w14:textId="77777777" w:rsidR="00394B52" w:rsidRPr="00394B52" w:rsidRDefault="00394B52" w:rsidP="00394B52">
            <w:pPr>
              <w:wordWrap/>
              <w:adjustRightInd w:val="0"/>
              <w:spacing w:before="40" w:after="40" w:line="240" w:lineRule="auto"/>
              <w:jc w:val="left"/>
              <w:rPr>
                <w:rFonts w:ascii="Times" w:hAnsi="Times" w:cs="Arial"/>
                <w:kern w:val="0"/>
                <w:sz w:val="18"/>
                <w:szCs w:val="18"/>
                <w:lang w:val="en-CA" w:eastAsia="en-CA"/>
              </w:rPr>
            </w:pPr>
            <w:r w:rsidRPr="00394B52">
              <w:rPr>
                <w:rFonts w:ascii="Times" w:hAnsi="Times" w:cs="Arial" w:hint="eastAsia"/>
                <w:kern w:val="0"/>
                <w:sz w:val="18"/>
                <w:szCs w:val="18"/>
                <w:lang w:val="en-CA" w:eastAsia="en-CA"/>
              </w:rPr>
              <w:t>Y</w:t>
            </w:r>
            <w:r w:rsidRPr="00394B52">
              <w:rPr>
                <w:rFonts w:ascii="Times" w:hAnsi="Times" w:cs="Arial"/>
                <w:kern w:val="0"/>
                <w:sz w:val="18"/>
                <w:szCs w:val="18"/>
                <w:lang w:val="en-CA" w:eastAsia="en-CA"/>
              </w:rPr>
              <w:t>es</w:t>
            </w:r>
          </w:p>
        </w:tc>
      </w:tr>
      <w:tr w:rsidR="00394B52" w:rsidRPr="00394B52" w14:paraId="295DC2D6" w14:textId="77777777" w:rsidTr="00E01118">
        <w:trPr>
          <w:trHeight w:val="28"/>
        </w:trPr>
        <w:tc>
          <w:tcPr>
            <w:tcW w:w="9262"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3907B7AA" w14:textId="77777777" w:rsidR="00394B52" w:rsidRPr="00394B52" w:rsidRDefault="00394B52" w:rsidP="00394B52">
            <w:pPr>
              <w:wordWrap/>
              <w:adjustRightInd w:val="0"/>
              <w:spacing w:after="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 xml:space="preserve">BACKGROUND </w:t>
            </w:r>
          </w:p>
        </w:tc>
        <w:tc>
          <w:tcPr>
            <w:tcW w:w="1182" w:type="dxa"/>
            <w:tcBorders>
              <w:top w:val="double" w:sz="5" w:space="0" w:color="000000"/>
              <w:left w:val="single" w:sz="5" w:space="0" w:color="000000"/>
              <w:bottom w:val="single" w:sz="5" w:space="0" w:color="000000"/>
              <w:right w:val="single" w:sz="5" w:space="0" w:color="000000"/>
            </w:tcBorders>
            <w:shd w:val="clear" w:color="auto" w:fill="FFFFCC"/>
          </w:tcPr>
          <w:p w14:paraId="781DC6BA" w14:textId="77777777" w:rsidR="00394B52" w:rsidRPr="00394B52" w:rsidRDefault="00394B52" w:rsidP="00394B52">
            <w:pPr>
              <w:wordWrap/>
              <w:adjustRightInd w:val="0"/>
              <w:spacing w:after="0" w:line="240" w:lineRule="auto"/>
              <w:jc w:val="right"/>
              <w:rPr>
                <w:rFonts w:ascii="Times" w:hAnsi="Times" w:cs="Arial"/>
                <w:kern w:val="0"/>
                <w:sz w:val="18"/>
                <w:szCs w:val="18"/>
                <w:lang w:val="en-CA" w:eastAsia="en-CA"/>
              </w:rPr>
            </w:pPr>
          </w:p>
        </w:tc>
      </w:tr>
      <w:tr w:rsidR="00394B52" w:rsidRPr="00394B52" w14:paraId="6B338C56" w14:textId="77777777" w:rsidTr="00E01118">
        <w:trPr>
          <w:trHeight w:val="56"/>
        </w:trPr>
        <w:tc>
          <w:tcPr>
            <w:tcW w:w="1709" w:type="dxa"/>
            <w:tcBorders>
              <w:top w:val="single" w:sz="5" w:space="0" w:color="000000"/>
              <w:left w:val="single" w:sz="5" w:space="0" w:color="000000"/>
              <w:bottom w:val="double" w:sz="2" w:space="0" w:color="FFFFCC"/>
              <w:right w:val="single" w:sz="5" w:space="0" w:color="000000"/>
            </w:tcBorders>
          </w:tcPr>
          <w:p w14:paraId="0D084990"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 xml:space="preserve">Objectives </w:t>
            </w:r>
          </w:p>
        </w:tc>
        <w:tc>
          <w:tcPr>
            <w:tcW w:w="669" w:type="dxa"/>
            <w:tcBorders>
              <w:top w:val="single" w:sz="5" w:space="0" w:color="000000"/>
              <w:left w:val="single" w:sz="5" w:space="0" w:color="000000"/>
              <w:bottom w:val="double" w:sz="2" w:space="0" w:color="FFFFCC"/>
              <w:right w:val="single" w:sz="5" w:space="0" w:color="000000"/>
            </w:tcBorders>
          </w:tcPr>
          <w:p w14:paraId="11FAC72C" w14:textId="77777777" w:rsidR="00394B52" w:rsidRPr="00394B52" w:rsidRDefault="00394B52" w:rsidP="00394B52">
            <w:pPr>
              <w:wordWrap/>
              <w:adjustRightInd w:val="0"/>
              <w:spacing w:before="40" w:after="40" w:line="240" w:lineRule="auto"/>
              <w:jc w:val="righ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2</w:t>
            </w:r>
          </w:p>
        </w:tc>
        <w:tc>
          <w:tcPr>
            <w:tcW w:w="6884" w:type="dxa"/>
            <w:tcBorders>
              <w:top w:val="single" w:sz="5" w:space="0" w:color="000000"/>
              <w:left w:val="single" w:sz="5" w:space="0" w:color="000000"/>
              <w:bottom w:val="double" w:sz="5" w:space="0" w:color="000000"/>
              <w:right w:val="single" w:sz="5" w:space="0" w:color="000000"/>
            </w:tcBorders>
          </w:tcPr>
          <w:p w14:paraId="5CB79CC1"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Provide an explicit statement of the main objective(s) or question(s) the review addresses.</w:t>
            </w:r>
          </w:p>
        </w:tc>
        <w:tc>
          <w:tcPr>
            <w:tcW w:w="1182" w:type="dxa"/>
            <w:tcBorders>
              <w:top w:val="single" w:sz="5" w:space="0" w:color="000000"/>
              <w:left w:val="single" w:sz="5" w:space="0" w:color="000000"/>
              <w:bottom w:val="double" w:sz="5" w:space="0" w:color="000000"/>
              <w:right w:val="single" w:sz="5" w:space="0" w:color="000000"/>
            </w:tcBorders>
          </w:tcPr>
          <w:p w14:paraId="0B0573AE" w14:textId="77777777" w:rsidR="00394B52" w:rsidRPr="00394B52" w:rsidRDefault="00394B52" w:rsidP="00394B52">
            <w:pPr>
              <w:wordWrap/>
              <w:adjustRightInd w:val="0"/>
              <w:spacing w:before="40" w:after="40" w:line="240" w:lineRule="auto"/>
              <w:jc w:val="left"/>
              <w:rPr>
                <w:rFonts w:ascii="Times" w:hAnsi="Times" w:cs="Arial"/>
                <w:kern w:val="0"/>
                <w:sz w:val="18"/>
                <w:szCs w:val="18"/>
                <w:lang w:val="en-CA" w:eastAsia="en-CA"/>
              </w:rPr>
            </w:pPr>
            <w:r w:rsidRPr="00394B52">
              <w:rPr>
                <w:rFonts w:ascii="Times" w:hAnsi="Times" w:cs="Arial"/>
                <w:kern w:val="0"/>
                <w:sz w:val="18"/>
                <w:szCs w:val="18"/>
                <w:lang w:val="en-CA" w:eastAsia="en-CA"/>
              </w:rPr>
              <w:t>Yes</w:t>
            </w:r>
          </w:p>
        </w:tc>
      </w:tr>
      <w:tr w:rsidR="00394B52" w:rsidRPr="00394B52" w14:paraId="0192DC64" w14:textId="77777777" w:rsidTr="00E01118">
        <w:trPr>
          <w:trHeight w:val="28"/>
        </w:trPr>
        <w:tc>
          <w:tcPr>
            <w:tcW w:w="9262"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339BACF0" w14:textId="77777777" w:rsidR="00394B52" w:rsidRPr="00394B52" w:rsidRDefault="00394B52" w:rsidP="00394B52">
            <w:pPr>
              <w:wordWrap/>
              <w:adjustRightInd w:val="0"/>
              <w:spacing w:after="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 xml:space="preserve">METHODS </w:t>
            </w:r>
          </w:p>
        </w:tc>
        <w:tc>
          <w:tcPr>
            <w:tcW w:w="1182" w:type="dxa"/>
            <w:tcBorders>
              <w:top w:val="double" w:sz="5" w:space="0" w:color="000000"/>
              <w:left w:val="single" w:sz="5" w:space="0" w:color="000000"/>
              <w:bottom w:val="single" w:sz="5" w:space="0" w:color="000000"/>
              <w:right w:val="single" w:sz="5" w:space="0" w:color="000000"/>
            </w:tcBorders>
            <w:shd w:val="clear" w:color="auto" w:fill="FFFFCC"/>
          </w:tcPr>
          <w:p w14:paraId="76464A07" w14:textId="77777777" w:rsidR="00394B52" w:rsidRPr="00394B52" w:rsidRDefault="00394B52" w:rsidP="00394B52">
            <w:pPr>
              <w:wordWrap/>
              <w:adjustRightInd w:val="0"/>
              <w:spacing w:after="0" w:line="240" w:lineRule="auto"/>
              <w:jc w:val="right"/>
              <w:rPr>
                <w:rFonts w:ascii="Times" w:hAnsi="Times" w:cs="Arial"/>
                <w:kern w:val="0"/>
                <w:sz w:val="18"/>
                <w:szCs w:val="18"/>
                <w:lang w:val="en-CA" w:eastAsia="en-CA"/>
              </w:rPr>
            </w:pPr>
          </w:p>
        </w:tc>
      </w:tr>
      <w:tr w:rsidR="00394B52" w:rsidRPr="00394B52" w14:paraId="184899A7" w14:textId="77777777" w:rsidTr="00E01118">
        <w:trPr>
          <w:trHeight w:val="56"/>
        </w:trPr>
        <w:tc>
          <w:tcPr>
            <w:tcW w:w="1709" w:type="dxa"/>
            <w:tcBorders>
              <w:top w:val="single" w:sz="5" w:space="0" w:color="000000"/>
              <w:left w:val="single" w:sz="5" w:space="0" w:color="000000"/>
              <w:bottom w:val="single" w:sz="5" w:space="0" w:color="000000"/>
              <w:right w:val="single" w:sz="5" w:space="0" w:color="000000"/>
            </w:tcBorders>
          </w:tcPr>
          <w:p w14:paraId="7A1DA6E4"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 xml:space="preserve">Eligibility criteria </w:t>
            </w:r>
          </w:p>
        </w:tc>
        <w:tc>
          <w:tcPr>
            <w:tcW w:w="669" w:type="dxa"/>
            <w:tcBorders>
              <w:top w:val="single" w:sz="5" w:space="0" w:color="000000"/>
              <w:left w:val="single" w:sz="5" w:space="0" w:color="000000"/>
              <w:bottom w:val="single" w:sz="5" w:space="0" w:color="000000"/>
              <w:right w:val="single" w:sz="5" w:space="0" w:color="000000"/>
            </w:tcBorders>
          </w:tcPr>
          <w:p w14:paraId="5E986C5E" w14:textId="77777777" w:rsidR="00394B52" w:rsidRPr="00394B52" w:rsidRDefault="00394B52" w:rsidP="00394B52">
            <w:pPr>
              <w:wordWrap/>
              <w:adjustRightInd w:val="0"/>
              <w:spacing w:before="40" w:after="40" w:line="240" w:lineRule="auto"/>
              <w:jc w:val="righ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3</w:t>
            </w:r>
          </w:p>
        </w:tc>
        <w:tc>
          <w:tcPr>
            <w:tcW w:w="6884" w:type="dxa"/>
            <w:tcBorders>
              <w:top w:val="single" w:sz="5" w:space="0" w:color="000000"/>
              <w:left w:val="single" w:sz="5" w:space="0" w:color="000000"/>
              <w:bottom w:val="single" w:sz="5" w:space="0" w:color="000000"/>
              <w:right w:val="single" w:sz="5" w:space="0" w:color="000000"/>
            </w:tcBorders>
          </w:tcPr>
          <w:p w14:paraId="18823AFA"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Specify the inclusion and exclusion criteria for the review.</w:t>
            </w:r>
          </w:p>
        </w:tc>
        <w:tc>
          <w:tcPr>
            <w:tcW w:w="1182" w:type="dxa"/>
            <w:tcBorders>
              <w:top w:val="single" w:sz="5" w:space="0" w:color="000000"/>
              <w:left w:val="single" w:sz="5" w:space="0" w:color="000000"/>
              <w:bottom w:val="single" w:sz="5" w:space="0" w:color="000000"/>
              <w:right w:val="single" w:sz="5" w:space="0" w:color="000000"/>
            </w:tcBorders>
          </w:tcPr>
          <w:p w14:paraId="571D40B7" w14:textId="77777777" w:rsidR="00394B52" w:rsidRPr="00394B52" w:rsidRDefault="00394B52" w:rsidP="00394B52">
            <w:pPr>
              <w:wordWrap/>
              <w:adjustRightInd w:val="0"/>
              <w:spacing w:before="40" w:after="40" w:line="240" w:lineRule="auto"/>
              <w:jc w:val="left"/>
              <w:rPr>
                <w:rFonts w:ascii="Times" w:hAnsi="Times" w:cs="Arial"/>
                <w:kern w:val="0"/>
                <w:sz w:val="18"/>
                <w:szCs w:val="18"/>
              </w:rPr>
            </w:pPr>
            <w:r w:rsidRPr="00394B52">
              <w:rPr>
                <w:rFonts w:ascii="Times" w:hAnsi="Times" w:cs="Arial"/>
                <w:kern w:val="0"/>
                <w:sz w:val="18"/>
                <w:szCs w:val="18"/>
              </w:rPr>
              <w:t>Yes</w:t>
            </w:r>
          </w:p>
        </w:tc>
      </w:tr>
      <w:tr w:rsidR="00394B52" w:rsidRPr="00394B52" w14:paraId="2FEFF4C8" w14:textId="77777777" w:rsidTr="00E01118">
        <w:trPr>
          <w:trHeight w:val="223"/>
        </w:trPr>
        <w:tc>
          <w:tcPr>
            <w:tcW w:w="1709" w:type="dxa"/>
            <w:tcBorders>
              <w:top w:val="single" w:sz="5" w:space="0" w:color="000000"/>
              <w:left w:val="single" w:sz="5" w:space="0" w:color="000000"/>
              <w:bottom w:val="single" w:sz="5" w:space="0" w:color="000000"/>
              <w:right w:val="single" w:sz="5" w:space="0" w:color="000000"/>
            </w:tcBorders>
          </w:tcPr>
          <w:p w14:paraId="343B6819"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 xml:space="preserve">Information sources </w:t>
            </w:r>
          </w:p>
        </w:tc>
        <w:tc>
          <w:tcPr>
            <w:tcW w:w="669" w:type="dxa"/>
            <w:tcBorders>
              <w:top w:val="single" w:sz="5" w:space="0" w:color="000000"/>
              <w:left w:val="single" w:sz="5" w:space="0" w:color="000000"/>
              <w:bottom w:val="single" w:sz="5" w:space="0" w:color="000000"/>
              <w:right w:val="single" w:sz="5" w:space="0" w:color="000000"/>
            </w:tcBorders>
          </w:tcPr>
          <w:p w14:paraId="6615450C" w14:textId="77777777" w:rsidR="00394B52" w:rsidRPr="00394B52" w:rsidRDefault="00394B52" w:rsidP="00394B52">
            <w:pPr>
              <w:wordWrap/>
              <w:adjustRightInd w:val="0"/>
              <w:spacing w:before="40" w:after="40" w:line="240" w:lineRule="auto"/>
              <w:jc w:val="righ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4</w:t>
            </w:r>
          </w:p>
        </w:tc>
        <w:tc>
          <w:tcPr>
            <w:tcW w:w="6884" w:type="dxa"/>
            <w:tcBorders>
              <w:top w:val="single" w:sz="5" w:space="0" w:color="000000"/>
              <w:left w:val="single" w:sz="5" w:space="0" w:color="000000"/>
              <w:bottom w:val="single" w:sz="5" w:space="0" w:color="000000"/>
              <w:right w:val="single" w:sz="5" w:space="0" w:color="000000"/>
            </w:tcBorders>
          </w:tcPr>
          <w:p w14:paraId="5906BF84"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Specify the information sources (</w:t>
            </w:r>
            <w:proofErr w:type="gramStart"/>
            <w:r w:rsidRPr="00394B52">
              <w:rPr>
                <w:rFonts w:ascii="Times" w:hAnsi="Times" w:cs="Arial"/>
                <w:color w:val="000000"/>
                <w:kern w:val="0"/>
                <w:sz w:val="18"/>
                <w:szCs w:val="18"/>
                <w:lang w:val="en-CA" w:eastAsia="en-CA"/>
              </w:rPr>
              <w:t>e.g.</w:t>
            </w:r>
            <w:proofErr w:type="gramEnd"/>
            <w:r w:rsidRPr="00394B52">
              <w:rPr>
                <w:rFonts w:ascii="Times" w:hAnsi="Times" w:cs="Arial"/>
                <w:color w:val="000000"/>
                <w:kern w:val="0"/>
                <w:sz w:val="18"/>
                <w:szCs w:val="18"/>
                <w:lang w:val="en-CA" w:eastAsia="en-CA"/>
              </w:rPr>
              <w:t xml:space="preserve"> databases, registers) used to identify studies and the date when each was last searched.</w:t>
            </w:r>
          </w:p>
        </w:tc>
        <w:tc>
          <w:tcPr>
            <w:tcW w:w="1182" w:type="dxa"/>
            <w:tcBorders>
              <w:top w:val="single" w:sz="5" w:space="0" w:color="000000"/>
              <w:left w:val="single" w:sz="5" w:space="0" w:color="000000"/>
              <w:bottom w:val="single" w:sz="5" w:space="0" w:color="000000"/>
              <w:right w:val="single" w:sz="5" w:space="0" w:color="000000"/>
            </w:tcBorders>
          </w:tcPr>
          <w:p w14:paraId="72EE02D7" w14:textId="77777777" w:rsidR="00394B52" w:rsidRPr="00394B52" w:rsidRDefault="00394B52" w:rsidP="00394B52">
            <w:pPr>
              <w:wordWrap/>
              <w:adjustRightInd w:val="0"/>
              <w:spacing w:before="40" w:after="40" w:line="240" w:lineRule="auto"/>
              <w:jc w:val="left"/>
              <w:rPr>
                <w:rFonts w:ascii="Times" w:hAnsi="Times" w:cs="Arial"/>
                <w:kern w:val="0"/>
                <w:sz w:val="18"/>
                <w:szCs w:val="18"/>
                <w:lang w:val="en-CA" w:eastAsia="en-CA"/>
              </w:rPr>
            </w:pPr>
            <w:r w:rsidRPr="00394B52">
              <w:rPr>
                <w:rFonts w:ascii="Times" w:hAnsi="Times" w:cs="Arial" w:hint="eastAsia"/>
                <w:kern w:val="0"/>
                <w:sz w:val="18"/>
                <w:szCs w:val="18"/>
                <w:lang w:val="en-CA" w:eastAsia="en-CA"/>
              </w:rPr>
              <w:t>Y</w:t>
            </w:r>
            <w:r w:rsidRPr="00394B52">
              <w:rPr>
                <w:rFonts w:ascii="Times" w:hAnsi="Times" w:cs="Arial"/>
                <w:kern w:val="0"/>
                <w:sz w:val="18"/>
                <w:szCs w:val="18"/>
                <w:lang w:val="en-CA" w:eastAsia="en-CA"/>
              </w:rPr>
              <w:t>es</w:t>
            </w:r>
          </w:p>
        </w:tc>
      </w:tr>
      <w:tr w:rsidR="00394B52" w:rsidRPr="00394B52" w14:paraId="0A51EC0F" w14:textId="77777777" w:rsidTr="00E01118">
        <w:trPr>
          <w:trHeight w:val="56"/>
        </w:trPr>
        <w:tc>
          <w:tcPr>
            <w:tcW w:w="1709" w:type="dxa"/>
            <w:tcBorders>
              <w:top w:val="single" w:sz="5" w:space="0" w:color="000000"/>
              <w:left w:val="single" w:sz="5" w:space="0" w:color="000000"/>
              <w:bottom w:val="single" w:sz="5" w:space="0" w:color="000000"/>
              <w:right w:val="single" w:sz="5" w:space="0" w:color="000000"/>
            </w:tcBorders>
          </w:tcPr>
          <w:p w14:paraId="238E6E1B"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Risk of bias</w:t>
            </w:r>
          </w:p>
        </w:tc>
        <w:tc>
          <w:tcPr>
            <w:tcW w:w="669" w:type="dxa"/>
            <w:tcBorders>
              <w:top w:val="single" w:sz="5" w:space="0" w:color="000000"/>
              <w:left w:val="single" w:sz="5" w:space="0" w:color="000000"/>
              <w:bottom w:val="single" w:sz="5" w:space="0" w:color="000000"/>
              <w:right w:val="single" w:sz="5" w:space="0" w:color="000000"/>
            </w:tcBorders>
          </w:tcPr>
          <w:p w14:paraId="2A22C64B" w14:textId="77777777" w:rsidR="00394B52" w:rsidRPr="00394B52" w:rsidRDefault="00394B52" w:rsidP="00394B52">
            <w:pPr>
              <w:wordWrap/>
              <w:adjustRightInd w:val="0"/>
              <w:spacing w:before="40" w:after="40" w:line="240" w:lineRule="auto"/>
              <w:jc w:val="righ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5</w:t>
            </w:r>
          </w:p>
        </w:tc>
        <w:tc>
          <w:tcPr>
            <w:tcW w:w="6884" w:type="dxa"/>
            <w:tcBorders>
              <w:top w:val="single" w:sz="5" w:space="0" w:color="000000"/>
              <w:left w:val="single" w:sz="5" w:space="0" w:color="000000"/>
              <w:bottom w:val="single" w:sz="5" w:space="0" w:color="000000"/>
              <w:right w:val="single" w:sz="5" w:space="0" w:color="000000"/>
            </w:tcBorders>
          </w:tcPr>
          <w:p w14:paraId="131E05D6"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Specify the methods used to assess risk of bias in the included studies.</w:t>
            </w:r>
          </w:p>
        </w:tc>
        <w:tc>
          <w:tcPr>
            <w:tcW w:w="1182" w:type="dxa"/>
            <w:tcBorders>
              <w:top w:val="single" w:sz="5" w:space="0" w:color="000000"/>
              <w:left w:val="single" w:sz="5" w:space="0" w:color="000000"/>
              <w:bottom w:val="single" w:sz="5" w:space="0" w:color="000000"/>
              <w:right w:val="single" w:sz="5" w:space="0" w:color="000000"/>
            </w:tcBorders>
          </w:tcPr>
          <w:p w14:paraId="01D2AD60" w14:textId="77777777" w:rsidR="00394B52" w:rsidRPr="00394B52" w:rsidRDefault="00394B52" w:rsidP="00394B52">
            <w:pPr>
              <w:wordWrap/>
              <w:adjustRightInd w:val="0"/>
              <w:spacing w:before="40" w:after="40" w:line="240" w:lineRule="auto"/>
              <w:jc w:val="left"/>
              <w:rPr>
                <w:rFonts w:ascii="Times" w:hAnsi="Times" w:cs="Arial"/>
                <w:kern w:val="0"/>
                <w:sz w:val="18"/>
                <w:szCs w:val="18"/>
                <w:lang w:val="en-CA"/>
              </w:rPr>
            </w:pPr>
            <w:r w:rsidRPr="00394B52">
              <w:rPr>
                <w:rFonts w:ascii="Times" w:hAnsi="Times" w:cs="Arial" w:hint="eastAsia"/>
                <w:kern w:val="0"/>
                <w:sz w:val="18"/>
                <w:szCs w:val="18"/>
                <w:lang w:val="en-CA"/>
              </w:rPr>
              <w:t>N</w:t>
            </w:r>
            <w:r w:rsidRPr="00394B52">
              <w:rPr>
                <w:rFonts w:ascii="Times" w:hAnsi="Times" w:cs="Arial"/>
                <w:kern w:val="0"/>
                <w:sz w:val="18"/>
                <w:szCs w:val="18"/>
                <w:lang w:val="en-CA"/>
              </w:rPr>
              <w:t>o</w:t>
            </w:r>
          </w:p>
        </w:tc>
      </w:tr>
      <w:tr w:rsidR="00394B52" w:rsidRPr="00394B52" w14:paraId="52B023B9" w14:textId="77777777" w:rsidTr="00E01118">
        <w:trPr>
          <w:trHeight w:val="56"/>
        </w:trPr>
        <w:tc>
          <w:tcPr>
            <w:tcW w:w="1709" w:type="dxa"/>
            <w:tcBorders>
              <w:top w:val="single" w:sz="5" w:space="0" w:color="000000"/>
              <w:left w:val="single" w:sz="5" w:space="0" w:color="000000"/>
              <w:bottom w:val="single" w:sz="5" w:space="0" w:color="000000"/>
              <w:right w:val="single" w:sz="5" w:space="0" w:color="000000"/>
            </w:tcBorders>
          </w:tcPr>
          <w:p w14:paraId="03D9A710"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 xml:space="preserve">Synthesis of results </w:t>
            </w:r>
          </w:p>
        </w:tc>
        <w:tc>
          <w:tcPr>
            <w:tcW w:w="669" w:type="dxa"/>
            <w:tcBorders>
              <w:top w:val="single" w:sz="5" w:space="0" w:color="000000"/>
              <w:left w:val="single" w:sz="5" w:space="0" w:color="000000"/>
              <w:bottom w:val="single" w:sz="5" w:space="0" w:color="000000"/>
              <w:right w:val="single" w:sz="5" w:space="0" w:color="000000"/>
            </w:tcBorders>
          </w:tcPr>
          <w:p w14:paraId="4FEAD057" w14:textId="77777777" w:rsidR="00394B52" w:rsidRPr="00394B52" w:rsidRDefault="00394B52" w:rsidP="00394B52">
            <w:pPr>
              <w:wordWrap/>
              <w:adjustRightInd w:val="0"/>
              <w:spacing w:before="40" w:after="40" w:line="240" w:lineRule="auto"/>
              <w:jc w:val="righ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6</w:t>
            </w:r>
          </w:p>
        </w:tc>
        <w:tc>
          <w:tcPr>
            <w:tcW w:w="6884" w:type="dxa"/>
            <w:tcBorders>
              <w:top w:val="single" w:sz="5" w:space="0" w:color="000000"/>
              <w:left w:val="single" w:sz="5" w:space="0" w:color="000000"/>
              <w:bottom w:val="single" w:sz="5" w:space="0" w:color="000000"/>
              <w:right w:val="single" w:sz="5" w:space="0" w:color="000000"/>
            </w:tcBorders>
          </w:tcPr>
          <w:p w14:paraId="7E478BBF"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Specify the methods used to present and synthesise results.</w:t>
            </w:r>
          </w:p>
        </w:tc>
        <w:tc>
          <w:tcPr>
            <w:tcW w:w="1182" w:type="dxa"/>
            <w:tcBorders>
              <w:top w:val="single" w:sz="5" w:space="0" w:color="000000"/>
              <w:left w:val="single" w:sz="5" w:space="0" w:color="000000"/>
              <w:bottom w:val="single" w:sz="5" w:space="0" w:color="000000"/>
              <w:right w:val="single" w:sz="5" w:space="0" w:color="000000"/>
            </w:tcBorders>
          </w:tcPr>
          <w:p w14:paraId="19C91826" w14:textId="77777777" w:rsidR="00394B52" w:rsidRPr="00394B52" w:rsidRDefault="00394B52" w:rsidP="00394B52">
            <w:pPr>
              <w:wordWrap/>
              <w:adjustRightInd w:val="0"/>
              <w:spacing w:before="40" w:after="40" w:line="240" w:lineRule="auto"/>
              <w:jc w:val="left"/>
              <w:rPr>
                <w:rFonts w:ascii="Times" w:hAnsi="Times" w:cs="Arial"/>
                <w:kern w:val="0"/>
                <w:sz w:val="18"/>
                <w:szCs w:val="18"/>
                <w:lang w:val="en-CA"/>
              </w:rPr>
            </w:pPr>
            <w:r w:rsidRPr="00394B52">
              <w:rPr>
                <w:rFonts w:ascii="Times" w:hAnsi="Times" w:cs="Arial" w:hint="eastAsia"/>
                <w:kern w:val="0"/>
                <w:sz w:val="18"/>
                <w:szCs w:val="18"/>
                <w:lang w:val="en-CA"/>
              </w:rPr>
              <w:t>N</w:t>
            </w:r>
            <w:r w:rsidRPr="00394B52">
              <w:rPr>
                <w:rFonts w:ascii="Times" w:hAnsi="Times" w:cs="Arial"/>
                <w:kern w:val="0"/>
                <w:sz w:val="18"/>
                <w:szCs w:val="18"/>
                <w:lang w:val="en-CA"/>
              </w:rPr>
              <w:t>o</w:t>
            </w:r>
          </w:p>
        </w:tc>
      </w:tr>
      <w:tr w:rsidR="00394B52" w:rsidRPr="00394B52" w14:paraId="2878FF72" w14:textId="77777777" w:rsidTr="00E01118">
        <w:trPr>
          <w:trHeight w:val="28"/>
        </w:trPr>
        <w:tc>
          <w:tcPr>
            <w:tcW w:w="9262"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4A5759B5" w14:textId="77777777" w:rsidR="00394B52" w:rsidRPr="00394B52" w:rsidRDefault="00394B52" w:rsidP="00394B52">
            <w:pPr>
              <w:wordWrap/>
              <w:adjustRightInd w:val="0"/>
              <w:spacing w:after="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 xml:space="preserve">RESULTS </w:t>
            </w:r>
          </w:p>
        </w:tc>
        <w:tc>
          <w:tcPr>
            <w:tcW w:w="1182" w:type="dxa"/>
            <w:tcBorders>
              <w:top w:val="double" w:sz="5" w:space="0" w:color="000000"/>
              <w:left w:val="single" w:sz="5" w:space="0" w:color="000000"/>
              <w:bottom w:val="single" w:sz="5" w:space="0" w:color="000000"/>
              <w:right w:val="single" w:sz="5" w:space="0" w:color="000000"/>
            </w:tcBorders>
            <w:shd w:val="clear" w:color="auto" w:fill="FFFFCC"/>
          </w:tcPr>
          <w:p w14:paraId="14194501" w14:textId="77777777" w:rsidR="00394B52" w:rsidRPr="00394B52" w:rsidRDefault="00394B52" w:rsidP="00394B52">
            <w:pPr>
              <w:wordWrap/>
              <w:adjustRightInd w:val="0"/>
              <w:spacing w:after="0" w:line="240" w:lineRule="auto"/>
              <w:jc w:val="center"/>
              <w:rPr>
                <w:rFonts w:ascii="Times" w:hAnsi="Times" w:cs="Arial"/>
                <w:kern w:val="0"/>
                <w:sz w:val="18"/>
                <w:szCs w:val="18"/>
                <w:lang w:val="en-CA" w:eastAsia="en-CA"/>
              </w:rPr>
            </w:pPr>
          </w:p>
        </w:tc>
      </w:tr>
      <w:tr w:rsidR="00394B52" w:rsidRPr="00394B52" w14:paraId="1CBF2152" w14:textId="77777777" w:rsidTr="00E01118">
        <w:trPr>
          <w:trHeight w:val="120"/>
        </w:trPr>
        <w:tc>
          <w:tcPr>
            <w:tcW w:w="1709" w:type="dxa"/>
            <w:tcBorders>
              <w:top w:val="single" w:sz="5" w:space="0" w:color="000000"/>
              <w:left w:val="single" w:sz="5" w:space="0" w:color="000000"/>
              <w:bottom w:val="single" w:sz="5" w:space="0" w:color="000000"/>
              <w:right w:val="single" w:sz="5" w:space="0" w:color="000000"/>
            </w:tcBorders>
          </w:tcPr>
          <w:p w14:paraId="44EC8836"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 xml:space="preserve">Included studies </w:t>
            </w:r>
          </w:p>
        </w:tc>
        <w:tc>
          <w:tcPr>
            <w:tcW w:w="669" w:type="dxa"/>
            <w:tcBorders>
              <w:top w:val="single" w:sz="5" w:space="0" w:color="000000"/>
              <w:left w:val="single" w:sz="5" w:space="0" w:color="000000"/>
              <w:bottom w:val="single" w:sz="5" w:space="0" w:color="000000"/>
              <w:right w:val="single" w:sz="5" w:space="0" w:color="000000"/>
            </w:tcBorders>
          </w:tcPr>
          <w:p w14:paraId="41326A9D" w14:textId="77777777" w:rsidR="00394B52" w:rsidRPr="00394B52" w:rsidRDefault="00394B52" w:rsidP="00394B52">
            <w:pPr>
              <w:wordWrap/>
              <w:adjustRightInd w:val="0"/>
              <w:spacing w:before="40" w:after="40" w:line="240" w:lineRule="auto"/>
              <w:jc w:val="righ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7</w:t>
            </w:r>
          </w:p>
        </w:tc>
        <w:tc>
          <w:tcPr>
            <w:tcW w:w="6884" w:type="dxa"/>
            <w:tcBorders>
              <w:top w:val="single" w:sz="5" w:space="0" w:color="000000"/>
              <w:left w:val="single" w:sz="5" w:space="0" w:color="000000"/>
              <w:bottom w:val="single" w:sz="5" w:space="0" w:color="000000"/>
              <w:right w:val="single" w:sz="5" w:space="0" w:color="000000"/>
            </w:tcBorders>
          </w:tcPr>
          <w:p w14:paraId="4630F18F"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Give the total number of included studies and participants and summarise relevant characteristics of studies.</w:t>
            </w:r>
          </w:p>
        </w:tc>
        <w:tc>
          <w:tcPr>
            <w:tcW w:w="1182" w:type="dxa"/>
            <w:tcBorders>
              <w:top w:val="single" w:sz="5" w:space="0" w:color="000000"/>
              <w:left w:val="single" w:sz="5" w:space="0" w:color="000000"/>
              <w:bottom w:val="single" w:sz="5" w:space="0" w:color="000000"/>
              <w:right w:val="single" w:sz="5" w:space="0" w:color="000000"/>
            </w:tcBorders>
          </w:tcPr>
          <w:p w14:paraId="5EAFE3B3" w14:textId="77777777" w:rsidR="00394B52" w:rsidRPr="00394B52" w:rsidRDefault="00394B52" w:rsidP="00394B52">
            <w:pPr>
              <w:wordWrap/>
              <w:adjustRightInd w:val="0"/>
              <w:spacing w:before="40" w:after="40" w:line="240" w:lineRule="auto"/>
              <w:jc w:val="left"/>
              <w:rPr>
                <w:rFonts w:ascii="Times" w:hAnsi="Times" w:cs="Arial"/>
                <w:kern w:val="0"/>
                <w:sz w:val="18"/>
                <w:szCs w:val="18"/>
                <w:lang w:val="en-CA" w:eastAsia="en-CA"/>
              </w:rPr>
            </w:pPr>
            <w:r w:rsidRPr="00394B52">
              <w:rPr>
                <w:rFonts w:ascii="Times" w:hAnsi="Times" w:cs="Arial" w:hint="eastAsia"/>
                <w:kern w:val="0"/>
                <w:sz w:val="18"/>
                <w:szCs w:val="18"/>
                <w:lang w:val="en-CA" w:eastAsia="en-CA"/>
              </w:rPr>
              <w:t>Y</w:t>
            </w:r>
            <w:r w:rsidRPr="00394B52">
              <w:rPr>
                <w:rFonts w:ascii="Times" w:hAnsi="Times" w:cs="Arial"/>
                <w:kern w:val="0"/>
                <w:sz w:val="18"/>
                <w:szCs w:val="18"/>
                <w:lang w:val="en-CA" w:eastAsia="en-CA"/>
              </w:rPr>
              <w:t>es</w:t>
            </w:r>
          </w:p>
        </w:tc>
      </w:tr>
      <w:tr w:rsidR="00394B52" w:rsidRPr="00394B52" w14:paraId="683F9878" w14:textId="77777777" w:rsidTr="00E01118">
        <w:trPr>
          <w:trHeight w:val="56"/>
        </w:trPr>
        <w:tc>
          <w:tcPr>
            <w:tcW w:w="1709" w:type="dxa"/>
            <w:tcBorders>
              <w:top w:val="single" w:sz="5" w:space="0" w:color="000000"/>
              <w:left w:val="single" w:sz="5" w:space="0" w:color="000000"/>
              <w:bottom w:val="single" w:sz="5" w:space="0" w:color="000000"/>
              <w:right w:val="single" w:sz="5" w:space="0" w:color="000000"/>
            </w:tcBorders>
          </w:tcPr>
          <w:p w14:paraId="6B6E11B7"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 xml:space="preserve">Synthesis of results </w:t>
            </w:r>
          </w:p>
        </w:tc>
        <w:tc>
          <w:tcPr>
            <w:tcW w:w="669" w:type="dxa"/>
            <w:tcBorders>
              <w:top w:val="single" w:sz="5" w:space="0" w:color="000000"/>
              <w:left w:val="single" w:sz="5" w:space="0" w:color="000000"/>
              <w:bottom w:val="single" w:sz="5" w:space="0" w:color="000000"/>
              <w:right w:val="single" w:sz="5" w:space="0" w:color="000000"/>
            </w:tcBorders>
          </w:tcPr>
          <w:p w14:paraId="78AA8BE5" w14:textId="77777777" w:rsidR="00394B52" w:rsidRPr="00394B52" w:rsidRDefault="00394B52" w:rsidP="00394B52">
            <w:pPr>
              <w:wordWrap/>
              <w:adjustRightInd w:val="0"/>
              <w:spacing w:before="40" w:after="40" w:line="240" w:lineRule="auto"/>
              <w:jc w:val="righ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8</w:t>
            </w:r>
          </w:p>
        </w:tc>
        <w:tc>
          <w:tcPr>
            <w:tcW w:w="6884" w:type="dxa"/>
            <w:tcBorders>
              <w:top w:val="single" w:sz="5" w:space="0" w:color="000000"/>
              <w:left w:val="single" w:sz="5" w:space="0" w:color="000000"/>
              <w:bottom w:val="single" w:sz="5" w:space="0" w:color="000000"/>
              <w:right w:val="single" w:sz="5" w:space="0" w:color="000000"/>
            </w:tcBorders>
          </w:tcPr>
          <w:p w14:paraId="41C5B81E"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Present results for main outcomes, preferably indicating the number of included studies and participants for each. If meta-analysis was done, report the summary estimate and confidence/credible interval. If comparing groups, indicate the direction of the effect (</w:t>
            </w:r>
            <w:proofErr w:type="gramStart"/>
            <w:r w:rsidRPr="00394B52">
              <w:rPr>
                <w:rFonts w:ascii="Times" w:hAnsi="Times" w:cs="Arial"/>
                <w:color w:val="000000"/>
                <w:kern w:val="0"/>
                <w:sz w:val="18"/>
                <w:szCs w:val="18"/>
                <w:lang w:val="en-CA" w:eastAsia="en-CA"/>
              </w:rPr>
              <w:t>i.e.</w:t>
            </w:r>
            <w:proofErr w:type="gramEnd"/>
            <w:r w:rsidRPr="00394B52">
              <w:rPr>
                <w:rFonts w:ascii="Times" w:hAnsi="Times" w:cs="Arial"/>
                <w:color w:val="000000"/>
                <w:kern w:val="0"/>
                <w:sz w:val="18"/>
                <w:szCs w:val="18"/>
                <w:lang w:val="en-CA" w:eastAsia="en-CA"/>
              </w:rPr>
              <w:t xml:space="preserve"> which group is favoured).</w:t>
            </w:r>
          </w:p>
        </w:tc>
        <w:tc>
          <w:tcPr>
            <w:tcW w:w="1182" w:type="dxa"/>
            <w:tcBorders>
              <w:top w:val="single" w:sz="5" w:space="0" w:color="000000"/>
              <w:left w:val="single" w:sz="5" w:space="0" w:color="000000"/>
              <w:bottom w:val="single" w:sz="5" w:space="0" w:color="000000"/>
              <w:right w:val="single" w:sz="5" w:space="0" w:color="000000"/>
            </w:tcBorders>
          </w:tcPr>
          <w:p w14:paraId="59352E57" w14:textId="77777777" w:rsidR="00394B52" w:rsidRPr="00394B52" w:rsidRDefault="00394B52" w:rsidP="00394B52">
            <w:pPr>
              <w:wordWrap/>
              <w:adjustRightInd w:val="0"/>
              <w:spacing w:before="40" w:after="40" w:line="240" w:lineRule="auto"/>
              <w:jc w:val="left"/>
              <w:rPr>
                <w:rFonts w:ascii="Times" w:hAnsi="Times" w:cs="Arial"/>
                <w:kern w:val="0"/>
                <w:sz w:val="18"/>
                <w:szCs w:val="18"/>
                <w:lang w:val="en-CA" w:eastAsia="en-CA"/>
              </w:rPr>
            </w:pPr>
            <w:r w:rsidRPr="00394B52">
              <w:rPr>
                <w:rFonts w:ascii="Times" w:hAnsi="Times" w:cs="Arial" w:hint="eastAsia"/>
                <w:kern w:val="0"/>
                <w:sz w:val="18"/>
                <w:szCs w:val="18"/>
                <w:lang w:val="en-CA" w:eastAsia="en-CA"/>
              </w:rPr>
              <w:t>Y</w:t>
            </w:r>
            <w:r w:rsidRPr="00394B52">
              <w:rPr>
                <w:rFonts w:ascii="Times" w:hAnsi="Times" w:cs="Arial"/>
                <w:kern w:val="0"/>
                <w:sz w:val="18"/>
                <w:szCs w:val="18"/>
                <w:lang w:val="en-CA" w:eastAsia="en-CA"/>
              </w:rPr>
              <w:t>es</w:t>
            </w:r>
          </w:p>
        </w:tc>
      </w:tr>
      <w:tr w:rsidR="00394B52" w:rsidRPr="00394B52" w14:paraId="35623831" w14:textId="77777777" w:rsidTr="00E01118">
        <w:trPr>
          <w:trHeight w:val="28"/>
        </w:trPr>
        <w:tc>
          <w:tcPr>
            <w:tcW w:w="9262"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6AC91DC4" w14:textId="77777777" w:rsidR="00394B52" w:rsidRPr="00394B52" w:rsidRDefault="00394B52" w:rsidP="00394B52">
            <w:pPr>
              <w:wordWrap/>
              <w:adjustRightInd w:val="0"/>
              <w:spacing w:after="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 xml:space="preserve">DISCUSSION </w:t>
            </w:r>
          </w:p>
        </w:tc>
        <w:tc>
          <w:tcPr>
            <w:tcW w:w="1182" w:type="dxa"/>
            <w:tcBorders>
              <w:top w:val="double" w:sz="5" w:space="0" w:color="000000"/>
              <w:left w:val="single" w:sz="5" w:space="0" w:color="000000"/>
              <w:bottom w:val="single" w:sz="5" w:space="0" w:color="000000"/>
              <w:right w:val="single" w:sz="5" w:space="0" w:color="000000"/>
            </w:tcBorders>
            <w:shd w:val="clear" w:color="auto" w:fill="FFFFCC"/>
          </w:tcPr>
          <w:p w14:paraId="4087D0CE" w14:textId="77777777" w:rsidR="00394B52" w:rsidRPr="00394B52" w:rsidRDefault="00394B52" w:rsidP="00394B52">
            <w:pPr>
              <w:wordWrap/>
              <w:adjustRightInd w:val="0"/>
              <w:spacing w:after="0" w:line="240" w:lineRule="auto"/>
              <w:jc w:val="center"/>
              <w:rPr>
                <w:rFonts w:ascii="Times" w:hAnsi="Times" w:cs="Arial"/>
                <w:kern w:val="0"/>
                <w:sz w:val="18"/>
                <w:szCs w:val="18"/>
                <w:lang w:val="en-CA" w:eastAsia="en-CA"/>
              </w:rPr>
            </w:pPr>
          </w:p>
        </w:tc>
      </w:tr>
      <w:tr w:rsidR="00394B52" w:rsidRPr="00394B52" w14:paraId="116CC9C0" w14:textId="77777777" w:rsidTr="00E01118">
        <w:trPr>
          <w:trHeight w:val="56"/>
        </w:trPr>
        <w:tc>
          <w:tcPr>
            <w:tcW w:w="1709" w:type="dxa"/>
            <w:tcBorders>
              <w:top w:val="single" w:sz="4" w:space="0" w:color="auto"/>
              <w:left w:val="single" w:sz="4" w:space="0" w:color="auto"/>
              <w:bottom w:val="single" w:sz="4" w:space="0" w:color="auto"/>
              <w:right w:val="single" w:sz="4" w:space="0" w:color="auto"/>
            </w:tcBorders>
          </w:tcPr>
          <w:p w14:paraId="141282F9"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Limitations of evidence</w:t>
            </w:r>
          </w:p>
        </w:tc>
        <w:tc>
          <w:tcPr>
            <w:tcW w:w="669" w:type="dxa"/>
            <w:tcBorders>
              <w:top w:val="single" w:sz="5" w:space="0" w:color="000000"/>
              <w:left w:val="single" w:sz="4" w:space="0" w:color="auto"/>
              <w:bottom w:val="single" w:sz="5" w:space="0" w:color="000000"/>
              <w:right w:val="single" w:sz="5" w:space="0" w:color="000000"/>
            </w:tcBorders>
          </w:tcPr>
          <w:p w14:paraId="253755C3" w14:textId="77777777" w:rsidR="00394B52" w:rsidRPr="00394B52" w:rsidRDefault="00394B52" w:rsidP="00394B52">
            <w:pPr>
              <w:wordWrap/>
              <w:adjustRightInd w:val="0"/>
              <w:spacing w:before="40" w:after="40" w:line="240" w:lineRule="auto"/>
              <w:jc w:val="righ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9</w:t>
            </w:r>
          </w:p>
        </w:tc>
        <w:tc>
          <w:tcPr>
            <w:tcW w:w="6884" w:type="dxa"/>
            <w:tcBorders>
              <w:top w:val="single" w:sz="5" w:space="0" w:color="000000"/>
              <w:left w:val="single" w:sz="5" w:space="0" w:color="000000"/>
              <w:bottom w:val="single" w:sz="5" w:space="0" w:color="000000"/>
              <w:right w:val="single" w:sz="5" w:space="0" w:color="000000"/>
            </w:tcBorders>
          </w:tcPr>
          <w:p w14:paraId="56E1E25F"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Provide a brief summary of the limitations of the evidence included in the review (</w:t>
            </w:r>
            <w:proofErr w:type="gramStart"/>
            <w:r w:rsidRPr="00394B52">
              <w:rPr>
                <w:rFonts w:ascii="Times" w:hAnsi="Times" w:cs="Arial"/>
                <w:color w:val="000000"/>
                <w:kern w:val="0"/>
                <w:sz w:val="18"/>
                <w:szCs w:val="18"/>
                <w:lang w:val="en-CA" w:eastAsia="en-CA"/>
              </w:rPr>
              <w:t>e.g.</w:t>
            </w:r>
            <w:proofErr w:type="gramEnd"/>
            <w:r w:rsidRPr="00394B52">
              <w:rPr>
                <w:rFonts w:ascii="Times" w:hAnsi="Times" w:cs="Arial"/>
                <w:color w:val="000000"/>
                <w:kern w:val="0"/>
                <w:sz w:val="18"/>
                <w:szCs w:val="18"/>
                <w:lang w:val="en-CA" w:eastAsia="en-CA"/>
              </w:rPr>
              <w:t xml:space="preserve"> study risk of bias, inconsistency and imprecision).</w:t>
            </w:r>
          </w:p>
        </w:tc>
        <w:tc>
          <w:tcPr>
            <w:tcW w:w="1182" w:type="dxa"/>
            <w:tcBorders>
              <w:top w:val="single" w:sz="5" w:space="0" w:color="000000"/>
              <w:left w:val="single" w:sz="5" w:space="0" w:color="000000"/>
              <w:bottom w:val="single" w:sz="5" w:space="0" w:color="000000"/>
              <w:right w:val="single" w:sz="5" w:space="0" w:color="000000"/>
            </w:tcBorders>
          </w:tcPr>
          <w:p w14:paraId="32B629C2" w14:textId="77777777" w:rsidR="00394B52" w:rsidRPr="00394B52" w:rsidRDefault="00394B52" w:rsidP="00394B52">
            <w:pPr>
              <w:wordWrap/>
              <w:adjustRightInd w:val="0"/>
              <w:spacing w:before="40" w:after="40" w:line="240" w:lineRule="auto"/>
              <w:jc w:val="left"/>
              <w:rPr>
                <w:rFonts w:ascii="Times" w:hAnsi="Times" w:cs="Arial"/>
                <w:kern w:val="0"/>
                <w:sz w:val="18"/>
                <w:szCs w:val="18"/>
                <w:lang w:val="en-CA"/>
              </w:rPr>
            </w:pPr>
            <w:r w:rsidRPr="00394B52">
              <w:rPr>
                <w:rFonts w:ascii="Times" w:hAnsi="Times" w:cs="Arial" w:hint="eastAsia"/>
                <w:kern w:val="0"/>
                <w:sz w:val="18"/>
                <w:szCs w:val="18"/>
                <w:lang w:val="en-CA"/>
              </w:rPr>
              <w:t>N</w:t>
            </w:r>
            <w:r w:rsidRPr="00394B52">
              <w:rPr>
                <w:rFonts w:ascii="Times" w:hAnsi="Times" w:cs="Arial"/>
                <w:kern w:val="0"/>
                <w:sz w:val="18"/>
                <w:szCs w:val="18"/>
                <w:lang w:val="en-CA"/>
              </w:rPr>
              <w:t>o</w:t>
            </w:r>
          </w:p>
        </w:tc>
      </w:tr>
      <w:tr w:rsidR="00394B52" w:rsidRPr="00394B52" w14:paraId="2E86D372" w14:textId="77777777" w:rsidTr="00E01118">
        <w:trPr>
          <w:trHeight w:val="56"/>
        </w:trPr>
        <w:tc>
          <w:tcPr>
            <w:tcW w:w="1709" w:type="dxa"/>
            <w:tcBorders>
              <w:top w:val="single" w:sz="4" w:space="0" w:color="auto"/>
              <w:left w:val="single" w:sz="4" w:space="0" w:color="auto"/>
              <w:bottom w:val="single" w:sz="4" w:space="0" w:color="auto"/>
              <w:right w:val="single" w:sz="4" w:space="0" w:color="auto"/>
            </w:tcBorders>
          </w:tcPr>
          <w:p w14:paraId="15848F2A"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Interpretation</w:t>
            </w:r>
          </w:p>
        </w:tc>
        <w:tc>
          <w:tcPr>
            <w:tcW w:w="669" w:type="dxa"/>
            <w:tcBorders>
              <w:top w:val="single" w:sz="5" w:space="0" w:color="000000"/>
              <w:left w:val="single" w:sz="4" w:space="0" w:color="auto"/>
              <w:bottom w:val="single" w:sz="5" w:space="0" w:color="000000"/>
              <w:right w:val="single" w:sz="5" w:space="0" w:color="000000"/>
            </w:tcBorders>
          </w:tcPr>
          <w:p w14:paraId="1974EB84" w14:textId="77777777" w:rsidR="00394B52" w:rsidRPr="00394B52" w:rsidRDefault="00394B52" w:rsidP="00394B52">
            <w:pPr>
              <w:wordWrap/>
              <w:adjustRightInd w:val="0"/>
              <w:spacing w:before="40" w:after="40" w:line="240" w:lineRule="auto"/>
              <w:jc w:val="righ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10</w:t>
            </w:r>
          </w:p>
        </w:tc>
        <w:tc>
          <w:tcPr>
            <w:tcW w:w="6884" w:type="dxa"/>
            <w:tcBorders>
              <w:top w:val="single" w:sz="5" w:space="0" w:color="000000"/>
              <w:left w:val="single" w:sz="5" w:space="0" w:color="000000"/>
              <w:bottom w:val="single" w:sz="5" w:space="0" w:color="000000"/>
              <w:right w:val="single" w:sz="5" w:space="0" w:color="000000"/>
            </w:tcBorders>
          </w:tcPr>
          <w:p w14:paraId="357BF5B4"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Provide a general interpretation of the results and important implications.</w:t>
            </w:r>
          </w:p>
        </w:tc>
        <w:tc>
          <w:tcPr>
            <w:tcW w:w="1182" w:type="dxa"/>
            <w:tcBorders>
              <w:top w:val="single" w:sz="5" w:space="0" w:color="000000"/>
              <w:left w:val="single" w:sz="5" w:space="0" w:color="000000"/>
              <w:bottom w:val="single" w:sz="5" w:space="0" w:color="000000"/>
              <w:right w:val="single" w:sz="5" w:space="0" w:color="000000"/>
            </w:tcBorders>
          </w:tcPr>
          <w:p w14:paraId="6F8DD08E" w14:textId="77777777" w:rsidR="00394B52" w:rsidRPr="00394B52" w:rsidRDefault="00394B52" w:rsidP="00394B52">
            <w:pPr>
              <w:wordWrap/>
              <w:adjustRightInd w:val="0"/>
              <w:spacing w:before="40" w:after="40" w:line="240" w:lineRule="auto"/>
              <w:jc w:val="left"/>
              <w:rPr>
                <w:rFonts w:ascii="Times" w:hAnsi="Times" w:cs="Arial"/>
                <w:kern w:val="0"/>
                <w:sz w:val="18"/>
                <w:szCs w:val="18"/>
                <w:lang w:val="en-CA"/>
              </w:rPr>
            </w:pPr>
            <w:r w:rsidRPr="00394B52">
              <w:rPr>
                <w:rFonts w:ascii="Times" w:hAnsi="Times" w:cs="Arial" w:hint="eastAsia"/>
                <w:kern w:val="0"/>
                <w:sz w:val="18"/>
                <w:szCs w:val="18"/>
                <w:lang w:val="en-CA"/>
              </w:rPr>
              <w:t>N</w:t>
            </w:r>
            <w:r w:rsidRPr="00394B52">
              <w:rPr>
                <w:rFonts w:ascii="Times" w:hAnsi="Times" w:cs="Arial"/>
                <w:kern w:val="0"/>
                <w:sz w:val="18"/>
                <w:szCs w:val="18"/>
                <w:lang w:val="en-CA"/>
              </w:rPr>
              <w:t>o</w:t>
            </w:r>
          </w:p>
        </w:tc>
      </w:tr>
      <w:tr w:rsidR="00394B52" w:rsidRPr="00394B52" w14:paraId="19DF80AE" w14:textId="77777777" w:rsidTr="00E01118">
        <w:trPr>
          <w:trHeight w:val="28"/>
        </w:trPr>
        <w:tc>
          <w:tcPr>
            <w:tcW w:w="9262"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056A79A2" w14:textId="77777777" w:rsidR="00394B52" w:rsidRPr="00394B52" w:rsidRDefault="00394B52" w:rsidP="00394B52">
            <w:pPr>
              <w:wordWrap/>
              <w:adjustRightInd w:val="0"/>
              <w:spacing w:after="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 xml:space="preserve">OTHER </w:t>
            </w:r>
          </w:p>
        </w:tc>
        <w:tc>
          <w:tcPr>
            <w:tcW w:w="1182" w:type="dxa"/>
            <w:tcBorders>
              <w:top w:val="double" w:sz="5" w:space="0" w:color="000000"/>
              <w:left w:val="single" w:sz="5" w:space="0" w:color="000000"/>
              <w:bottom w:val="single" w:sz="5" w:space="0" w:color="000000"/>
              <w:right w:val="single" w:sz="5" w:space="0" w:color="000000"/>
            </w:tcBorders>
            <w:shd w:val="clear" w:color="auto" w:fill="FFFFCC"/>
          </w:tcPr>
          <w:p w14:paraId="60C8FEB0" w14:textId="77777777" w:rsidR="00394B52" w:rsidRPr="00394B52" w:rsidRDefault="00394B52" w:rsidP="00394B52">
            <w:pPr>
              <w:wordWrap/>
              <w:adjustRightInd w:val="0"/>
              <w:spacing w:after="0" w:line="240" w:lineRule="auto"/>
              <w:jc w:val="center"/>
              <w:rPr>
                <w:rFonts w:ascii="Times" w:hAnsi="Times" w:cs="Arial"/>
                <w:kern w:val="0"/>
                <w:sz w:val="18"/>
                <w:szCs w:val="18"/>
                <w:lang w:val="en-CA" w:eastAsia="en-CA"/>
              </w:rPr>
            </w:pPr>
          </w:p>
        </w:tc>
      </w:tr>
      <w:tr w:rsidR="00394B52" w:rsidRPr="00394B52" w14:paraId="3828871D" w14:textId="77777777" w:rsidTr="00E01118">
        <w:trPr>
          <w:trHeight w:val="56"/>
        </w:trPr>
        <w:tc>
          <w:tcPr>
            <w:tcW w:w="1709" w:type="dxa"/>
            <w:tcBorders>
              <w:top w:val="single" w:sz="5" w:space="0" w:color="000000"/>
              <w:left w:val="single" w:sz="5" w:space="0" w:color="000000"/>
              <w:bottom w:val="single" w:sz="5" w:space="0" w:color="000000"/>
              <w:right w:val="single" w:sz="5" w:space="0" w:color="000000"/>
            </w:tcBorders>
          </w:tcPr>
          <w:p w14:paraId="2E58456A"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Funding</w:t>
            </w:r>
          </w:p>
        </w:tc>
        <w:tc>
          <w:tcPr>
            <w:tcW w:w="669" w:type="dxa"/>
            <w:tcBorders>
              <w:top w:val="single" w:sz="5" w:space="0" w:color="000000"/>
              <w:left w:val="single" w:sz="5" w:space="0" w:color="000000"/>
              <w:bottom w:val="single" w:sz="5" w:space="0" w:color="000000"/>
              <w:right w:val="single" w:sz="5" w:space="0" w:color="000000"/>
            </w:tcBorders>
          </w:tcPr>
          <w:p w14:paraId="0B6BC1D0" w14:textId="77777777" w:rsidR="00394B52" w:rsidRPr="00394B52" w:rsidRDefault="00394B52" w:rsidP="00394B52">
            <w:pPr>
              <w:wordWrap/>
              <w:adjustRightInd w:val="0"/>
              <w:spacing w:before="40" w:after="40" w:line="240" w:lineRule="auto"/>
              <w:jc w:val="righ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11</w:t>
            </w:r>
          </w:p>
        </w:tc>
        <w:tc>
          <w:tcPr>
            <w:tcW w:w="6884" w:type="dxa"/>
            <w:tcBorders>
              <w:top w:val="single" w:sz="5" w:space="0" w:color="000000"/>
              <w:left w:val="single" w:sz="5" w:space="0" w:color="000000"/>
              <w:bottom w:val="single" w:sz="5" w:space="0" w:color="000000"/>
              <w:right w:val="single" w:sz="5" w:space="0" w:color="000000"/>
            </w:tcBorders>
          </w:tcPr>
          <w:p w14:paraId="3FF6F4EC"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Specify the primary source of funding for the review.</w:t>
            </w:r>
          </w:p>
        </w:tc>
        <w:tc>
          <w:tcPr>
            <w:tcW w:w="1182" w:type="dxa"/>
            <w:tcBorders>
              <w:top w:val="single" w:sz="5" w:space="0" w:color="000000"/>
              <w:left w:val="single" w:sz="5" w:space="0" w:color="000000"/>
              <w:bottom w:val="single" w:sz="5" w:space="0" w:color="000000"/>
              <w:right w:val="single" w:sz="5" w:space="0" w:color="000000"/>
            </w:tcBorders>
          </w:tcPr>
          <w:p w14:paraId="001EC998" w14:textId="77777777" w:rsidR="00394B52" w:rsidRPr="00394B52" w:rsidRDefault="00394B52" w:rsidP="00394B52">
            <w:pPr>
              <w:wordWrap/>
              <w:adjustRightInd w:val="0"/>
              <w:spacing w:before="40" w:after="40" w:line="240" w:lineRule="auto"/>
              <w:jc w:val="left"/>
              <w:rPr>
                <w:rFonts w:ascii="Times" w:hAnsi="Times" w:cs="Arial"/>
                <w:kern w:val="0"/>
                <w:sz w:val="18"/>
                <w:szCs w:val="18"/>
                <w:lang w:val="en-CA"/>
              </w:rPr>
            </w:pPr>
            <w:r w:rsidRPr="00394B52">
              <w:rPr>
                <w:rFonts w:ascii="Times" w:hAnsi="Times" w:cs="Arial" w:hint="eastAsia"/>
                <w:kern w:val="0"/>
                <w:sz w:val="18"/>
                <w:szCs w:val="18"/>
                <w:lang w:val="en-CA"/>
              </w:rPr>
              <w:t>N</w:t>
            </w:r>
            <w:r w:rsidRPr="00394B52">
              <w:rPr>
                <w:rFonts w:ascii="Times" w:hAnsi="Times" w:cs="Arial"/>
                <w:kern w:val="0"/>
                <w:sz w:val="18"/>
                <w:szCs w:val="18"/>
                <w:lang w:val="en-CA"/>
              </w:rPr>
              <w:t>o</w:t>
            </w:r>
          </w:p>
        </w:tc>
      </w:tr>
      <w:tr w:rsidR="00394B52" w:rsidRPr="00394B52" w14:paraId="0E64EB9E" w14:textId="77777777" w:rsidTr="00E01118">
        <w:trPr>
          <w:trHeight w:val="256"/>
        </w:trPr>
        <w:tc>
          <w:tcPr>
            <w:tcW w:w="1709" w:type="dxa"/>
            <w:tcBorders>
              <w:top w:val="single" w:sz="5" w:space="0" w:color="000000"/>
              <w:left w:val="single" w:sz="5" w:space="0" w:color="000000"/>
              <w:bottom w:val="double" w:sz="5" w:space="0" w:color="000000"/>
              <w:right w:val="single" w:sz="5" w:space="0" w:color="000000"/>
            </w:tcBorders>
          </w:tcPr>
          <w:p w14:paraId="05D4348A"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Registration</w:t>
            </w:r>
          </w:p>
        </w:tc>
        <w:tc>
          <w:tcPr>
            <w:tcW w:w="669" w:type="dxa"/>
            <w:tcBorders>
              <w:top w:val="single" w:sz="5" w:space="0" w:color="000000"/>
              <w:left w:val="single" w:sz="5" w:space="0" w:color="000000"/>
              <w:bottom w:val="double" w:sz="5" w:space="0" w:color="000000"/>
              <w:right w:val="single" w:sz="5" w:space="0" w:color="000000"/>
            </w:tcBorders>
          </w:tcPr>
          <w:p w14:paraId="38F03B32" w14:textId="77777777" w:rsidR="00394B52" w:rsidRPr="00394B52" w:rsidRDefault="00394B52" w:rsidP="00394B52">
            <w:pPr>
              <w:wordWrap/>
              <w:adjustRightInd w:val="0"/>
              <w:spacing w:before="40" w:after="40" w:line="240" w:lineRule="auto"/>
              <w:jc w:val="righ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12</w:t>
            </w:r>
          </w:p>
        </w:tc>
        <w:tc>
          <w:tcPr>
            <w:tcW w:w="6884" w:type="dxa"/>
            <w:tcBorders>
              <w:top w:val="single" w:sz="5" w:space="0" w:color="000000"/>
              <w:left w:val="single" w:sz="5" w:space="0" w:color="000000"/>
              <w:bottom w:val="double" w:sz="5" w:space="0" w:color="000000"/>
              <w:right w:val="single" w:sz="5" w:space="0" w:color="000000"/>
            </w:tcBorders>
          </w:tcPr>
          <w:p w14:paraId="731BB551" w14:textId="77777777" w:rsidR="00394B52" w:rsidRPr="00394B52" w:rsidRDefault="00394B52" w:rsidP="00394B52">
            <w:pPr>
              <w:wordWrap/>
              <w:adjustRightInd w:val="0"/>
              <w:spacing w:before="40" w:after="40" w:line="240" w:lineRule="auto"/>
              <w:jc w:val="left"/>
              <w:rPr>
                <w:rFonts w:ascii="Times" w:hAnsi="Times" w:cs="Arial"/>
                <w:color w:val="000000"/>
                <w:kern w:val="0"/>
                <w:sz w:val="18"/>
                <w:szCs w:val="18"/>
                <w:lang w:val="en-CA" w:eastAsia="en-CA"/>
              </w:rPr>
            </w:pPr>
            <w:r w:rsidRPr="00394B52">
              <w:rPr>
                <w:rFonts w:ascii="Times" w:hAnsi="Times" w:cs="Arial"/>
                <w:color w:val="000000"/>
                <w:kern w:val="0"/>
                <w:sz w:val="18"/>
                <w:szCs w:val="18"/>
                <w:lang w:val="en-CA" w:eastAsia="en-CA"/>
              </w:rPr>
              <w:t>Provide the register name and registration number.</w:t>
            </w:r>
          </w:p>
        </w:tc>
        <w:tc>
          <w:tcPr>
            <w:tcW w:w="1182" w:type="dxa"/>
            <w:tcBorders>
              <w:top w:val="single" w:sz="5" w:space="0" w:color="000000"/>
              <w:left w:val="single" w:sz="5" w:space="0" w:color="000000"/>
              <w:bottom w:val="double" w:sz="5" w:space="0" w:color="000000"/>
              <w:right w:val="single" w:sz="5" w:space="0" w:color="000000"/>
            </w:tcBorders>
          </w:tcPr>
          <w:p w14:paraId="0907E18F" w14:textId="77777777" w:rsidR="00394B52" w:rsidRPr="00394B52" w:rsidRDefault="00394B52" w:rsidP="00394B52">
            <w:pPr>
              <w:wordWrap/>
              <w:adjustRightInd w:val="0"/>
              <w:spacing w:before="40" w:after="40" w:line="240" w:lineRule="auto"/>
              <w:jc w:val="left"/>
              <w:rPr>
                <w:rFonts w:ascii="Times" w:hAnsi="Times" w:cs="Arial"/>
                <w:kern w:val="0"/>
                <w:sz w:val="18"/>
                <w:szCs w:val="18"/>
                <w:lang w:val="en-CA" w:eastAsia="en-CA"/>
              </w:rPr>
            </w:pPr>
            <w:r w:rsidRPr="00394B52">
              <w:rPr>
                <w:rFonts w:ascii="Times" w:hAnsi="Times" w:cs="Arial"/>
                <w:kern w:val="0"/>
                <w:sz w:val="18"/>
                <w:szCs w:val="18"/>
                <w:lang w:val="en-CA" w:eastAsia="en-CA"/>
              </w:rPr>
              <w:t>Yes</w:t>
            </w:r>
          </w:p>
        </w:tc>
      </w:tr>
    </w:tbl>
    <w:p w14:paraId="50AFB682" w14:textId="77777777" w:rsidR="00394B52" w:rsidRPr="00394B52" w:rsidRDefault="00394B52" w:rsidP="00394B52">
      <w:pPr>
        <w:wordWrap/>
        <w:adjustRightInd w:val="0"/>
        <w:spacing w:after="0" w:line="183" w:lineRule="atLeast"/>
        <w:rPr>
          <w:rFonts w:ascii="Times" w:hAnsi="Times" w:cs="Arial"/>
          <w:kern w:val="0"/>
          <w:szCs w:val="20"/>
          <w:lang w:val="en-CA" w:eastAsia="en-CA"/>
        </w:rPr>
      </w:pPr>
      <w:r w:rsidRPr="00394B52">
        <w:rPr>
          <w:rFonts w:ascii="Times" w:hAnsi="Times" w:cs="Arial"/>
          <w:i/>
          <w:iCs/>
          <w:kern w:val="0"/>
          <w:szCs w:val="20"/>
          <w:lang w:val="en-CA" w:eastAsia="en-CA"/>
        </w:rPr>
        <w:t xml:space="preserve">From: </w:t>
      </w:r>
      <w:r w:rsidRPr="00394B52">
        <w:rPr>
          <w:rFonts w:ascii="Times" w:hAnsi="Times" w:cs="Arial"/>
          <w:kern w:val="0"/>
          <w:szCs w:val="20"/>
          <w:lang w:val="en-CA" w:eastAsia="en-CA"/>
        </w:rPr>
        <w:t xml:space="preserve"> Page MJ, McKenzie JE, </w:t>
      </w:r>
      <w:proofErr w:type="spellStart"/>
      <w:r w:rsidRPr="00394B52">
        <w:rPr>
          <w:rFonts w:ascii="Times" w:hAnsi="Times" w:cs="Arial"/>
          <w:kern w:val="0"/>
          <w:szCs w:val="20"/>
          <w:lang w:val="en-CA" w:eastAsia="en-CA"/>
        </w:rPr>
        <w:t>Bossuyt</w:t>
      </w:r>
      <w:proofErr w:type="spellEnd"/>
      <w:r w:rsidRPr="00394B52">
        <w:rPr>
          <w:rFonts w:ascii="Times" w:hAnsi="Times" w:cs="Arial"/>
          <w:kern w:val="0"/>
          <w:szCs w:val="20"/>
          <w:lang w:val="en-CA" w:eastAsia="en-CA"/>
        </w:rPr>
        <w:t xml:space="preserve"> PM, </w:t>
      </w:r>
      <w:proofErr w:type="spellStart"/>
      <w:r w:rsidRPr="00394B52">
        <w:rPr>
          <w:rFonts w:ascii="Times" w:hAnsi="Times" w:cs="Arial"/>
          <w:kern w:val="0"/>
          <w:szCs w:val="20"/>
          <w:lang w:val="en-CA" w:eastAsia="en-CA"/>
        </w:rPr>
        <w:t>Boutron</w:t>
      </w:r>
      <w:proofErr w:type="spellEnd"/>
      <w:r w:rsidRPr="00394B52">
        <w:rPr>
          <w:rFonts w:ascii="Times" w:hAnsi="Times" w:cs="Arial"/>
          <w:kern w:val="0"/>
          <w:szCs w:val="20"/>
          <w:lang w:val="en-CA" w:eastAsia="en-CA"/>
        </w:rPr>
        <w:t xml:space="preserve"> I, Hoffmann TC, Mulrow CD, et al. The PRISMA 2020 statement: an updated guideline for reporting systematic reviews. BMJ 2021;</w:t>
      </w:r>
      <w:proofErr w:type="gramStart"/>
      <w:r w:rsidRPr="00394B52">
        <w:rPr>
          <w:rFonts w:ascii="Times" w:hAnsi="Times" w:cs="Arial"/>
          <w:kern w:val="0"/>
          <w:szCs w:val="20"/>
          <w:lang w:val="en-CA" w:eastAsia="en-CA"/>
        </w:rPr>
        <w:t>372:n</w:t>
      </w:r>
      <w:proofErr w:type="gramEnd"/>
      <w:r w:rsidRPr="00394B52">
        <w:rPr>
          <w:rFonts w:ascii="Times" w:hAnsi="Times" w:cs="Arial"/>
          <w:kern w:val="0"/>
          <w:szCs w:val="20"/>
          <w:lang w:val="en-CA" w:eastAsia="en-CA"/>
        </w:rPr>
        <w:t xml:space="preserve">71. </w:t>
      </w:r>
      <w:proofErr w:type="spellStart"/>
      <w:r w:rsidRPr="00394B52">
        <w:rPr>
          <w:rFonts w:ascii="Times" w:hAnsi="Times" w:cs="Arial"/>
          <w:kern w:val="0"/>
          <w:szCs w:val="20"/>
          <w:lang w:val="en-CA" w:eastAsia="en-CA"/>
        </w:rPr>
        <w:t>doi</w:t>
      </w:r>
      <w:proofErr w:type="spellEnd"/>
      <w:r w:rsidRPr="00394B52">
        <w:rPr>
          <w:rFonts w:ascii="Times" w:hAnsi="Times" w:cs="Arial"/>
          <w:kern w:val="0"/>
          <w:szCs w:val="20"/>
          <w:lang w:val="en-CA" w:eastAsia="en-CA"/>
        </w:rPr>
        <w:t>: 10.1136/</w:t>
      </w:r>
      <w:proofErr w:type="gramStart"/>
      <w:r w:rsidRPr="00394B52">
        <w:rPr>
          <w:rFonts w:ascii="Times" w:hAnsi="Times" w:cs="Arial"/>
          <w:kern w:val="0"/>
          <w:szCs w:val="20"/>
          <w:lang w:val="en-CA" w:eastAsia="en-CA"/>
        </w:rPr>
        <w:t>bmj.n</w:t>
      </w:r>
      <w:proofErr w:type="gramEnd"/>
      <w:r w:rsidRPr="00394B52">
        <w:rPr>
          <w:rFonts w:ascii="Times" w:hAnsi="Times" w:cs="Arial"/>
          <w:kern w:val="0"/>
          <w:szCs w:val="20"/>
          <w:lang w:val="en-CA" w:eastAsia="en-CA"/>
        </w:rPr>
        <w:t>71</w:t>
      </w:r>
    </w:p>
    <w:p w14:paraId="7FF97636" w14:textId="77777777" w:rsidR="00394B52" w:rsidRPr="00394B52" w:rsidRDefault="00394B52" w:rsidP="00394B52">
      <w:pPr>
        <w:wordWrap/>
        <w:adjustRightInd w:val="0"/>
        <w:spacing w:after="0" w:line="183" w:lineRule="atLeast"/>
        <w:rPr>
          <w:rFonts w:ascii="Times" w:hAnsi="Times" w:cs="Arial"/>
          <w:kern w:val="0"/>
          <w:szCs w:val="20"/>
          <w:lang w:val="en-CA" w:eastAsia="en-CA"/>
        </w:rPr>
      </w:pPr>
    </w:p>
    <w:p w14:paraId="2038DF6B" w14:textId="77777777" w:rsidR="00394B52" w:rsidRPr="00394B52" w:rsidRDefault="00394B52" w:rsidP="00394B52">
      <w:pPr>
        <w:wordWrap/>
        <w:adjustRightInd w:val="0"/>
        <w:spacing w:after="0" w:line="183" w:lineRule="atLeast"/>
        <w:rPr>
          <w:rFonts w:ascii="Times" w:hAnsi="Times" w:cs="Arial"/>
          <w:kern w:val="0"/>
          <w:szCs w:val="20"/>
          <w:lang w:val="en-CA" w:eastAsia="en-CA"/>
        </w:rPr>
      </w:pPr>
    </w:p>
    <w:p w14:paraId="40DFD1A1" w14:textId="77777777" w:rsidR="00394B52" w:rsidRPr="00394B52" w:rsidRDefault="00394B52" w:rsidP="00394B52">
      <w:pPr>
        <w:widowControl/>
        <w:wordWrap/>
        <w:autoSpaceDE/>
        <w:autoSpaceDN/>
        <w:rPr>
          <w:rFonts w:ascii="Times" w:hAnsi="Times" w:cs="Times"/>
        </w:rPr>
      </w:pPr>
      <w:r w:rsidRPr="00394B52">
        <w:rPr>
          <w:rFonts w:ascii="Times" w:hAnsi="Times" w:cs="Times"/>
        </w:rPr>
        <w:br w:type="page"/>
      </w:r>
    </w:p>
    <w:p w14:paraId="6579EB72" w14:textId="77777777" w:rsidR="00394B52" w:rsidRPr="00394B52" w:rsidRDefault="00394B52" w:rsidP="00394B52">
      <w:pPr>
        <w:jc w:val="left"/>
        <w:rPr>
          <w:rFonts w:ascii="Times" w:hAnsi="Times" w:cs="Times"/>
          <w:b/>
          <w:bCs/>
        </w:rPr>
      </w:pPr>
      <w:r w:rsidRPr="00394B52">
        <w:rPr>
          <w:rFonts w:ascii="Times" w:hAnsi="Times" w:cs="Times"/>
          <w:b/>
          <w:bCs/>
        </w:rPr>
        <w:lastRenderedPageBreak/>
        <w:t xml:space="preserve">Full search strategy (The last search done in Jan 12, 2021) </w:t>
      </w:r>
    </w:p>
    <w:tbl>
      <w:tblPr>
        <w:tblStyle w:val="TableGrid1"/>
        <w:tblW w:w="0" w:type="auto"/>
        <w:tblLook w:val="04A0" w:firstRow="1" w:lastRow="0" w:firstColumn="1" w:lastColumn="0" w:noHBand="0" w:noVBand="1"/>
      </w:tblPr>
      <w:tblGrid>
        <w:gridCol w:w="10456"/>
      </w:tblGrid>
      <w:tr w:rsidR="00394B52" w:rsidRPr="00394B52" w14:paraId="6F20F1D0" w14:textId="77777777" w:rsidTr="00E01118">
        <w:trPr>
          <w:trHeight w:val="259"/>
        </w:trPr>
        <w:tc>
          <w:tcPr>
            <w:tcW w:w="10456" w:type="dxa"/>
          </w:tcPr>
          <w:p w14:paraId="114A6C14" w14:textId="77777777" w:rsidR="00394B52" w:rsidRPr="00394B52" w:rsidRDefault="00394B52" w:rsidP="00394B52">
            <w:pPr>
              <w:spacing w:after="0" w:line="240" w:lineRule="auto"/>
              <w:jc w:val="left"/>
              <w:rPr>
                <w:rFonts w:ascii="Times" w:hAnsi="Times" w:cs="Times"/>
              </w:rPr>
            </w:pPr>
            <w:r w:rsidRPr="00394B52">
              <w:rPr>
                <w:rFonts w:ascii="Times" w:hAnsi="Times" w:cs="Times"/>
              </w:rPr>
              <w:t>PubMed</w:t>
            </w:r>
          </w:p>
        </w:tc>
      </w:tr>
      <w:tr w:rsidR="00394B52" w:rsidRPr="00394B52" w14:paraId="0CFD8A59" w14:textId="77777777" w:rsidTr="00E01118">
        <w:trPr>
          <w:trHeight w:val="796"/>
        </w:trPr>
        <w:tc>
          <w:tcPr>
            <w:tcW w:w="10456" w:type="dxa"/>
          </w:tcPr>
          <w:p w14:paraId="5DE99B64" w14:textId="77777777" w:rsidR="00394B52" w:rsidRPr="00394B52" w:rsidRDefault="00394B52" w:rsidP="00394B52">
            <w:pPr>
              <w:spacing w:after="0" w:line="240" w:lineRule="auto"/>
              <w:rPr>
                <w:rFonts w:ascii="Times" w:hAnsi="Times" w:cs="Times"/>
              </w:rPr>
            </w:pPr>
            <w:r w:rsidRPr="00394B52">
              <w:rPr>
                <w:rFonts w:ascii="Times" w:hAnsi="Times" w:cs="Times"/>
              </w:rPr>
              <w:t>(</w:t>
            </w:r>
            <w:proofErr w:type="gramStart"/>
            <w:r w:rsidRPr="00394B52">
              <w:rPr>
                <w:rFonts w:ascii="Times" w:hAnsi="Times" w:cs="Times"/>
              </w:rPr>
              <w:t>Postpartum[</w:t>
            </w:r>
            <w:proofErr w:type="spellStart"/>
            <w:proofErr w:type="gramEnd"/>
            <w:r w:rsidRPr="00394B52">
              <w:rPr>
                <w:rFonts w:ascii="Times" w:hAnsi="Times" w:cs="Times"/>
              </w:rPr>
              <w:t>Tiab</w:t>
            </w:r>
            <w:proofErr w:type="spellEnd"/>
            <w:r w:rsidRPr="00394B52">
              <w:rPr>
                <w:rFonts w:ascii="Times" w:hAnsi="Times" w:cs="Times"/>
              </w:rPr>
              <w:t>] OR postnatal[</w:t>
            </w:r>
            <w:proofErr w:type="spellStart"/>
            <w:r w:rsidRPr="00394B52">
              <w:rPr>
                <w:rFonts w:ascii="Times" w:hAnsi="Times" w:cs="Times"/>
              </w:rPr>
              <w:t>Tiab</w:t>
            </w:r>
            <w:proofErr w:type="spellEnd"/>
            <w:r w:rsidRPr="00394B52">
              <w:rPr>
                <w:rFonts w:ascii="Times" w:hAnsi="Times" w:cs="Times"/>
              </w:rPr>
              <w:t>] OR puerperal[</w:t>
            </w:r>
            <w:proofErr w:type="spellStart"/>
            <w:r w:rsidRPr="00394B52">
              <w:rPr>
                <w:rFonts w:ascii="Times" w:hAnsi="Times" w:cs="Times"/>
              </w:rPr>
              <w:t>Tiab</w:t>
            </w:r>
            <w:proofErr w:type="spellEnd"/>
            <w:r w:rsidRPr="00394B52">
              <w:rPr>
                <w:rFonts w:ascii="Times" w:hAnsi="Times" w:cs="Times"/>
              </w:rPr>
              <w:t>] OR perinatal[</w:t>
            </w:r>
            <w:proofErr w:type="spellStart"/>
            <w:r w:rsidRPr="00394B52">
              <w:rPr>
                <w:rFonts w:ascii="Times" w:hAnsi="Times" w:cs="Times"/>
              </w:rPr>
              <w:t>Tiab</w:t>
            </w:r>
            <w:proofErr w:type="spellEnd"/>
            <w:r w:rsidRPr="00394B52">
              <w:rPr>
                <w:rFonts w:ascii="Times" w:hAnsi="Times" w:cs="Times"/>
              </w:rPr>
              <w:t>]) AND (depression[</w:t>
            </w:r>
            <w:proofErr w:type="spellStart"/>
            <w:r w:rsidRPr="00394B52">
              <w:rPr>
                <w:rFonts w:ascii="Times" w:hAnsi="Times" w:cs="Times"/>
              </w:rPr>
              <w:t>Tiab</w:t>
            </w:r>
            <w:proofErr w:type="spellEnd"/>
            <w:r w:rsidRPr="00394B52">
              <w:rPr>
                <w:rFonts w:ascii="Times" w:hAnsi="Times" w:cs="Times"/>
              </w:rPr>
              <w:t>] OR depress*[</w:t>
            </w:r>
            <w:proofErr w:type="spellStart"/>
            <w:r w:rsidRPr="00394B52">
              <w:rPr>
                <w:rFonts w:ascii="Times" w:hAnsi="Times" w:cs="Times"/>
              </w:rPr>
              <w:t>Tiab</w:t>
            </w:r>
            <w:proofErr w:type="spellEnd"/>
            <w:r w:rsidRPr="00394B52">
              <w:rPr>
                <w:rFonts w:ascii="Times" w:hAnsi="Times" w:cs="Times"/>
              </w:rPr>
              <w:t>] OR "depression, postpartum"[</w:t>
            </w:r>
            <w:proofErr w:type="spellStart"/>
            <w:r w:rsidRPr="00394B52">
              <w:rPr>
                <w:rFonts w:ascii="Times" w:hAnsi="Times" w:cs="Times"/>
              </w:rPr>
              <w:t>MeSH</w:t>
            </w:r>
            <w:proofErr w:type="spellEnd"/>
            <w:r w:rsidRPr="00394B52">
              <w:rPr>
                <w:rFonts w:ascii="Times" w:hAnsi="Times" w:cs="Times"/>
              </w:rPr>
              <w:t xml:space="preserve"> Terms]) AND (meta-</w:t>
            </w:r>
            <w:proofErr w:type="spellStart"/>
            <w:r w:rsidRPr="00394B52">
              <w:rPr>
                <w:rFonts w:ascii="Times" w:hAnsi="Times" w:cs="Times"/>
              </w:rPr>
              <w:t>analy</w:t>
            </w:r>
            <w:proofErr w:type="spellEnd"/>
            <w:r w:rsidRPr="00394B52">
              <w:rPr>
                <w:rFonts w:ascii="Times" w:hAnsi="Times" w:cs="Times"/>
              </w:rPr>
              <w:t>*[all fields] OR meta-analysis[publication type] OR "Meta-Analysis as Topic"[Mesh])</w:t>
            </w:r>
          </w:p>
          <w:p w14:paraId="65FB3BA5" w14:textId="77777777" w:rsidR="00394B52" w:rsidRPr="00394B52" w:rsidRDefault="00394B52" w:rsidP="00394B52">
            <w:pPr>
              <w:spacing w:after="0" w:line="240" w:lineRule="auto"/>
              <w:rPr>
                <w:rFonts w:ascii="Times" w:hAnsi="Times" w:cs="Times"/>
              </w:rPr>
            </w:pPr>
          </w:p>
          <w:p w14:paraId="722C0D7E" w14:textId="77777777" w:rsidR="00394B52" w:rsidRPr="00394B52" w:rsidRDefault="00394B52" w:rsidP="00394B52">
            <w:pPr>
              <w:spacing w:after="0" w:line="240" w:lineRule="auto"/>
              <w:rPr>
                <w:rFonts w:ascii="Times" w:hAnsi="Times"/>
              </w:rPr>
            </w:pPr>
            <w:r w:rsidRPr="00394B52">
              <w:rPr>
                <w:rFonts w:ascii="Times" w:hAnsi="Times"/>
              </w:rPr>
              <w:t>407 articles were found.</w:t>
            </w:r>
          </w:p>
          <w:p w14:paraId="1F0E91D6" w14:textId="77777777" w:rsidR="00394B52" w:rsidRPr="00394B52" w:rsidRDefault="00394B52" w:rsidP="00394B52">
            <w:pPr>
              <w:spacing w:after="0" w:line="240" w:lineRule="auto"/>
              <w:rPr>
                <w:rFonts w:ascii="Times" w:hAnsi="Times" w:cs="Times"/>
              </w:rPr>
            </w:pPr>
          </w:p>
        </w:tc>
      </w:tr>
      <w:tr w:rsidR="00394B52" w:rsidRPr="00394B52" w14:paraId="2A7FC3A3" w14:textId="77777777" w:rsidTr="00E01118">
        <w:trPr>
          <w:trHeight w:val="259"/>
        </w:trPr>
        <w:tc>
          <w:tcPr>
            <w:tcW w:w="10456" w:type="dxa"/>
          </w:tcPr>
          <w:p w14:paraId="75B1365F" w14:textId="77777777" w:rsidR="00394B52" w:rsidRPr="00394B52" w:rsidRDefault="00394B52" w:rsidP="00394B52">
            <w:pPr>
              <w:spacing w:after="0" w:line="240" w:lineRule="auto"/>
              <w:jc w:val="left"/>
              <w:rPr>
                <w:rFonts w:ascii="Times" w:hAnsi="Times" w:cs="Times"/>
              </w:rPr>
            </w:pPr>
            <w:r w:rsidRPr="00394B52">
              <w:rPr>
                <w:rFonts w:ascii="Times" w:hAnsi="Times" w:cs="Times"/>
              </w:rPr>
              <w:t>Embase</w:t>
            </w:r>
          </w:p>
        </w:tc>
      </w:tr>
      <w:tr w:rsidR="00394B52" w:rsidRPr="00394B52" w14:paraId="28C4A4E8" w14:textId="77777777" w:rsidTr="00E01118">
        <w:trPr>
          <w:trHeight w:val="779"/>
        </w:trPr>
        <w:tc>
          <w:tcPr>
            <w:tcW w:w="10456" w:type="dxa"/>
          </w:tcPr>
          <w:p w14:paraId="02811810" w14:textId="77777777" w:rsidR="00394B52" w:rsidRPr="00394B52" w:rsidRDefault="00394B52" w:rsidP="00394B52">
            <w:pPr>
              <w:spacing w:after="0" w:line="240" w:lineRule="auto"/>
              <w:rPr>
                <w:rFonts w:ascii="Times" w:hAnsi="Times" w:cs="Times"/>
              </w:rPr>
            </w:pPr>
            <w:r w:rsidRPr="00394B52">
              <w:rPr>
                <w:rFonts w:ascii="Times" w:hAnsi="Times" w:cs="Times"/>
              </w:rPr>
              <w:t>(Postpartum OR postnatal OR puerperal OR perinatal) AND (depression OR depress* OR "depression, postpartum") AND meta-</w:t>
            </w:r>
            <w:proofErr w:type="spellStart"/>
            <w:r w:rsidRPr="00394B52">
              <w:rPr>
                <w:rFonts w:ascii="Times" w:hAnsi="Times" w:cs="Times"/>
              </w:rPr>
              <w:t>analy</w:t>
            </w:r>
            <w:proofErr w:type="spellEnd"/>
            <w:r w:rsidRPr="00394B52">
              <w:rPr>
                <w:rFonts w:ascii="Times" w:hAnsi="Times" w:cs="Times"/>
              </w:rPr>
              <w:t xml:space="preserve">* NOT ('conference </w:t>
            </w:r>
            <w:proofErr w:type="spellStart"/>
            <w:r w:rsidRPr="00394B52">
              <w:rPr>
                <w:rFonts w:ascii="Times" w:hAnsi="Times" w:cs="Times"/>
              </w:rPr>
              <w:t>abstract':it</w:t>
            </w:r>
            <w:proofErr w:type="spellEnd"/>
            <w:r w:rsidRPr="00394B52">
              <w:rPr>
                <w:rFonts w:ascii="Times" w:hAnsi="Times" w:cs="Times"/>
              </w:rPr>
              <w:t xml:space="preserve"> OR 'conference </w:t>
            </w:r>
            <w:proofErr w:type="spellStart"/>
            <w:r w:rsidRPr="00394B52">
              <w:rPr>
                <w:rFonts w:ascii="Times" w:hAnsi="Times" w:cs="Times"/>
              </w:rPr>
              <w:t>paper':it</w:t>
            </w:r>
            <w:proofErr w:type="spellEnd"/>
            <w:r w:rsidRPr="00394B52">
              <w:rPr>
                <w:rFonts w:ascii="Times" w:hAnsi="Times" w:cs="Times"/>
              </w:rPr>
              <w:t xml:space="preserve"> OR 'conference </w:t>
            </w:r>
            <w:proofErr w:type="spellStart"/>
            <w:r w:rsidRPr="00394B52">
              <w:rPr>
                <w:rFonts w:ascii="Times" w:hAnsi="Times" w:cs="Times"/>
              </w:rPr>
              <w:t>review':it</w:t>
            </w:r>
            <w:proofErr w:type="spellEnd"/>
            <w:r w:rsidRPr="00394B52">
              <w:rPr>
                <w:rFonts w:ascii="Times" w:hAnsi="Times" w:cs="Times"/>
              </w:rPr>
              <w:t xml:space="preserve"> OR </w:t>
            </w:r>
            <w:proofErr w:type="spellStart"/>
            <w:r w:rsidRPr="00394B52">
              <w:rPr>
                <w:rFonts w:ascii="Times" w:hAnsi="Times" w:cs="Times"/>
              </w:rPr>
              <w:t>editorial:it</w:t>
            </w:r>
            <w:proofErr w:type="spellEnd"/>
            <w:r w:rsidRPr="00394B52">
              <w:rPr>
                <w:rFonts w:ascii="Times" w:hAnsi="Times" w:cs="Times"/>
              </w:rPr>
              <w:t xml:space="preserve"> OR </w:t>
            </w:r>
            <w:proofErr w:type="spellStart"/>
            <w:r w:rsidRPr="00394B52">
              <w:rPr>
                <w:rFonts w:ascii="Times" w:hAnsi="Times" w:cs="Times"/>
              </w:rPr>
              <w:t>note:it</w:t>
            </w:r>
            <w:proofErr w:type="spellEnd"/>
            <w:r w:rsidRPr="00394B52">
              <w:rPr>
                <w:rFonts w:ascii="Times" w:hAnsi="Times" w:cs="Times"/>
              </w:rPr>
              <w:t xml:space="preserve"> OR </w:t>
            </w:r>
            <w:proofErr w:type="spellStart"/>
            <w:r w:rsidRPr="00394B52">
              <w:rPr>
                <w:rFonts w:ascii="Times" w:hAnsi="Times" w:cs="Times"/>
              </w:rPr>
              <w:t>letter:it</w:t>
            </w:r>
            <w:proofErr w:type="spellEnd"/>
            <w:r w:rsidRPr="00394B52">
              <w:rPr>
                <w:rFonts w:ascii="Times" w:hAnsi="Times" w:cs="Times"/>
              </w:rPr>
              <w:t xml:space="preserve"> OR 'short </w:t>
            </w:r>
            <w:proofErr w:type="spellStart"/>
            <w:r w:rsidRPr="00394B52">
              <w:rPr>
                <w:rFonts w:ascii="Times" w:hAnsi="Times" w:cs="Times"/>
              </w:rPr>
              <w:t>survey':it</w:t>
            </w:r>
            <w:proofErr w:type="spellEnd"/>
            <w:r w:rsidRPr="00394B52">
              <w:rPr>
                <w:rFonts w:ascii="Times" w:hAnsi="Times" w:cs="Times"/>
              </w:rPr>
              <w:t>)</w:t>
            </w:r>
          </w:p>
          <w:p w14:paraId="2D84DB1B" w14:textId="77777777" w:rsidR="00394B52" w:rsidRPr="00394B52" w:rsidRDefault="00394B52" w:rsidP="00394B52">
            <w:pPr>
              <w:spacing w:after="0" w:line="240" w:lineRule="auto"/>
              <w:rPr>
                <w:rFonts w:ascii="Times" w:hAnsi="Times" w:cs="Times"/>
              </w:rPr>
            </w:pPr>
          </w:p>
          <w:p w14:paraId="5CD6649D" w14:textId="77777777" w:rsidR="00394B52" w:rsidRPr="00394B52" w:rsidRDefault="00394B52" w:rsidP="00394B52">
            <w:pPr>
              <w:spacing w:after="0" w:line="240" w:lineRule="auto"/>
              <w:rPr>
                <w:rFonts w:ascii="Times" w:hAnsi="Times"/>
              </w:rPr>
            </w:pPr>
            <w:r w:rsidRPr="00394B52">
              <w:rPr>
                <w:rFonts w:ascii="Times" w:hAnsi="Times"/>
              </w:rPr>
              <w:t>333 articles were found.</w:t>
            </w:r>
          </w:p>
          <w:p w14:paraId="27DEC8A8" w14:textId="77777777" w:rsidR="00394B52" w:rsidRPr="00394B52" w:rsidRDefault="00394B52" w:rsidP="00394B52">
            <w:pPr>
              <w:spacing w:after="0" w:line="240" w:lineRule="auto"/>
              <w:rPr>
                <w:rFonts w:ascii="Times" w:hAnsi="Times" w:cs="Times"/>
              </w:rPr>
            </w:pPr>
          </w:p>
        </w:tc>
      </w:tr>
      <w:tr w:rsidR="00394B52" w:rsidRPr="00394B52" w14:paraId="16287982" w14:textId="77777777" w:rsidTr="00E01118">
        <w:trPr>
          <w:trHeight w:val="259"/>
        </w:trPr>
        <w:tc>
          <w:tcPr>
            <w:tcW w:w="10456" w:type="dxa"/>
          </w:tcPr>
          <w:p w14:paraId="1AF723E3" w14:textId="77777777" w:rsidR="00394B52" w:rsidRPr="00394B52" w:rsidRDefault="00394B52" w:rsidP="00394B52">
            <w:pPr>
              <w:spacing w:after="0" w:line="240" w:lineRule="auto"/>
              <w:jc w:val="left"/>
              <w:rPr>
                <w:rFonts w:ascii="Times" w:hAnsi="Times" w:cs="Times"/>
              </w:rPr>
            </w:pPr>
            <w:r w:rsidRPr="00394B52">
              <w:rPr>
                <w:rFonts w:ascii="Times" w:hAnsi="Times" w:cs="Times"/>
              </w:rPr>
              <w:t>Cochrane Database of Systematic Reviews</w:t>
            </w:r>
          </w:p>
        </w:tc>
      </w:tr>
      <w:tr w:rsidR="00394B52" w:rsidRPr="00394B52" w14:paraId="0B647FEE" w14:textId="77777777" w:rsidTr="00E01118">
        <w:trPr>
          <w:trHeight w:val="519"/>
        </w:trPr>
        <w:tc>
          <w:tcPr>
            <w:tcW w:w="10456" w:type="dxa"/>
          </w:tcPr>
          <w:p w14:paraId="29CA32FD" w14:textId="77777777" w:rsidR="00394B52" w:rsidRPr="00394B52" w:rsidRDefault="00394B52" w:rsidP="00394B52">
            <w:pPr>
              <w:spacing w:after="0" w:line="240" w:lineRule="auto"/>
              <w:rPr>
                <w:rFonts w:ascii="Times" w:hAnsi="Times" w:cs="Times"/>
              </w:rPr>
            </w:pPr>
            <w:r w:rsidRPr="00394B52">
              <w:rPr>
                <w:rFonts w:ascii="Times" w:hAnsi="Times" w:cs="Times"/>
              </w:rPr>
              <w:t>(Postpartum OR postnatal OR puerperal OR perinatal) AND (depression OR depress* OR "depression, postpartum")</w:t>
            </w:r>
          </w:p>
          <w:p w14:paraId="4D12E7AE" w14:textId="77777777" w:rsidR="00394B52" w:rsidRPr="00394B52" w:rsidRDefault="00394B52" w:rsidP="00394B52">
            <w:pPr>
              <w:spacing w:after="0" w:line="240" w:lineRule="auto"/>
              <w:rPr>
                <w:rFonts w:ascii="Times" w:hAnsi="Times" w:cs="Times"/>
              </w:rPr>
            </w:pPr>
          </w:p>
          <w:p w14:paraId="694EDAE5" w14:textId="77777777" w:rsidR="00394B52" w:rsidRPr="00394B52" w:rsidRDefault="00394B52" w:rsidP="00394B52">
            <w:pPr>
              <w:spacing w:after="0" w:line="240" w:lineRule="auto"/>
              <w:rPr>
                <w:rFonts w:ascii="Times" w:hAnsi="Times"/>
              </w:rPr>
            </w:pPr>
            <w:r w:rsidRPr="00394B52">
              <w:rPr>
                <w:rFonts w:ascii="Times" w:hAnsi="Times"/>
              </w:rPr>
              <w:t>66 articles were found.</w:t>
            </w:r>
          </w:p>
          <w:p w14:paraId="1130777C" w14:textId="77777777" w:rsidR="00394B52" w:rsidRPr="00394B52" w:rsidRDefault="00394B52" w:rsidP="00394B52">
            <w:pPr>
              <w:spacing w:after="0" w:line="240" w:lineRule="auto"/>
              <w:rPr>
                <w:rFonts w:ascii="Times" w:hAnsi="Times" w:cs="Times"/>
              </w:rPr>
            </w:pPr>
          </w:p>
        </w:tc>
      </w:tr>
    </w:tbl>
    <w:p w14:paraId="298C8390" w14:textId="77777777" w:rsidR="00394B52" w:rsidRPr="00394B52" w:rsidRDefault="00394B52" w:rsidP="00394B52">
      <w:pPr>
        <w:jc w:val="left"/>
        <w:rPr>
          <w:rFonts w:ascii="Times" w:hAnsi="Times" w:cs="Times"/>
        </w:rPr>
      </w:pPr>
    </w:p>
    <w:p w14:paraId="0E9FE456" w14:textId="77777777" w:rsidR="00394B52" w:rsidRPr="00394B52" w:rsidRDefault="00394B52" w:rsidP="00394B52">
      <w:pPr>
        <w:widowControl/>
        <w:wordWrap/>
        <w:autoSpaceDE/>
        <w:autoSpaceDN/>
        <w:rPr>
          <w:rFonts w:ascii="Times" w:hAnsi="Times" w:cs="Times"/>
        </w:rPr>
      </w:pPr>
      <w:r w:rsidRPr="00394B52">
        <w:rPr>
          <w:rFonts w:ascii="Times" w:hAnsi="Times" w:cs="Times"/>
        </w:rPr>
        <w:br w:type="page"/>
      </w:r>
    </w:p>
    <w:p w14:paraId="2707737D" w14:textId="77777777" w:rsidR="00394B52" w:rsidRPr="00394B52" w:rsidRDefault="00394B52" w:rsidP="00394B52">
      <w:pPr>
        <w:jc w:val="left"/>
        <w:rPr>
          <w:rFonts w:ascii="Times" w:hAnsi="Times" w:cs="Times"/>
          <w:b/>
          <w:bCs/>
        </w:rPr>
      </w:pPr>
      <w:r w:rsidRPr="00394B52">
        <w:rPr>
          <w:rFonts w:ascii="Times" w:hAnsi="Times" w:cs="Times"/>
          <w:b/>
          <w:bCs/>
        </w:rPr>
        <w:lastRenderedPageBreak/>
        <w:t xml:space="preserve">Definitions of environmental risk/protective factor and biomarker </w:t>
      </w:r>
    </w:p>
    <w:tbl>
      <w:tblPr>
        <w:tblStyle w:val="TableGrid1"/>
        <w:tblW w:w="0" w:type="auto"/>
        <w:tblLook w:val="04A0" w:firstRow="1" w:lastRow="0" w:firstColumn="1" w:lastColumn="0" w:noHBand="0" w:noVBand="1"/>
      </w:tblPr>
      <w:tblGrid>
        <w:gridCol w:w="10456"/>
      </w:tblGrid>
      <w:tr w:rsidR="00394B52" w:rsidRPr="00394B52" w14:paraId="11E7948E" w14:textId="77777777" w:rsidTr="00E01118">
        <w:trPr>
          <w:trHeight w:val="157"/>
        </w:trPr>
        <w:tc>
          <w:tcPr>
            <w:tcW w:w="10456" w:type="dxa"/>
          </w:tcPr>
          <w:p w14:paraId="63E63762" w14:textId="77777777" w:rsidR="00394B52" w:rsidRPr="00394B52" w:rsidRDefault="00394B52" w:rsidP="00394B52">
            <w:pPr>
              <w:spacing w:after="0" w:line="240" w:lineRule="auto"/>
              <w:jc w:val="left"/>
              <w:rPr>
                <w:rFonts w:ascii="Times" w:hAnsi="Times" w:cs="Times"/>
              </w:rPr>
            </w:pPr>
            <w:r w:rsidRPr="00394B52">
              <w:rPr>
                <w:rFonts w:ascii="Times" w:hAnsi="Times" w:cs="Times" w:hint="eastAsia"/>
              </w:rPr>
              <w:t>E</w:t>
            </w:r>
            <w:r w:rsidRPr="00394B52">
              <w:rPr>
                <w:rFonts w:ascii="Times" w:hAnsi="Times" w:cs="Times"/>
              </w:rPr>
              <w:t>nvironmental risk/protective factor</w:t>
            </w:r>
          </w:p>
        </w:tc>
      </w:tr>
      <w:tr w:rsidR="00394B52" w:rsidRPr="00394B52" w14:paraId="5455C65C" w14:textId="77777777" w:rsidTr="00E01118">
        <w:trPr>
          <w:trHeight w:val="484"/>
        </w:trPr>
        <w:tc>
          <w:tcPr>
            <w:tcW w:w="10456" w:type="dxa"/>
          </w:tcPr>
          <w:p w14:paraId="7C3AB8EA" w14:textId="77777777" w:rsidR="00394B52" w:rsidRPr="00394B52" w:rsidRDefault="00394B52" w:rsidP="00394B52">
            <w:pPr>
              <w:spacing w:after="0" w:line="240" w:lineRule="auto"/>
              <w:rPr>
                <w:rFonts w:ascii="Times" w:hAnsi="Times" w:cs="Times"/>
              </w:rPr>
            </w:pPr>
            <w:r w:rsidRPr="00394B52">
              <w:rPr>
                <w:rFonts w:ascii="Times" w:hAnsi="Times" w:cs="Times"/>
              </w:rPr>
              <w:t>A risk factor is any attribute, characteristic or exposure of an individual that increases the likelihood of developing a disease or injury.</w:t>
            </w:r>
          </w:p>
          <w:p w14:paraId="73D4E516" w14:textId="77777777" w:rsidR="00394B52" w:rsidRPr="00394B52" w:rsidRDefault="00394B52" w:rsidP="00394B52">
            <w:pPr>
              <w:spacing w:after="0" w:line="240" w:lineRule="auto"/>
              <w:rPr>
                <w:rFonts w:ascii="Times" w:hAnsi="Times" w:cs="Times"/>
              </w:rPr>
            </w:pPr>
          </w:p>
          <w:p w14:paraId="49657567" w14:textId="77777777" w:rsidR="00394B52" w:rsidRPr="00394B52" w:rsidRDefault="00394B52" w:rsidP="00394B52">
            <w:pPr>
              <w:spacing w:after="0" w:line="240" w:lineRule="auto"/>
              <w:rPr>
                <w:rFonts w:ascii="Times" w:hAnsi="Times" w:cs="Times"/>
              </w:rPr>
            </w:pPr>
            <w:r w:rsidRPr="00394B52">
              <w:rPr>
                <w:rFonts w:ascii="Times" w:hAnsi="Times" w:cs="Times"/>
              </w:rPr>
              <w:t>* Additionally, in our review, protective factors were defined as any attribute, characteristic, or exposure of an individual that</w:t>
            </w:r>
            <w:r w:rsidRPr="00394B52">
              <w:rPr>
                <w:rFonts w:ascii="Times" w:hAnsi="Times" w:cs="Times" w:hint="eastAsia"/>
              </w:rPr>
              <w:t xml:space="preserve"> </w:t>
            </w:r>
            <w:r w:rsidRPr="00394B52">
              <w:rPr>
                <w:rFonts w:ascii="Times" w:hAnsi="Times" w:cs="Times"/>
              </w:rPr>
              <w:t>decreases the likelihood of developing a disease or injury.</w:t>
            </w:r>
          </w:p>
        </w:tc>
      </w:tr>
      <w:tr w:rsidR="00394B52" w:rsidRPr="00394B52" w14:paraId="2E739262" w14:textId="77777777" w:rsidTr="00E01118">
        <w:trPr>
          <w:trHeight w:val="157"/>
        </w:trPr>
        <w:tc>
          <w:tcPr>
            <w:tcW w:w="10456" w:type="dxa"/>
          </w:tcPr>
          <w:p w14:paraId="79A79E5F" w14:textId="77777777" w:rsidR="00394B52" w:rsidRPr="00394B52" w:rsidRDefault="00394B52" w:rsidP="00394B52">
            <w:pPr>
              <w:spacing w:after="0" w:line="240" w:lineRule="auto"/>
              <w:jc w:val="left"/>
              <w:rPr>
                <w:rFonts w:ascii="Times" w:hAnsi="Times" w:cs="Times"/>
              </w:rPr>
            </w:pPr>
            <w:r w:rsidRPr="00394B52">
              <w:rPr>
                <w:rFonts w:ascii="Times" w:hAnsi="Times" w:cs="Times"/>
              </w:rPr>
              <w:t>Biomarker</w:t>
            </w:r>
          </w:p>
        </w:tc>
      </w:tr>
      <w:tr w:rsidR="00394B52" w:rsidRPr="00394B52" w14:paraId="3F561D44" w14:textId="77777777" w:rsidTr="00E01118">
        <w:trPr>
          <w:trHeight w:val="474"/>
        </w:trPr>
        <w:tc>
          <w:tcPr>
            <w:tcW w:w="10456" w:type="dxa"/>
          </w:tcPr>
          <w:p w14:paraId="22C3746C" w14:textId="77777777" w:rsidR="00394B52" w:rsidRPr="00394B52" w:rsidRDefault="00394B52" w:rsidP="00394B52">
            <w:pPr>
              <w:spacing w:after="0" w:line="240" w:lineRule="auto"/>
              <w:rPr>
                <w:rFonts w:ascii="Times" w:hAnsi="Times" w:cs="Times"/>
              </w:rPr>
            </w:pPr>
            <w:r w:rsidRPr="00394B52">
              <w:rPr>
                <w:rFonts w:ascii="Times" w:hAnsi="Times" w:cs="Times"/>
              </w:rPr>
              <w:t>A biomarker is any substance, structure, or</w:t>
            </w:r>
            <w:r w:rsidRPr="00394B52">
              <w:rPr>
                <w:rFonts w:ascii="Times" w:hAnsi="Times" w:cs="Times" w:hint="eastAsia"/>
              </w:rPr>
              <w:t xml:space="preserve"> </w:t>
            </w:r>
            <w:r w:rsidRPr="00394B52">
              <w:rPr>
                <w:rFonts w:ascii="Times" w:hAnsi="Times" w:cs="Times"/>
              </w:rPr>
              <w:t>process that can be measured in the body or its products and influence or predict the</w:t>
            </w:r>
            <w:r w:rsidRPr="00394B52">
              <w:rPr>
                <w:rFonts w:ascii="Times" w:hAnsi="Times" w:cs="Times" w:hint="eastAsia"/>
              </w:rPr>
              <w:t xml:space="preserve"> </w:t>
            </w:r>
            <w:r w:rsidRPr="00394B52">
              <w:rPr>
                <w:rFonts w:ascii="Times" w:hAnsi="Times" w:cs="Times"/>
              </w:rPr>
              <w:t>incidence of outcome or disease.</w:t>
            </w:r>
          </w:p>
        </w:tc>
      </w:tr>
    </w:tbl>
    <w:p w14:paraId="65AD7EDC" w14:textId="77777777" w:rsidR="00394B52" w:rsidRPr="00394B52" w:rsidRDefault="00394B52" w:rsidP="00394B52">
      <w:pPr>
        <w:widowControl/>
        <w:wordWrap/>
        <w:autoSpaceDE/>
        <w:autoSpaceDN/>
        <w:rPr>
          <w:rFonts w:ascii="Times" w:hAnsi="Times" w:cs="Times"/>
        </w:rPr>
      </w:pPr>
    </w:p>
    <w:p w14:paraId="4BE8B0DD" w14:textId="77777777" w:rsidR="00394B52" w:rsidRPr="00394B52" w:rsidRDefault="00394B52" w:rsidP="00394B52">
      <w:pPr>
        <w:widowControl/>
        <w:wordWrap/>
        <w:autoSpaceDE/>
        <w:autoSpaceDN/>
        <w:rPr>
          <w:rFonts w:ascii="Times" w:hAnsi="Times" w:cs="Times"/>
        </w:rPr>
      </w:pPr>
      <w:r w:rsidRPr="00394B52">
        <w:rPr>
          <w:rFonts w:ascii="Times" w:hAnsi="Times" w:cs="Times"/>
        </w:rPr>
        <w:br w:type="page"/>
      </w:r>
    </w:p>
    <w:p w14:paraId="38D5DA30" w14:textId="77777777" w:rsidR="00394B52" w:rsidRPr="00394B52" w:rsidRDefault="00394B52" w:rsidP="00394B52">
      <w:pPr>
        <w:widowControl/>
        <w:wordWrap/>
        <w:autoSpaceDE/>
        <w:autoSpaceDN/>
        <w:rPr>
          <w:rFonts w:ascii="Times" w:hAnsi="Times" w:cs="Times"/>
          <w:b/>
          <w:bCs/>
        </w:rPr>
      </w:pPr>
      <w:r w:rsidRPr="00394B52">
        <w:rPr>
          <w:rFonts w:ascii="Times" w:hAnsi="Times" w:cs="Times" w:hint="eastAsia"/>
          <w:b/>
          <w:bCs/>
        </w:rPr>
        <w:lastRenderedPageBreak/>
        <w:t>V</w:t>
      </w:r>
      <w:r w:rsidRPr="00394B52">
        <w:rPr>
          <w:rFonts w:ascii="Times" w:hAnsi="Times" w:cs="Times"/>
          <w:b/>
          <w:bCs/>
        </w:rPr>
        <w:t>alidated diagnostic criteria and cut-off values used to diagnose postpartum depressive symptoms</w:t>
      </w:r>
    </w:p>
    <w:tbl>
      <w:tblPr>
        <w:tblStyle w:val="TableGrid1"/>
        <w:tblW w:w="0" w:type="auto"/>
        <w:tblLook w:val="04A0" w:firstRow="1" w:lastRow="0" w:firstColumn="1" w:lastColumn="0" w:noHBand="0" w:noVBand="1"/>
      </w:tblPr>
      <w:tblGrid>
        <w:gridCol w:w="5228"/>
        <w:gridCol w:w="5228"/>
      </w:tblGrid>
      <w:tr w:rsidR="00394B52" w:rsidRPr="00394B52" w14:paraId="7CA17E95" w14:textId="77777777" w:rsidTr="00E01118">
        <w:tc>
          <w:tcPr>
            <w:tcW w:w="5228" w:type="dxa"/>
          </w:tcPr>
          <w:p w14:paraId="7F203D59"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V</w:t>
            </w:r>
            <w:r w:rsidRPr="00394B52">
              <w:rPr>
                <w:rFonts w:ascii="Times" w:hAnsi="Times" w:cs="Times"/>
              </w:rPr>
              <w:t>alidated diagnostic criteria</w:t>
            </w:r>
          </w:p>
        </w:tc>
        <w:tc>
          <w:tcPr>
            <w:tcW w:w="5228" w:type="dxa"/>
          </w:tcPr>
          <w:p w14:paraId="12DE7E57"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C</w:t>
            </w:r>
            <w:r w:rsidRPr="00394B52">
              <w:rPr>
                <w:rFonts w:ascii="Times" w:hAnsi="Times" w:cs="Times"/>
              </w:rPr>
              <w:t>ut-off values (</w:t>
            </w:r>
            <w:r w:rsidRPr="00394B52">
              <w:rPr>
                <w:rFonts w:ascii="Times" w:hAnsi="Times" w:cs="Times" w:hint="eastAsia"/>
              </w:rPr>
              <w:t>≥</w:t>
            </w:r>
            <w:r w:rsidRPr="00394B52">
              <w:rPr>
                <w:rFonts w:ascii="Times" w:hAnsi="Times" w:cs="Times" w:hint="eastAsia"/>
              </w:rPr>
              <w:t>n</w:t>
            </w:r>
            <w:r w:rsidRPr="00394B52">
              <w:rPr>
                <w:rFonts w:ascii="Times" w:hAnsi="Times" w:cs="Times"/>
              </w:rPr>
              <w:t>)</w:t>
            </w:r>
          </w:p>
        </w:tc>
      </w:tr>
      <w:tr w:rsidR="00394B52" w:rsidRPr="00394B52" w14:paraId="342F2696" w14:textId="77777777" w:rsidTr="00E01118">
        <w:tc>
          <w:tcPr>
            <w:tcW w:w="5228" w:type="dxa"/>
          </w:tcPr>
          <w:p w14:paraId="5A82160F"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B</w:t>
            </w:r>
            <w:r w:rsidRPr="00394B52">
              <w:rPr>
                <w:rFonts w:ascii="Times" w:hAnsi="Times" w:cs="Times"/>
              </w:rPr>
              <w:t>DI-IA</w:t>
            </w:r>
            <w:r w:rsidRPr="00394B52">
              <w:rPr>
                <w:rFonts w:ascii="Times" w:hAnsi="Times" w:cs="Times"/>
                <w:vertAlign w:val="superscript"/>
              </w:rPr>
              <w:t>1</w:t>
            </w:r>
          </w:p>
        </w:tc>
        <w:tc>
          <w:tcPr>
            <w:tcW w:w="5228" w:type="dxa"/>
          </w:tcPr>
          <w:p w14:paraId="4B952812"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1</w:t>
            </w:r>
            <w:r w:rsidRPr="00394B52">
              <w:rPr>
                <w:rFonts w:ascii="Times" w:hAnsi="Times" w:cs="Times"/>
              </w:rPr>
              <w:t>0</w:t>
            </w:r>
          </w:p>
        </w:tc>
      </w:tr>
      <w:tr w:rsidR="00394B52" w:rsidRPr="00394B52" w14:paraId="1C678AC5" w14:textId="77777777" w:rsidTr="00E01118">
        <w:tc>
          <w:tcPr>
            <w:tcW w:w="5228" w:type="dxa"/>
          </w:tcPr>
          <w:p w14:paraId="0FE81F7D"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B</w:t>
            </w:r>
            <w:r w:rsidRPr="00394B52">
              <w:rPr>
                <w:rFonts w:ascii="Times" w:hAnsi="Times" w:cs="Times"/>
              </w:rPr>
              <w:t>DI-II</w:t>
            </w:r>
            <w:r w:rsidRPr="00394B52">
              <w:rPr>
                <w:rFonts w:ascii="Times" w:hAnsi="Times" w:cs="Times"/>
                <w:vertAlign w:val="superscript"/>
              </w:rPr>
              <w:t>1</w:t>
            </w:r>
          </w:p>
        </w:tc>
        <w:tc>
          <w:tcPr>
            <w:tcW w:w="5228" w:type="dxa"/>
          </w:tcPr>
          <w:p w14:paraId="570CAD77"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1</w:t>
            </w:r>
            <w:r w:rsidRPr="00394B52">
              <w:rPr>
                <w:rFonts w:ascii="Times" w:hAnsi="Times" w:cs="Times"/>
              </w:rPr>
              <w:t>4</w:t>
            </w:r>
          </w:p>
        </w:tc>
      </w:tr>
      <w:tr w:rsidR="00394B52" w:rsidRPr="00394B52" w14:paraId="3C123B40" w14:textId="77777777" w:rsidTr="00E01118">
        <w:tc>
          <w:tcPr>
            <w:tcW w:w="5228" w:type="dxa"/>
          </w:tcPr>
          <w:p w14:paraId="4B43678E"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B</w:t>
            </w:r>
            <w:r w:rsidRPr="00394B52">
              <w:rPr>
                <w:rFonts w:ascii="Times" w:hAnsi="Times" w:cs="Times"/>
              </w:rPr>
              <w:t>DI-FS</w:t>
            </w:r>
            <w:r w:rsidRPr="00394B52">
              <w:rPr>
                <w:rFonts w:ascii="Times" w:hAnsi="Times" w:cs="Times"/>
                <w:vertAlign w:val="superscript"/>
              </w:rPr>
              <w:t>1</w:t>
            </w:r>
          </w:p>
        </w:tc>
        <w:tc>
          <w:tcPr>
            <w:tcW w:w="5228" w:type="dxa"/>
          </w:tcPr>
          <w:p w14:paraId="73E89111"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rPr>
              <w:t>4</w:t>
            </w:r>
          </w:p>
        </w:tc>
      </w:tr>
      <w:tr w:rsidR="00394B52" w:rsidRPr="00394B52" w14:paraId="68C2F790" w14:textId="77777777" w:rsidTr="00E01118">
        <w:tc>
          <w:tcPr>
            <w:tcW w:w="5228" w:type="dxa"/>
          </w:tcPr>
          <w:p w14:paraId="2277ECAE"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B</w:t>
            </w:r>
            <w:r w:rsidRPr="00394B52">
              <w:rPr>
                <w:rFonts w:ascii="Times" w:hAnsi="Times" w:cs="Times"/>
              </w:rPr>
              <w:t>DI-SF</w:t>
            </w:r>
            <w:r w:rsidRPr="00394B52">
              <w:rPr>
                <w:rFonts w:ascii="Times" w:hAnsi="Times" w:cs="Times"/>
                <w:vertAlign w:val="superscript"/>
              </w:rPr>
              <w:t>2</w:t>
            </w:r>
          </w:p>
        </w:tc>
        <w:tc>
          <w:tcPr>
            <w:tcW w:w="5228" w:type="dxa"/>
          </w:tcPr>
          <w:p w14:paraId="6DBF8E4C"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1</w:t>
            </w:r>
            <w:r w:rsidRPr="00394B52">
              <w:rPr>
                <w:rFonts w:ascii="Times" w:hAnsi="Times" w:cs="Times"/>
              </w:rPr>
              <w:t>0</w:t>
            </w:r>
          </w:p>
        </w:tc>
      </w:tr>
      <w:tr w:rsidR="00394B52" w:rsidRPr="00394B52" w14:paraId="66EBA078" w14:textId="77777777" w:rsidTr="00E01118">
        <w:tc>
          <w:tcPr>
            <w:tcW w:w="5228" w:type="dxa"/>
          </w:tcPr>
          <w:p w14:paraId="1AA03631"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B</w:t>
            </w:r>
            <w:r w:rsidRPr="00394B52">
              <w:rPr>
                <w:rFonts w:ascii="Times" w:hAnsi="Times" w:cs="Times"/>
              </w:rPr>
              <w:t>SI</w:t>
            </w:r>
            <w:r w:rsidRPr="00394B52">
              <w:rPr>
                <w:rFonts w:ascii="Times" w:hAnsi="Times" w:cs="Times"/>
                <w:vertAlign w:val="superscript"/>
              </w:rPr>
              <w:t>3</w:t>
            </w:r>
          </w:p>
        </w:tc>
        <w:tc>
          <w:tcPr>
            <w:tcW w:w="5228" w:type="dxa"/>
          </w:tcPr>
          <w:p w14:paraId="0F4BB857"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0</w:t>
            </w:r>
            <w:r w:rsidRPr="00394B52">
              <w:rPr>
                <w:rFonts w:ascii="Times" w:hAnsi="Times" w:cs="Times"/>
              </w:rPr>
              <w:t>.76</w:t>
            </w:r>
          </w:p>
        </w:tc>
      </w:tr>
      <w:tr w:rsidR="00394B52" w:rsidRPr="00394B52" w14:paraId="36DE2BE8" w14:textId="77777777" w:rsidTr="00E01118">
        <w:tc>
          <w:tcPr>
            <w:tcW w:w="5228" w:type="dxa"/>
          </w:tcPr>
          <w:p w14:paraId="787804A4"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C</w:t>
            </w:r>
            <w:r w:rsidRPr="00394B52">
              <w:rPr>
                <w:rFonts w:ascii="Times" w:hAnsi="Times" w:cs="Times"/>
              </w:rPr>
              <w:t>ES-D</w:t>
            </w:r>
            <w:r w:rsidRPr="00394B52">
              <w:rPr>
                <w:rFonts w:ascii="Times" w:hAnsi="Times" w:cs="Times"/>
                <w:vertAlign w:val="superscript"/>
              </w:rPr>
              <w:t>1</w:t>
            </w:r>
          </w:p>
        </w:tc>
        <w:tc>
          <w:tcPr>
            <w:tcW w:w="5228" w:type="dxa"/>
          </w:tcPr>
          <w:p w14:paraId="2F56FABF"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1</w:t>
            </w:r>
            <w:r w:rsidRPr="00394B52">
              <w:rPr>
                <w:rFonts w:ascii="Times" w:hAnsi="Times" w:cs="Times"/>
              </w:rPr>
              <w:t>6</w:t>
            </w:r>
          </w:p>
        </w:tc>
      </w:tr>
      <w:tr w:rsidR="00394B52" w:rsidRPr="00394B52" w14:paraId="697D0EF9" w14:textId="77777777" w:rsidTr="00E01118">
        <w:tc>
          <w:tcPr>
            <w:tcW w:w="5228" w:type="dxa"/>
          </w:tcPr>
          <w:p w14:paraId="044737CE"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C</w:t>
            </w:r>
            <w:r w:rsidRPr="00394B52">
              <w:rPr>
                <w:rFonts w:ascii="Times" w:hAnsi="Times" w:cs="Times"/>
              </w:rPr>
              <w:t>ES-D 8</w:t>
            </w:r>
            <w:r w:rsidRPr="00394B52">
              <w:rPr>
                <w:rFonts w:ascii="Times" w:hAnsi="Times" w:cs="Times"/>
                <w:vertAlign w:val="superscript"/>
              </w:rPr>
              <w:t>4</w:t>
            </w:r>
          </w:p>
        </w:tc>
        <w:tc>
          <w:tcPr>
            <w:tcW w:w="5228" w:type="dxa"/>
          </w:tcPr>
          <w:p w14:paraId="3B34891E"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9</w:t>
            </w:r>
          </w:p>
        </w:tc>
      </w:tr>
      <w:tr w:rsidR="00394B52" w:rsidRPr="00394B52" w14:paraId="79E7C058" w14:textId="77777777" w:rsidTr="00E01118">
        <w:tc>
          <w:tcPr>
            <w:tcW w:w="5228" w:type="dxa"/>
          </w:tcPr>
          <w:p w14:paraId="7DB466CE"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E</w:t>
            </w:r>
            <w:r w:rsidRPr="00394B52">
              <w:rPr>
                <w:rFonts w:ascii="Times" w:hAnsi="Times" w:cs="Times"/>
              </w:rPr>
              <w:t>PDS</w:t>
            </w:r>
            <w:r w:rsidRPr="00394B52">
              <w:rPr>
                <w:rFonts w:ascii="Times" w:hAnsi="Times" w:cs="Times"/>
                <w:vertAlign w:val="superscript"/>
              </w:rPr>
              <w:t>5</w:t>
            </w:r>
          </w:p>
        </w:tc>
        <w:tc>
          <w:tcPr>
            <w:tcW w:w="5228" w:type="dxa"/>
          </w:tcPr>
          <w:p w14:paraId="0CD8F2D0"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1</w:t>
            </w:r>
            <w:r w:rsidRPr="00394B52">
              <w:rPr>
                <w:rFonts w:ascii="Times" w:hAnsi="Times" w:cs="Times"/>
              </w:rPr>
              <w:t>0</w:t>
            </w:r>
          </w:p>
        </w:tc>
      </w:tr>
      <w:tr w:rsidR="00394B52" w:rsidRPr="00394B52" w14:paraId="79736103" w14:textId="77777777" w:rsidTr="00E01118">
        <w:tc>
          <w:tcPr>
            <w:tcW w:w="5228" w:type="dxa"/>
          </w:tcPr>
          <w:p w14:paraId="4ACAE54E"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H</w:t>
            </w:r>
            <w:r w:rsidRPr="00394B52">
              <w:rPr>
                <w:rFonts w:ascii="Times" w:hAnsi="Times" w:cs="Times"/>
              </w:rPr>
              <w:t>ADS</w:t>
            </w:r>
            <w:r w:rsidRPr="00394B52">
              <w:rPr>
                <w:rFonts w:ascii="Times" w:hAnsi="Times" w:cs="Times"/>
                <w:vertAlign w:val="superscript"/>
              </w:rPr>
              <w:t>6</w:t>
            </w:r>
          </w:p>
        </w:tc>
        <w:tc>
          <w:tcPr>
            <w:tcW w:w="5228" w:type="dxa"/>
          </w:tcPr>
          <w:p w14:paraId="64CBCC8E"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7</w:t>
            </w:r>
          </w:p>
        </w:tc>
      </w:tr>
      <w:tr w:rsidR="00394B52" w:rsidRPr="00394B52" w14:paraId="18DD46EB" w14:textId="77777777" w:rsidTr="00E01118">
        <w:tc>
          <w:tcPr>
            <w:tcW w:w="5228" w:type="dxa"/>
          </w:tcPr>
          <w:p w14:paraId="5A5DB2D7"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H</w:t>
            </w:r>
            <w:r w:rsidRPr="00394B52">
              <w:rPr>
                <w:rFonts w:ascii="Times" w:hAnsi="Times" w:cs="Times"/>
              </w:rPr>
              <w:t>AM-D</w:t>
            </w:r>
            <w:r w:rsidRPr="00394B52">
              <w:rPr>
                <w:rFonts w:ascii="Times" w:hAnsi="Times" w:cs="Times"/>
                <w:vertAlign w:val="superscript"/>
              </w:rPr>
              <w:t>7</w:t>
            </w:r>
          </w:p>
        </w:tc>
        <w:tc>
          <w:tcPr>
            <w:tcW w:w="5228" w:type="dxa"/>
          </w:tcPr>
          <w:p w14:paraId="57A2BA98"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9</w:t>
            </w:r>
          </w:p>
        </w:tc>
      </w:tr>
      <w:tr w:rsidR="00394B52" w:rsidRPr="00394B52" w14:paraId="55BEF8C6" w14:textId="77777777" w:rsidTr="00E01118">
        <w:tc>
          <w:tcPr>
            <w:tcW w:w="5228" w:type="dxa"/>
          </w:tcPr>
          <w:p w14:paraId="7BF655D9"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P</w:t>
            </w:r>
            <w:r w:rsidRPr="00394B52">
              <w:rPr>
                <w:rFonts w:ascii="Times" w:hAnsi="Times" w:cs="Times"/>
              </w:rPr>
              <w:t>DSS</w:t>
            </w:r>
            <w:r w:rsidRPr="00394B52">
              <w:rPr>
                <w:rFonts w:ascii="Times" w:hAnsi="Times" w:cs="Times"/>
                <w:vertAlign w:val="superscript"/>
              </w:rPr>
              <w:t>8</w:t>
            </w:r>
          </w:p>
        </w:tc>
        <w:tc>
          <w:tcPr>
            <w:tcW w:w="5228" w:type="dxa"/>
          </w:tcPr>
          <w:p w14:paraId="344853AE"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6</w:t>
            </w:r>
            <w:r w:rsidRPr="00394B52">
              <w:rPr>
                <w:rFonts w:ascii="Times" w:hAnsi="Times" w:cs="Times"/>
              </w:rPr>
              <w:t>0</w:t>
            </w:r>
          </w:p>
        </w:tc>
      </w:tr>
      <w:tr w:rsidR="00394B52" w:rsidRPr="00394B52" w14:paraId="3CC7BE0C" w14:textId="77777777" w:rsidTr="00E01118">
        <w:tc>
          <w:tcPr>
            <w:tcW w:w="5228" w:type="dxa"/>
          </w:tcPr>
          <w:p w14:paraId="1A5AB779"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P</w:t>
            </w:r>
            <w:r w:rsidRPr="00394B52">
              <w:rPr>
                <w:rFonts w:ascii="Times" w:hAnsi="Times" w:cs="Times"/>
              </w:rPr>
              <w:t>HQ-2</w:t>
            </w:r>
            <w:r w:rsidRPr="00394B52">
              <w:rPr>
                <w:rFonts w:ascii="Times" w:hAnsi="Times" w:cs="Times"/>
                <w:vertAlign w:val="superscript"/>
              </w:rPr>
              <w:t>9</w:t>
            </w:r>
          </w:p>
        </w:tc>
        <w:tc>
          <w:tcPr>
            <w:tcW w:w="5228" w:type="dxa"/>
          </w:tcPr>
          <w:p w14:paraId="253D53E2"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2</w:t>
            </w:r>
          </w:p>
        </w:tc>
      </w:tr>
      <w:tr w:rsidR="00394B52" w:rsidRPr="00394B52" w14:paraId="1106554C" w14:textId="77777777" w:rsidTr="00E01118">
        <w:tc>
          <w:tcPr>
            <w:tcW w:w="5228" w:type="dxa"/>
          </w:tcPr>
          <w:p w14:paraId="55D2ADFF"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P</w:t>
            </w:r>
            <w:r w:rsidRPr="00394B52">
              <w:rPr>
                <w:rFonts w:ascii="Times" w:hAnsi="Times" w:cs="Times"/>
              </w:rPr>
              <w:t>HQ-8</w:t>
            </w:r>
            <w:r w:rsidRPr="00394B52">
              <w:rPr>
                <w:rFonts w:ascii="Times" w:hAnsi="Times" w:cs="Times"/>
                <w:vertAlign w:val="superscript"/>
              </w:rPr>
              <w:t>10</w:t>
            </w:r>
          </w:p>
        </w:tc>
        <w:tc>
          <w:tcPr>
            <w:tcW w:w="5228" w:type="dxa"/>
          </w:tcPr>
          <w:p w14:paraId="0E69EF19"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1</w:t>
            </w:r>
            <w:r w:rsidRPr="00394B52">
              <w:rPr>
                <w:rFonts w:ascii="Times" w:hAnsi="Times" w:cs="Times"/>
              </w:rPr>
              <w:t>0</w:t>
            </w:r>
          </w:p>
        </w:tc>
      </w:tr>
      <w:tr w:rsidR="00394B52" w:rsidRPr="00394B52" w14:paraId="4F1B19F9" w14:textId="77777777" w:rsidTr="00E01118">
        <w:tc>
          <w:tcPr>
            <w:tcW w:w="5228" w:type="dxa"/>
          </w:tcPr>
          <w:p w14:paraId="3B02F577"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P</w:t>
            </w:r>
            <w:r w:rsidRPr="00394B52">
              <w:rPr>
                <w:rFonts w:ascii="Times" w:hAnsi="Times" w:cs="Times"/>
              </w:rPr>
              <w:t>HQ-9</w:t>
            </w:r>
            <w:r w:rsidRPr="00394B52">
              <w:rPr>
                <w:rFonts w:ascii="Times" w:hAnsi="Times" w:cs="Times"/>
                <w:vertAlign w:val="superscript"/>
              </w:rPr>
              <w:t>11</w:t>
            </w:r>
          </w:p>
        </w:tc>
        <w:tc>
          <w:tcPr>
            <w:tcW w:w="5228" w:type="dxa"/>
          </w:tcPr>
          <w:p w14:paraId="7B8F9A30"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1</w:t>
            </w:r>
            <w:r w:rsidRPr="00394B52">
              <w:rPr>
                <w:rFonts w:ascii="Times" w:hAnsi="Times" w:cs="Times"/>
              </w:rPr>
              <w:t>0</w:t>
            </w:r>
          </w:p>
        </w:tc>
      </w:tr>
      <w:tr w:rsidR="00394B52" w:rsidRPr="00394B52" w14:paraId="58D1776D" w14:textId="77777777" w:rsidTr="00E01118">
        <w:tc>
          <w:tcPr>
            <w:tcW w:w="5228" w:type="dxa"/>
          </w:tcPr>
          <w:p w14:paraId="5DC04D15"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S</w:t>
            </w:r>
            <w:r w:rsidRPr="00394B52">
              <w:rPr>
                <w:rFonts w:ascii="Times" w:hAnsi="Times" w:cs="Times"/>
              </w:rPr>
              <w:t>CL-8</w:t>
            </w:r>
            <w:r w:rsidRPr="00394B52">
              <w:rPr>
                <w:rFonts w:ascii="Times" w:hAnsi="Times" w:cs="Times"/>
                <w:vertAlign w:val="superscript"/>
              </w:rPr>
              <w:t>12</w:t>
            </w:r>
          </w:p>
        </w:tc>
        <w:tc>
          <w:tcPr>
            <w:tcW w:w="5228" w:type="dxa"/>
          </w:tcPr>
          <w:p w14:paraId="355A007C"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1</w:t>
            </w:r>
          </w:p>
        </w:tc>
      </w:tr>
      <w:tr w:rsidR="00394B52" w:rsidRPr="00394B52" w14:paraId="31FA753A" w14:textId="77777777" w:rsidTr="00E01118">
        <w:tc>
          <w:tcPr>
            <w:tcW w:w="5228" w:type="dxa"/>
          </w:tcPr>
          <w:p w14:paraId="76DF7D64"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S</w:t>
            </w:r>
            <w:r w:rsidRPr="00394B52">
              <w:rPr>
                <w:rFonts w:ascii="Times" w:hAnsi="Times" w:cs="Times"/>
              </w:rPr>
              <w:t>RQ-20</w:t>
            </w:r>
            <w:r w:rsidRPr="00394B52">
              <w:rPr>
                <w:rFonts w:ascii="Times" w:hAnsi="Times" w:cs="Times"/>
                <w:vertAlign w:val="superscript"/>
              </w:rPr>
              <w:t>13</w:t>
            </w:r>
          </w:p>
        </w:tc>
        <w:tc>
          <w:tcPr>
            <w:tcW w:w="5228" w:type="dxa"/>
          </w:tcPr>
          <w:p w14:paraId="76DA5BA3" w14:textId="77777777" w:rsidR="00394B52" w:rsidRPr="00394B52" w:rsidRDefault="00394B52" w:rsidP="00394B52">
            <w:pPr>
              <w:widowControl/>
              <w:wordWrap/>
              <w:autoSpaceDE/>
              <w:autoSpaceDN/>
              <w:spacing w:after="0" w:line="240" w:lineRule="auto"/>
              <w:rPr>
                <w:rFonts w:ascii="Times" w:hAnsi="Times" w:cs="Times"/>
              </w:rPr>
            </w:pPr>
            <w:r w:rsidRPr="00394B52">
              <w:rPr>
                <w:rFonts w:ascii="Times" w:hAnsi="Times" w:cs="Times" w:hint="eastAsia"/>
              </w:rPr>
              <w:t>7</w:t>
            </w:r>
          </w:p>
        </w:tc>
      </w:tr>
    </w:tbl>
    <w:p w14:paraId="706FF308" w14:textId="77777777" w:rsidR="00394B52" w:rsidRPr="00394B52" w:rsidRDefault="00394B52" w:rsidP="00394B52">
      <w:pPr>
        <w:widowControl/>
        <w:wordWrap/>
        <w:autoSpaceDE/>
        <w:autoSpaceDN/>
        <w:rPr>
          <w:rFonts w:ascii="Times" w:hAnsi="Times" w:cs="Times"/>
          <w:sz w:val="16"/>
          <w:szCs w:val="16"/>
        </w:rPr>
      </w:pPr>
      <w:r w:rsidRPr="00394B52">
        <w:rPr>
          <w:rFonts w:ascii="Times" w:eastAsia="Malgun Gothic" w:hAnsi="Times" w:cs="Times"/>
          <w:color w:val="000000"/>
          <w:kern w:val="0"/>
          <w:sz w:val="16"/>
          <w:szCs w:val="16"/>
        </w:rPr>
        <w:t xml:space="preserve">Abbreviations: BDI- II, Beck Depression Inventory–II; BDI-FS, Beck Depression Inventory-Fast Screen; </w:t>
      </w:r>
      <w:r w:rsidRPr="00394B52">
        <w:rPr>
          <w:rFonts w:ascii="Times" w:hAnsi="Times" w:cs="Times" w:hint="eastAsia"/>
          <w:sz w:val="16"/>
          <w:szCs w:val="16"/>
        </w:rPr>
        <w:t>B</w:t>
      </w:r>
      <w:r w:rsidRPr="00394B52">
        <w:rPr>
          <w:rFonts w:ascii="Times" w:hAnsi="Times" w:cs="Times"/>
          <w:sz w:val="16"/>
          <w:szCs w:val="16"/>
        </w:rPr>
        <w:t xml:space="preserve">DI-IA, Amended Beck Depression Inventory; </w:t>
      </w:r>
      <w:r w:rsidRPr="00394B52">
        <w:rPr>
          <w:rFonts w:ascii="Times" w:hAnsi="Times" w:cs="Times" w:hint="eastAsia"/>
          <w:sz w:val="16"/>
          <w:szCs w:val="16"/>
        </w:rPr>
        <w:t>B</w:t>
      </w:r>
      <w:r w:rsidRPr="00394B52">
        <w:rPr>
          <w:rFonts w:ascii="Times" w:hAnsi="Times" w:cs="Times"/>
          <w:sz w:val="16"/>
          <w:szCs w:val="16"/>
        </w:rPr>
        <w:t xml:space="preserve">SI, Brief Symptom Inventory; </w:t>
      </w:r>
      <w:r w:rsidRPr="00394B52">
        <w:rPr>
          <w:rFonts w:ascii="Times" w:hAnsi="Times" w:cs="Times" w:hint="eastAsia"/>
          <w:sz w:val="16"/>
          <w:szCs w:val="16"/>
        </w:rPr>
        <w:t>C</w:t>
      </w:r>
      <w:r w:rsidRPr="00394B52">
        <w:rPr>
          <w:rFonts w:ascii="Times" w:hAnsi="Times" w:cs="Times"/>
          <w:sz w:val="16"/>
          <w:szCs w:val="16"/>
        </w:rPr>
        <w:t>ES-D,</w:t>
      </w:r>
      <w:r w:rsidRPr="00394B52">
        <w:rPr>
          <w:sz w:val="16"/>
          <w:szCs w:val="16"/>
        </w:rPr>
        <w:t xml:space="preserve"> </w:t>
      </w:r>
      <w:r w:rsidRPr="00394B52">
        <w:rPr>
          <w:rFonts w:ascii="Times" w:hAnsi="Times" w:cs="Times"/>
          <w:sz w:val="16"/>
          <w:szCs w:val="16"/>
        </w:rPr>
        <w:t xml:space="preserve">Center for Epidemiologic Studies Depression; </w:t>
      </w:r>
      <w:r w:rsidRPr="00394B52">
        <w:rPr>
          <w:rFonts w:ascii="Times" w:hAnsi="Times" w:cs="Times" w:hint="eastAsia"/>
          <w:sz w:val="16"/>
          <w:szCs w:val="16"/>
        </w:rPr>
        <w:t>C</w:t>
      </w:r>
      <w:r w:rsidRPr="00394B52">
        <w:rPr>
          <w:rFonts w:ascii="Times" w:hAnsi="Times" w:cs="Times"/>
          <w:sz w:val="16"/>
          <w:szCs w:val="16"/>
        </w:rPr>
        <w:t>ES-D 8,</w:t>
      </w:r>
      <w:r w:rsidRPr="00394B52">
        <w:rPr>
          <w:sz w:val="16"/>
          <w:szCs w:val="16"/>
        </w:rPr>
        <w:t xml:space="preserve"> </w:t>
      </w:r>
      <w:r w:rsidRPr="00394B52">
        <w:rPr>
          <w:rFonts w:ascii="Times" w:hAnsi="Times" w:cs="Times"/>
          <w:sz w:val="16"/>
          <w:szCs w:val="16"/>
        </w:rPr>
        <w:t xml:space="preserve">8-item short version of the Center for Epidemiologic Studies-Depression Scale; </w:t>
      </w:r>
      <w:r w:rsidRPr="00394B52">
        <w:rPr>
          <w:rFonts w:ascii="Times" w:hAnsi="Times" w:cs="Times" w:hint="eastAsia"/>
          <w:sz w:val="16"/>
          <w:szCs w:val="16"/>
        </w:rPr>
        <w:t>E</w:t>
      </w:r>
      <w:r w:rsidRPr="00394B52">
        <w:rPr>
          <w:rFonts w:ascii="Times" w:hAnsi="Times" w:cs="Times"/>
          <w:sz w:val="16"/>
          <w:szCs w:val="16"/>
        </w:rPr>
        <w:t>PDS,</w:t>
      </w:r>
      <w:r w:rsidRPr="00394B52">
        <w:rPr>
          <w:sz w:val="16"/>
          <w:szCs w:val="16"/>
        </w:rPr>
        <w:t xml:space="preserve"> </w:t>
      </w:r>
      <w:r w:rsidRPr="00394B52">
        <w:rPr>
          <w:rFonts w:ascii="Times" w:hAnsi="Times" w:cs="Times"/>
          <w:sz w:val="16"/>
          <w:szCs w:val="16"/>
        </w:rPr>
        <w:t xml:space="preserve">Edinburgh Postnatal Depression Scale; </w:t>
      </w:r>
      <w:r w:rsidRPr="00394B52">
        <w:rPr>
          <w:rFonts w:ascii="Times" w:hAnsi="Times" w:cs="Times" w:hint="eastAsia"/>
          <w:sz w:val="16"/>
          <w:szCs w:val="16"/>
        </w:rPr>
        <w:t>H</w:t>
      </w:r>
      <w:r w:rsidRPr="00394B52">
        <w:rPr>
          <w:rFonts w:ascii="Times" w:hAnsi="Times" w:cs="Times"/>
          <w:sz w:val="16"/>
          <w:szCs w:val="16"/>
        </w:rPr>
        <w:t>ADS,</w:t>
      </w:r>
      <w:r w:rsidRPr="00394B52">
        <w:rPr>
          <w:sz w:val="16"/>
          <w:szCs w:val="16"/>
        </w:rPr>
        <w:t xml:space="preserve"> </w:t>
      </w:r>
      <w:r w:rsidRPr="00394B52">
        <w:rPr>
          <w:rFonts w:ascii="Times" w:hAnsi="Times" w:cs="Times"/>
          <w:sz w:val="16"/>
          <w:szCs w:val="16"/>
        </w:rPr>
        <w:t xml:space="preserve">Hospital Anxiety and Depression Scale; </w:t>
      </w:r>
      <w:r w:rsidRPr="00394B52">
        <w:rPr>
          <w:rFonts w:ascii="Times" w:hAnsi="Times" w:cs="Times" w:hint="eastAsia"/>
          <w:sz w:val="16"/>
          <w:szCs w:val="16"/>
        </w:rPr>
        <w:t>H</w:t>
      </w:r>
      <w:r w:rsidRPr="00394B52">
        <w:rPr>
          <w:rFonts w:ascii="Times" w:hAnsi="Times" w:cs="Times"/>
          <w:sz w:val="16"/>
          <w:szCs w:val="16"/>
        </w:rPr>
        <w:t>AM-D,</w:t>
      </w:r>
      <w:r w:rsidRPr="00394B52">
        <w:rPr>
          <w:sz w:val="16"/>
          <w:szCs w:val="16"/>
        </w:rPr>
        <w:t xml:space="preserve"> </w:t>
      </w:r>
      <w:r w:rsidRPr="00394B52">
        <w:rPr>
          <w:rFonts w:ascii="Times" w:hAnsi="Times" w:cs="Times"/>
          <w:sz w:val="16"/>
          <w:szCs w:val="16"/>
        </w:rPr>
        <w:t xml:space="preserve">Hamilton Depression Rating Scale; </w:t>
      </w:r>
      <w:r w:rsidRPr="00394B52">
        <w:rPr>
          <w:rFonts w:ascii="Times" w:hAnsi="Times" w:cs="Times" w:hint="eastAsia"/>
          <w:sz w:val="16"/>
          <w:szCs w:val="16"/>
        </w:rPr>
        <w:t>P</w:t>
      </w:r>
      <w:r w:rsidRPr="00394B52">
        <w:rPr>
          <w:rFonts w:ascii="Times" w:hAnsi="Times" w:cs="Times"/>
          <w:sz w:val="16"/>
          <w:szCs w:val="16"/>
        </w:rPr>
        <w:t xml:space="preserve">DSS, Postpartum Depression Screening Scale; </w:t>
      </w:r>
      <w:r w:rsidRPr="00394B52">
        <w:rPr>
          <w:rFonts w:ascii="Times" w:hAnsi="Times" w:cs="Times" w:hint="eastAsia"/>
          <w:sz w:val="16"/>
          <w:szCs w:val="16"/>
        </w:rPr>
        <w:t>P</w:t>
      </w:r>
      <w:r w:rsidRPr="00394B52">
        <w:rPr>
          <w:rFonts w:ascii="Times" w:hAnsi="Times" w:cs="Times"/>
          <w:sz w:val="16"/>
          <w:szCs w:val="16"/>
        </w:rPr>
        <w:t>HQ-2,</w:t>
      </w:r>
      <w:r w:rsidRPr="00394B52">
        <w:rPr>
          <w:sz w:val="16"/>
          <w:szCs w:val="16"/>
        </w:rPr>
        <w:t xml:space="preserve"> </w:t>
      </w:r>
      <w:r w:rsidRPr="00394B52">
        <w:rPr>
          <w:rFonts w:ascii="Times" w:hAnsi="Times" w:cs="Times"/>
          <w:sz w:val="16"/>
          <w:szCs w:val="16"/>
        </w:rPr>
        <w:t xml:space="preserve">Patient Health Questionnaire-2 ; </w:t>
      </w:r>
      <w:r w:rsidRPr="00394B52">
        <w:rPr>
          <w:rFonts w:ascii="Times" w:hAnsi="Times" w:cs="Times" w:hint="eastAsia"/>
          <w:sz w:val="16"/>
          <w:szCs w:val="16"/>
        </w:rPr>
        <w:t>P</w:t>
      </w:r>
      <w:r w:rsidRPr="00394B52">
        <w:rPr>
          <w:rFonts w:ascii="Times" w:hAnsi="Times" w:cs="Times"/>
          <w:sz w:val="16"/>
          <w:szCs w:val="16"/>
        </w:rPr>
        <w:t>HQ-8,</w:t>
      </w:r>
      <w:r w:rsidRPr="00394B52">
        <w:rPr>
          <w:sz w:val="16"/>
          <w:szCs w:val="16"/>
        </w:rPr>
        <w:t xml:space="preserve"> </w:t>
      </w:r>
      <w:r w:rsidRPr="00394B52">
        <w:rPr>
          <w:rFonts w:ascii="Times" w:hAnsi="Times" w:cs="Times"/>
          <w:sz w:val="16"/>
          <w:szCs w:val="16"/>
        </w:rPr>
        <w:t xml:space="preserve">Patient Health Questionnaire-8 ; </w:t>
      </w:r>
      <w:r w:rsidRPr="00394B52">
        <w:rPr>
          <w:rFonts w:ascii="Times" w:hAnsi="Times" w:cs="Times" w:hint="eastAsia"/>
          <w:sz w:val="16"/>
          <w:szCs w:val="16"/>
        </w:rPr>
        <w:t>P</w:t>
      </w:r>
      <w:r w:rsidRPr="00394B52">
        <w:rPr>
          <w:rFonts w:ascii="Times" w:hAnsi="Times" w:cs="Times"/>
          <w:sz w:val="16"/>
          <w:szCs w:val="16"/>
        </w:rPr>
        <w:t>HQ-9,</w:t>
      </w:r>
      <w:r w:rsidRPr="00394B52">
        <w:rPr>
          <w:sz w:val="16"/>
          <w:szCs w:val="16"/>
        </w:rPr>
        <w:t xml:space="preserve"> </w:t>
      </w:r>
      <w:r w:rsidRPr="00394B52">
        <w:rPr>
          <w:rFonts w:ascii="Times" w:hAnsi="Times" w:cs="Times"/>
          <w:sz w:val="16"/>
          <w:szCs w:val="16"/>
        </w:rPr>
        <w:t xml:space="preserve">Patient Health Questionnaire-9 ; </w:t>
      </w:r>
      <w:r w:rsidRPr="00394B52">
        <w:rPr>
          <w:rFonts w:ascii="Times" w:hAnsi="Times" w:cs="Times" w:hint="eastAsia"/>
          <w:sz w:val="16"/>
          <w:szCs w:val="16"/>
        </w:rPr>
        <w:t>S</w:t>
      </w:r>
      <w:r w:rsidRPr="00394B52">
        <w:rPr>
          <w:rFonts w:ascii="Times" w:hAnsi="Times" w:cs="Times"/>
          <w:sz w:val="16"/>
          <w:szCs w:val="16"/>
        </w:rPr>
        <w:t xml:space="preserve">CL-8, (Hopkins) Symptom Checklist-8; </w:t>
      </w:r>
      <w:r w:rsidRPr="00394B52">
        <w:rPr>
          <w:rFonts w:ascii="Times" w:hAnsi="Times" w:cs="Times" w:hint="eastAsia"/>
          <w:sz w:val="16"/>
          <w:szCs w:val="16"/>
        </w:rPr>
        <w:t>S</w:t>
      </w:r>
      <w:r w:rsidRPr="00394B52">
        <w:rPr>
          <w:rFonts w:ascii="Times" w:hAnsi="Times" w:cs="Times"/>
          <w:sz w:val="16"/>
          <w:szCs w:val="16"/>
        </w:rPr>
        <w:t>RQ-20, WHO Self-Reporting Questionnaire 20</w:t>
      </w:r>
    </w:p>
    <w:p w14:paraId="11CB6641" w14:textId="77777777" w:rsidR="00394B52" w:rsidRPr="00394B52" w:rsidRDefault="00394B52" w:rsidP="00394B52">
      <w:pPr>
        <w:widowControl/>
        <w:wordWrap/>
        <w:autoSpaceDE/>
        <w:autoSpaceDN/>
        <w:rPr>
          <w:rFonts w:ascii="Times" w:hAnsi="Times" w:cs="Times"/>
          <w:sz w:val="16"/>
          <w:szCs w:val="16"/>
        </w:rPr>
      </w:pPr>
    </w:p>
    <w:p w14:paraId="431E9844" w14:textId="77777777" w:rsidR="00394B52" w:rsidRPr="00394B52" w:rsidRDefault="00394B52" w:rsidP="00394B52">
      <w:pPr>
        <w:spacing w:after="0" w:line="240" w:lineRule="auto"/>
        <w:jc w:val="left"/>
        <w:rPr>
          <w:rFonts w:ascii="Times" w:eastAsia="Malgun Gothic" w:hAnsi="Times"/>
          <w:noProof/>
        </w:rPr>
      </w:pPr>
      <w:r w:rsidRPr="00394B52">
        <w:rPr>
          <w:rFonts w:ascii="Times" w:eastAsia="Malgun Gothic" w:hAnsi="Times"/>
          <w:noProof/>
        </w:rPr>
        <w:t>1.</w:t>
      </w:r>
      <w:r w:rsidRPr="00394B52">
        <w:rPr>
          <w:rFonts w:ascii="Times" w:eastAsia="Malgun Gothic" w:hAnsi="Times"/>
          <w:noProof/>
        </w:rPr>
        <w:tab/>
        <w:t xml:space="preserve">Smarr KL, Keefer AL. Measures of Depression and Depressive Symptoms. </w:t>
      </w:r>
      <w:r w:rsidRPr="00394B52">
        <w:rPr>
          <w:rFonts w:ascii="Times" w:eastAsia="Malgun Gothic" w:hAnsi="Times"/>
          <w:i/>
          <w:noProof/>
        </w:rPr>
        <w:t>Arthritis Care Res (Hoboken)</w:t>
      </w:r>
      <w:r w:rsidRPr="00394B52">
        <w:rPr>
          <w:rFonts w:ascii="Times" w:eastAsia="Malgun Gothic" w:hAnsi="Times"/>
          <w:noProof/>
        </w:rPr>
        <w:t xml:space="preserve"> 2020; 72 Suppl 10: 608-29.</w:t>
      </w:r>
    </w:p>
    <w:p w14:paraId="07C43B94" w14:textId="77777777" w:rsidR="00394B52" w:rsidRPr="00394B52" w:rsidRDefault="00394B52" w:rsidP="00394B52">
      <w:pPr>
        <w:spacing w:after="0" w:line="240" w:lineRule="auto"/>
        <w:jc w:val="left"/>
        <w:rPr>
          <w:rFonts w:ascii="Times" w:eastAsia="Malgun Gothic" w:hAnsi="Times"/>
          <w:noProof/>
        </w:rPr>
      </w:pPr>
      <w:r w:rsidRPr="00394B52">
        <w:rPr>
          <w:rFonts w:ascii="Times" w:eastAsia="Malgun Gothic" w:hAnsi="Times"/>
          <w:noProof/>
        </w:rPr>
        <w:t>2.</w:t>
      </w:r>
      <w:r w:rsidRPr="00394B52">
        <w:rPr>
          <w:rFonts w:ascii="Times" w:eastAsia="Malgun Gothic" w:hAnsi="Times"/>
          <w:noProof/>
        </w:rPr>
        <w:tab/>
        <w:t xml:space="preserve">Furlanetto LM, Mendlowicz MV, Bueno JR. The validity of the Beck Depression Inventory-Short Form as a screening and diagnostic instrument for moderate and severe depression in medical inpatients. </w:t>
      </w:r>
      <w:r w:rsidRPr="00394B52">
        <w:rPr>
          <w:rFonts w:ascii="Times" w:eastAsia="Malgun Gothic" w:hAnsi="Times"/>
          <w:i/>
          <w:noProof/>
        </w:rPr>
        <w:t>Journal of affective disorders</w:t>
      </w:r>
      <w:r w:rsidRPr="00394B52">
        <w:rPr>
          <w:rFonts w:ascii="Times" w:eastAsia="Malgun Gothic" w:hAnsi="Times"/>
          <w:noProof/>
        </w:rPr>
        <w:t xml:space="preserve"> 2005; 86(1): 87-91.</w:t>
      </w:r>
    </w:p>
    <w:p w14:paraId="0E2E4C33" w14:textId="77777777" w:rsidR="00394B52" w:rsidRPr="00394B52" w:rsidRDefault="00394B52" w:rsidP="00394B52">
      <w:pPr>
        <w:spacing w:after="0" w:line="240" w:lineRule="auto"/>
        <w:jc w:val="left"/>
        <w:rPr>
          <w:rFonts w:ascii="Times" w:eastAsia="Malgun Gothic" w:hAnsi="Times"/>
          <w:noProof/>
        </w:rPr>
      </w:pPr>
      <w:r w:rsidRPr="00394B52">
        <w:rPr>
          <w:rFonts w:ascii="Times" w:eastAsia="Malgun Gothic" w:hAnsi="Times"/>
          <w:noProof/>
        </w:rPr>
        <w:t>3.</w:t>
      </w:r>
      <w:r w:rsidRPr="00394B52">
        <w:rPr>
          <w:rFonts w:ascii="Times" w:eastAsia="Malgun Gothic" w:hAnsi="Times"/>
          <w:noProof/>
        </w:rPr>
        <w:tab/>
        <w:t xml:space="preserve">De Beurs E, Zitman F. The Brief Symptom Inventory (BSI): reliability and validity of a practical alternative to SCL-90. </w:t>
      </w:r>
      <w:r w:rsidRPr="00394B52">
        <w:rPr>
          <w:rFonts w:ascii="Times" w:eastAsia="Malgun Gothic" w:hAnsi="Times"/>
          <w:i/>
          <w:noProof/>
        </w:rPr>
        <w:t>MGV</w:t>
      </w:r>
      <w:r w:rsidRPr="00394B52">
        <w:rPr>
          <w:rFonts w:ascii="Times" w:eastAsia="Malgun Gothic" w:hAnsi="Times"/>
          <w:noProof/>
        </w:rPr>
        <w:t xml:space="preserve"> 2006; 61: 120-41.</w:t>
      </w:r>
    </w:p>
    <w:p w14:paraId="212DF32E" w14:textId="77777777" w:rsidR="00394B52" w:rsidRPr="00394B52" w:rsidRDefault="00394B52" w:rsidP="00394B52">
      <w:pPr>
        <w:spacing w:after="0" w:line="240" w:lineRule="auto"/>
        <w:jc w:val="left"/>
        <w:rPr>
          <w:rFonts w:ascii="Times" w:eastAsia="Malgun Gothic" w:hAnsi="Times"/>
          <w:noProof/>
        </w:rPr>
      </w:pPr>
      <w:r w:rsidRPr="00394B52">
        <w:rPr>
          <w:rFonts w:ascii="Times" w:eastAsia="Malgun Gothic" w:hAnsi="Times"/>
          <w:noProof/>
        </w:rPr>
        <w:t>4.</w:t>
      </w:r>
      <w:r w:rsidRPr="00394B52">
        <w:rPr>
          <w:rFonts w:ascii="Times" w:eastAsia="Malgun Gothic" w:hAnsi="Times"/>
          <w:noProof/>
        </w:rPr>
        <w:tab/>
        <w:t xml:space="preserve">Briggs R, Carey D, O’Halloran A, Kenny R, Kennelly S. Validation of the 8-item Centre for Epidemiological Studies Depression Scale in a cohort of community-dwelling older people: data from The Irish Longitudinal Study on Ageing (TILDA). </w:t>
      </w:r>
      <w:r w:rsidRPr="00394B52">
        <w:rPr>
          <w:rFonts w:ascii="Times" w:eastAsia="Malgun Gothic" w:hAnsi="Times"/>
          <w:i/>
          <w:noProof/>
        </w:rPr>
        <w:t>European Geriatric Medicine</w:t>
      </w:r>
      <w:r w:rsidRPr="00394B52">
        <w:rPr>
          <w:rFonts w:ascii="Times" w:eastAsia="Malgun Gothic" w:hAnsi="Times"/>
          <w:noProof/>
        </w:rPr>
        <w:t xml:space="preserve"> 2018; 9(1): 121-6.</w:t>
      </w:r>
    </w:p>
    <w:p w14:paraId="7AD6FD74" w14:textId="77777777" w:rsidR="00394B52" w:rsidRPr="00394B52" w:rsidRDefault="00394B52" w:rsidP="00394B52">
      <w:pPr>
        <w:spacing w:after="0" w:line="240" w:lineRule="auto"/>
        <w:jc w:val="left"/>
        <w:rPr>
          <w:rFonts w:ascii="Times" w:eastAsia="Malgun Gothic" w:hAnsi="Times"/>
          <w:noProof/>
        </w:rPr>
      </w:pPr>
      <w:r w:rsidRPr="00394B52">
        <w:rPr>
          <w:rFonts w:ascii="Times" w:eastAsia="Malgun Gothic" w:hAnsi="Times"/>
          <w:noProof/>
        </w:rPr>
        <w:t>5.</w:t>
      </w:r>
      <w:r w:rsidRPr="00394B52">
        <w:rPr>
          <w:rFonts w:ascii="Times" w:eastAsia="Malgun Gothic" w:hAnsi="Times"/>
          <w:noProof/>
        </w:rPr>
        <w:tab/>
        <w:t xml:space="preserve">Wisner KL, Sit DK, McShea MC, et al. Onset timing, thoughts of self-harm, and diagnoses in postpartum women with screen-positive depression findings. </w:t>
      </w:r>
      <w:r w:rsidRPr="00394B52">
        <w:rPr>
          <w:rFonts w:ascii="Times" w:eastAsia="Malgun Gothic" w:hAnsi="Times"/>
          <w:i/>
          <w:noProof/>
        </w:rPr>
        <w:t>JAMA Psychiatry</w:t>
      </w:r>
      <w:r w:rsidRPr="00394B52">
        <w:rPr>
          <w:rFonts w:ascii="Times" w:eastAsia="Malgun Gothic" w:hAnsi="Times"/>
          <w:noProof/>
        </w:rPr>
        <w:t xml:space="preserve"> 2013; 70(5): 490-8.</w:t>
      </w:r>
    </w:p>
    <w:p w14:paraId="24C651DD" w14:textId="77777777" w:rsidR="00394B52" w:rsidRPr="00394B52" w:rsidRDefault="00394B52" w:rsidP="00394B52">
      <w:pPr>
        <w:spacing w:after="0" w:line="240" w:lineRule="auto"/>
        <w:jc w:val="left"/>
        <w:rPr>
          <w:rFonts w:ascii="Times" w:eastAsia="Malgun Gothic" w:hAnsi="Times"/>
          <w:noProof/>
        </w:rPr>
      </w:pPr>
      <w:r w:rsidRPr="00394B52">
        <w:rPr>
          <w:rFonts w:ascii="Times" w:eastAsia="Malgun Gothic" w:hAnsi="Times"/>
          <w:noProof/>
        </w:rPr>
        <w:t>6.</w:t>
      </w:r>
      <w:r w:rsidRPr="00394B52">
        <w:rPr>
          <w:rFonts w:ascii="Times" w:eastAsia="Malgun Gothic" w:hAnsi="Times"/>
          <w:noProof/>
        </w:rPr>
        <w:tab/>
        <w:t xml:space="preserve">Wu Y, Levis B, Sun Y, et al. Accuracy of the Hospital Anxiety and Depression Scale Depression subscale (HADS-D) to screen for major depression: systematic review and individual participant data meta-analysis. </w:t>
      </w:r>
      <w:r w:rsidRPr="00394B52">
        <w:rPr>
          <w:rFonts w:ascii="Times" w:eastAsia="Malgun Gothic" w:hAnsi="Times"/>
          <w:i/>
          <w:noProof/>
        </w:rPr>
        <w:t>Bmj</w:t>
      </w:r>
      <w:r w:rsidRPr="00394B52">
        <w:rPr>
          <w:rFonts w:ascii="Times" w:eastAsia="Malgun Gothic" w:hAnsi="Times"/>
          <w:noProof/>
        </w:rPr>
        <w:t xml:space="preserve"> 2021; 373: n972.</w:t>
      </w:r>
    </w:p>
    <w:p w14:paraId="673F5589" w14:textId="77777777" w:rsidR="00394B52" w:rsidRPr="00394B52" w:rsidRDefault="00394B52" w:rsidP="00394B52">
      <w:pPr>
        <w:spacing w:after="0" w:line="240" w:lineRule="auto"/>
        <w:jc w:val="left"/>
        <w:rPr>
          <w:rFonts w:ascii="Times" w:eastAsia="Malgun Gothic" w:hAnsi="Times"/>
          <w:noProof/>
        </w:rPr>
      </w:pPr>
      <w:r w:rsidRPr="00394B52">
        <w:rPr>
          <w:rFonts w:ascii="Times" w:eastAsia="Malgun Gothic" w:hAnsi="Times"/>
          <w:noProof/>
        </w:rPr>
        <w:t>7.</w:t>
      </w:r>
      <w:r w:rsidRPr="00394B52">
        <w:rPr>
          <w:rFonts w:ascii="Times" w:eastAsia="Malgun Gothic" w:hAnsi="Times"/>
          <w:noProof/>
        </w:rPr>
        <w:tab/>
        <w:t xml:space="preserve">Zimmerman M, Martinez JH, Young D, Chelminski I, Dalrymple K. Severity classification on the Hamilton Depression Rating Scale. </w:t>
      </w:r>
      <w:r w:rsidRPr="00394B52">
        <w:rPr>
          <w:rFonts w:ascii="Times" w:eastAsia="Malgun Gothic" w:hAnsi="Times"/>
          <w:i/>
          <w:noProof/>
        </w:rPr>
        <w:t>J Affect Disord</w:t>
      </w:r>
      <w:r w:rsidRPr="00394B52">
        <w:rPr>
          <w:rFonts w:ascii="Times" w:eastAsia="Malgun Gothic" w:hAnsi="Times"/>
          <w:noProof/>
        </w:rPr>
        <w:t xml:space="preserve"> 2013; 150(2): 384-8.</w:t>
      </w:r>
    </w:p>
    <w:p w14:paraId="03C16933" w14:textId="77777777" w:rsidR="00394B52" w:rsidRPr="00394B52" w:rsidRDefault="00394B52" w:rsidP="00394B52">
      <w:pPr>
        <w:spacing w:after="0" w:line="240" w:lineRule="auto"/>
        <w:jc w:val="left"/>
        <w:rPr>
          <w:rFonts w:ascii="Times" w:eastAsia="Malgun Gothic" w:hAnsi="Times"/>
          <w:noProof/>
        </w:rPr>
      </w:pPr>
      <w:r w:rsidRPr="00394B52">
        <w:rPr>
          <w:rFonts w:ascii="Times" w:eastAsia="Malgun Gothic" w:hAnsi="Times"/>
          <w:noProof/>
        </w:rPr>
        <w:t>8.</w:t>
      </w:r>
      <w:r w:rsidRPr="00394B52">
        <w:rPr>
          <w:rFonts w:ascii="Times" w:eastAsia="Malgun Gothic" w:hAnsi="Times"/>
          <w:noProof/>
        </w:rPr>
        <w:tab/>
        <w:t xml:space="preserve">Beck CT, Gable RK. Further validation of the Postpartum Depression Screening Scale. </w:t>
      </w:r>
      <w:r w:rsidRPr="00394B52">
        <w:rPr>
          <w:rFonts w:ascii="Times" w:eastAsia="Malgun Gothic" w:hAnsi="Times"/>
          <w:i/>
          <w:noProof/>
        </w:rPr>
        <w:t>Nurs Res</w:t>
      </w:r>
      <w:r w:rsidRPr="00394B52">
        <w:rPr>
          <w:rFonts w:ascii="Times" w:eastAsia="Malgun Gothic" w:hAnsi="Times"/>
          <w:noProof/>
        </w:rPr>
        <w:t xml:space="preserve"> 2001; 50(3): 155-64.</w:t>
      </w:r>
    </w:p>
    <w:p w14:paraId="2DED89BE" w14:textId="77777777" w:rsidR="00394B52" w:rsidRPr="00394B52" w:rsidRDefault="00394B52" w:rsidP="00394B52">
      <w:pPr>
        <w:spacing w:after="0" w:line="240" w:lineRule="auto"/>
        <w:jc w:val="left"/>
        <w:rPr>
          <w:rFonts w:ascii="Times" w:eastAsia="Malgun Gothic" w:hAnsi="Times"/>
          <w:noProof/>
        </w:rPr>
      </w:pPr>
      <w:r w:rsidRPr="00394B52">
        <w:rPr>
          <w:rFonts w:ascii="Times" w:eastAsia="Malgun Gothic" w:hAnsi="Times"/>
          <w:noProof/>
        </w:rPr>
        <w:t>9.</w:t>
      </w:r>
      <w:r w:rsidRPr="00394B52">
        <w:rPr>
          <w:rFonts w:ascii="Times" w:eastAsia="Malgun Gothic" w:hAnsi="Times"/>
          <w:noProof/>
        </w:rPr>
        <w:tab/>
        <w:t xml:space="preserve">Manea L, Gilbody S, Hewitt C, et al. Identifying depression with the PHQ-2: A diagnostic meta-analysis. </w:t>
      </w:r>
      <w:r w:rsidRPr="00394B52">
        <w:rPr>
          <w:rFonts w:ascii="Times" w:eastAsia="Malgun Gothic" w:hAnsi="Times"/>
          <w:i/>
          <w:noProof/>
        </w:rPr>
        <w:t>J Affect Disord</w:t>
      </w:r>
      <w:r w:rsidRPr="00394B52">
        <w:rPr>
          <w:rFonts w:ascii="Times" w:eastAsia="Malgun Gothic" w:hAnsi="Times"/>
          <w:noProof/>
        </w:rPr>
        <w:t xml:space="preserve"> 2016; 203: 382-95.</w:t>
      </w:r>
    </w:p>
    <w:p w14:paraId="0CCA0B0E" w14:textId="77777777" w:rsidR="00394B52" w:rsidRPr="00394B52" w:rsidRDefault="00394B52" w:rsidP="00394B52">
      <w:pPr>
        <w:spacing w:after="0" w:line="240" w:lineRule="auto"/>
        <w:jc w:val="left"/>
        <w:rPr>
          <w:rFonts w:ascii="Times" w:eastAsia="Malgun Gothic" w:hAnsi="Times"/>
          <w:noProof/>
        </w:rPr>
      </w:pPr>
      <w:r w:rsidRPr="00394B52">
        <w:rPr>
          <w:rFonts w:ascii="Times" w:eastAsia="Malgun Gothic" w:hAnsi="Times"/>
          <w:noProof/>
        </w:rPr>
        <w:t>10.</w:t>
      </w:r>
      <w:r w:rsidRPr="00394B52">
        <w:rPr>
          <w:rFonts w:ascii="Times" w:eastAsia="Malgun Gothic" w:hAnsi="Times"/>
          <w:noProof/>
        </w:rPr>
        <w:tab/>
        <w:t xml:space="preserve">Kroenke K, Strine TW, Spitzer RL, Williams JB, Berry JT, Mokdad AH. The PHQ-8 as a measure of current depression in the general population. </w:t>
      </w:r>
      <w:r w:rsidRPr="00394B52">
        <w:rPr>
          <w:rFonts w:ascii="Times" w:eastAsia="Malgun Gothic" w:hAnsi="Times"/>
          <w:i/>
          <w:noProof/>
        </w:rPr>
        <w:t>J Affect Disord</w:t>
      </w:r>
      <w:r w:rsidRPr="00394B52">
        <w:rPr>
          <w:rFonts w:ascii="Times" w:eastAsia="Malgun Gothic" w:hAnsi="Times"/>
          <w:noProof/>
        </w:rPr>
        <w:t xml:space="preserve"> 2009; 114(1-3): 163-73.</w:t>
      </w:r>
    </w:p>
    <w:p w14:paraId="3E16C112" w14:textId="77777777" w:rsidR="00394B52" w:rsidRPr="00394B52" w:rsidRDefault="00394B52" w:rsidP="00394B52">
      <w:pPr>
        <w:spacing w:after="0" w:line="240" w:lineRule="auto"/>
        <w:jc w:val="left"/>
        <w:rPr>
          <w:rFonts w:ascii="Times" w:eastAsia="Malgun Gothic" w:hAnsi="Times"/>
          <w:noProof/>
        </w:rPr>
      </w:pPr>
      <w:r w:rsidRPr="00394B52">
        <w:rPr>
          <w:rFonts w:ascii="Times" w:eastAsia="Malgun Gothic" w:hAnsi="Times"/>
          <w:noProof/>
        </w:rPr>
        <w:t>11.</w:t>
      </w:r>
      <w:r w:rsidRPr="00394B52">
        <w:rPr>
          <w:rFonts w:ascii="Times" w:eastAsia="Malgun Gothic" w:hAnsi="Times"/>
          <w:noProof/>
        </w:rPr>
        <w:tab/>
        <w:t xml:space="preserve">Levis B, Benedetti A, Thombs BD. Accuracy of Patient Health Questionnaire-9 (PHQ-9) for screening to detect major depression: individual participant data meta-analysis. </w:t>
      </w:r>
      <w:r w:rsidRPr="00394B52">
        <w:rPr>
          <w:rFonts w:ascii="Times" w:eastAsia="Malgun Gothic" w:hAnsi="Times"/>
          <w:i/>
          <w:noProof/>
        </w:rPr>
        <w:t>Bmj</w:t>
      </w:r>
      <w:r w:rsidRPr="00394B52">
        <w:rPr>
          <w:rFonts w:ascii="Times" w:eastAsia="Malgun Gothic" w:hAnsi="Times"/>
          <w:noProof/>
        </w:rPr>
        <w:t xml:space="preserve"> 2019; 365: l1476.</w:t>
      </w:r>
    </w:p>
    <w:p w14:paraId="09F9B718" w14:textId="77777777" w:rsidR="00394B52" w:rsidRPr="00394B52" w:rsidRDefault="00394B52" w:rsidP="00394B52">
      <w:pPr>
        <w:spacing w:after="0" w:line="240" w:lineRule="auto"/>
        <w:jc w:val="left"/>
        <w:rPr>
          <w:rFonts w:ascii="Times" w:eastAsia="Malgun Gothic" w:hAnsi="Times"/>
          <w:noProof/>
        </w:rPr>
      </w:pPr>
      <w:r w:rsidRPr="00394B52">
        <w:rPr>
          <w:rFonts w:ascii="Times" w:eastAsia="Malgun Gothic" w:hAnsi="Times"/>
          <w:noProof/>
        </w:rPr>
        <w:t>12.</w:t>
      </w:r>
      <w:r w:rsidRPr="00394B52">
        <w:rPr>
          <w:rFonts w:ascii="Times" w:eastAsia="Malgun Gothic" w:hAnsi="Times"/>
          <w:noProof/>
        </w:rPr>
        <w:tab/>
        <w:t xml:space="preserve">Fink P, Ørnbøl E, Hansen MS, Søndergaard L, De Jonge P. Detecting mental disorders in general hospitals by the SCL-8 scale. </w:t>
      </w:r>
      <w:r w:rsidRPr="00394B52">
        <w:rPr>
          <w:rFonts w:ascii="Times" w:eastAsia="Malgun Gothic" w:hAnsi="Times"/>
          <w:i/>
          <w:noProof/>
        </w:rPr>
        <w:t>Journal of Psychosomatic Research</w:t>
      </w:r>
      <w:r w:rsidRPr="00394B52">
        <w:rPr>
          <w:rFonts w:ascii="Times" w:eastAsia="Malgun Gothic" w:hAnsi="Times"/>
          <w:noProof/>
        </w:rPr>
        <w:t xml:space="preserve"> 2004; 56(3): 371-5.</w:t>
      </w:r>
    </w:p>
    <w:p w14:paraId="4BF1C83E" w14:textId="77777777" w:rsidR="00394B52" w:rsidRPr="00394B52" w:rsidRDefault="00394B52" w:rsidP="00394B52">
      <w:pPr>
        <w:spacing w:after="0" w:line="240" w:lineRule="auto"/>
        <w:jc w:val="left"/>
        <w:rPr>
          <w:rFonts w:ascii="Times" w:eastAsia="Malgun Gothic" w:hAnsi="Times"/>
          <w:noProof/>
        </w:rPr>
      </w:pPr>
      <w:r w:rsidRPr="00394B52">
        <w:rPr>
          <w:rFonts w:ascii="Times" w:eastAsia="Malgun Gothic" w:hAnsi="Times"/>
          <w:noProof/>
        </w:rPr>
        <w:t>13.</w:t>
      </w:r>
      <w:r w:rsidRPr="00394B52">
        <w:rPr>
          <w:rFonts w:ascii="Times" w:eastAsia="Malgun Gothic" w:hAnsi="Times"/>
          <w:noProof/>
        </w:rPr>
        <w:tab/>
        <w:t xml:space="preserve">van der Westhuizen C, Wyatt G, Williams JK, Stein DJ, Sorsdahl K. Validation of the Self Reporting Questionnaire 20-Item (SRQ-20) for Use in a Low- and Middle-Income Country Emergency Centre Setting. </w:t>
      </w:r>
      <w:r w:rsidRPr="00394B52">
        <w:rPr>
          <w:rFonts w:ascii="Times" w:eastAsia="Malgun Gothic" w:hAnsi="Times"/>
          <w:i/>
          <w:noProof/>
        </w:rPr>
        <w:t>Int J Ment Health Addict</w:t>
      </w:r>
      <w:r w:rsidRPr="00394B52">
        <w:rPr>
          <w:rFonts w:ascii="Times" w:eastAsia="Malgun Gothic" w:hAnsi="Times"/>
          <w:noProof/>
        </w:rPr>
        <w:t xml:space="preserve"> 2016; 14(1): 37-48.</w:t>
      </w:r>
    </w:p>
    <w:p w14:paraId="159BD907" w14:textId="77777777" w:rsidR="00394B52" w:rsidRPr="00394B52" w:rsidRDefault="00394B52" w:rsidP="00394B52">
      <w:pPr>
        <w:widowControl/>
        <w:wordWrap/>
        <w:autoSpaceDE/>
        <w:autoSpaceDN/>
        <w:rPr>
          <w:rFonts w:ascii="Times" w:hAnsi="Times" w:cs="Times"/>
          <w:sz w:val="16"/>
          <w:szCs w:val="16"/>
        </w:rPr>
        <w:sectPr w:rsidR="00394B52" w:rsidRPr="00394B52" w:rsidSect="004610BE">
          <w:footerReference w:type="even" r:id="rId10"/>
          <w:footerReference w:type="default" r:id="rId11"/>
          <w:pgSz w:w="11906" w:h="16838"/>
          <w:pgMar w:top="720" w:right="720" w:bottom="720" w:left="720" w:header="851" w:footer="992" w:gutter="0"/>
          <w:cols w:space="425"/>
          <w:docGrid w:linePitch="360"/>
        </w:sectPr>
      </w:pPr>
    </w:p>
    <w:p w14:paraId="16E1A79B" w14:textId="77777777" w:rsidR="00394B52" w:rsidRPr="00394B52" w:rsidRDefault="00394B52" w:rsidP="00394B52">
      <w:pPr>
        <w:spacing w:after="0" w:line="240" w:lineRule="auto"/>
        <w:jc w:val="left"/>
        <w:rPr>
          <w:rFonts w:ascii="Times" w:eastAsia="Malgun Gothic" w:hAnsi="Times" w:cs="Times"/>
          <w:b/>
          <w:bCs/>
          <w:noProof/>
        </w:rPr>
      </w:pPr>
      <w:r w:rsidRPr="00394B52">
        <w:rPr>
          <w:rFonts w:ascii="Times" w:eastAsia="Malgun Gothic" w:hAnsi="Times" w:cs="Times"/>
          <w:b/>
          <w:bCs/>
          <w:noProof/>
        </w:rPr>
        <w:lastRenderedPageBreak/>
        <w:t>References of the included meta-analyses</w:t>
      </w:r>
    </w:p>
    <w:p w14:paraId="69E7926A" w14:textId="77777777" w:rsidR="00394B52" w:rsidRPr="00394B52" w:rsidRDefault="00394B52" w:rsidP="00394B52">
      <w:pPr>
        <w:spacing w:after="0" w:line="240" w:lineRule="auto"/>
        <w:jc w:val="left"/>
        <w:rPr>
          <w:rFonts w:ascii="Times" w:eastAsia="Malgun Gothic" w:hAnsi="Times" w:cs="Times"/>
          <w:noProof/>
        </w:rPr>
      </w:pPr>
    </w:p>
    <w:p w14:paraId="73E8D3AE"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1.</w:t>
      </w:r>
      <w:r w:rsidRPr="00394B52">
        <w:rPr>
          <w:rFonts w:ascii="Times" w:eastAsia="Malgun Gothic" w:hAnsi="Times" w:cs="Times"/>
          <w:noProof/>
        </w:rPr>
        <w:tab/>
        <w:t>Azami M, Badfar G, Khalighi Z, Qasemi P, Shohani M, Soleymani A, et al. The association between anemia and postpartum depression: A systematic review and meta-analysis. Caspian J Intern Med. 2019;10(2):115-24.</w:t>
      </w:r>
    </w:p>
    <w:p w14:paraId="460DBEFC"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2.</w:t>
      </w:r>
      <w:r w:rsidRPr="00394B52">
        <w:rPr>
          <w:rFonts w:ascii="Times" w:eastAsia="Malgun Gothic" w:hAnsi="Times" w:cs="Times"/>
          <w:noProof/>
        </w:rPr>
        <w:tab/>
        <w:t>Azami M, Badfar G, Soleymani A, Rahmati S. The association between gestational diabetes and postpartum depression: A systematic review and meta-analysis. Diabetes Res Clin Pract. 2019;149:147-55.</w:t>
      </w:r>
    </w:p>
    <w:p w14:paraId="18649E4B"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3.</w:t>
      </w:r>
      <w:r w:rsidRPr="00394B52">
        <w:rPr>
          <w:rFonts w:ascii="Times" w:eastAsia="Malgun Gothic" w:hAnsi="Times" w:cs="Times"/>
          <w:noProof/>
        </w:rPr>
        <w:tab/>
        <w:t>Bacchus LJ, Ranganathan M, Watts C, Devries K. Recent intimate partner violence against women and health: a systematic review and meta-analysis of cohort studies. BMJ Open. 2018;8(7):e019995.</w:t>
      </w:r>
    </w:p>
    <w:p w14:paraId="6719676E"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4.</w:t>
      </w:r>
      <w:r w:rsidRPr="00394B52">
        <w:rPr>
          <w:rFonts w:ascii="Times" w:eastAsia="Malgun Gothic" w:hAnsi="Times" w:cs="Times"/>
          <w:noProof/>
        </w:rPr>
        <w:tab/>
        <w:t>Beydoun HA, Beydoun MA, Kaufman JS, Lo B, Zonderman AB. Intimate partner violence against adult women and its association with major depressive disorder, depressive symptoms and postpartum depression: a systematic review and meta-analysis. Soc Sci Med. 2012;75(6):959-75.</w:t>
      </w:r>
    </w:p>
    <w:p w14:paraId="54A1CC0A"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5.</w:t>
      </w:r>
      <w:r w:rsidRPr="00394B52">
        <w:rPr>
          <w:rFonts w:ascii="Times" w:eastAsia="Malgun Gothic" w:hAnsi="Times" w:cs="Times"/>
          <w:noProof/>
        </w:rPr>
        <w:tab/>
        <w:t>Cao S, Jones M, Tooth L, Mishra GD. History of premenstrual syndrome and development of postpartum depression: A systematic review and meta-analysis. J Psychiatr Res. 2020;121:82-90.</w:t>
      </w:r>
    </w:p>
    <w:p w14:paraId="5E1D76BE"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6.</w:t>
      </w:r>
      <w:r w:rsidRPr="00394B52">
        <w:rPr>
          <w:rFonts w:ascii="Times" w:eastAsia="Malgun Gothic" w:hAnsi="Times" w:cs="Times"/>
          <w:noProof/>
        </w:rPr>
        <w:tab/>
        <w:t>Chen HL, Cai JY, Zha ML, Shen WQ. Prenatal smoking and postpartum depression: a meta-analysis. J Psychosom Obstet Gynaecol. 2019;40(2):97-105.</w:t>
      </w:r>
    </w:p>
    <w:p w14:paraId="2B61526F"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7.</w:t>
      </w:r>
      <w:r w:rsidRPr="00394B52">
        <w:rPr>
          <w:rFonts w:ascii="Times" w:eastAsia="Malgun Gothic" w:hAnsi="Times" w:cs="Times"/>
          <w:noProof/>
        </w:rPr>
        <w:tab/>
        <w:t>Dachew BA, Ayano G, Betts K, Alati R. The impact of pre-pregnancy BMI on maternal depressive and anxiety symptoms during pregnancy and the postpartum period: A systematic review and meta-analysis. J Affect Disord. 2021;281:321-30.</w:t>
      </w:r>
    </w:p>
    <w:p w14:paraId="4FA42605"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8.</w:t>
      </w:r>
      <w:r w:rsidRPr="00394B52">
        <w:rPr>
          <w:rFonts w:ascii="Times" w:eastAsia="Malgun Gothic" w:hAnsi="Times" w:cs="Times"/>
          <w:noProof/>
        </w:rPr>
        <w:tab/>
        <w:t>Dadi AF, Akalu TY, Baraki AG, Wolde HF. Epidemiology of postnatal depression and its associated factors in Africa: A systematic review and meta-analysis. PLoS One. 2020;15(4):e0231940.</w:t>
      </w:r>
    </w:p>
    <w:p w14:paraId="67536269"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9.</w:t>
      </w:r>
      <w:r w:rsidRPr="00394B52">
        <w:rPr>
          <w:rFonts w:ascii="Times" w:eastAsia="Malgun Gothic" w:hAnsi="Times" w:cs="Times"/>
          <w:noProof/>
        </w:rPr>
        <w:tab/>
        <w:t>de Paula Eduardo JAF, de Rezende MG, Menezes PR, Del-Ben CM. Preterm birth as a risk factor for postpartum depression: A systematic review and meta-analysis. J Affect Disord. 2019;259:392-403.</w:t>
      </w:r>
    </w:p>
    <w:p w14:paraId="04F332C3"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10.</w:t>
      </w:r>
      <w:r w:rsidRPr="00394B52">
        <w:rPr>
          <w:rFonts w:ascii="Times" w:eastAsia="Malgun Gothic" w:hAnsi="Times" w:cs="Times"/>
          <w:noProof/>
        </w:rPr>
        <w:tab/>
        <w:t>Desta M, Memiah P, Kassie B, Ketema DB, Amha H, Getaneh T, et al. Postpartum depression and its association with intimate partner violence and inadequate social support in Ethiopia: a systematic review and meta-analysis. J Affect Disord. 2021;279:737-48.</w:t>
      </w:r>
    </w:p>
    <w:p w14:paraId="00EF0370"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11.</w:t>
      </w:r>
      <w:r w:rsidRPr="00394B52">
        <w:rPr>
          <w:rFonts w:ascii="Times" w:eastAsia="Malgun Gothic" w:hAnsi="Times" w:cs="Times"/>
          <w:noProof/>
        </w:rPr>
        <w:tab/>
        <w:t>Falah-Hassani K, Shiri R, Vigod S, Dennis CL. Prevalence of postpartum depression among immigrant women: A systematic review and meta-analysis. J Psychiatr Res. 2015;70:67-82.</w:t>
      </w:r>
    </w:p>
    <w:p w14:paraId="6C6393AF"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12.</w:t>
      </w:r>
      <w:r w:rsidRPr="00394B52">
        <w:rPr>
          <w:rFonts w:ascii="Times" w:eastAsia="Malgun Gothic" w:hAnsi="Times" w:cs="Times"/>
          <w:noProof/>
        </w:rPr>
        <w:tab/>
        <w:t>Grigoriadis S, Graves L, Peer M, Mamisashvili L, Tomlinson G, Vigod SN, et al. A systematic review and meta-analysis of the effects of antenatal anxiety on postpartum outcomes. Arch Womens Ment Health. 2019;22(5):543-56.</w:t>
      </w:r>
    </w:p>
    <w:p w14:paraId="4325A307"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13.</w:t>
      </w:r>
      <w:r w:rsidRPr="00394B52">
        <w:rPr>
          <w:rFonts w:ascii="Times" w:eastAsia="Malgun Gothic" w:hAnsi="Times" w:cs="Times"/>
          <w:noProof/>
        </w:rPr>
        <w:tab/>
        <w:t>Howard LM, Oram S, Galley H, Trevillion K, Feder G. Domestic violence and perinatal mental disorders: a systematic review and meta-analysis. PLoS Med. 2013;10(5):e1001452.</w:t>
      </w:r>
    </w:p>
    <w:p w14:paraId="15EC0BB4"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14.</w:t>
      </w:r>
      <w:r w:rsidRPr="00394B52">
        <w:rPr>
          <w:rFonts w:ascii="Times" w:eastAsia="Malgun Gothic" w:hAnsi="Times" w:cs="Times"/>
          <w:noProof/>
        </w:rPr>
        <w:tab/>
        <w:t>Kang SY, Kim HB, Sunwoo S. Association between anemia and maternal depression: A systematic review and meta-analysis. J Psychiatr Res. 2020;122:88-96.</w:t>
      </w:r>
    </w:p>
    <w:p w14:paraId="1B89A8CC"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15.</w:t>
      </w:r>
      <w:r w:rsidRPr="00394B52">
        <w:rPr>
          <w:rFonts w:ascii="Times" w:eastAsia="Malgun Gothic" w:hAnsi="Times" w:cs="Times"/>
          <w:noProof/>
        </w:rPr>
        <w:tab/>
        <w:t>Kountanis JA, Vahabzadeh C, Bauer S, Muzik M, Cassidy R, Aman C, et al. Labor epidural analgesia and the risk of postpartum depression: A meta-analysis of observational studies. J Clin Anesth. 2020;61:109658.</w:t>
      </w:r>
    </w:p>
    <w:p w14:paraId="0B1D5AA0"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16.</w:t>
      </w:r>
      <w:r w:rsidRPr="00394B52">
        <w:rPr>
          <w:rFonts w:ascii="Times" w:eastAsia="Malgun Gothic" w:hAnsi="Times" w:cs="Times"/>
          <w:noProof/>
        </w:rPr>
        <w:tab/>
        <w:t>Lin PY, Chang CH, Chong MF, Chen H, Su KP. Polyunsaturated Fatty Acids in Perinatal Depression: A Systematic Review and Meta-analysis. Biol Psychiatry. 2017;82(8):560-9.</w:t>
      </w:r>
    </w:p>
    <w:p w14:paraId="002A6EAA"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17.</w:t>
      </w:r>
      <w:r w:rsidRPr="00394B52">
        <w:rPr>
          <w:rFonts w:ascii="Times" w:eastAsia="Malgun Gothic" w:hAnsi="Times" w:cs="Times"/>
          <w:noProof/>
        </w:rPr>
        <w:tab/>
        <w:t>Minaldi E, D'Andrea S, Castellini C, Martorella A, Francavilla F, Francavilla S, et al. Thyroid autoimmunity and risk of post-partum depression: a systematic review and meta-analysis of longitudinal studies. J Endocrinol Invest. 2020;43(3):271-7.</w:t>
      </w:r>
    </w:p>
    <w:p w14:paraId="76E42E9F"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18.</w:t>
      </w:r>
      <w:r w:rsidRPr="00394B52">
        <w:rPr>
          <w:rFonts w:ascii="Times" w:eastAsia="Malgun Gothic" w:hAnsi="Times" w:cs="Times"/>
          <w:noProof/>
        </w:rPr>
        <w:tab/>
        <w:t>Moameri H, Ostadghaderi M, Khatooni E, Doosti-Irani A. Association of postpartum depression and cesarean section: A systematic review and meta-analysis. Clinical Epidemiology and Global Health. 2019;7(3):471-80.</w:t>
      </w:r>
    </w:p>
    <w:p w14:paraId="2ADD72D0"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19.</w:t>
      </w:r>
      <w:r w:rsidRPr="00394B52">
        <w:rPr>
          <w:rFonts w:ascii="Times" w:eastAsia="Malgun Gothic" w:hAnsi="Times" w:cs="Times"/>
          <w:noProof/>
        </w:rPr>
        <w:tab/>
        <w:t>Tokumitsu K, Sugawara N, Maruo K, Suzuki T, Shimoda K, Yasui-Furukori N. Prevalence of perinatal depression among Japanese women: a meta-analysis. Ann Gen Psychiatry. 2020;19:41.</w:t>
      </w:r>
    </w:p>
    <w:p w14:paraId="0C8A70C1"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20.</w:t>
      </w:r>
      <w:r w:rsidRPr="00394B52">
        <w:rPr>
          <w:rFonts w:ascii="Times" w:eastAsia="Malgun Gothic" w:hAnsi="Times" w:cs="Times"/>
          <w:noProof/>
        </w:rPr>
        <w:tab/>
        <w:t>Tolossa T, Fetensa G, Yilma MT, Abadiga M, Wakuma B, Besho M, et al. Postpartum depression and associated factors among postpartum women in Ethiopia: a systematic review and meta-analysis, 2020. Public Health Rev. 2020;41:21.</w:t>
      </w:r>
    </w:p>
    <w:p w14:paraId="361451C3"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21.</w:t>
      </w:r>
      <w:r w:rsidRPr="00394B52">
        <w:rPr>
          <w:rFonts w:ascii="Times" w:eastAsia="Malgun Gothic" w:hAnsi="Times" w:cs="Times"/>
          <w:noProof/>
        </w:rPr>
        <w:tab/>
        <w:t>Wang J, Liu N, Sun W, Chen D, Zhao J, Zhang W. Association between vitamin D deficiency and antepartum and postpartum depression: a systematic review and meta-analysis of longitudinal studies. Arch Gynecol Obstet. 2018;298(6):1045-59.</w:t>
      </w:r>
    </w:p>
    <w:p w14:paraId="449181C7"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22.</w:t>
      </w:r>
      <w:r w:rsidRPr="00394B52">
        <w:rPr>
          <w:rFonts w:ascii="Times" w:eastAsia="Malgun Gothic" w:hAnsi="Times" w:cs="Times"/>
          <w:noProof/>
        </w:rPr>
        <w:tab/>
        <w:t>Yang Z, Zhu Z, Wang C, Zhang F, Zeng H. Association between adverse perinatal outcomes and sleep disturbances during pregnancy: a systematic review and meta-analysis. J Matern Fetal Neonatal Med. 2020:1-9.</w:t>
      </w:r>
    </w:p>
    <w:p w14:paraId="1D2C8444"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lastRenderedPageBreak/>
        <w:t>23.</w:t>
      </w:r>
      <w:r w:rsidRPr="00394B52">
        <w:rPr>
          <w:rFonts w:ascii="Times" w:eastAsia="Malgun Gothic" w:hAnsi="Times" w:cs="Times"/>
          <w:noProof/>
        </w:rPr>
        <w:tab/>
        <w:t>Yargawa J, Leonardi-Bee J. Male involvement and maternal health outcomes: systematic review and meta-analysis. J Epidemiol Community Health. 2015;69(6):604-12.</w:t>
      </w:r>
    </w:p>
    <w:p w14:paraId="4FDAD76E"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24.</w:t>
      </w:r>
      <w:r w:rsidRPr="00394B52">
        <w:rPr>
          <w:rFonts w:ascii="Times" w:eastAsia="Malgun Gothic" w:hAnsi="Times" w:cs="Times"/>
          <w:noProof/>
        </w:rPr>
        <w:tab/>
        <w:t>Ye Z, Wang L, Yang T, Chen LZ, Wang T, Chen L, et al. Gender of infant and risk of postpartum depression: a meta-analysis based on cohort and case-control studies. J Matern Fetal Neonatal Med. 2020:1-10.</w:t>
      </w:r>
    </w:p>
    <w:p w14:paraId="19876FAE"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25.</w:t>
      </w:r>
      <w:r w:rsidRPr="00394B52">
        <w:rPr>
          <w:rFonts w:ascii="Times" w:eastAsia="Malgun Gothic" w:hAnsi="Times" w:cs="Times"/>
          <w:noProof/>
        </w:rPr>
        <w:tab/>
        <w:t>Zhang S, Wang L, Yang T, Chen L, Qiu X, Wang T, et al. Maternal violence experiences and risk of postpartum depression: A meta-analysis of cohort studies. Eur Psychiatry. 2019;55:90-101.</w:t>
      </w:r>
    </w:p>
    <w:p w14:paraId="7BD41C15"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26.</w:t>
      </w:r>
      <w:r w:rsidRPr="00394B52">
        <w:rPr>
          <w:rFonts w:ascii="Times" w:eastAsia="Malgun Gothic" w:hAnsi="Times" w:cs="Times"/>
          <w:noProof/>
        </w:rPr>
        <w:tab/>
        <w:t>Zhu QY, Huang DS, Lv JD, Guan P, Bai XH. Prevalence of perinatal depression among HIV-positive women: a systematic review and meta-analysis. BMC Psychiatry. 2019;19(1):330.</w:t>
      </w:r>
    </w:p>
    <w:p w14:paraId="13464279"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27.</w:t>
      </w:r>
      <w:r w:rsidRPr="00394B52">
        <w:rPr>
          <w:rFonts w:ascii="Times" w:eastAsia="Malgun Gothic" w:hAnsi="Times" w:cs="Times"/>
          <w:noProof/>
        </w:rPr>
        <w:tab/>
        <w:t>Molyneaux E, Poston L, Ashurst-Williams S, Howard LM. Obesity and mental disorders during pregnancy and postpartum: a systematic review and meta-analysis. Obstet Gynecol. 2014;123(4):857-67.</w:t>
      </w:r>
    </w:p>
    <w:p w14:paraId="0970E4B7"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28.</w:t>
      </w:r>
      <w:r w:rsidRPr="00394B52">
        <w:rPr>
          <w:rFonts w:ascii="Times" w:eastAsia="Malgun Gothic" w:hAnsi="Times" w:cs="Times"/>
          <w:noProof/>
        </w:rPr>
        <w:tab/>
        <w:t>Necho M, Abadisharew M, Getachew Y. A Systematic Review and Meta-analysis of Depression in Postpartum Women in a Low-income Country; Ethiopia, 2020. The Open Public Health Journal. 2020;13(1).</w:t>
      </w:r>
    </w:p>
    <w:p w14:paraId="4B030244"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29.</w:t>
      </w:r>
      <w:r w:rsidRPr="00394B52">
        <w:rPr>
          <w:rFonts w:ascii="Times" w:eastAsia="Malgun Gothic" w:hAnsi="Times" w:cs="Times"/>
          <w:noProof/>
        </w:rPr>
        <w:tab/>
        <w:t>Qiu X, Zhang S, Sun X, Li H, Wang D. Unintended pregnancy and postpartum depression: A meta-analysis of cohort and case-control studies. J Psychosom Res. 2020;138:110259.</w:t>
      </w:r>
    </w:p>
    <w:p w14:paraId="4D7AD6F9" w14:textId="77777777" w:rsidR="00394B52" w:rsidRPr="00394B52" w:rsidRDefault="00394B52" w:rsidP="00394B52">
      <w:pPr>
        <w:spacing w:after="0" w:line="240" w:lineRule="auto"/>
        <w:jc w:val="left"/>
        <w:rPr>
          <w:rFonts w:ascii="Times" w:eastAsia="Malgun Gothic" w:hAnsi="Times" w:cs="Times"/>
          <w:noProof/>
        </w:rPr>
      </w:pPr>
      <w:r w:rsidRPr="00394B52">
        <w:rPr>
          <w:rFonts w:ascii="Times" w:eastAsia="Malgun Gothic" w:hAnsi="Times" w:cs="Times"/>
          <w:noProof/>
        </w:rPr>
        <w:t>30.</w:t>
      </w:r>
      <w:r w:rsidRPr="00394B52">
        <w:rPr>
          <w:rFonts w:ascii="Times" w:eastAsia="Malgun Gothic" w:hAnsi="Times" w:cs="Times"/>
          <w:noProof/>
        </w:rPr>
        <w:tab/>
        <w:t>Tan Q, Liu S, Chen D. Poor vitamin D status and the risk of maternal depression: a dose-response meta-analysis of observational studies. Public Health Nutr. 2021;24(8):2161-70.</w:t>
      </w:r>
    </w:p>
    <w:p w14:paraId="7C95FA5A" w14:textId="77777777" w:rsidR="00394B52" w:rsidRPr="00394B52" w:rsidRDefault="00394B52" w:rsidP="00394B52">
      <w:pPr>
        <w:widowControl/>
        <w:wordWrap/>
        <w:autoSpaceDE/>
        <w:autoSpaceDN/>
        <w:rPr>
          <w:rFonts w:ascii="Times" w:hAnsi="Times" w:cs="Times"/>
          <w:b/>
          <w:bCs/>
        </w:rPr>
        <w:sectPr w:rsidR="00394B52" w:rsidRPr="00394B52" w:rsidSect="00B64505">
          <w:pgSz w:w="16838" w:h="11906" w:orient="landscape"/>
          <w:pgMar w:top="720" w:right="720" w:bottom="720" w:left="720" w:header="851" w:footer="992" w:gutter="0"/>
          <w:cols w:space="425"/>
          <w:docGrid w:linePitch="360"/>
        </w:sectPr>
      </w:pPr>
      <w:r w:rsidRPr="00394B52">
        <w:rPr>
          <w:rFonts w:ascii="Times" w:hAnsi="Times" w:cs="Times"/>
          <w:b/>
          <w:bCs/>
        </w:rPr>
        <w:br w:type="page"/>
      </w:r>
    </w:p>
    <w:p w14:paraId="20B23E1E" w14:textId="77777777" w:rsidR="00394B52" w:rsidRPr="00394B52" w:rsidRDefault="00394B52" w:rsidP="00394B52">
      <w:pPr>
        <w:jc w:val="left"/>
        <w:rPr>
          <w:rFonts w:ascii="Times" w:hAnsi="Times" w:cs="Times"/>
          <w:b/>
          <w:bCs/>
        </w:rPr>
      </w:pPr>
      <w:r w:rsidRPr="00394B52">
        <w:rPr>
          <w:rFonts w:ascii="Times" w:hAnsi="Times" w:cs="Times"/>
          <w:b/>
          <w:bCs/>
        </w:rPr>
        <w:lastRenderedPageBreak/>
        <w:t>The list of excluded meta-analyses by full text screening with exclusion reason</w:t>
      </w:r>
    </w:p>
    <w:tbl>
      <w:tblPr>
        <w:tblW w:w="10302" w:type="dxa"/>
        <w:tblCellMar>
          <w:left w:w="99" w:type="dxa"/>
          <w:right w:w="99" w:type="dxa"/>
        </w:tblCellMar>
        <w:tblLook w:val="04A0" w:firstRow="1" w:lastRow="0" w:firstColumn="1" w:lastColumn="0" w:noHBand="0" w:noVBand="1"/>
      </w:tblPr>
      <w:tblGrid>
        <w:gridCol w:w="2542"/>
        <w:gridCol w:w="7760"/>
      </w:tblGrid>
      <w:tr w:rsidR="00394B52" w:rsidRPr="00394B52" w14:paraId="225EB2B7" w14:textId="77777777" w:rsidTr="00E01118">
        <w:trPr>
          <w:trHeight w:val="19"/>
        </w:trPr>
        <w:tc>
          <w:tcPr>
            <w:tcW w:w="254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105BC4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Abajobir</w:t>
            </w:r>
            <w:proofErr w:type="spellEnd"/>
            <w:r w:rsidRPr="00394B52">
              <w:rPr>
                <w:rFonts w:ascii="Times" w:eastAsia="Malgun Gothic" w:hAnsi="Times" w:cs="Times"/>
                <w:color w:val="000000"/>
                <w:kern w:val="0"/>
                <w:szCs w:val="20"/>
              </w:rPr>
              <w:t>, et al. 2016</w:t>
            </w:r>
            <w:r w:rsidRPr="00394B52">
              <w:rPr>
                <w:rFonts w:ascii="Times" w:eastAsia="Malgun Gothic" w:hAnsi="Times" w:cs="Times"/>
                <w:noProof/>
                <w:color w:val="000000"/>
                <w:kern w:val="0"/>
                <w:szCs w:val="20"/>
                <w:vertAlign w:val="superscript"/>
              </w:rPr>
              <w:t>1</w:t>
            </w:r>
          </w:p>
        </w:tc>
        <w:tc>
          <w:tcPr>
            <w:tcW w:w="7760" w:type="dxa"/>
            <w:tcBorders>
              <w:top w:val="single" w:sz="8" w:space="0" w:color="auto"/>
              <w:left w:val="nil"/>
              <w:bottom w:val="single" w:sz="8" w:space="0" w:color="auto"/>
              <w:right w:val="single" w:sz="8" w:space="0" w:color="auto"/>
            </w:tcBorders>
            <w:shd w:val="clear" w:color="auto" w:fill="auto"/>
            <w:vAlign w:val="center"/>
            <w:hideMark/>
          </w:tcPr>
          <w:p w14:paraId="041485D3"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Another larger meta-analysis of same topic was included</w:t>
            </w:r>
          </w:p>
        </w:tc>
      </w:tr>
      <w:tr w:rsidR="00394B52" w:rsidRPr="00394B52" w14:paraId="1FAC5D6C"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5FADFC3"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Almeida, et al. 2020</w:t>
            </w:r>
            <w:r w:rsidRPr="00394B52">
              <w:rPr>
                <w:rFonts w:ascii="Times" w:eastAsia="Malgun Gothic" w:hAnsi="Times" w:cs="Times"/>
                <w:noProof/>
                <w:color w:val="000000"/>
                <w:kern w:val="0"/>
                <w:szCs w:val="20"/>
                <w:vertAlign w:val="superscript"/>
              </w:rPr>
              <w:t>2</w:t>
            </w:r>
          </w:p>
        </w:tc>
        <w:tc>
          <w:tcPr>
            <w:tcW w:w="7760" w:type="dxa"/>
            <w:tcBorders>
              <w:top w:val="nil"/>
              <w:left w:val="nil"/>
              <w:bottom w:val="single" w:sz="8" w:space="0" w:color="auto"/>
              <w:right w:val="single" w:sz="8" w:space="0" w:color="auto"/>
            </w:tcBorders>
            <w:shd w:val="clear" w:color="auto" w:fill="auto"/>
            <w:vAlign w:val="center"/>
            <w:hideMark/>
          </w:tcPr>
          <w:p w14:paraId="2467080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Another larger meta-analysis of same topic was included</w:t>
            </w:r>
          </w:p>
        </w:tc>
      </w:tr>
      <w:tr w:rsidR="00394B52" w:rsidRPr="00394B52" w14:paraId="789CE698"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3288C064"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Arafa, et al. 2019</w:t>
            </w:r>
            <w:r w:rsidRPr="00394B52">
              <w:rPr>
                <w:rFonts w:ascii="Times" w:eastAsia="Malgun Gothic" w:hAnsi="Times" w:cs="Times"/>
                <w:noProof/>
                <w:color w:val="000000"/>
                <w:kern w:val="0"/>
                <w:szCs w:val="20"/>
                <w:vertAlign w:val="superscript"/>
              </w:rPr>
              <w:t>3</w:t>
            </w:r>
          </w:p>
        </w:tc>
        <w:tc>
          <w:tcPr>
            <w:tcW w:w="7760" w:type="dxa"/>
            <w:tcBorders>
              <w:top w:val="nil"/>
              <w:left w:val="nil"/>
              <w:bottom w:val="single" w:sz="8" w:space="0" w:color="auto"/>
              <w:right w:val="single" w:sz="8" w:space="0" w:color="auto"/>
            </w:tcBorders>
            <w:shd w:val="clear" w:color="auto" w:fill="auto"/>
            <w:vAlign w:val="center"/>
            <w:hideMark/>
          </w:tcPr>
          <w:p w14:paraId="4349931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Another larger meta-analysis of same topic was included</w:t>
            </w:r>
          </w:p>
        </w:tc>
      </w:tr>
      <w:tr w:rsidR="00394B52" w:rsidRPr="00394B52" w14:paraId="7DF0B6AC"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36473E1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Sun, et al. 2020</w:t>
            </w:r>
            <w:r w:rsidRPr="00394B52">
              <w:rPr>
                <w:rFonts w:ascii="Times" w:eastAsia="Malgun Gothic" w:hAnsi="Times" w:cs="Times"/>
                <w:noProof/>
                <w:color w:val="000000"/>
                <w:kern w:val="0"/>
                <w:szCs w:val="20"/>
                <w:vertAlign w:val="superscript"/>
              </w:rPr>
              <w:t>4</w:t>
            </w:r>
          </w:p>
        </w:tc>
        <w:tc>
          <w:tcPr>
            <w:tcW w:w="7760" w:type="dxa"/>
            <w:tcBorders>
              <w:top w:val="nil"/>
              <w:left w:val="nil"/>
              <w:bottom w:val="single" w:sz="8" w:space="0" w:color="auto"/>
              <w:right w:val="single" w:sz="8" w:space="0" w:color="auto"/>
            </w:tcBorders>
            <w:shd w:val="clear" w:color="auto" w:fill="auto"/>
            <w:vAlign w:val="center"/>
            <w:hideMark/>
          </w:tcPr>
          <w:p w14:paraId="6626EA20"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Another larger meta-analysis of same topic was included</w:t>
            </w:r>
          </w:p>
        </w:tc>
      </w:tr>
      <w:tr w:rsidR="00394B52" w:rsidRPr="00394B52" w14:paraId="0750F1F6"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169CD7A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Wilson, et al. 2020</w:t>
            </w:r>
            <w:r w:rsidRPr="00394B52">
              <w:rPr>
                <w:rFonts w:ascii="Times" w:eastAsia="Malgun Gothic" w:hAnsi="Times" w:cs="Times"/>
                <w:noProof/>
                <w:color w:val="000000"/>
                <w:kern w:val="0"/>
                <w:szCs w:val="20"/>
                <w:vertAlign w:val="superscript"/>
              </w:rPr>
              <w:t>5</w:t>
            </w:r>
          </w:p>
        </w:tc>
        <w:tc>
          <w:tcPr>
            <w:tcW w:w="7760" w:type="dxa"/>
            <w:tcBorders>
              <w:top w:val="nil"/>
              <w:left w:val="nil"/>
              <w:bottom w:val="single" w:sz="8" w:space="0" w:color="auto"/>
              <w:right w:val="single" w:sz="8" w:space="0" w:color="auto"/>
            </w:tcBorders>
            <w:shd w:val="clear" w:color="auto" w:fill="auto"/>
            <w:vAlign w:val="center"/>
            <w:hideMark/>
          </w:tcPr>
          <w:p w14:paraId="1A09DC3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Another larger meta-analysis of same topic was included</w:t>
            </w:r>
          </w:p>
        </w:tc>
      </w:tr>
      <w:tr w:rsidR="00394B52" w:rsidRPr="00394B52" w14:paraId="754C4996"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75F19A6"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Wu, et al. 2012</w:t>
            </w:r>
            <w:r w:rsidRPr="00394B52">
              <w:rPr>
                <w:rFonts w:ascii="Times" w:eastAsia="Malgun Gothic" w:hAnsi="Times" w:cs="Times"/>
                <w:noProof/>
                <w:color w:val="000000"/>
                <w:kern w:val="0"/>
                <w:szCs w:val="20"/>
                <w:vertAlign w:val="superscript"/>
              </w:rPr>
              <w:t>6</w:t>
            </w:r>
          </w:p>
        </w:tc>
        <w:tc>
          <w:tcPr>
            <w:tcW w:w="7760" w:type="dxa"/>
            <w:tcBorders>
              <w:top w:val="nil"/>
              <w:left w:val="nil"/>
              <w:bottom w:val="single" w:sz="8" w:space="0" w:color="auto"/>
              <w:right w:val="single" w:sz="8" w:space="0" w:color="auto"/>
            </w:tcBorders>
            <w:shd w:val="clear" w:color="auto" w:fill="auto"/>
            <w:vAlign w:val="center"/>
            <w:hideMark/>
          </w:tcPr>
          <w:p w14:paraId="2667C06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Another larger meta-analysis of same topic was included</w:t>
            </w:r>
          </w:p>
        </w:tc>
      </w:tr>
      <w:tr w:rsidR="00394B52" w:rsidRPr="00394B52" w14:paraId="14C69337"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AB0057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Xu, et al. 2017</w:t>
            </w:r>
            <w:r w:rsidRPr="00394B52">
              <w:rPr>
                <w:rFonts w:ascii="Times" w:eastAsia="Malgun Gothic" w:hAnsi="Times" w:cs="Times"/>
                <w:noProof/>
                <w:color w:val="000000"/>
                <w:kern w:val="0"/>
                <w:szCs w:val="20"/>
                <w:vertAlign w:val="superscript"/>
              </w:rPr>
              <w:t>7</w:t>
            </w:r>
          </w:p>
        </w:tc>
        <w:tc>
          <w:tcPr>
            <w:tcW w:w="7760" w:type="dxa"/>
            <w:tcBorders>
              <w:top w:val="nil"/>
              <w:left w:val="nil"/>
              <w:bottom w:val="single" w:sz="8" w:space="0" w:color="auto"/>
              <w:right w:val="single" w:sz="8" w:space="0" w:color="auto"/>
            </w:tcBorders>
            <w:shd w:val="clear" w:color="auto" w:fill="auto"/>
            <w:vAlign w:val="center"/>
            <w:hideMark/>
          </w:tcPr>
          <w:p w14:paraId="1DCE776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Another larger meta-analysis of same topic was included</w:t>
            </w:r>
          </w:p>
        </w:tc>
      </w:tr>
      <w:tr w:rsidR="00394B52" w:rsidRPr="00394B52" w14:paraId="45D08497"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10A69B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Bahadoran</w:t>
            </w:r>
            <w:proofErr w:type="spellEnd"/>
            <w:r w:rsidRPr="00394B52">
              <w:rPr>
                <w:rFonts w:ascii="Times" w:eastAsia="Malgun Gothic" w:hAnsi="Times" w:cs="Times"/>
                <w:color w:val="000000"/>
                <w:kern w:val="0"/>
                <w:szCs w:val="20"/>
              </w:rPr>
              <w:t>, et al. 2014</w:t>
            </w:r>
            <w:r w:rsidRPr="00394B52">
              <w:rPr>
                <w:rFonts w:ascii="Times" w:eastAsia="Malgun Gothic" w:hAnsi="Times" w:cs="Times"/>
                <w:noProof/>
                <w:color w:val="000000"/>
                <w:kern w:val="0"/>
                <w:szCs w:val="20"/>
                <w:vertAlign w:val="superscript"/>
              </w:rPr>
              <w:t>8</w:t>
            </w:r>
          </w:p>
        </w:tc>
        <w:tc>
          <w:tcPr>
            <w:tcW w:w="7760" w:type="dxa"/>
            <w:tcBorders>
              <w:top w:val="nil"/>
              <w:left w:val="nil"/>
              <w:bottom w:val="single" w:sz="8" w:space="0" w:color="auto"/>
              <w:right w:val="single" w:sz="8" w:space="0" w:color="auto"/>
            </w:tcBorders>
            <w:shd w:val="clear" w:color="auto" w:fill="auto"/>
            <w:vAlign w:val="center"/>
            <w:hideMark/>
          </w:tcPr>
          <w:p w14:paraId="2785746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6D4BE1E0"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6B7B6C8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Beck, et al. 1996</w:t>
            </w:r>
            <w:r w:rsidRPr="00394B52">
              <w:rPr>
                <w:rFonts w:ascii="Times" w:eastAsia="Malgun Gothic" w:hAnsi="Times" w:cs="Times"/>
                <w:noProof/>
                <w:color w:val="000000"/>
                <w:kern w:val="0"/>
                <w:szCs w:val="20"/>
                <w:vertAlign w:val="superscript"/>
              </w:rPr>
              <w:t>9</w:t>
            </w:r>
          </w:p>
        </w:tc>
        <w:tc>
          <w:tcPr>
            <w:tcW w:w="7760" w:type="dxa"/>
            <w:tcBorders>
              <w:top w:val="nil"/>
              <w:left w:val="nil"/>
              <w:bottom w:val="single" w:sz="8" w:space="0" w:color="auto"/>
              <w:right w:val="single" w:sz="8" w:space="0" w:color="auto"/>
            </w:tcBorders>
            <w:shd w:val="clear" w:color="auto" w:fill="auto"/>
            <w:vAlign w:val="center"/>
            <w:hideMark/>
          </w:tcPr>
          <w:p w14:paraId="78FF181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30E82D79"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13253F2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Beck, et al. 2001</w:t>
            </w:r>
            <w:r w:rsidRPr="00394B52">
              <w:rPr>
                <w:rFonts w:ascii="Times" w:eastAsia="Malgun Gothic" w:hAnsi="Times" w:cs="Times"/>
                <w:noProof/>
                <w:color w:val="000000"/>
                <w:kern w:val="0"/>
                <w:szCs w:val="20"/>
                <w:vertAlign w:val="superscript"/>
              </w:rPr>
              <w:t>10</w:t>
            </w:r>
          </w:p>
        </w:tc>
        <w:tc>
          <w:tcPr>
            <w:tcW w:w="7760" w:type="dxa"/>
            <w:tcBorders>
              <w:top w:val="nil"/>
              <w:left w:val="nil"/>
              <w:bottom w:val="single" w:sz="8" w:space="0" w:color="auto"/>
              <w:right w:val="single" w:sz="8" w:space="0" w:color="auto"/>
            </w:tcBorders>
            <w:shd w:val="clear" w:color="auto" w:fill="auto"/>
            <w:vAlign w:val="center"/>
            <w:hideMark/>
          </w:tcPr>
          <w:p w14:paraId="16F4302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3D8964AA"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625449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Caropreso</w:t>
            </w:r>
            <w:proofErr w:type="spellEnd"/>
            <w:r w:rsidRPr="00394B52">
              <w:rPr>
                <w:rFonts w:ascii="Times" w:eastAsia="Malgun Gothic" w:hAnsi="Times" w:cs="Times"/>
                <w:color w:val="000000"/>
                <w:kern w:val="0"/>
                <w:szCs w:val="20"/>
              </w:rPr>
              <w:t>, et al. 2020</w:t>
            </w:r>
            <w:r w:rsidRPr="00394B52">
              <w:rPr>
                <w:rFonts w:ascii="Times" w:eastAsia="Malgun Gothic" w:hAnsi="Times" w:cs="Times"/>
                <w:noProof/>
                <w:color w:val="000000"/>
                <w:kern w:val="0"/>
                <w:szCs w:val="20"/>
                <w:vertAlign w:val="superscript"/>
              </w:rPr>
              <w:t>11</w:t>
            </w:r>
          </w:p>
        </w:tc>
        <w:tc>
          <w:tcPr>
            <w:tcW w:w="7760" w:type="dxa"/>
            <w:tcBorders>
              <w:top w:val="nil"/>
              <w:left w:val="nil"/>
              <w:bottom w:val="single" w:sz="8" w:space="0" w:color="auto"/>
              <w:right w:val="single" w:sz="8" w:space="0" w:color="auto"/>
            </w:tcBorders>
            <w:shd w:val="clear" w:color="auto" w:fill="auto"/>
            <w:vAlign w:val="center"/>
            <w:hideMark/>
          </w:tcPr>
          <w:p w14:paraId="6EC603B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4ED73BF7"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AE797D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Cluxton</w:t>
            </w:r>
            <w:proofErr w:type="spellEnd"/>
            <w:r w:rsidRPr="00394B52">
              <w:rPr>
                <w:rFonts w:ascii="Times" w:eastAsia="Malgun Gothic" w:hAnsi="Times" w:cs="Times"/>
                <w:color w:val="000000"/>
                <w:kern w:val="0"/>
                <w:szCs w:val="20"/>
              </w:rPr>
              <w:t>-Keller, et al. 2018</w:t>
            </w:r>
            <w:r w:rsidRPr="00394B52">
              <w:rPr>
                <w:rFonts w:ascii="Times" w:eastAsia="Malgun Gothic" w:hAnsi="Times" w:cs="Times"/>
                <w:noProof/>
                <w:color w:val="000000"/>
                <w:kern w:val="0"/>
                <w:szCs w:val="20"/>
                <w:vertAlign w:val="superscript"/>
              </w:rPr>
              <w:t>12</w:t>
            </w:r>
          </w:p>
        </w:tc>
        <w:tc>
          <w:tcPr>
            <w:tcW w:w="7760" w:type="dxa"/>
            <w:tcBorders>
              <w:top w:val="nil"/>
              <w:left w:val="nil"/>
              <w:bottom w:val="single" w:sz="8" w:space="0" w:color="auto"/>
              <w:right w:val="single" w:sz="8" w:space="0" w:color="auto"/>
            </w:tcBorders>
            <w:shd w:val="clear" w:color="auto" w:fill="auto"/>
            <w:vAlign w:val="center"/>
            <w:hideMark/>
          </w:tcPr>
          <w:p w14:paraId="01B9C56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07740F99"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32243F03"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Edwards, et al. 2021</w:t>
            </w:r>
            <w:r w:rsidRPr="00394B52">
              <w:rPr>
                <w:rFonts w:ascii="Times" w:eastAsia="Malgun Gothic" w:hAnsi="Times" w:cs="Times"/>
                <w:noProof/>
                <w:color w:val="000000"/>
                <w:kern w:val="0"/>
                <w:szCs w:val="20"/>
                <w:vertAlign w:val="superscript"/>
              </w:rPr>
              <w:t>13</w:t>
            </w:r>
          </w:p>
        </w:tc>
        <w:tc>
          <w:tcPr>
            <w:tcW w:w="7760" w:type="dxa"/>
            <w:tcBorders>
              <w:top w:val="nil"/>
              <w:left w:val="nil"/>
              <w:bottom w:val="single" w:sz="8" w:space="0" w:color="auto"/>
              <w:right w:val="single" w:sz="8" w:space="0" w:color="auto"/>
            </w:tcBorders>
            <w:shd w:val="clear" w:color="auto" w:fill="auto"/>
            <w:vAlign w:val="center"/>
            <w:hideMark/>
          </w:tcPr>
          <w:p w14:paraId="33921D1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51030862"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A871230"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Emamian</w:t>
            </w:r>
            <w:proofErr w:type="spellEnd"/>
            <w:r w:rsidRPr="00394B52">
              <w:rPr>
                <w:rFonts w:ascii="Times" w:eastAsia="Malgun Gothic" w:hAnsi="Times" w:cs="Times"/>
                <w:color w:val="000000"/>
                <w:kern w:val="0"/>
                <w:szCs w:val="20"/>
              </w:rPr>
              <w:t>, et al. 2019</w:t>
            </w:r>
            <w:r w:rsidRPr="00394B52">
              <w:rPr>
                <w:rFonts w:ascii="Times" w:eastAsia="Malgun Gothic" w:hAnsi="Times" w:cs="Times"/>
                <w:noProof/>
                <w:color w:val="000000"/>
                <w:kern w:val="0"/>
                <w:szCs w:val="20"/>
                <w:vertAlign w:val="superscript"/>
              </w:rPr>
              <w:t>14</w:t>
            </w:r>
          </w:p>
        </w:tc>
        <w:tc>
          <w:tcPr>
            <w:tcW w:w="7760" w:type="dxa"/>
            <w:tcBorders>
              <w:top w:val="nil"/>
              <w:left w:val="nil"/>
              <w:bottom w:val="single" w:sz="8" w:space="0" w:color="auto"/>
              <w:right w:val="single" w:sz="8" w:space="0" w:color="auto"/>
            </w:tcBorders>
            <w:shd w:val="clear" w:color="auto" w:fill="auto"/>
            <w:vAlign w:val="center"/>
            <w:hideMark/>
          </w:tcPr>
          <w:p w14:paraId="7AD1785A"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2E5A0262"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C6582D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Fellmeth, et al. 2017</w:t>
            </w:r>
            <w:r w:rsidRPr="00394B52">
              <w:rPr>
                <w:rFonts w:ascii="Times" w:eastAsia="Malgun Gothic" w:hAnsi="Times" w:cs="Times"/>
                <w:noProof/>
                <w:color w:val="000000"/>
                <w:kern w:val="0"/>
                <w:szCs w:val="20"/>
                <w:vertAlign w:val="superscript"/>
              </w:rPr>
              <w:t>15</w:t>
            </w:r>
          </w:p>
        </w:tc>
        <w:tc>
          <w:tcPr>
            <w:tcW w:w="7760" w:type="dxa"/>
            <w:tcBorders>
              <w:top w:val="nil"/>
              <w:left w:val="nil"/>
              <w:bottom w:val="single" w:sz="8" w:space="0" w:color="auto"/>
              <w:right w:val="single" w:sz="8" w:space="0" w:color="auto"/>
            </w:tcBorders>
            <w:shd w:val="clear" w:color="auto" w:fill="auto"/>
            <w:vAlign w:val="center"/>
            <w:hideMark/>
          </w:tcPr>
          <w:p w14:paraId="5D58AFB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75A83951"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tcPr>
          <w:p w14:paraId="4E1A299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hint="eastAsia"/>
                <w:color w:val="000000"/>
                <w:kern w:val="0"/>
                <w:szCs w:val="20"/>
              </w:rPr>
              <w:t>G</w:t>
            </w:r>
            <w:r w:rsidRPr="00394B52">
              <w:rPr>
                <w:rFonts w:ascii="Times" w:eastAsia="Malgun Gothic" w:hAnsi="Times" w:cs="Times"/>
                <w:color w:val="000000"/>
                <w:kern w:val="0"/>
                <w:szCs w:val="20"/>
              </w:rPr>
              <w:t>ong, et al. 2017</w:t>
            </w:r>
            <w:r w:rsidRPr="00394B52">
              <w:rPr>
                <w:rFonts w:ascii="Times" w:eastAsia="Malgun Gothic" w:hAnsi="Times" w:cs="Times"/>
                <w:noProof/>
                <w:color w:val="000000"/>
                <w:kern w:val="0"/>
                <w:szCs w:val="20"/>
                <w:vertAlign w:val="superscript"/>
              </w:rPr>
              <w:t>16</w:t>
            </w:r>
          </w:p>
        </w:tc>
        <w:tc>
          <w:tcPr>
            <w:tcW w:w="7760" w:type="dxa"/>
            <w:tcBorders>
              <w:top w:val="nil"/>
              <w:left w:val="nil"/>
              <w:bottom w:val="single" w:sz="8" w:space="0" w:color="auto"/>
              <w:right w:val="single" w:sz="8" w:space="0" w:color="auto"/>
            </w:tcBorders>
            <w:shd w:val="clear" w:color="auto" w:fill="auto"/>
            <w:vAlign w:val="center"/>
          </w:tcPr>
          <w:p w14:paraId="5CBA645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6B3415C4"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1ABBEDA"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Hessami</w:t>
            </w:r>
            <w:proofErr w:type="spellEnd"/>
            <w:r w:rsidRPr="00394B52">
              <w:rPr>
                <w:rFonts w:ascii="Times" w:eastAsia="Malgun Gothic" w:hAnsi="Times" w:cs="Times"/>
                <w:color w:val="000000"/>
                <w:kern w:val="0"/>
                <w:szCs w:val="20"/>
              </w:rPr>
              <w:t>, et al. 2020</w:t>
            </w:r>
            <w:r w:rsidRPr="00394B52">
              <w:rPr>
                <w:rFonts w:ascii="Times" w:eastAsia="Malgun Gothic" w:hAnsi="Times" w:cs="Times"/>
                <w:noProof/>
                <w:color w:val="000000"/>
                <w:kern w:val="0"/>
                <w:szCs w:val="20"/>
                <w:vertAlign w:val="superscript"/>
              </w:rPr>
              <w:t>17</w:t>
            </w:r>
          </w:p>
        </w:tc>
        <w:tc>
          <w:tcPr>
            <w:tcW w:w="7760" w:type="dxa"/>
            <w:tcBorders>
              <w:top w:val="nil"/>
              <w:left w:val="nil"/>
              <w:bottom w:val="single" w:sz="8" w:space="0" w:color="auto"/>
              <w:right w:val="single" w:sz="8" w:space="0" w:color="auto"/>
            </w:tcBorders>
            <w:shd w:val="clear" w:color="auto" w:fill="auto"/>
            <w:vAlign w:val="center"/>
            <w:hideMark/>
          </w:tcPr>
          <w:p w14:paraId="44C596B9"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08318D7C"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833E2E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Molyneaux, et al. 2014</w:t>
            </w:r>
            <w:r w:rsidRPr="00394B52">
              <w:rPr>
                <w:rFonts w:ascii="Times" w:eastAsia="Malgun Gothic" w:hAnsi="Times" w:cs="Times"/>
                <w:noProof/>
                <w:color w:val="000000"/>
                <w:kern w:val="0"/>
                <w:szCs w:val="20"/>
                <w:vertAlign w:val="superscript"/>
              </w:rPr>
              <w:t>18</w:t>
            </w:r>
          </w:p>
        </w:tc>
        <w:tc>
          <w:tcPr>
            <w:tcW w:w="7760" w:type="dxa"/>
            <w:tcBorders>
              <w:top w:val="nil"/>
              <w:left w:val="nil"/>
              <w:bottom w:val="single" w:sz="8" w:space="0" w:color="auto"/>
              <w:right w:val="single" w:sz="8" w:space="0" w:color="auto"/>
            </w:tcBorders>
            <w:shd w:val="clear" w:color="auto" w:fill="auto"/>
            <w:vAlign w:val="center"/>
            <w:hideMark/>
          </w:tcPr>
          <w:p w14:paraId="0993DA7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2DBA93AB"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00D77A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Mu, et al. 2019</w:t>
            </w:r>
            <w:r w:rsidRPr="00394B52">
              <w:rPr>
                <w:rFonts w:ascii="Times" w:eastAsia="Malgun Gothic" w:hAnsi="Times" w:cs="Times"/>
                <w:noProof/>
                <w:color w:val="000000"/>
                <w:kern w:val="0"/>
                <w:szCs w:val="20"/>
                <w:vertAlign w:val="superscript"/>
              </w:rPr>
              <w:t>19</w:t>
            </w:r>
          </w:p>
        </w:tc>
        <w:tc>
          <w:tcPr>
            <w:tcW w:w="7760" w:type="dxa"/>
            <w:tcBorders>
              <w:top w:val="nil"/>
              <w:left w:val="nil"/>
              <w:bottom w:val="single" w:sz="8" w:space="0" w:color="auto"/>
              <w:right w:val="single" w:sz="8" w:space="0" w:color="auto"/>
            </w:tcBorders>
            <w:shd w:val="clear" w:color="auto" w:fill="auto"/>
            <w:vAlign w:val="center"/>
            <w:hideMark/>
          </w:tcPr>
          <w:p w14:paraId="4FB3546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45ED66D1"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69BFD83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Nakamura, et al. 2019</w:t>
            </w:r>
            <w:r w:rsidRPr="00394B52">
              <w:rPr>
                <w:rFonts w:ascii="Times" w:eastAsia="Malgun Gothic" w:hAnsi="Times" w:cs="Times"/>
                <w:noProof/>
                <w:color w:val="000000"/>
                <w:kern w:val="0"/>
                <w:szCs w:val="20"/>
                <w:vertAlign w:val="superscript"/>
              </w:rPr>
              <w:t>20</w:t>
            </w:r>
          </w:p>
        </w:tc>
        <w:tc>
          <w:tcPr>
            <w:tcW w:w="7760" w:type="dxa"/>
            <w:tcBorders>
              <w:top w:val="nil"/>
              <w:left w:val="nil"/>
              <w:bottom w:val="single" w:sz="8" w:space="0" w:color="auto"/>
              <w:right w:val="single" w:sz="8" w:space="0" w:color="auto"/>
            </w:tcBorders>
            <w:shd w:val="clear" w:color="auto" w:fill="auto"/>
            <w:vAlign w:val="center"/>
            <w:hideMark/>
          </w:tcPr>
          <w:p w14:paraId="7FD5BE2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73AB4CB1"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3F8E28AE"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O'Hara, et al. 1996</w:t>
            </w:r>
            <w:r w:rsidRPr="00394B52">
              <w:rPr>
                <w:rFonts w:ascii="Times" w:eastAsia="Malgun Gothic" w:hAnsi="Times" w:cs="Times"/>
                <w:noProof/>
                <w:color w:val="000000"/>
                <w:kern w:val="0"/>
                <w:szCs w:val="20"/>
                <w:vertAlign w:val="superscript"/>
              </w:rPr>
              <w:t>21</w:t>
            </w:r>
          </w:p>
        </w:tc>
        <w:tc>
          <w:tcPr>
            <w:tcW w:w="7760" w:type="dxa"/>
            <w:tcBorders>
              <w:top w:val="nil"/>
              <w:left w:val="nil"/>
              <w:bottom w:val="single" w:sz="8" w:space="0" w:color="auto"/>
              <w:right w:val="single" w:sz="8" w:space="0" w:color="auto"/>
            </w:tcBorders>
            <w:shd w:val="clear" w:color="auto" w:fill="auto"/>
            <w:vAlign w:val="center"/>
            <w:hideMark/>
          </w:tcPr>
          <w:p w14:paraId="4BBB835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3297C8CA"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DAA0E33"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Özcan</w:t>
            </w:r>
            <w:proofErr w:type="spellEnd"/>
            <w:r w:rsidRPr="00394B52">
              <w:rPr>
                <w:rFonts w:ascii="Times" w:eastAsia="Malgun Gothic" w:hAnsi="Times" w:cs="Times"/>
                <w:color w:val="000000"/>
                <w:kern w:val="0"/>
                <w:szCs w:val="20"/>
              </w:rPr>
              <w:t>, et al. 2017</w:t>
            </w:r>
            <w:r w:rsidRPr="00394B52">
              <w:rPr>
                <w:rFonts w:ascii="Times" w:eastAsia="Malgun Gothic" w:hAnsi="Times" w:cs="Times"/>
                <w:noProof/>
                <w:color w:val="000000"/>
                <w:kern w:val="0"/>
                <w:szCs w:val="20"/>
                <w:vertAlign w:val="superscript"/>
              </w:rPr>
              <w:t>22</w:t>
            </w:r>
          </w:p>
        </w:tc>
        <w:tc>
          <w:tcPr>
            <w:tcW w:w="7760" w:type="dxa"/>
            <w:tcBorders>
              <w:top w:val="nil"/>
              <w:left w:val="nil"/>
              <w:bottom w:val="single" w:sz="8" w:space="0" w:color="auto"/>
              <w:right w:val="single" w:sz="8" w:space="0" w:color="auto"/>
            </w:tcBorders>
            <w:shd w:val="clear" w:color="auto" w:fill="auto"/>
            <w:vAlign w:val="center"/>
            <w:hideMark/>
          </w:tcPr>
          <w:p w14:paraId="4FEF839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05A1CECA"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3FEC92D"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Paulson, et al. 2010</w:t>
            </w:r>
            <w:r w:rsidRPr="00394B52">
              <w:rPr>
                <w:rFonts w:ascii="Times" w:eastAsia="Malgun Gothic" w:hAnsi="Times" w:cs="Times"/>
                <w:noProof/>
                <w:color w:val="000000"/>
                <w:kern w:val="0"/>
                <w:szCs w:val="20"/>
                <w:vertAlign w:val="superscript"/>
              </w:rPr>
              <w:t>23</w:t>
            </w:r>
          </w:p>
        </w:tc>
        <w:tc>
          <w:tcPr>
            <w:tcW w:w="7760" w:type="dxa"/>
            <w:tcBorders>
              <w:top w:val="nil"/>
              <w:left w:val="nil"/>
              <w:bottom w:val="single" w:sz="8" w:space="0" w:color="auto"/>
              <w:right w:val="single" w:sz="8" w:space="0" w:color="auto"/>
            </w:tcBorders>
            <w:shd w:val="clear" w:color="auto" w:fill="auto"/>
            <w:vAlign w:val="center"/>
            <w:hideMark/>
          </w:tcPr>
          <w:p w14:paraId="60786404"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66A90C57"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B86CCFD"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Pilkington, et al. 2015</w:t>
            </w:r>
            <w:r w:rsidRPr="00394B52">
              <w:rPr>
                <w:rFonts w:ascii="Times" w:eastAsia="Malgun Gothic" w:hAnsi="Times" w:cs="Times"/>
                <w:noProof/>
                <w:color w:val="000000"/>
                <w:kern w:val="0"/>
                <w:szCs w:val="20"/>
                <w:vertAlign w:val="superscript"/>
              </w:rPr>
              <w:t>24</w:t>
            </w:r>
          </w:p>
        </w:tc>
        <w:tc>
          <w:tcPr>
            <w:tcW w:w="7760" w:type="dxa"/>
            <w:tcBorders>
              <w:top w:val="nil"/>
              <w:left w:val="nil"/>
              <w:bottom w:val="single" w:sz="8" w:space="0" w:color="auto"/>
              <w:right w:val="single" w:sz="8" w:space="0" w:color="auto"/>
            </w:tcBorders>
            <w:shd w:val="clear" w:color="auto" w:fill="auto"/>
            <w:vAlign w:val="center"/>
            <w:hideMark/>
          </w:tcPr>
          <w:p w14:paraId="6D72C2D3"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0C9E7E2B"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E4B50D3"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Pritchett, et al. 2017</w:t>
            </w:r>
            <w:r w:rsidRPr="00394B52">
              <w:rPr>
                <w:rFonts w:ascii="Times" w:eastAsia="Malgun Gothic" w:hAnsi="Times" w:cs="Times"/>
                <w:noProof/>
                <w:color w:val="000000"/>
                <w:kern w:val="0"/>
                <w:szCs w:val="20"/>
                <w:vertAlign w:val="superscript"/>
              </w:rPr>
              <w:t>25</w:t>
            </w:r>
          </w:p>
        </w:tc>
        <w:tc>
          <w:tcPr>
            <w:tcW w:w="7760" w:type="dxa"/>
            <w:tcBorders>
              <w:top w:val="nil"/>
              <w:left w:val="nil"/>
              <w:bottom w:val="single" w:sz="8" w:space="0" w:color="auto"/>
              <w:right w:val="single" w:sz="8" w:space="0" w:color="auto"/>
            </w:tcBorders>
            <w:shd w:val="clear" w:color="auto" w:fill="auto"/>
            <w:vAlign w:val="center"/>
            <w:hideMark/>
          </w:tcPr>
          <w:p w14:paraId="2A68AC1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405EAC3E"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375AF79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Racine, et al. 2021</w:t>
            </w:r>
            <w:r w:rsidRPr="00394B52">
              <w:rPr>
                <w:rFonts w:ascii="Times" w:eastAsia="Malgun Gothic" w:hAnsi="Times" w:cs="Times"/>
                <w:noProof/>
                <w:color w:val="000000"/>
                <w:kern w:val="0"/>
                <w:szCs w:val="20"/>
                <w:vertAlign w:val="superscript"/>
              </w:rPr>
              <w:t>26</w:t>
            </w:r>
          </w:p>
        </w:tc>
        <w:tc>
          <w:tcPr>
            <w:tcW w:w="7760" w:type="dxa"/>
            <w:tcBorders>
              <w:top w:val="nil"/>
              <w:left w:val="nil"/>
              <w:bottom w:val="single" w:sz="8" w:space="0" w:color="auto"/>
              <w:right w:val="single" w:sz="8" w:space="0" w:color="auto"/>
            </w:tcBorders>
            <w:shd w:val="clear" w:color="auto" w:fill="auto"/>
            <w:vAlign w:val="center"/>
            <w:hideMark/>
          </w:tcPr>
          <w:p w14:paraId="37D9FA2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3FE19C86"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B02ACF4"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Suradom</w:t>
            </w:r>
            <w:proofErr w:type="spellEnd"/>
            <w:r w:rsidRPr="00394B52">
              <w:rPr>
                <w:rFonts w:ascii="Times" w:eastAsia="Malgun Gothic" w:hAnsi="Times" w:cs="Times"/>
                <w:color w:val="000000"/>
                <w:kern w:val="0"/>
                <w:szCs w:val="20"/>
              </w:rPr>
              <w:t>, et al. 2020</w:t>
            </w:r>
            <w:r w:rsidRPr="00394B52">
              <w:rPr>
                <w:rFonts w:ascii="Times" w:eastAsia="Malgun Gothic" w:hAnsi="Times" w:cs="Times"/>
                <w:noProof/>
                <w:color w:val="000000"/>
                <w:kern w:val="0"/>
                <w:szCs w:val="20"/>
                <w:vertAlign w:val="superscript"/>
              </w:rPr>
              <w:t>27</w:t>
            </w:r>
          </w:p>
        </w:tc>
        <w:tc>
          <w:tcPr>
            <w:tcW w:w="7760" w:type="dxa"/>
            <w:tcBorders>
              <w:top w:val="nil"/>
              <w:left w:val="nil"/>
              <w:bottom w:val="single" w:sz="8" w:space="0" w:color="auto"/>
              <w:right w:val="single" w:sz="8" w:space="0" w:color="auto"/>
            </w:tcBorders>
            <w:shd w:val="clear" w:color="auto" w:fill="auto"/>
            <w:vAlign w:val="center"/>
            <w:hideMark/>
          </w:tcPr>
          <w:p w14:paraId="00B1CBB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1D986B9A"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D3EA77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Thiel, et al. 2020</w:t>
            </w:r>
            <w:r w:rsidRPr="00394B52">
              <w:rPr>
                <w:rFonts w:ascii="Times" w:eastAsia="Malgun Gothic" w:hAnsi="Times" w:cs="Times"/>
                <w:noProof/>
                <w:color w:val="000000"/>
                <w:kern w:val="0"/>
                <w:szCs w:val="20"/>
                <w:vertAlign w:val="superscript"/>
              </w:rPr>
              <w:t>28</w:t>
            </w:r>
          </w:p>
        </w:tc>
        <w:tc>
          <w:tcPr>
            <w:tcW w:w="7760" w:type="dxa"/>
            <w:tcBorders>
              <w:top w:val="nil"/>
              <w:left w:val="nil"/>
              <w:bottom w:val="single" w:sz="8" w:space="0" w:color="auto"/>
              <w:right w:val="single" w:sz="8" w:space="0" w:color="auto"/>
            </w:tcBorders>
            <w:shd w:val="clear" w:color="auto" w:fill="auto"/>
            <w:vAlign w:val="center"/>
            <w:hideMark/>
          </w:tcPr>
          <w:p w14:paraId="77AC0713"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76B30671"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B64A49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Veenendaal</w:t>
            </w:r>
            <w:proofErr w:type="spellEnd"/>
            <w:r w:rsidRPr="00394B52">
              <w:rPr>
                <w:rFonts w:ascii="Times" w:eastAsia="Malgun Gothic" w:hAnsi="Times" w:cs="Times"/>
                <w:color w:val="000000"/>
                <w:kern w:val="0"/>
                <w:szCs w:val="20"/>
              </w:rPr>
              <w:t>, et al. 2020</w:t>
            </w:r>
            <w:r w:rsidRPr="00394B52">
              <w:rPr>
                <w:rFonts w:ascii="Times" w:eastAsia="Malgun Gothic" w:hAnsi="Times" w:cs="Times"/>
                <w:noProof/>
                <w:color w:val="000000"/>
                <w:kern w:val="0"/>
                <w:szCs w:val="20"/>
                <w:vertAlign w:val="superscript"/>
              </w:rPr>
              <w:t>29</w:t>
            </w:r>
          </w:p>
        </w:tc>
        <w:tc>
          <w:tcPr>
            <w:tcW w:w="7760" w:type="dxa"/>
            <w:tcBorders>
              <w:top w:val="nil"/>
              <w:left w:val="nil"/>
              <w:bottom w:val="single" w:sz="8" w:space="0" w:color="auto"/>
              <w:right w:val="single" w:sz="8" w:space="0" w:color="auto"/>
            </w:tcBorders>
            <w:shd w:val="clear" w:color="auto" w:fill="auto"/>
            <w:vAlign w:val="center"/>
            <w:hideMark/>
          </w:tcPr>
          <w:p w14:paraId="5F0C520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4A317162"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D0B1696"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Veisani</w:t>
            </w:r>
            <w:proofErr w:type="spellEnd"/>
            <w:r w:rsidRPr="00394B52">
              <w:rPr>
                <w:rFonts w:ascii="Times" w:eastAsia="Malgun Gothic" w:hAnsi="Times" w:cs="Times"/>
                <w:color w:val="000000"/>
                <w:kern w:val="0"/>
                <w:szCs w:val="20"/>
              </w:rPr>
              <w:t>, et al. 2013</w:t>
            </w:r>
            <w:r w:rsidRPr="00394B52">
              <w:rPr>
                <w:rFonts w:ascii="Times" w:eastAsia="Malgun Gothic" w:hAnsi="Times" w:cs="Times"/>
                <w:noProof/>
                <w:color w:val="000000"/>
                <w:kern w:val="0"/>
                <w:szCs w:val="20"/>
                <w:vertAlign w:val="superscript"/>
              </w:rPr>
              <w:t>30</w:t>
            </w:r>
          </w:p>
        </w:tc>
        <w:tc>
          <w:tcPr>
            <w:tcW w:w="7760" w:type="dxa"/>
            <w:tcBorders>
              <w:top w:val="nil"/>
              <w:left w:val="nil"/>
              <w:bottom w:val="single" w:sz="8" w:space="0" w:color="auto"/>
              <w:right w:val="single" w:sz="8" w:space="0" w:color="auto"/>
            </w:tcBorders>
            <w:shd w:val="clear" w:color="auto" w:fill="auto"/>
            <w:vAlign w:val="center"/>
            <w:hideMark/>
          </w:tcPr>
          <w:p w14:paraId="3D6E43F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1F04323F"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65D7879A"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Wilson, et al. 2019</w:t>
            </w:r>
            <w:r w:rsidRPr="00394B52">
              <w:rPr>
                <w:rFonts w:ascii="Times" w:eastAsia="Malgun Gothic" w:hAnsi="Times" w:cs="Times"/>
                <w:noProof/>
                <w:color w:val="000000"/>
                <w:kern w:val="0"/>
                <w:szCs w:val="20"/>
                <w:vertAlign w:val="superscript"/>
              </w:rPr>
              <w:t>31</w:t>
            </w:r>
          </w:p>
        </w:tc>
        <w:tc>
          <w:tcPr>
            <w:tcW w:w="7760" w:type="dxa"/>
            <w:tcBorders>
              <w:top w:val="nil"/>
              <w:left w:val="nil"/>
              <w:bottom w:val="single" w:sz="8" w:space="0" w:color="auto"/>
              <w:right w:val="single" w:sz="8" w:space="0" w:color="auto"/>
            </w:tcBorders>
            <w:shd w:val="clear" w:color="auto" w:fill="auto"/>
            <w:vAlign w:val="center"/>
            <w:hideMark/>
          </w:tcPr>
          <w:p w14:paraId="187A185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present sufficient data for re-analysis</w:t>
            </w:r>
          </w:p>
        </w:tc>
      </w:tr>
      <w:tr w:rsidR="00394B52" w:rsidRPr="00394B52" w14:paraId="6B237837"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F086BA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Carter, et al. 2019</w:t>
            </w:r>
            <w:r w:rsidRPr="00394B52">
              <w:rPr>
                <w:rFonts w:ascii="Times" w:eastAsia="Malgun Gothic" w:hAnsi="Times" w:cs="Times"/>
                <w:noProof/>
                <w:color w:val="000000"/>
                <w:kern w:val="0"/>
                <w:szCs w:val="20"/>
                <w:vertAlign w:val="superscript"/>
              </w:rPr>
              <w:t>32</w:t>
            </w:r>
          </w:p>
        </w:tc>
        <w:tc>
          <w:tcPr>
            <w:tcW w:w="7760" w:type="dxa"/>
            <w:tcBorders>
              <w:top w:val="nil"/>
              <w:left w:val="nil"/>
              <w:bottom w:val="single" w:sz="8" w:space="0" w:color="auto"/>
              <w:right w:val="single" w:sz="8" w:space="0" w:color="auto"/>
            </w:tcBorders>
            <w:shd w:val="clear" w:color="auto" w:fill="auto"/>
            <w:vAlign w:val="center"/>
            <w:hideMark/>
          </w:tcPr>
          <w:p w14:paraId="011704E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0B05F9D0"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AC7CA9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Dennis, et al. 2004</w:t>
            </w:r>
            <w:r w:rsidRPr="00394B52">
              <w:rPr>
                <w:rFonts w:ascii="Times" w:eastAsia="Malgun Gothic" w:hAnsi="Times" w:cs="Times"/>
                <w:noProof/>
                <w:color w:val="000000"/>
                <w:kern w:val="0"/>
                <w:szCs w:val="20"/>
                <w:vertAlign w:val="superscript"/>
              </w:rPr>
              <w:t>33</w:t>
            </w:r>
          </w:p>
        </w:tc>
        <w:tc>
          <w:tcPr>
            <w:tcW w:w="7760" w:type="dxa"/>
            <w:tcBorders>
              <w:top w:val="nil"/>
              <w:left w:val="nil"/>
              <w:bottom w:val="single" w:sz="8" w:space="0" w:color="auto"/>
              <w:right w:val="single" w:sz="8" w:space="0" w:color="auto"/>
            </w:tcBorders>
            <w:shd w:val="clear" w:color="auto" w:fill="auto"/>
            <w:vAlign w:val="center"/>
            <w:hideMark/>
          </w:tcPr>
          <w:p w14:paraId="6DB31A54"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0370CEFF"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F4D463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Dennis, et al. 2005</w:t>
            </w:r>
            <w:r w:rsidRPr="00394B52">
              <w:rPr>
                <w:rFonts w:ascii="Times" w:eastAsia="Malgun Gothic" w:hAnsi="Times" w:cs="Times"/>
                <w:noProof/>
                <w:color w:val="000000"/>
                <w:kern w:val="0"/>
                <w:szCs w:val="20"/>
                <w:vertAlign w:val="superscript"/>
              </w:rPr>
              <w:t>34</w:t>
            </w:r>
          </w:p>
        </w:tc>
        <w:tc>
          <w:tcPr>
            <w:tcW w:w="7760" w:type="dxa"/>
            <w:tcBorders>
              <w:top w:val="nil"/>
              <w:left w:val="nil"/>
              <w:bottom w:val="single" w:sz="8" w:space="0" w:color="auto"/>
              <w:right w:val="single" w:sz="8" w:space="0" w:color="auto"/>
            </w:tcBorders>
            <w:shd w:val="clear" w:color="auto" w:fill="auto"/>
            <w:vAlign w:val="center"/>
            <w:hideMark/>
          </w:tcPr>
          <w:p w14:paraId="528CED1A"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278EA3E2"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19C1CA3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Dhillon, et al. 2017</w:t>
            </w:r>
            <w:r w:rsidRPr="00394B52">
              <w:rPr>
                <w:rFonts w:ascii="Times" w:eastAsia="Malgun Gothic" w:hAnsi="Times" w:cs="Times"/>
                <w:noProof/>
                <w:color w:val="000000"/>
                <w:kern w:val="0"/>
                <w:szCs w:val="20"/>
                <w:vertAlign w:val="superscript"/>
              </w:rPr>
              <w:t>35</w:t>
            </w:r>
          </w:p>
        </w:tc>
        <w:tc>
          <w:tcPr>
            <w:tcW w:w="7760" w:type="dxa"/>
            <w:tcBorders>
              <w:top w:val="nil"/>
              <w:left w:val="nil"/>
              <w:bottom w:val="single" w:sz="8" w:space="0" w:color="auto"/>
              <w:right w:val="single" w:sz="8" w:space="0" w:color="auto"/>
            </w:tcBorders>
            <w:shd w:val="clear" w:color="auto" w:fill="auto"/>
            <w:vAlign w:val="center"/>
            <w:hideMark/>
          </w:tcPr>
          <w:p w14:paraId="3A77F8C0"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1D736439"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631EF8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Dodd, et al. 2015</w:t>
            </w:r>
            <w:r w:rsidRPr="00394B52">
              <w:rPr>
                <w:rFonts w:ascii="Times" w:eastAsia="Malgun Gothic" w:hAnsi="Times" w:cs="Times"/>
                <w:noProof/>
                <w:color w:val="000000"/>
                <w:kern w:val="0"/>
                <w:szCs w:val="20"/>
                <w:vertAlign w:val="superscript"/>
              </w:rPr>
              <w:t>36</w:t>
            </w:r>
          </w:p>
        </w:tc>
        <w:tc>
          <w:tcPr>
            <w:tcW w:w="7760" w:type="dxa"/>
            <w:tcBorders>
              <w:top w:val="nil"/>
              <w:left w:val="nil"/>
              <w:bottom w:val="single" w:sz="8" w:space="0" w:color="auto"/>
              <w:right w:val="single" w:sz="8" w:space="0" w:color="auto"/>
            </w:tcBorders>
            <w:shd w:val="clear" w:color="auto" w:fill="auto"/>
            <w:vAlign w:val="center"/>
            <w:hideMark/>
          </w:tcPr>
          <w:p w14:paraId="64BF6430"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410F3D72"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6ED8AFED"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Dol, et al. 2020</w:t>
            </w:r>
            <w:r w:rsidRPr="00394B52">
              <w:rPr>
                <w:rFonts w:ascii="Times" w:eastAsia="Malgun Gothic" w:hAnsi="Times" w:cs="Times"/>
                <w:noProof/>
                <w:color w:val="000000"/>
                <w:kern w:val="0"/>
                <w:szCs w:val="20"/>
                <w:vertAlign w:val="superscript"/>
              </w:rPr>
              <w:t>37</w:t>
            </w:r>
          </w:p>
        </w:tc>
        <w:tc>
          <w:tcPr>
            <w:tcW w:w="7760" w:type="dxa"/>
            <w:tcBorders>
              <w:top w:val="nil"/>
              <w:left w:val="nil"/>
              <w:bottom w:val="single" w:sz="8" w:space="0" w:color="auto"/>
              <w:right w:val="single" w:sz="8" w:space="0" w:color="auto"/>
            </w:tcBorders>
            <w:shd w:val="clear" w:color="auto" w:fill="auto"/>
            <w:vAlign w:val="center"/>
            <w:hideMark/>
          </w:tcPr>
          <w:p w14:paraId="09E2136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1C09E094"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0B50EE4"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Geller, et al. 2017</w:t>
            </w:r>
            <w:r w:rsidRPr="00394B52">
              <w:rPr>
                <w:rFonts w:ascii="Times" w:eastAsia="Malgun Gothic" w:hAnsi="Times" w:cs="Times"/>
                <w:noProof/>
                <w:color w:val="000000"/>
                <w:kern w:val="0"/>
                <w:szCs w:val="20"/>
                <w:vertAlign w:val="superscript"/>
              </w:rPr>
              <w:t>38</w:t>
            </w:r>
          </w:p>
        </w:tc>
        <w:tc>
          <w:tcPr>
            <w:tcW w:w="7760" w:type="dxa"/>
            <w:tcBorders>
              <w:top w:val="nil"/>
              <w:left w:val="nil"/>
              <w:bottom w:val="single" w:sz="8" w:space="0" w:color="auto"/>
              <w:right w:val="single" w:sz="8" w:space="0" w:color="auto"/>
            </w:tcBorders>
            <w:shd w:val="clear" w:color="auto" w:fill="auto"/>
            <w:vAlign w:val="center"/>
            <w:hideMark/>
          </w:tcPr>
          <w:p w14:paraId="3D08F774"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0E27C326"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1F95EFD"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Hall, et al. 2020</w:t>
            </w:r>
            <w:r w:rsidRPr="00394B52">
              <w:rPr>
                <w:rFonts w:ascii="Times" w:eastAsia="Malgun Gothic" w:hAnsi="Times" w:cs="Times"/>
                <w:noProof/>
                <w:color w:val="000000"/>
                <w:kern w:val="0"/>
                <w:szCs w:val="20"/>
                <w:vertAlign w:val="superscript"/>
              </w:rPr>
              <w:t>39</w:t>
            </w:r>
          </w:p>
        </w:tc>
        <w:tc>
          <w:tcPr>
            <w:tcW w:w="7760" w:type="dxa"/>
            <w:tcBorders>
              <w:top w:val="nil"/>
              <w:left w:val="nil"/>
              <w:bottom w:val="single" w:sz="8" w:space="0" w:color="auto"/>
              <w:right w:val="single" w:sz="8" w:space="0" w:color="auto"/>
            </w:tcBorders>
            <w:shd w:val="clear" w:color="auto" w:fill="auto"/>
            <w:vAlign w:val="center"/>
            <w:hideMark/>
          </w:tcPr>
          <w:p w14:paraId="16BDE5D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59C0A542"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6765250"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Huang, et al. 2020</w:t>
            </w:r>
            <w:r w:rsidRPr="00394B52">
              <w:rPr>
                <w:rFonts w:ascii="Times" w:eastAsia="Malgun Gothic" w:hAnsi="Times" w:cs="Times"/>
                <w:noProof/>
                <w:color w:val="000000"/>
                <w:kern w:val="0"/>
                <w:szCs w:val="20"/>
                <w:vertAlign w:val="superscript"/>
              </w:rPr>
              <w:t>40</w:t>
            </w:r>
          </w:p>
        </w:tc>
        <w:tc>
          <w:tcPr>
            <w:tcW w:w="7760" w:type="dxa"/>
            <w:tcBorders>
              <w:top w:val="nil"/>
              <w:left w:val="nil"/>
              <w:bottom w:val="single" w:sz="8" w:space="0" w:color="auto"/>
              <w:right w:val="single" w:sz="8" w:space="0" w:color="auto"/>
            </w:tcBorders>
            <w:shd w:val="clear" w:color="auto" w:fill="auto"/>
            <w:vAlign w:val="center"/>
            <w:hideMark/>
          </w:tcPr>
          <w:p w14:paraId="244081C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33777A28"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E90C49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Lavender, et al. 2013</w:t>
            </w:r>
            <w:r w:rsidRPr="00394B52">
              <w:rPr>
                <w:rFonts w:ascii="Times" w:eastAsia="Malgun Gothic" w:hAnsi="Times" w:cs="Times"/>
                <w:noProof/>
                <w:color w:val="000000"/>
                <w:kern w:val="0"/>
                <w:szCs w:val="20"/>
                <w:vertAlign w:val="superscript"/>
              </w:rPr>
              <w:t>41</w:t>
            </w:r>
          </w:p>
        </w:tc>
        <w:tc>
          <w:tcPr>
            <w:tcW w:w="7760" w:type="dxa"/>
            <w:tcBorders>
              <w:top w:val="nil"/>
              <w:left w:val="nil"/>
              <w:bottom w:val="single" w:sz="8" w:space="0" w:color="auto"/>
              <w:right w:val="single" w:sz="8" w:space="0" w:color="auto"/>
            </w:tcBorders>
            <w:shd w:val="clear" w:color="auto" w:fill="auto"/>
            <w:vAlign w:val="center"/>
            <w:hideMark/>
          </w:tcPr>
          <w:p w14:paraId="22D3D3F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08FB5645"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99618B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Lin, et al. 2018</w:t>
            </w:r>
            <w:r w:rsidRPr="00394B52">
              <w:rPr>
                <w:rFonts w:ascii="Times" w:eastAsia="Malgun Gothic" w:hAnsi="Times" w:cs="Times"/>
                <w:noProof/>
                <w:color w:val="000000"/>
                <w:kern w:val="0"/>
                <w:szCs w:val="20"/>
                <w:vertAlign w:val="superscript"/>
              </w:rPr>
              <w:t>42</w:t>
            </w:r>
          </w:p>
        </w:tc>
        <w:tc>
          <w:tcPr>
            <w:tcW w:w="7760" w:type="dxa"/>
            <w:tcBorders>
              <w:top w:val="nil"/>
              <w:left w:val="nil"/>
              <w:bottom w:val="single" w:sz="8" w:space="0" w:color="auto"/>
              <w:right w:val="single" w:sz="8" w:space="0" w:color="auto"/>
            </w:tcBorders>
            <w:shd w:val="clear" w:color="auto" w:fill="auto"/>
            <w:vAlign w:val="center"/>
            <w:hideMark/>
          </w:tcPr>
          <w:p w14:paraId="5E3DEEB4"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31CB4509"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D29579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Littleton, et al. 2007</w:t>
            </w:r>
            <w:r w:rsidRPr="00394B52">
              <w:rPr>
                <w:rFonts w:ascii="Times" w:eastAsia="Malgun Gothic" w:hAnsi="Times" w:cs="Times"/>
                <w:noProof/>
                <w:color w:val="000000"/>
                <w:kern w:val="0"/>
                <w:szCs w:val="20"/>
                <w:vertAlign w:val="superscript"/>
              </w:rPr>
              <w:t>43</w:t>
            </w:r>
          </w:p>
        </w:tc>
        <w:tc>
          <w:tcPr>
            <w:tcW w:w="7760" w:type="dxa"/>
            <w:tcBorders>
              <w:top w:val="nil"/>
              <w:left w:val="nil"/>
              <w:bottom w:val="single" w:sz="8" w:space="0" w:color="auto"/>
              <w:right w:val="single" w:sz="8" w:space="0" w:color="auto"/>
            </w:tcBorders>
            <w:shd w:val="clear" w:color="auto" w:fill="auto"/>
            <w:vAlign w:val="center"/>
            <w:hideMark/>
          </w:tcPr>
          <w:p w14:paraId="2612942D"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6F9EB9E1"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E24371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Meyrel</w:t>
            </w:r>
            <w:proofErr w:type="spellEnd"/>
            <w:r w:rsidRPr="00394B52">
              <w:rPr>
                <w:rFonts w:ascii="Times" w:eastAsia="Malgun Gothic" w:hAnsi="Times" w:cs="Times"/>
                <w:color w:val="000000"/>
                <w:kern w:val="0"/>
                <w:szCs w:val="20"/>
              </w:rPr>
              <w:t>, et al. 2018</w:t>
            </w:r>
            <w:r w:rsidRPr="00394B52">
              <w:rPr>
                <w:rFonts w:ascii="Times" w:eastAsia="Malgun Gothic" w:hAnsi="Times" w:cs="Times"/>
                <w:noProof/>
                <w:color w:val="000000"/>
                <w:kern w:val="0"/>
                <w:szCs w:val="20"/>
                <w:vertAlign w:val="superscript"/>
              </w:rPr>
              <w:t>44</w:t>
            </w:r>
          </w:p>
        </w:tc>
        <w:tc>
          <w:tcPr>
            <w:tcW w:w="7760" w:type="dxa"/>
            <w:tcBorders>
              <w:top w:val="nil"/>
              <w:left w:val="nil"/>
              <w:bottom w:val="single" w:sz="8" w:space="0" w:color="auto"/>
              <w:right w:val="single" w:sz="8" w:space="0" w:color="auto"/>
            </w:tcBorders>
            <w:shd w:val="clear" w:color="auto" w:fill="auto"/>
            <w:vAlign w:val="center"/>
            <w:hideMark/>
          </w:tcPr>
          <w:p w14:paraId="2E618E59"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587FD8F2"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374DECDE"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O'Connor, et al. 2019</w:t>
            </w:r>
            <w:r w:rsidRPr="00394B52">
              <w:rPr>
                <w:rFonts w:ascii="Times" w:eastAsia="Malgun Gothic" w:hAnsi="Times" w:cs="Times"/>
                <w:noProof/>
                <w:color w:val="000000"/>
                <w:kern w:val="0"/>
                <w:szCs w:val="20"/>
                <w:vertAlign w:val="superscript"/>
              </w:rPr>
              <w:t>45</w:t>
            </w:r>
          </w:p>
        </w:tc>
        <w:tc>
          <w:tcPr>
            <w:tcW w:w="7760" w:type="dxa"/>
            <w:tcBorders>
              <w:top w:val="nil"/>
              <w:left w:val="nil"/>
              <w:bottom w:val="single" w:sz="8" w:space="0" w:color="auto"/>
              <w:right w:val="single" w:sz="8" w:space="0" w:color="auto"/>
            </w:tcBorders>
            <w:shd w:val="clear" w:color="auto" w:fill="auto"/>
            <w:vAlign w:val="center"/>
            <w:hideMark/>
          </w:tcPr>
          <w:p w14:paraId="4384CB80"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4C2AB7F3"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3BB2A7E3"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Poyatos</w:t>
            </w:r>
            <w:proofErr w:type="spellEnd"/>
            <w:r w:rsidRPr="00394B52">
              <w:rPr>
                <w:rFonts w:ascii="Times" w:eastAsia="Malgun Gothic" w:hAnsi="Times" w:cs="Times"/>
                <w:color w:val="000000"/>
                <w:kern w:val="0"/>
                <w:szCs w:val="20"/>
              </w:rPr>
              <w:t>-León, et al. 2017</w:t>
            </w:r>
            <w:r w:rsidRPr="00394B52">
              <w:rPr>
                <w:rFonts w:ascii="Times" w:eastAsia="Malgun Gothic" w:hAnsi="Times" w:cs="Times"/>
                <w:noProof/>
                <w:color w:val="000000"/>
                <w:kern w:val="0"/>
                <w:szCs w:val="20"/>
                <w:vertAlign w:val="superscript"/>
              </w:rPr>
              <w:t>46</w:t>
            </w:r>
          </w:p>
        </w:tc>
        <w:tc>
          <w:tcPr>
            <w:tcW w:w="7760" w:type="dxa"/>
            <w:tcBorders>
              <w:top w:val="nil"/>
              <w:left w:val="nil"/>
              <w:bottom w:val="single" w:sz="8" w:space="0" w:color="auto"/>
              <w:right w:val="single" w:sz="8" w:space="0" w:color="auto"/>
            </w:tcBorders>
            <w:shd w:val="clear" w:color="auto" w:fill="auto"/>
            <w:vAlign w:val="center"/>
            <w:hideMark/>
          </w:tcPr>
          <w:p w14:paraId="4FDF7F7D"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0283940B"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1DDFC17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Shorey</w:t>
            </w:r>
            <w:proofErr w:type="spellEnd"/>
            <w:r w:rsidRPr="00394B52">
              <w:rPr>
                <w:rFonts w:ascii="Times" w:eastAsia="Malgun Gothic" w:hAnsi="Times" w:cs="Times"/>
                <w:color w:val="000000"/>
                <w:kern w:val="0"/>
                <w:szCs w:val="20"/>
              </w:rPr>
              <w:t>, et al. 2018</w:t>
            </w:r>
            <w:r w:rsidRPr="00394B52">
              <w:rPr>
                <w:rFonts w:ascii="Times" w:eastAsia="Malgun Gothic" w:hAnsi="Times" w:cs="Times"/>
                <w:noProof/>
                <w:color w:val="000000"/>
                <w:kern w:val="0"/>
                <w:szCs w:val="20"/>
                <w:vertAlign w:val="superscript"/>
              </w:rPr>
              <w:t>47</w:t>
            </w:r>
          </w:p>
        </w:tc>
        <w:tc>
          <w:tcPr>
            <w:tcW w:w="7760" w:type="dxa"/>
            <w:tcBorders>
              <w:top w:val="nil"/>
              <w:left w:val="nil"/>
              <w:bottom w:val="single" w:sz="8" w:space="0" w:color="auto"/>
              <w:right w:val="single" w:sz="8" w:space="0" w:color="auto"/>
            </w:tcBorders>
            <w:shd w:val="clear" w:color="auto" w:fill="auto"/>
            <w:vAlign w:val="center"/>
            <w:hideMark/>
          </w:tcPr>
          <w:p w14:paraId="2C0CCF90"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1EA01CE0"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CD31D7A"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Sockol</w:t>
            </w:r>
            <w:proofErr w:type="spellEnd"/>
            <w:r w:rsidRPr="00394B52">
              <w:rPr>
                <w:rFonts w:ascii="Times" w:eastAsia="Malgun Gothic" w:hAnsi="Times" w:cs="Times"/>
                <w:color w:val="000000"/>
                <w:kern w:val="0"/>
                <w:szCs w:val="20"/>
              </w:rPr>
              <w:t>, et al. 2013</w:t>
            </w:r>
            <w:r w:rsidRPr="00394B52">
              <w:rPr>
                <w:rFonts w:ascii="Times" w:eastAsia="Malgun Gothic" w:hAnsi="Times" w:cs="Times"/>
                <w:noProof/>
                <w:color w:val="000000"/>
                <w:kern w:val="0"/>
                <w:szCs w:val="20"/>
                <w:vertAlign w:val="superscript"/>
              </w:rPr>
              <w:t>48</w:t>
            </w:r>
          </w:p>
        </w:tc>
        <w:tc>
          <w:tcPr>
            <w:tcW w:w="7760" w:type="dxa"/>
            <w:tcBorders>
              <w:top w:val="nil"/>
              <w:left w:val="nil"/>
              <w:bottom w:val="single" w:sz="8" w:space="0" w:color="auto"/>
              <w:right w:val="single" w:sz="8" w:space="0" w:color="auto"/>
            </w:tcBorders>
            <w:shd w:val="clear" w:color="auto" w:fill="auto"/>
            <w:vAlign w:val="center"/>
            <w:hideMark/>
          </w:tcPr>
          <w:p w14:paraId="1A1E7CA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39948B99"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F80734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Sockol</w:t>
            </w:r>
            <w:proofErr w:type="spellEnd"/>
            <w:r w:rsidRPr="00394B52">
              <w:rPr>
                <w:rFonts w:ascii="Times" w:eastAsia="Malgun Gothic" w:hAnsi="Times" w:cs="Times"/>
                <w:color w:val="000000"/>
                <w:kern w:val="0"/>
                <w:szCs w:val="20"/>
              </w:rPr>
              <w:t>, et al. 2015</w:t>
            </w:r>
            <w:r w:rsidRPr="00394B52">
              <w:rPr>
                <w:rFonts w:ascii="Times" w:eastAsia="Malgun Gothic" w:hAnsi="Times" w:cs="Times"/>
                <w:noProof/>
                <w:color w:val="000000"/>
                <w:kern w:val="0"/>
                <w:szCs w:val="20"/>
                <w:vertAlign w:val="superscript"/>
              </w:rPr>
              <w:t>49</w:t>
            </w:r>
          </w:p>
        </w:tc>
        <w:tc>
          <w:tcPr>
            <w:tcW w:w="7760" w:type="dxa"/>
            <w:tcBorders>
              <w:top w:val="nil"/>
              <w:left w:val="nil"/>
              <w:bottom w:val="single" w:sz="8" w:space="0" w:color="auto"/>
              <w:right w:val="single" w:sz="8" w:space="0" w:color="auto"/>
            </w:tcBorders>
            <w:shd w:val="clear" w:color="auto" w:fill="auto"/>
            <w:vAlign w:val="center"/>
            <w:hideMark/>
          </w:tcPr>
          <w:p w14:paraId="7DD398A9"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2C84E77B"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12BC3E5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Sockol</w:t>
            </w:r>
            <w:proofErr w:type="spellEnd"/>
            <w:r w:rsidRPr="00394B52">
              <w:rPr>
                <w:rFonts w:ascii="Times" w:eastAsia="Malgun Gothic" w:hAnsi="Times" w:cs="Times"/>
                <w:color w:val="000000"/>
                <w:kern w:val="0"/>
                <w:szCs w:val="20"/>
              </w:rPr>
              <w:t>, et al. 2018</w:t>
            </w:r>
            <w:r w:rsidRPr="00394B52">
              <w:rPr>
                <w:rFonts w:ascii="Times" w:eastAsia="Malgun Gothic" w:hAnsi="Times" w:cs="Times"/>
                <w:noProof/>
                <w:color w:val="000000"/>
                <w:kern w:val="0"/>
                <w:szCs w:val="20"/>
                <w:vertAlign w:val="superscript"/>
              </w:rPr>
              <w:t>50</w:t>
            </w:r>
          </w:p>
        </w:tc>
        <w:tc>
          <w:tcPr>
            <w:tcW w:w="7760" w:type="dxa"/>
            <w:tcBorders>
              <w:top w:val="nil"/>
              <w:left w:val="nil"/>
              <w:bottom w:val="single" w:sz="8" w:space="0" w:color="auto"/>
              <w:right w:val="single" w:sz="8" w:space="0" w:color="auto"/>
            </w:tcBorders>
            <w:shd w:val="clear" w:color="auto" w:fill="auto"/>
            <w:vAlign w:val="center"/>
            <w:hideMark/>
          </w:tcPr>
          <w:p w14:paraId="5AAFFCD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37A43D19"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1B125D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Stuart, et al. 2003</w:t>
            </w:r>
            <w:r w:rsidRPr="00394B52">
              <w:rPr>
                <w:rFonts w:ascii="Times" w:eastAsia="Malgun Gothic" w:hAnsi="Times" w:cs="Times"/>
                <w:noProof/>
                <w:color w:val="000000"/>
                <w:kern w:val="0"/>
                <w:szCs w:val="20"/>
                <w:vertAlign w:val="superscript"/>
              </w:rPr>
              <w:t>51</w:t>
            </w:r>
          </w:p>
        </w:tc>
        <w:tc>
          <w:tcPr>
            <w:tcW w:w="7760" w:type="dxa"/>
            <w:tcBorders>
              <w:top w:val="nil"/>
              <w:left w:val="nil"/>
              <w:bottom w:val="single" w:sz="8" w:space="0" w:color="auto"/>
              <w:right w:val="single" w:sz="8" w:space="0" w:color="auto"/>
            </w:tcBorders>
            <w:shd w:val="clear" w:color="auto" w:fill="auto"/>
            <w:vAlign w:val="center"/>
            <w:hideMark/>
          </w:tcPr>
          <w:p w14:paraId="04046506"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0AE0576E"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32C8AF1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Taylor, et al. 2016</w:t>
            </w:r>
            <w:r w:rsidRPr="00394B52">
              <w:rPr>
                <w:rFonts w:ascii="Times" w:eastAsia="Malgun Gothic" w:hAnsi="Times" w:cs="Times"/>
                <w:noProof/>
                <w:color w:val="000000"/>
                <w:kern w:val="0"/>
                <w:szCs w:val="20"/>
                <w:vertAlign w:val="superscript"/>
              </w:rPr>
              <w:t>52</w:t>
            </w:r>
          </w:p>
        </w:tc>
        <w:tc>
          <w:tcPr>
            <w:tcW w:w="7760" w:type="dxa"/>
            <w:tcBorders>
              <w:top w:val="nil"/>
              <w:left w:val="nil"/>
              <w:bottom w:val="single" w:sz="8" w:space="0" w:color="auto"/>
              <w:right w:val="single" w:sz="8" w:space="0" w:color="auto"/>
            </w:tcBorders>
            <w:shd w:val="clear" w:color="auto" w:fill="auto"/>
            <w:vAlign w:val="center"/>
            <w:hideMark/>
          </w:tcPr>
          <w:p w14:paraId="57F270D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423C19D9"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B86D094"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Tong, et al. 2019</w:t>
            </w:r>
            <w:r w:rsidRPr="00394B52">
              <w:rPr>
                <w:rFonts w:ascii="Times" w:eastAsia="Malgun Gothic" w:hAnsi="Times" w:cs="Times"/>
                <w:noProof/>
                <w:color w:val="000000"/>
                <w:kern w:val="0"/>
                <w:szCs w:val="20"/>
                <w:vertAlign w:val="superscript"/>
              </w:rPr>
              <w:t>53</w:t>
            </w:r>
          </w:p>
        </w:tc>
        <w:tc>
          <w:tcPr>
            <w:tcW w:w="7760" w:type="dxa"/>
            <w:tcBorders>
              <w:top w:val="nil"/>
              <w:left w:val="nil"/>
              <w:bottom w:val="single" w:sz="8" w:space="0" w:color="auto"/>
              <w:right w:val="single" w:sz="8" w:space="0" w:color="auto"/>
            </w:tcBorders>
            <w:shd w:val="clear" w:color="auto" w:fill="auto"/>
            <w:vAlign w:val="center"/>
            <w:hideMark/>
          </w:tcPr>
          <w:p w14:paraId="5DFCB1C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4EB10D05"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16B8606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Warsiti</w:t>
            </w:r>
            <w:proofErr w:type="spellEnd"/>
            <w:r w:rsidRPr="00394B52">
              <w:rPr>
                <w:rFonts w:ascii="Times" w:eastAsia="Malgun Gothic" w:hAnsi="Times" w:cs="Times"/>
                <w:color w:val="000000"/>
                <w:kern w:val="0"/>
                <w:szCs w:val="20"/>
              </w:rPr>
              <w:t>, et al. 2020</w:t>
            </w:r>
            <w:r w:rsidRPr="00394B52">
              <w:rPr>
                <w:rFonts w:ascii="Times" w:eastAsia="Malgun Gothic" w:hAnsi="Times" w:cs="Times"/>
                <w:noProof/>
                <w:color w:val="000000"/>
                <w:kern w:val="0"/>
                <w:szCs w:val="20"/>
                <w:vertAlign w:val="superscript"/>
              </w:rPr>
              <w:t>54</w:t>
            </w:r>
          </w:p>
        </w:tc>
        <w:tc>
          <w:tcPr>
            <w:tcW w:w="7760" w:type="dxa"/>
            <w:tcBorders>
              <w:top w:val="nil"/>
              <w:left w:val="nil"/>
              <w:bottom w:val="single" w:sz="8" w:space="0" w:color="auto"/>
              <w:right w:val="single" w:sz="8" w:space="0" w:color="auto"/>
            </w:tcBorders>
            <w:shd w:val="clear" w:color="auto" w:fill="auto"/>
            <w:vAlign w:val="center"/>
            <w:hideMark/>
          </w:tcPr>
          <w:p w14:paraId="3A57A06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7750306E"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94D59D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Wojcieszek</w:t>
            </w:r>
            <w:proofErr w:type="spellEnd"/>
            <w:r w:rsidRPr="00394B52">
              <w:rPr>
                <w:rFonts w:ascii="Times" w:eastAsia="Malgun Gothic" w:hAnsi="Times" w:cs="Times"/>
                <w:color w:val="000000"/>
                <w:kern w:val="0"/>
                <w:szCs w:val="20"/>
              </w:rPr>
              <w:t>, et al. 2018</w:t>
            </w:r>
            <w:r w:rsidRPr="00394B52">
              <w:rPr>
                <w:rFonts w:ascii="Times" w:eastAsia="Malgun Gothic" w:hAnsi="Times" w:cs="Times"/>
                <w:noProof/>
                <w:color w:val="000000"/>
                <w:kern w:val="0"/>
                <w:szCs w:val="20"/>
                <w:vertAlign w:val="superscript"/>
              </w:rPr>
              <w:t>55</w:t>
            </w:r>
          </w:p>
        </w:tc>
        <w:tc>
          <w:tcPr>
            <w:tcW w:w="7760" w:type="dxa"/>
            <w:tcBorders>
              <w:top w:val="nil"/>
              <w:left w:val="nil"/>
              <w:bottom w:val="single" w:sz="8" w:space="0" w:color="auto"/>
              <w:right w:val="single" w:sz="8" w:space="0" w:color="auto"/>
            </w:tcBorders>
            <w:shd w:val="clear" w:color="auto" w:fill="auto"/>
            <w:vAlign w:val="center"/>
            <w:hideMark/>
          </w:tcPr>
          <w:p w14:paraId="277CBC4A"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75CC51B3"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A5EEC16"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Woody, et al. 2017</w:t>
            </w:r>
            <w:r w:rsidRPr="00394B52">
              <w:rPr>
                <w:rFonts w:ascii="Times" w:eastAsia="Malgun Gothic" w:hAnsi="Times" w:cs="Times"/>
                <w:noProof/>
                <w:color w:val="000000"/>
                <w:kern w:val="0"/>
                <w:szCs w:val="20"/>
                <w:vertAlign w:val="superscript"/>
              </w:rPr>
              <w:t>56</w:t>
            </w:r>
          </w:p>
        </w:tc>
        <w:tc>
          <w:tcPr>
            <w:tcW w:w="7760" w:type="dxa"/>
            <w:tcBorders>
              <w:top w:val="nil"/>
              <w:left w:val="nil"/>
              <w:bottom w:val="single" w:sz="8" w:space="0" w:color="auto"/>
              <w:right w:val="single" w:sz="8" w:space="0" w:color="auto"/>
            </w:tcBorders>
            <w:shd w:val="clear" w:color="auto" w:fill="auto"/>
            <w:vAlign w:val="center"/>
            <w:hideMark/>
          </w:tcPr>
          <w:p w14:paraId="0693F936"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3015BB97"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3A672C00"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lastRenderedPageBreak/>
              <w:t>Yonemoto</w:t>
            </w:r>
            <w:proofErr w:type="spellEnd"/>
            <w:r w:rsidRPr="00394B52">
              <w:rPr>
                <w:rFonts w:ascii="Times" w:eastAsia="Malgun Gothic" w:hAnsi="Times" w:cs="Times"/>
                <w:color w:val="000000"/>
                <w:kern w:val="0"/>
                <w:szCs w:val="20"/>
              </w:rPr>
              <w:t>, et al. 2017</w:t>
            </w:r>
            <w:r w:rsidRPr="00394B52">
              <w:rPr>
                <w:rFonts w:ascii="Times" w:eastAsia="Malgun Gothic" w:hAnsi="Times" w:cs="Times"/>
                <w:noProof/>
                <w:color w:val="000000"/>
                <w:kern w:val="0"/>
                <w:szCs w:val="20"/>
                <w:vertAlign w:val="superscript"/>
              </w:rPr>
              <w:t>57</w:t>
            </w:r>
          </w:p>
        </w:tc>
        <w:tc>
          <w:tcPr>
            <w:tcW w:w="7760" w:type="dxa"/>
            <w:tcBorders>
              <w:top w:val="nil"/>
              <w:left w:val="nil"/>
              <w:bottom w:val="single" w:sz="8" w:space="0" w:color="auto"/>
              <w:right w:val="single" w:sz="8" w:space="0" w:color="auto"/>
            </w:tcBorders>
            <w:shd w:val="clear" w:color="auto" w:fill="auto"/>
            <w:vAlign w:val="center"/>
            <w:hideMark/>
          </w:tcPr>
          <w:p w14:paraId="230FCC1A"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Did not study risk factors, protective factors, or biomarkers of postpartum depression</w:t>
            </w:r>
          </w:p>
        </w:tc>
      </w:tr>
      <w:tr w:rsidR="00394B52" w:rsidRPr="00394B52" w14:paraId="0FFE0642"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CCA67E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Anderson, et al. 2017</w:t>
            </w:r>
            <w:r w:rsidRPr="00394B52">
              <w:rPr>
                <w:rFonts w:ascii="Times" w:eastAsia="Malgun Gothic" w:hAnsi="Times" w:cs="Times"/>
                <w:noProof/>
                <w:color w:val="000000"/>
                <w:kern w:val="0"/>
                <w:szCs w:val="20"/>
                <w:vertAlign w:val="superscript"/>
              </w:rPr>
              <w:t>58</w:t>
            </w:r>
          </w:p>
        </w:tc>
        <w:tc>
          <w:tcPr>
            <w:tcW w:w="7760" w:type="dxa"/>
            <w:tcBorders>
              <w:top w:val="nil"/>
              <w:left w:val="nil"/>
              <w:bottom w:val="single" w:sz="8" w:space="0" w:color="auto"/>
              <w:right w:val="single" w:sz="8" w:space="0" w:color="auto"/>
            </w:tcBorders>
            <w:shd w:val="clear" w:color="auto" w:fill="auto"/>
            <w:vAlign w:val="center"/>
            <w:hideMark/>
          </w:tcPr>
          <w:p w14:paraId="0C00A67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59C4410A"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1F42D736"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Azam, et al. 2014</w:t>
            </w:r>
            <w:r w:rsidRPr="00394B52">
              <w:rPr>
                <w:rFonts w:ascii="Times" w:eastAsia="Malgun Gothic" w:hAnsi="Times" w:cs="Times"/>
                <w:noProof/>
                <w:color w:val="000000"/>
                <w:kern w:val="0"/>
                <w:szCs w:val="20"/>
                <w:vertAlign w:val="superscript"/>
              </w:rPr>
              <w:t>59</w:t>
            </w:r>
          </w:p>
        </w:tc>
        <w:tc>
          <w:tcPr>
            <w:tcW w:w="7760" w:type="dxa"/>
            <w:tcBorders>
              <w:top w:val="nil"/>
              <w:left w:val="nil"/>
              <w:bottom w:val="single" w:sz="8" w:space="0" w:color="auto"/>
              <w:right w:val="single" w:sz="8" w:space="0" w:color="auto"/>
            </w:tcBorders>
            <w:shd w:val="clear" w:color="auto" w:fill="auto"/>
            <w:vAlign w:val="center"/>
            <w:hideMark/>
          </w:tcPr>
          <w:p w14:paraId="62470629"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06B1E23A"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8FFF6E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Beck, et al. 2002</w:t>
            </w:r>
            <w:r w:rsidRPr="00394B52">
              <w:rPr>
                <w:rFonts w:ascii="Times" w:eastAsia="Malgun Gothic" w:hAnsi="Times" w:cs="Times"/>
                <w:noProof/>
                <w:color w:val="000000"/>
                <w:kern w:val="0"/>
                <w:szCs w:val="20"/>
                <w:vertAlign w:val="superscript"/>
              </w:rPr>
              <w:t>60</w:t>
            </w:r>
          </w:p>
        </w:tc>
        <w:tc>
          <w:tcPr>
            <w:tcW w:w="7760" w:type="dxa"/>
            <w:tcBorders>
              <w:top w:val="nil"/>
              <w:left w:val="nil"/>
              <w:bottom w:val="single" w:sz="8" w:space="0" w:color="auto"/>
              <w:right w:val="single" w:sz="8" w:space="0" w:color="auto"/>
            </w:tcBorders>
            <w:shd w:val="clear" w:color="auto" w:fill="auto"/>
            <w:vAlign w:val="center"/>
            <w:hideMark/>
          </w:tcPr>
          <w:p w14:paraId="6EB090DA"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1B3DFA82"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140754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Brown, et al. 2018</w:t>
            </w:r>
            <w:r w:rsidRPr="00394B52">
              <w:rPr>
                <w:rFonts w:ascii="Times" w:eastAsia="Malgun Gothic" w:hAnsi="Times" w:cs="Times"/>
                <w:noProof/>
                <w:color w:val="000000"/>
                <w:kern w:val="0"/>
                <w:szCs w:val="20"/>
                <w:vertAlign w:val="superscript"/>
              </w:rPr>
              <w:t>61</w:t>
            </w:r>
          </w:p>
        </w:tc>
        <w:tc>
          <w:tcPr>
            <w:tcW w:w="7760" w:type="dxa"/>
            <w:tcBorders>
              <w:top w:val="nil"/>
              <w:left w:val="nil"/>
              <w:bottom w:val="single" w:sz="8" w:space="0" w:color="auto"/>
              <w:right w:val="single" w:sz="8" w:space="0" w:color="auto"/>
            </w:tcBorders>
            <w:shd w:val="clear" w:color="auto" w:fill="auto"/>
            <w:vAlign w:val="center"/>
            <w:hideMark/>
          </w:tcPr>
          <w:p w14:paraId="50DF229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173824A0"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33BFFAE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Chen, et al. 2019</w:t>
            </w:r>
            <w:r w:rsidRPr="00394B52">
              <w:rPr>
                <w:rFonts w:ascii="Times" w:eastAsia="Malgun Gothic" w:hAnsi="Times" w:cs="Times"/>
                <w:noProof/>
                <w:color w:val="000000"/>
                <w:kern w:val="0"/>
                <w:szCs w:val="20"/>
                <w:vertAlign w:val="superscript"/>
              </w:rPr>
              <w:t>62</w:t>
            </w:r>
          </w:p>
        </w:tc>
        <w:tc>
          <w:tcPr>
            <w:tcW w:w="7760" w:type="dxa"/>
            <w:tcBorders>
              <w:top w:val="nil"/>
              <w:left w:val="nil"/>
              <w:bottom w:val="single" w:sz="8" w:space="0" w:color="auto"/>
              <w:right w:val="single" w:sz="8" w:space="0" w:color="auto"/>
            </w:tcBorders>
            <w:shd w:val="clear" w:color="auto" w:fill="auto"/>
            <w:vAlign w:val="center"/>
            <w:hideMark/>
          </w:tcPr>
          <w:p w14:paraId="670A750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2E36ABDA"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FE1BF80"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Chowdhury, et al. 2015</w:t>
            </w:r>
            <w:r w:rsidRPr="00394B52">
              <w:rPr>
                <w:rFonts w:ascii="Times" w:eastAsia="Malgun Gothic" w:hAnsi="Times" w:cs="Times"/>
                <w:noProof/>
                <w:color w:val="000000"/>
                <w:kern w:val="0"/>
                <w:szCs w:val="20"/>
                <w:vertAlign w:val="superscript"/>
              </w:rPr>
              <w:t>63</w:t>
            </w:r>
          </w:p>
        </w:tc>
        <w:tc>
          <w:tcPr>
            <w:tcW w:w="7760" w:type="dxa"/>
            <w:tcBorders>
              <w:top w:val="nil"/>
              <w:left w:val="nil"/>
              <w:bottom w:val="single" w:sz="8" w:space="0" w:color="auto"/>
              <w:right w:val="single" w:sz="8" w:space="0" w:color="auto"/>
            </w:tcBorders>
            <w:shd w:val="clear" w:color="auto" w:fill="auto"/>
            <w:vAlign w:val="center"/>
            <w:hideMark/>
          </w:tcPr>
          <w:p w14:paraId="727C863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1F4C6117"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26B8E0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Cuijpers</w:t>
            </w:r>
            <w:proofErr w:type="spellEnd"/>
            <w:r w:rsidRPr="00394B52">
              <w:rPr>
                <w:rFonts w:ascii="Times" w:eastAsia="Malgun Gothic" w:hAnsi="Times" w:cs="Times"/>
                <w:color w:val="000000"/>
                <w:kern w:val="0"/>
                <w:szCs w:val="20"/>
              </w:rPr>
              <w:t>, et al. 2005</w:t>
            </w:r>
            <w:r w:rsidRPr="00394B52">
              <w:rPr>
                <w:rFonts w:ascii="Times" w:eastAsia="Malgun Gothic" w:hAnsi="Times" w:cs="Times"/>
                <w:noProof/>
                <w:color w:val="000000"/>
                <w:kern w:val="0"/>
                <w:szCs w:val="20"/>
                <w:vertAlign w:val="superscript"/>
              </w:rPr>
              <w:t>64</w:t>
            </w:r>
          </w:p>
        </w:tc>
        <w:tc>
          <w:tcPr>
            <w:tcW w:w="7760" w:type="dxa"/>
            <w:tcBorders>
              <w:top w:val="nil"/>
              <w:left w:val="nil"/>
              <w:bottom w:val="single" w:sz="8" w:space="0" w:color="auto"/>
              <w:right w:val="single" w:sz="8" w:space="0" w:color="auto"/>
            </w:tcBorders>
            <w:shd w:val="clear" w:color="auto" w:fill="auto"/>
            <w:vAlign w:val="center"/>
            <w:hideMark/>
          </w:tcPr>
          <w:p w14:paraId="7333A4F6"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07979348"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035732A"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Dachew</w:t>
            </w:r>
            <w:proofErr w:type="spellEnd"/>
            <w:r w:rsidRPr="00394B52">
              <w:rPr>
                <w:rFonts w:ascii="Times" w:eastAsia="Malgun Gothic" w:hAnsi="Times" w:cs="Times"/>
                <w:color w:val="000000"/>
                <w:kern w:val="0"/>
                <w:szCs w:val="20"/>
              </w:rPr>
              <w:t>, et al. 2020</w:t>
            </w:r>
            <w:r w:rsidRPr="00394B52">
              <w:rPr>
                <w:rFonts w:ascii="Times" w:eastAsia="Malgun Gothic" w:hAnsi="Times" w:cs="Times"/>
                <w:noProof/>
                <w:color w:val="000000"/>
                <w:kern w:val="0"/>
                <w:szCs w:val="20"/>
                <w:vertAlign w:val="superscript"/>
              </w:rPr>
              <w:t>65</w:t>
            </w:r>
          </w:p>
        </w:tc>
        <w:tc>
          <w:tcPr>
            <w:tcW w:w="7760" w:type="dxa"/>
            <w:tcBorders>
              <w:top w:val="nil"/>
              <w:left w:val="nil"/>
              <w:bottom w:val="single" w:sz="8" w:space="0" w:color="auto"/>
              <w:right w:val="single" w:sz="8" w:space="0" w:color="auto"/>
            </w:tcBorders>
            <w:shd w:val="clear" w:color="auto" w:fill="auto"/>
            <w:vAlign w:val="center"/>
            <w:hideMark/>
          </w:tcPr>
          <w:p w14:paraId="2D8FFAD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3C37D9CD"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CF9DDF6"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Dale, et al. 2008</w:t>
            </w:r>
            <w:r w:rsidRPr="00394B52">
              <w:rPr>
                <w:rFonts w:ascii="Times" w:eastAsia="Malgun Gothic" w:hAnsi="Times" w:cs="Times"/>
                <w:noProof/>
                <w:color w:val="000000"/>
                <w:kern w:val="0"/>
                <w:szCs w:val="20"/>
                <w:vertAlign w:val="superscript"/>
              </w:rPr>
              <w:t>66</w:t>
            </w:r>
          </w:p>
        </w:tc>
        <w:tc>
          <w:tcPr>
            <w:tcW w:w="7760" w:type="dxa"/>
            <w:tcBorders>
              <w:top w:val="nil"/>
              <w:left w:val="nil"/>
              <w:bottom w:val="single" w:sz="8" w:space="0" w:color="auto"/>
              <w:right w:val="single" w:sz="8" w:space="0" w:color="auto"/>
            </w:tcBorders>
            <w:shd w:val="clear" w:color="auto" w:fill="auto"/>
            <w:vAlign w:val="center"/>
            <w:hideMark/>
          </w:tcPr>
          <w:p w14:paraId="78C5180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512A544F"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5AB60B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Davenport, et al. 2018</w:t>
            </w:r>
            <w:r w:rsidRPr="00394B52">
              <w:rPr>
                <w:rFonts w:ascii="Times" w:eastAsia="Malgun Gothic" w:hAnsi="Times" w:cs="Times"/>
                <w:noProof/>
                <w:color w:val="000000"/>
                <w:kern w:val="0"/>
                <w:szCs w:val="20"/>
                <w:vertAlign w:val="superscript"/>
              </w:rPr>
              <w:t>67</w:t>
            </w:r>
          </w:p>
        </w:tc>
        <w:tc>
          <w:tcPr>
            <w:tcW w:w="7760" w:type="dxa"/>
            <w:tcBorders>
              <w:top w:val="nil"/>
              <w:left w:val="nil"/>
              <w:bottom w:val="single" w:sz="8" w:space="0" w:color="auto"/>
              <w:right w:val="single" w:sz="8" w:space="0" w:color="auto"/>
            </w:tcBorders>
            <w:shd w:val="clear" w:color="auto" w:fill="auto"/>
            <w:vAlign w:val="center"/>
            <w:hideMark/>
          </w:tcPr>
          <w:p w14:paraId="5AAA451D"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62225A4C"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FF12E5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Dipietro</w:t>
            </w:r>
            <w:proofErr w:type="spellEnd"/>
            <w:r w:rsidRPr="00394B52">
              <w:rPr>
                <w:rFonts w:ascii="Times" w:eastAsia="Malgun Gothic" w:hAnsi="Times" w:cs="Times"/>
                <w:color w:val="000000"/>
                <w:kern w:val="0"/>
                <w:szCs w:val="20"/>
              </w:rPr>
              <w:t>, et al. 2019</w:t>
            </w:r>
            <w:r w:rsidRPr="00394B52">
              <w:rPr>
                <w:rFonts w:ascii="Times" w:eastAsia="Malgun Gothic" w:hAnsi="Times" w:cs="Times"/>
                <w:noProof/>
                <w:color w:val="000000"/>
                <w:kern w:val="0"/>
                <w:szCs w:val="20"/>
                <w:vertAlign w:val="superscript"/>
              </w:rPr>
              <w:t>68</w:t>
            </w:r>
          </w:p>
        </w:tc>
        <w:tc>
          <w:tcPr>
            <w:tcW w:w="7760" w:type="dxa"/>
            <w:tcBorders>
              <w:top w:val="nil"/>
              <w:left w:val="nil"/>
              <w:bottom w:val="single" w:sz="8" w:space="0" w:color="auto"/>
              <w:right w:val="single" w:sz="8" w:space="0" w:color="auto"/>
            </w:tcBorders>
            <w:shd w:val="clear" w:color="auto" w:fill="auto"/>
            <w:vAlign w:val="center"/>
            <w:hideMark/>
          </w:tcPr>
          <w:p w14:paraId="428ACE8A"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18E33F88"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AEF117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González-Mesa, et al. 2019</w:t>
            </w:r>
            <w:r w:rsidRPr="00394B52">
              <w:rPr>
                <w:rFonts w:ascii="Times" w:eastAsia="Malgun Gothic" w:hAnsi="Times" w:cs="Times"/>
                <w:noProof/>
                <w:color w:val="000000"/>
                <w:kern w:val="0"/>
                <w:szCs w:val="20"/>
                <w:vertAlign w:val="superscript"/>
              </w:rPr>
              <w:t>69</w:t>
            </w:r>
          </w:p>
        </w:tc>
        <w:tc>
          <w:tcPr>
            <w:tcW w:w="7760" w:type="dxa"/>
            <w:tcBorders>
              <w:top w:val="nil"/>
              <w:left w:val="nil"/>
              <w:bottom w:val="single" w:sz="8" w:space="0" w:color="auto"/>
              <w:right w:val="single" w:sz="8" w:space="0" w:color="auto"/>
            </w:tcBorders>
            <w:shd w:val="clear" w:color="auto" w:fill="auto"/>
            <w:vAlign w:val="center"/>
            <w:hideMark/>
          </w:tcPr>
          <w:p w14:paraId="207DE5BD"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5CECBDFE"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6108FCE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Hofmeyr, et al. 2015</w:t>
            </w:r>
            <w:r w:rsidRPr="00394B52">
              <w:rPr>
                <w:rFonts w:ascii="Times" w:eastAsia="Malgun Gothic" w:hAnsi="Times" w:cs="Times"/>
                <w:noProof/>
                <w:color w:val="000000"/>
                <w:kern w:val="0"/>
                <w:szCs w:val="20"/>
                <w:vertAlign w:val="superscript"/>
              </w:rPr>
              <w:t>70</w:t>
            </w:r>
          </w:p>
        </w:tc>
        <w:tc>
          <w:tcPr>
            <w:tcW w:w="7760" w:type="dxa"/>
            <w:tcBorders>
              <w:top w:val="nil"/>
              <w:left w:val="nil"/>
              <w:bottom w:val="single" w:sz="8" w:space="0" w:color="auto"/>
              <w:right w:val="single" w:sz="8" w:space="0" w:color="auto"/>
            </w:tcBorders>
            <w:shd w:val="clear" w:color="auto" w:fill="auto"/>
            <w:vAlign w:val="center"/>
            <w:hideMark/>
          </w:tcPr>
          <w:p w14:paraId="30DB021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1912EBF7"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141A09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Hösli</w:t>
            </w:r>
            <w:proofErr w:type="spellEnd"/>
            <w:r w:rsidRPr="00394B52">
              <w:rPr>
                <w:rFonts w:ascii="Times" w:eastAsia="Malgun Gothic" w:hAnsi="Times" w:cs="Times"/>
                <w:color w:val="000000"/>
                <w:kern w:val="0"/>
                <w:szCs w:val="20"/>
              </w:rPr>
              <w:t>, et al. 2007</w:t>
            </w:r>
            <w:r w:rsidRPr="00394B52">
              <w:rPr>
                <w:rFonts w:ascii="Times" w:eastAsia="Malgun Gothic" w:hAnsi="Times" w:cs="Times"/>
                <w:noProof/>
                <w:color w:val="000000"/>
                <w:kern w:val="0"/>
                <w:szCs w:val="20"/>
                <w:vertAlign w:val="superscript"/>
              </w:rPr>
              <w:t>71</w:t>
            </w:r>
          </w:p>
        </w:tc>
        <w:tc>
          <w:tcPr>
            <w:tcW w:w="7760" w:type="dxa"/>
            <w:tcBorders>
              <w:top w:val="nil"/>
              <w:left w:val="nil"/>
              <w:bottom w:val="single" w:sz="8" w:space="0" w:color="auto"/>
              <w:right w:val="single" w:sz="8" w:space="0" w:color="auto"/>
            </w:tcBorders>
            <w:shd w:val="clear" w:color="auto" w:fill="auto"/>
            <w:vAlign w:val="center"/>
            <w:hideMark/>
          </w:tcPr>
          <w:p w14:paraId="4DBAF9EE"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59CCC748"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5F3332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Hutchens, et al. 2020</w:t>
            </w:r>
            <w:r w:rsidRPr="00394B52">
              <w:rPr>
                <w:rFonts w:ascii="Times" w:eastAsia="Malgun Gothic" w:hAnsi="Times" w:cs="Times"/>
                <w:noProof/>
                <w:color w:val="000000"/>
                <w:kern w:val="0"/>
                <w:szCs w:val="20"/>
                <w:vertAlign w:val="superscript"/>
              </w:rPr>
              <w:t>72</w:t>
            </w:r>
          </w:p>
        </w:tc>
        <w:tc>
          <w:tcPr>
            <w:tcW w:w="7760" w:type="dxa"/>
            <w:tcBorders>
              <w:top w:val="nil"/>
              <w:left w:val="nil"/>
              <w:bottom w:val="single" w:sz="8" w:space="0" w:color="auto"/>
              <w:right w:val="single" w:sz="8" w:space="0" w:color="auto"/>
            </w:tcBorders>
            <w:shd w:val="clear" w:color="auto" w:fill="auto"/>
            <w:vAlign w:val="center"/>
            <w:hideMark/>
          </w:tcPr>
          <w:p w14:paraId="5DFD4F0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1AED51F6"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00600E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Luo, et al. 2007</w:t>
            </w:r>
            <w:r w:rsidRPr="00394B52">
              <w:rPr>
                <w:rFonts w:ascii="Times" w:eastAsia="Malgun Gothic" w:hAnsi="Times" w:cs="Times"/>
                <w:noProof/>
                <w:color w:val="000000"/>
                <w:kern w:val="0"/>
                <w:szCs w:val="20"/>
                <w:vertAlign w:val="superscript"/>
              </w:rPr>
              <w:t>73</w:t>
            </w:r>
          </w:p>
        </w:tc>
        <w:tc>
          <w:tcPr>
            <w:tcW w:w="7760" w:type="dxa"/>
            <w:tcBorders>
              <w:top w:val="nil"/>
              <w:left w:val="nil"/>
              <w:bottom w:val="single" w:sz="8" w:space="0" w:color="auto"/>
              <w:right w:val="single" w:sz="8" w:space="0" w:color="auto"/>
            </w:tcBorders>
            <w:shd w:val="clear" w:color="auto" w:fill="auto"/>
            <w:vAlign w:val="center"/>
            <w:hideMark/>
          </w:tcPr>
          <w:p w14:paraId="215D7F6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2627F1B8"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1D6DFF0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Mersha</w:t>
            </w:r>
            <w:proofErr w:type="spellEnd"/>
            <w:r w:rsidRPr="00394B52">
              <w:rPr>
                <w:rFonts w:ascii="Times" w:eastAsia="Malgun Gothic" w:hAnsi="Times" w:cs="Times"/>
                <w:color w:val="000000"/>
                <w:kern w:val="0"/>
                <w:szCs w:val="20"/>
              </w:rPr>
              <w:t>, et al. 2018</w:t>
            </w:r>
            <w:r w:rsidRPr="00394B52">
              <w:rPr>
                <w:rFonts w:ascii="Times" w:eastAsia="Malgun Gothic" w:hAnsi="Times" w:cs="Times"/>
                <w:noProof/>
                <w:color w:val="000000"/>
                <w:kern w:val="0"/>
                <w:szCs w:val="20"/>
                <w:vertAlign w:val="superscript"/>
              </w:rPr>
              <w:t>74</w:t>
            </w:r>
          </w:p>
        </w:tc>
        <w:tc>
          <w:tcPr>
            <w:tcW w:w="7760" w:type="dxa"/>
            <w:tcBorders>
              <w:top w:val="nil"/>
              <w:left w:val="nil"/>
              <w:bottom w:val="single" w:sz="8" w:space="0" w:color="auto"/>
              <w:right w:val="single" w:sz="8" w:space="0" w:color="auto"/>
            </w:tcBorders>
            <w:shd w:val="clear" w:color="auto" w:fill="auto"/>
            <w:vAlign w:val="center"/>
            <w:hideMark/>
          </w:tcPr>
          <w:p w14:paraId="1FDE1713"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49CEC47A"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6570F410"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O'Connor, et al. 2016</w:t>
            </w:r>
            <w:r w:rsidRPr="00394B52">
              <w:rPr>
                <w:rFonts w:ascii="Times" w:eastAsia="Malgun Gothic" w:hAnsi="Times" w:cs="Times"/>
                <w:noProof/>
                <w:color w:val="000000"/>
                <w:kern w:val="0"/>
                <w:szCs w:val="20"/>
                <w:vertAlign w:val="superscript"/>
              </w:rPr>
              <w:t>75</w:t>
            </w:r>
          </w:p>
        </w:tc>
        <w:tc>
          <w:tcPr>
            <w:tcW w:w="7760" w:type="dxa"/>
            <w:tcBorders>
              <w:top w:val="nil"/>
              <w:left w:val="nil"/>
              <w:bottom w:val="single" w:sz="8" w:space="0" w:color="auto"/>
              <w:right w:val="single" w:sz="8" w:space="0" w:color="auto"/>
            </w:tcBorders>
            <w:shd w:val="clear" w:color="auto" w:fill="auto"/>
            <w:vAlign w:val="center"/>
            <w:hideMark/>
          </w:tcPr>
          <w:p w14:paraId="394FE9F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2C4C0609"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1C5454D0"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O'Connor, et al. 2019</w:t>
            </w:r>
            <w:r w:rsidRPr="00394B52">
              <w:rPr>
                <w:rFonts w:ascii="Times" w:eastAsia="Malgun Gothic" w:hAnsi="Times" w:cs="Times"/>
                <w:noProof/>
                <w:color w:val="000000"/>
                <w:kern w:val="0"/>
                <w:szCs w:val="20"/>
                <w:vertAlign w:val="superscript"/>
              </w:rPr>
              <w:t>76</w:t>
            </w:r>
          </w:p>
        </w:tc>
        <w:tc>
          <w:tcPr>
            <w:tcW w:w="7760" w:type="dxa"/>
            <w:tcBorders>
              <w:top w:val="nil"/>
              <w:left w:val="nil"/>
              <w:bottom w:val="single" w:sz="8" w:space="0" w:color="auto"/>
              <w:right w:val="single" w:sz="8" w:space="0" w:color="auto"/>
            </w:tcBorders>
            <w:shd w:val="clear" w:color="auto" w:fill="auto"/>
            <w:vAlign w:val="center"/>
            <w:hideMark/>
          </w:tcPr>
          <w:p w14:paraId="6A4676E4"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686320B8"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B904EB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Owais</w:t>
            </w:r>
            <w:proofErr w:type="spellEnd"/>
            <w:r w:rsidRPr="00394B52">
              <w:rPr>
                <w:rFonts w:ascii="Times" w:eastAsia="Malgun Gothic" w:hAnsi="Times" w:cs="Times"/>
                <w:color w:val="000000"/>
                <w:kern w:val="0"/>
                <w:szCs w:val="20"/>
              </w:rPr>
              <w:t>, et al. 2020</w:t>
            </w:r>
            <w:r w:rsidRPr="00394B52">
              <w:rPr>
                <w:rFonts w:ascii="Times" w:eastAsia="Malgun Gothic" w:hAnsi="Times" w:cs="Times"/>
                <w:noProof/>
                <w:color w:val="000000"/>
                <w:kern w:val="0"/>
                <w:szCs w:val="20"/>
                <w:vertAlign w:val="superscript"/>
              </w:rPr>
              <w:t>77</w:t>
            </w:r>
          </w:p>
        </w:tc>
        <w:tc>
          <w:tcPr>
            <w:tcW w:w="7760" w:type="dxa"/>
            <w:tcBorders>
              <w:top w:val="nil"/>
              <w:left w:val="nil"/>
              <w:bottom w:val="single" w:sz="8" w:space="0" w:color="auto"/>
              <w:right w:val="single" w:sz="8" w:space="0" w:color="auto"/>
            </w:tcBorders>
            <w:shd w:val="clear" w:color="auto" w:fill="auto"/>
            <w:vAlign w:val="center"/>
            <w:hideMark/>
          </w:tcPr>
          <w:p w14:paraId="6A2A008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1FCCB40E"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3DEB1F5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Park, et al. 2020</w:t>
            </w:r>
            <w:r w:rsidRPr="00394B52">
              <w:rPr>
                <w:rFonts w:ascii="Times" w:eastAsia="Malgun Gothic" w:hAnsi="Times" w:cs="Times"/>
                <w:noProof/>
                <w:color w:val="000000"/>
                <w:kern w:val="0"/>
                <w:szCs w:val="20"/>
                <w:vertAlign w:val="superscript"/>
              </w:rPr>
              <w:t>78</w:t>
            </w:r>
          </w:p>
        </w:tc>
        <w:tc>
          <w:tcPr>
            <w:tcW w:w="7760" w:type="dxa"/>
            <w:tcBorders>
              <w:top w:val="nil"/>
              <w:left w:val="nil"/>
              <w:bottom w:val="single" w:sz="8" w:space="0" w:color="auto"/>
              <w:right w:val="single" w:sz="8" w:space="0" w:color="auto"/>
            </w:tcBorders>
            <w:shd w:val="clear" w:color="auto" w:fill="auto"/>
            <w:vAlign w:val="center"/>
            <w:hideMark/>
          </w:tcPr>
          <w:p w14:paraId="001E270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48D831E4"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B243583"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Robertson, et al. 2004</w:t>
            </w:r>
            <w:r w:rsidRPr="00394B52">
              <w:rPr>
                <w:rFonts w:ascii="Times" w:eastAsia="Malgun Gothic" w:hAnsi="Times" w:cs="Times"/>
                <w:noProof/>
                <w:color w:val="000000"/>
                <w:kern w:val="0"/>
                <w:szCs w:val="20"/>
                <w:vertAlign w:val="superscript"/>
              </w:rPr>
              <w:t>79</w:t>
            </w:r>
          </w:p>
        </w:tc>
        <w:tc>
          <w:tcPr>
            <w:tcW w:w="7760" w:type="dxa"/>
            <w:tcBorders>
              <w:top w:val="nil"/>
              <w:left w:val="nil"/>
              <w:bottom w:val="single" w:sz="8" w:space="0" w:color="auto"/>
              <w:right w:val="single" w:sz="8" w:space="0" w:color="auto"/>
            </w:tcBorders>
            <w:shd w:val="clear" w:color="auto" w:fill="auto"/>
            <w:vAlign w:val="center"/>
            <w:hideMark/>
          </w:tcPr>
          <w:p w14:paraId="07259BD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766570FD"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8FEC6CE"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Suzuki, et al. 2019</w:t>
            </w:r>
            <w:r w:rsidRPr="00394B52">
              <w:rPr>
                <w:rFonts w:ascii="Times" w:eastAsia="Malgun Gothic" w:hAnsi="Times" w:cs="Times"/>
                <w:noProof/>
                <w:color w:val="000000"/>
                <w:kern w:val="0"/>
                <w:szCs w:val="20"/>
                <w:vertAlign w:val="superscript"/>
              </w:rPr>
              <w:t>80</w:t>
            </w:r>
          </w:p>
        </w:tc>
        <w:tc>
          <w:tcPr>
            <w:tcW w:w="7760" w:type="dxa"/>
            <w:tcBorders>
              <w:top w:val="nil"/>
              <w:left w:val="nil"/>
              <w:bottom w:val="single" w:sz="8" w:space="0" w:color="auto"/>
              <w:right w:val="single" w:sz="8" w:space="0" w:color="auto"/>
            </w:tcBorders>
            <w:shd w:val="clear" w:color="auto" w:fill="auto"/>
            <w:vAlign w:val="center"/>
            <w:hideMark/>
          </w:tcPr>
          <w:p w14:paraId="511D918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5E8E9EC0"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CAC7E8A"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Upadhyay, et al. 2017</w:t>
            </w:r>
            <w:r w:rsidRPr="00394B52">
              <w:rPr>
                <w:rFonts w:ascii="Times" w:eastAsia="Malgun Gothic" w:hAnsi="Times" w:cs="Times"/>
                <w:noProof/>
                <w:color w:val="000000"/>
                <w:kern w:val="0"/>
                <w:szCs w:val="20"/>
                <w:vertAlign w:val="superscript"/>
              </w:rPr>
              <w:t>81</w:t>
            </w:r>
          </w:p>
        </w:tc>
        <w:tc>
          <w:tcPr>
            <w:tcW w:w="7760" w:type="dxa"/>
            <w:tcBorders>
              <w:top w:val="nil"/>
              <w:left w:val="nil"/>
              <w:bottom w:val="single" w:sz="8" w:space="0" w:color="auto"/>
              <w:right w:val="single" w:sz="8" w:space="0" w:color="auto"/>
            </w:tcBorders>
            <w:shd w:val="clear" w:color="auto" w:fill="auto"/>
            <w:vAlign w:val="center"/>
            <w:hideMark/>
          </w:tcPr>
          <w:p w14:paraId="707F4BD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67376B6E"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06D059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Yan, et al. 2020</w:t>
            </w:r>
            <w:r w:rsidRPr="00394B52">
              <w:rPr>
                <w:rFonts w:ascii="Times" w:eastAsia="Malgun Gothic" w:hAnsi="Times" w:cs="Times"/>
                <w:noProof/>
                <w:color w:val="000000"/>
                <w:kern w:val="0"/>
                <w:szCs w:val="20"/>
                <w:vertAlign w:val="superscript"/>
              </w:rPr>
              <w:t>82</w:t>
            </w:r>
          </w:p>
        </w:tc>
        <w:tc>
          <w:tcPr>
            <w:tcW w:w="7760" w:type="dxa"/>
            <w:tcBorders>
              <w:top w:val="nil"/>
              <w:left w:val="nil"/>
              <w:bottom w:val="single" w:sz="8" w:space="0" w:color="auto"/>
              <w:right w:val="single" w:sz="8" w:space="0" w:color="auto"/>
            </w:tcBorders>
            <w:shd w:val="clear" w:color="auto" w:fill="auto"/>
            <w:vAlign w:val="center"/>
            <w:hideMark/>
          </w:tcPr>
          <w:p w14:paraId="117C438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160705CD"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4214F8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Yonemoto</w:t>
            </w:r>
            <w:proofErr w:type="spellEnd"/>
            <w:r w:rsidRPr="00394B52">
              <w:rPr>
                <w:rFonts w:ascii="Times" w:eastAsia="Malgun Gothic" w:hAnsi="Times" w:cs="Times"/>
                <w:color w:val="000000"/>
                <w:kern w:val="0"/>
                <w:szCs w:val="20"/>
              </w:rPr>
              <w:t>, et al. 2013</w:t>
            </w:r>
            <w:r w:rsidRPr="00394B52">
              <w:rPr>
                <w:rFonts w:ascii="Times" w:eastAsia="Malgun Gothic" w:hAnsi="Times" w:cs="Times"/>
                <w:noProof/>
                <w:color w:val="000000"/>
                <w:kern w:val="0"/>
                <w:szCs w:val="20"/>
                <w:vertAlign w:val="superscript"/>
              </w:rPr>
              <w:t>83</w:t>
            </w:r>
          </w:p>
        </w:tc>
        <w:tc>
          <w:tcPr>
            <w:tcW w:w="7760" w:type="dxa"/>
            <w:tcBorders>
              <w:top w:val="nil"/>
              <w:left w:val="nil"/>
              <w:bottom w:val="single" w:sz="8" w:space="0" w:color="auto"/>
              <w:right w:val="single" w:sz="8" w:space="0" w:color="auto"/>
            </w:tcBorders>
            <w:shd w:val="clear" w:color="auto" w:fill="auto"/>
            <w:vAlign w:val="center"/>
            <w:hideMark/>
          </w:tcPr>
          <w:p w14:paraId="1CF59FFA"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09D1B065"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67643FE"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Zhao, et al. 2020</w:t>
            </w:r>
            <w:r w:rsidRPr="00394B52">
              <w:rPr>
                <w:rFonts w:ascii="Times" w:eastAsia="Malgun Gothic" w:hAnsi="Times" w:cs="Times"/>
                <w:noProof/>
                <w:color w:val="000000"/>
                <w:kern w:val="0"/>
                <w:szCs w:val="20"/>
                <w:vertAlign w:val="superscript"/>
              </w:rPr>
              <w:t>84</w:t>
            </w:r>
          </w:p>
        </w:tc>
        <w:tc>
          <w:tcPr>
            <w:tcW w:w="7760" w:type="dxa"/>
            <w:tcBorders>
              <w:top w:val="nil"/>
              <w:left w:val="nil"/>
              <w:bottom w:val="single" w:sz="8" w:space="0" w:color="auto"/>
              <w:right w:val="single" w:sz="8" w:space="0" w:color="auto"/>
            </w:tcBorders>
            <w:shd w:val="clear" w:color="auto" w:fill="auto"/>
            <w:vAlign w:val="center"/>
            <w:hideMark/>
          </w:tcPr>
          <w:p w14:paraId="221B3BC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Out of scope</w:t>
            </w:r>
          </w:p>
        </w:tc>
      </w:tr>
      <w:tr w:rsidR="00394B52" w:rsidRPr="00394B52" w14:paraId="034B672E"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C68B76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Austin, et al. 2008</w:t>
            </w:r>
            <w:r w:rsidRPr="00394B52">
              <w:rPr>
                <w:rFonts w:ascii="Times" w:eastAsia="Malgun Gothic" w:hAnsi="Times" w:cs="Times"/>
                <w:noProof/>
                <w:color w:val="000000"/>
                <w:kern w:val="0"/>
                <w:szCs w:val="20"/>
                <w:vertAlign w:val="superscript"/>
              </w:rPr>
              <w:t>85</w:t>
            </w:r>
          </w:p>
        </w:tc>
        <w:tc>
          <w:tcPr>
            <w:tcW w:w="7760" w:type="dxa"/>
            <w:tcBorders>
              <w:top w:val="nil"/>
              <w:left w:val="nil"/>
              <w:bottom w:val="single" w:sz="8" w:space="0" w:color="auto"/>
              <w:right w:val="single" w:sz="8" w:space="0" w:color="auto"/>
            </w:tcBorders>
            <w:shd w:val="clear" w:color="auto" w:fill="auto"/>
            <w:vAlign w:val="center"/>
            <w:hideMark/>
          </w:tcPr>
          <w:p w14:paraId="6850EAC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716B9952"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EC1FA7E"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Ayano</w:t>
            </w:r>
            <w:proofErr w:type="spellEnd"/>
            <w:r w:rsidRPr="00394B52">
              <w:rPr>
                <w:rFonts w:ascii="Times" w:eastAsia="Malgun Gothic" w:hAnsi="Times" w:cs="Times"/>
                <w:color w:val="000000"/>
                <w:kern w:val="0"/>
                <w:szCs w:val="20"/>
              </w:rPr>
              <w:t>, et al. 2019</w:t>
            </w:r>
            <w:r w:rsidRPr="00394B52">
              <w:rPr>
                <w:rFonts w:ascii="Times" w:eastAsia="Malgun Gothic" w:hAnsi="Times" w:cs="Times"/>
                <w:noProof/>
                <w:color w:val="000000"/>
                <w:kern w:val="0"/>
                <w:szCs w:val="20"/>
                <w:vertAlign w:val="superscript"/>
              </w:rPr>
              <w:t>86</w:t>
            </w:r>
          </w:p>
        </w:tc>
        <w:tc>
          <w:tcPr>
            <w:tcW w:w="7760" w:type="dxa"/>
            <w:tcBorders>
              <w:top w:val="nil"/>
              <w:left w:val="nil"/>
              <w:bottom w:val="single" w:sz="8" w:space="0" w:color="auto"/>
              <w:right w:val="single" w:sz="8" w:space="0" w:color="auto"/>
            </w:tcBorders>
            <w:shd w:val="clear" w:color="auto" w:fill="auto"/>
            <w:vAlign w:val="center"/>
            <w:hideMark/>
          </w:tcPr>
          <w:p w14:paraId="72B3A91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23B39F83"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7E5CC4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Bastos, et al. 2015</w:t>
            </w:r>
            <w:r w:rsidRPr="00394B52">
              <w:rPr>
                <w:rFonts w:ascii="Times" w:eastAsia="Malgun Gothic" w:hAnsi="Times" w:cs="Times"/>
                <w:noProof/>
                <w:color w:val="000000"/>
                <w:kern w:val="0"/>
                <w:szCs w:val="20"/>
                <w:vertAlign w:val="superscript"/>
              </w:rPr>
              <w:t>87</w:t>
            </w:r>
          </w:p>
        </w:tc>
        <w:tc>
          <w:tcPr>
            <w:tcW w:w="7760" w:type="dxa"/>
            <w:tcBorders>
              <w:top w:val="nil"/>
              <w:left w:val="nil"/>
              <w:bottom w:val="single" w:sz="8" w:space="0" w:color="auto"/>
              <w:right w:val="single" w:sz="8" w:space="0" w:color="auto"/>
            </w:tcBorders>
            <w:shd w:val="clear" w:color="auto" w:fill="auto"/>
            <w:vAlign w:val="center"/>
            <w:hideMark/>
          </w:tcPr>
          <w:p w14:paraId="55D9E85A"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1E556EEA"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3CFB1DC3"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Chen, et al. 2019</w:t>
            </w:r>
            <w:r w:rsidRPr="00394B52">
              <w:rPr>
                <w:rFonts w:ascii="Times" w:eastAsia="Malgun Gothic" w:hAnsi="Times" w:cs="Times"/>
                <w:noProof/>
                <w:color w:val="000000"/>
                <w:kern w:val="0"/>
                <w:szCs w:val="20"/>
                <w:vertAlign w:val="superscript"/>
              </w:rPr>
              <w:t>88</w:t>
            </w:r>
          </w:p>
        </w:tc>
        <w:tc>
          <w:tcPr>
            <w:tcW w:w="7760" w:type="dxa"/>
            <w:tcBorders>
              <w:top w:val="nil"/>
              <w:left w:val="nil"/>
              <w:bottom w:val="single" w:sz="8" w:space="0" w:color="auto"/>
              <w:right w:val="single" w:sz="8" w:space="0" w:color="auto"/>
            </w:tcBorders>
            <w:shd w:val="clear" w:color="auto" w:fill="auto"/>
            <w:vAlign w:val="center"/>
            <w:hideMark/>
          </w:tcPr>
          <w:p w14:paraId="08B18C06"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626795A1"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E8CCB5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Dencker</w:t>
            </w:r>
            <w:proofErr w:type="spellEnd"/>
            <w:r w:rsidRPr="00394B52">
              <w:rPr>
                <w:rFonts w:ascii="Times" w:eastAsia="Malgun Gothic" w:hAnsi="Times" w:cs="Times"/>
                <w:color w:val="000000"/>
                <w:kern w:val="0"/>
                <w:szCs w:val="20"/>
              </w:rPr>
              <w:t>, et al. 2019</w:t>
            </w:r>
            <w:r w:rsidRPr="00394B52">
              <w:rPr>
                <w:rFonts w:ascii="Times" w:eastAsia="Malgun Gothic" w:hAnsi="Times" w:cs="Times"/>
                <w:noProof/>
                <w:color w:val="000000"/>
                <w:kern w:val="0"/>
                <w:szCs w:val="20"/>
                <w:vertAlign w:val="superscript"/>
              </w:rPr>
              <w:t>89</w:t>
            </w:r>
          </w:p>
        </w:tc>
        <w:tc>
          <w:tcPr>
            <w:tcW w:w="7760" w:type="dxa"/>
            <w:tcBorders>
              <w:top w:val="nil"/>
              <w:left w:val="nil"/>
              <w:bottom w:val="single" w:sz="8" w:space="0" w:color="auto"/>
              <w:right w:val="single" w:sz="8" w:space="0" w:color="auto"/>
            </w:tcBorders>
            <w:shd w:val="clear" w:color="auto" w:fill="auto"/>
            <w:vAlign w:val="center"/>
            <w:hideMark/>
          </w:tcPr>
          <w:p w14:paraId="0A61BBA0"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4CC077C0"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3AE43DA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Dennis, et al. 2008</w:t>
            </w:r>
            <w:r w:rsidRPr="00394B52">
              <w:rPr>
                <w:rFonts w:ascii="Times" w:eastAsia="Malgun Gothic" w:hAnsi="Times" w:cs="Times"/>
                <w:noProof/>
                <w:color w:val="000000"/>
                <w:kern w:val="0"/>
                <w:szCs w:val="20"/>
                <w:vertAlign w:val="superscript"/>
              </w:rPr>
              <w:t>90</w:t>
            </w:r>
          </w:p>
        </w:tc>
        <w:tc>
          <w:tcPr>
            <w:tcW w:w="7760" w:type="dxa"/>
            <w:tcBorders>
              <w:top w:val="nil"/>
              <w:left w:val="nil"/>
              <w:bottom w:val="single" w:sz="8" w:space="0" w:color="auto"/>
              <w:right w:val="single" w:sz="8" w:space="0" w:color="auto"/>
            </w:tcBorders>
            <w:shd w:val="clear" w:color="auto" w:fill="auto"/>
            <w:vAlign w:val="center"/>
            <w:hideMark/>
          </w:tcPr>
          <w:p w14:paraId="611DBBF4"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54A6A4EB"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EBEE11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Dennis, et al. 2008</w:t>
            </w:r>
            <w:r w:rsidRPr="00394B52">
              <w:rPr>
                <w:rFonts w:ascii="Times" w:eastAsia="Malgun Gothic" w:hAnsi="Times" w:cs="Times"/>
                <w:noProof/>
                <w:color w:val="000000"/>
                <w:kern w:val="0"/>
                <w:szCs w:val="20"/>
                <w:vertAlign w:val="superscript"/>
              </w:rPr>
              <w:t>91</w:t>
            </w:r>
          </w:p>
        </w:tc>
        <w:tc>
          <w:tcPr>
            <w:tcW w:w="7760" w:type="dxa"/>
            <w:tcBorders>
              <w:top w:val="nil"/>
              <w:left w:val="nil"/>
              <w:bottom w:val="single" w:sz="8" w:space="0" w:color="auto"/>
              <w:right w:val="single" w:sz="8" w:space="0" w:color="auto"/>
            </w:tcBorders>
            <w:shd w:val="clear" w:color="auto" w:fill="auto"/>
            <w:vAlign w:val="center"/>
            <w:hideMark/>
          </w:tcPr>
          <w:p w14:paraId="4BCEB94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30F5F3A9"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1811BA3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Duko</w:t>
            </w:r>
            <w:proofErr w:type="spellEnd"/>
            <w:r w:rsidRPr="00394B52">
              <w:rPr>
                <w:rFonts w:ascii="Times" w:eastAsia="Malgun Gothic" w:hAnsi="Times" w:cs="Times"/>
                <w:color w:val="000000"/>
                <w:kern w:val="0"/>
                <w:szCs w:val="20"/>
              </w:rPr>
              <w:t>, et al. 2020</w:t>
            </w:r>
            <w:r w:rsidRPr="00394B52">
              <w:rPr>
                <w:rFonts w:ascii="Times" w:eastAsia="Malgun Gothic" w:hAnsi="Times" w:cs="Times"/>
                <w:noProof/>
                <w:color w:val="000000"/>
                <w:kern w:val="0"/>
                <w:szCs w:val="20"/>
                <w:vertAlign w:val="superscript"/>
              </w:rPr>
              <w:t>92</w:t>
            </w:r>
          </w:p>
        </w:tc>
        <w:tc>
          <w:tcPr>
            <w:tcW w:w="7760" w:type="dxa"/>
            <w:tcBorders>
              <w:top w:val="nil"/>
              <w:left w:val="nil"/>
              <w:bottom w:val="single" w:sz="8" w:space="0" w:color="auto"/>
              <w:right w:val="single" w:sz="8" w:space="0" w:color="auto"/>
            </w:tcBorders>
            <w:shd w:val="clear" w:color="auto" w:fill="auto"/>
            <w:vAlign w:val="center"/>
            <w:hideMark/>
          </w:tcPr>
          <w:p w14:paraId="7B20B613"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39D927B1"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66915E8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Field, et al. 2016</w:t>
            </w:r>
            <w:r w:rsidRPr="00394B52">
              <w:rPr>
                <w:rFonts w:ascii="Times" w:eastAsia="Malgun Gothic" w:hAnsi="Times" w:cs="Times"/>
                <w:noProof/>
                <w:color w:val="000000"/>
                <w:kern w:val="0"/>
                <w:szCs w:val="20"/>
                <w:vertAlign w:val="superscript"/>
              </w:rPr>
              <w:t>93</w:t>
            </w:r>
          </w:p>
        </w:tc>
        <w:tc>
          <w:tcPr>
            <w:tcW w:w="7760" w:type="dxa"/>
            <w:tcBorders>
              <w:top w:val="nil"/>
              <w:left w:val="nil"/>
              <w:bottom w:val="single" w:sz="8" w:space="0" w:color="auto"/>
              <w:right w:val="single" w:sz="8" w:space="0" w:color="auto"/>
            </w:tcBorders>
            <w:shd w:val="clear" w:color="auto" w:fill="auto"/>
            <w:vAlign w:val="center"/>
            <w:hideMark/>
          </w:tcPr>
          <w:p w14:paraId="71E358F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4A973F93"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AD4860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Gilinsky, et al. 2015</w:t>
            </w:r>
            <w:r w:rsidRPr="00394B52">
              <w:rPr>
                <w:rFonts w:ascii="Times" w:eastAsia="Malgun Gothic" w:hAnsi="Times" w:cs="Times"/>
                <w:noProof/>
                <w:color w:val="000000"/>
                <w:kern w:val="0"/>
                <w:szCs w:val="20"/>
                <w:vertAlign w:val="superscript"/>
              </w:rPr>
              <w:t>94</w:t>
            </w:r>
          </w:p>
        </w:tc>
        <w:tc>
          <w:tcPr>
            <w:tcW w:w="7760" w:type="dxa"/>
            <w:tcBorders>
              <w:top w:val="nil"/>
              <w:left w:val="nil"/>
              <w:bottom w:val="single" w:sz="8" w:space="0" w:color="auto"/>
              <w:right w:val="single" w:sz="8" w:space="0" w:color="auto"/>
            </w:tcBorders>
            <w:shd w:val="clear" w:color="auto" w:fill="auto"/>
            <w:vAlign w:val="center"/>
            <w:hideMark/>
          </w:tcPr>
          <w:p w14:paraId="26273E8C"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059D6FB3"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76EC584"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Giuseppe, et al. 2014</w:t>
            </w:r>
            <w:r w:rsidRPr="00394B52">
              <w:rPr>
                <w:rFonts w:ascii="Times" w:eastAsia="Malgun Gothic" w:hAnsi="Times" w:cs="Times"/>
                <w:noProof/>
                <w:color w:val="000000"/>
                <w:kern w:val="0"/>
                <w:szCs w:val="20"/>
                <w:vertAlign w:val="superscript"/>
              </w:rPr>
              <w:t>95</w:t>
            </w:r>
          </w:p>
        </w:tc>
        <w:tc>
          <w:tcPr>
            <w:tcW w:w="7760" w:type="dxa"/>
            <w:tcBorders>
              <w:top w:val="nil"/>
              <w:left w:val="nil"/>
              <w:bottom w:val="single" w:sz="8" w:space="0" w:color="auto"/>
              <w:right w:val="single" w:sz="8" w:space="0" w:color="auto"/>
            </w:tcBorders>
            <w:shd w:val="clear" w:color="auto" w:fill="auto"/>
            <w:vAlign w:val="center"/>
            <w:hideMark/>
          </w:tcPr>
          <w:p w14:paraId="5F9C2DF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25F39BD1"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3D2D443"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Gould, et al. 2017</w:t>
            </w:r>
            <w:r w:rsidRPr="00394B52">
              <w:rPr>
                <w:rFonts w:ascii="Times" w:eastAsia="Malgun Gothic" w:hAnsi="Times" w:cs="Times"/>
                <w:noProof/>
                <w:color w:val="000000"/>
                <w:kern w:val="0"/>
                <w:szCs w:val="20"/>
                <w:vertAlign w:val="superscript"/>
              </w:rPr>
              <w:t>96</w:t>
            </w:r>
          </w:p>
        </w:tc>
        <w:tc>
          <w:tcPr>
            <w:tcW w:w="7760" w:type="dxa"/>
            <w:tcBorders>
              <w:top w:val="nil"/>
              <w:left w:val="nil"/>
              <w:bottom w:val="single" w:sz="8" w:space="0" w:color="auto"/>
              <w:right w:val="single" w:sz="8" w:space="0" w:color="auto"/>
            </w:tcBorders>
            <w:shd w:val="clear" w:color="auto" w:fill="auto"/>
            <w:vAlign w:val="center"/>
            <w:hideMark/>
          </w:tcPr>
          <w:p w14:paraId="4A25C496"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0A01C1FC"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DAD54EE"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Hahn-Holbrook, et al. 2017</w:t>
            </w:r>
            <w:r w:rsidRPr="00394B52">
              <w:rPr>
                <w:rFonts w:ascii="Times" w:eastAsia="Malgun Gothic" w:hAnsi="Times" w:cs="Times"/>
                <w:noProof/>
                <w:color w:val="000000"/>
                <w:kern w:val="0"/>
                <w:szCs w:val="20"/>
                <w:vertAlign w:val="superscript"/>
              </w:rPr>
              <w:t>97</w:t>
            </w:r>
          </w:p>
        </w:tc>
        <w:tc>
          <w:tcPr>
            <w:tcW w:w="7760" w:type="dxa"/>
            <w:tcBorders>
              <w:top w:val="nil"/>
              <w:left w:val="nil"/>
              <w:bottom w:val="single" w:sz="8" w:space="0" w:color="auto"/>
              <w:right w:val="single" w:sz="8" w:space="0" w:color="auto"/>
            </w:tcBorders>
            <w:shd w:val="clear" w:color="auto" w:fill="auto"/>
            <w:vAlign w:val="center"/>
            <w:hideMark/>
          </w:tcPr>
          <w:p w14:paraId="4D9FE42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509C90B5"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07B8B09"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Ip, et al. 2007</w:t>
            </w:r>
            <w:r w:rsidRPr="00394B52">
              <w:rPr>
                <w:rFonts w:ascii="Times" w:eastAsia="Malgun Gothic" w:hAnsi="Times" w:cs="Times"/>
                <w:noProof/>
                <w:color w:val="000000"/>
                <w:kern w:val="0"/>
                <w:szCs w:val="20"/>
                <w:vertAlign w:val="superscript"/>
              </w:rPr>
              <w:t>98</w:t>
            </w:r>
          </w:p>
        </w:tc>
        <w:tc>
          <w:tcPr>
            <w:tcW w:w="7760" w:type="dxa"/>
            <w:tcBorders>
              <w:top w:val="nil"/>
              <w:left w:val="nil"/>
              <w:bottom w:val="single" w:sz="8" w:space="0" w:color="auto"/>
              <w:right w:val="single" w:sz="8" w:space="0" w:color="auto"/>
            </w:tcBorders>
            <w:shd w:val="clear" w:color="auto" w:fill="auto"/>
            <w:vAlign w:val="center"/>
            <w:hideMark/>
          </w:tcPr>
          <w:p w14:paraId="1E918B5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61D41811"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16842E4"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Karaçam</w:t>
            </w:r>
            <w:proofErr w:type="spellEnd"/>
            <w:r w:rsidRPr="00394B52">
              <w:rPr>
                <w:rFonts w:ascii="Times" w:eastAsia="Malgun Gothic" w:hAnsi="Times" w:cs="Times"/>
                <w:color w:val="000000"/>
                <w:kern w:val="0"/>
                <w:szCs w:val="20"/>
              </w:rPr>
              <w:t>, et al. 2018</w:t>
            </w:r>
            <w:r w:rsidRPr="00394B52">
              <w:rPr>
                <w:rFonts w:ascii="Times" w:eastAsia="Malgun Gothic" w:hAnsi="Times" w:cs="Times"/>
                <w:noProof/>
                <w:color w:val="000000"/>
                <w:kern w:val="0"/>
                <w:szCs w:val="20"/>
                <w:vertAlign w:val="superscript"/>
              </w:rPr>
              <w:t>99</w:t>
            </w:r>
          </w:p>
        </w:tc>
        <w:tc>
          <w:tcPr>
            <w:tcW w:w="7760" w:type="dxa"/>
            <w:tcBorders>
              <w:top w:val="nil"/>
              <w:left w:val="nil"/>
              <w:bottom w:val="single" w:sz="8" w:space="0" w:color="auto"/>
              <w:right w:val="single" w:sz="8" w:space="0" w:color="auto"/>
            </w:tcBorders>
            <w:shd w:val="clear" w:color="auto" w:fill="auto"/>
            <w:vAlign w:val="center"/>
            <w:hideMark/>
          </w:tcPr>
          <w:p w14:paraId="37DAD96E"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2B32E6EA"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0AC2C7A"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Middleton, et al. 2018</w:t>
            </w:r>
            <w:r w:rsidRPr="00394B52">
              <w:rPr>
                <w:rFonts w:ascii="Times" w:eastAsia="Malgun Gothic" w:hAnsi="Times" w:cs="Times"/>
                <w:noProof/>
                <w:color w:val="000000"/>
                <w:kern w:val="0"/>
                <w:szCs w:val="20"/>
                <w:vertAlign w:val="superscript"/>
              </w:rPr>
              <w:t>100</w:t>
            </w:r>
          </w:p>
        </w:tc>
        <w:tc>
          <w:tcPr>
            <w:tcW w:w="7760" w:type="dxa"/>
            <w:tcBorders>
              <w:top w:val="nil"/>
              <w:left w:val="nil"/>
              <w:bottom w:val="single" w:sz="8" w:space="0" w:color="auto"/>
              <w:right w:val="single" w:sz="8" w:space="0" w:color="auto"/>
            </w:tcBorders>
            <w:shd w:val="clear" w:color="auto" w:fill="auto"/>
            <w:vAlign w:val="center"/>
            <w:hideMark/>
          </w:tcPr>
          <w:p w14:paraId="0833182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028F1FA8"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AD168D0"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Miller, et al. 2013</w:t>
            </w:r>
            <w:r w:rsidRPr="00394B52">
              <w:rPr>
                <w:rFonts w:ascii="Times" w:eastAsia="Malgun Gothic" w:hAnsi="Times" w:cs="Times"/>
                <w:noProof/>
                <w:color w:val="000000"/>
                <w:kern w:val="0"/>
                <w:szCs w:val="20"/>
                <w:vertAlign w:val="superscript"/>
              </w:rPr>
              <w:t>101</w:t>
            </w:r>
          </w:p>
        </w:tc>
        <w:tc>
          <w:tcPr>
            <w:tcW w:w="7760" w:type="dxa"/>
            <w:tcBorders>
              <w:top w:val="nil"/>
              <w:left w:val="nil"/>
              <w:bottom w:val="single" w:sz="8" w:space="0" w:color="auto"/>
              <w:right w:val="single" w:sz="8" w:space="0" w:color="auto"/>
            </w:tcBorders>
            <w:shd w:val="clear" w:color="auto" w:fill="auto"/>
            <w:vAlign w:val="center"/>
            <w:hideMark/>
          </w:tcPr>
          <w:p w14:paraId="2EAECA2E"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7D0A5AEC"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7BE147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Molyneaux, et al. 2018</w:t>
            </w:r>
            <w:r w:rsidRPr="00394B52">
              <w:rPr>
                <w:rFonts w:ascii="Times" w:eastAsia="Malgun Gothic" w:hAnsi="Times" w:cs="Times"/>
                <w:noProof/>
                <w:color w:val="000000"/>
                <w:kern w:val="0"/>
                <w:szCs w:val="20"/>
                <w:vertAlign w:val="superscript"/>
              </w:rPr>
              <w:t>102</w:t>
            </w:r>
          </w:p>
        </w:tc>
        <w:tc>
          <w:tcPr>
            <w:tcW w:w="7760" w:type="dxa"/>
            <w:tcBorders>
              <w:top w:val="nil"/>
              <w:left w:val="nil"/>
              <w:bottom w:val="single" w:sz="8" w:space="0" w:color="auto"/>
              <w:right w:val="single" w:sz="8" w:space="0" w:color="auto"/>
            </w:tcBorders>
            <w:shd w:val="clear" w:color="auto" w:fill="auto"/>
            <w:vAlign w:val="center"/>
            <w:hideMark/>
          </w:tcPr>
          <w:p w14:paraId="62233DE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2B11B227"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114EFCA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Nilaweera</w:t>
            </w:r>
            <w:proofErr w:type="spellEnd"/>
            <w:r w:rsidRPr="00394B52">
              <w:rPr>
                <w:rFonts w:ascii="Times" w:eastAsia="Malgun Gothic" w:hAnsi="Times" w:cs="Times"/>
                <w:color w:val="000000"/>
                <w:kern w:val="0"/>
                <w:szCs w:val="20"/>
              </w:rPr>
              <w:t>, et al. 2014</w:t>
            </w:r>
            <w:r w:rsidRPr="00394B52">
              <w:rPr>
                <w:rFonts w:ascii="Times" w:eastAsia="Malgun Gothic" w:hAnsi="Times" w:cs="Times"/>
                <w:noProof/>
                <w:color w:val="000000"/>
                <w:kern w:val="0"/>
                <w:szCs w:val="20"/>
                <w:vertAlign w:val="superscript"/>
              </w:rPr>
              <w:t>103</w:t>
            </w:r>
          </w:p>
        </w:tc>
        <w:tc>
          <w:tcPr>
            <w:tcW w:w="7760" w:type="dxa"/>
            <w:tcBorders>
              <w:top w:val="nil"/>
              <w:left w:val="nil"/>
              <w:bottom w:val="single" w:sz="8" w:space="0" w:color="auto"/>
              <w:right w:val="single" w:sz="8" w:space="0" w:color="auto"/>
            </w:tcBorders>
            <w:shd w:val="clear" w:color="auto" w:fill="auto"/>
            <w:vAlign w:val="center"/>
            <w:hideMark/>
          </w:tcPr>
          <w:p w14:paraId="1E407D40"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16FA79FA"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60EC5AF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Øverland</w:t>
            </w:r>
            <w:proofErr w:type="spellEnd"/>
            <w:r w:rsidRPr="00394B52">
              <w:rPr>
                <w:rFonts w:ascii="Times" w:eastAsia="Malgun Gothic" w:hAnsi="Times" w:cs="Times"/>
                <w:color w:val="000000"/>
                <w:kern w:val="0"/>
                <w:szCs w:val="20"/>
              </w:rPr>
              <w:t>, et al. 2019</w:t>
            </w:r>
            <w:r w:rsidRPr="00394B52">
              <w:rPr>
                <w:rFonts w:ascii="Times" w:eastAsia="Malgun Gothic" w:hAnsi="Times" w:cs="Times"/>
                <w:noProof/>
                <w:color w:val="000000"/>
                <w:kern w:val="0"/>
                <w:szCs w:val="20"/>
                <w:vertAlign w:val="superscript"/>
              </w:rPr>
              <w:t>104</w:t>
            </w:r>
          </w:p>
        </w:tc>
        <w:tc>
          <w:tcPr>
            <w:tcW w:w="7760" w:type="dxa"/>
            <w:tcBorders>
              <w:top w:val="nil"/>
              <w:left w:val="nil"/>
              <w:bottom w:val="single" w:sz="8" w:space="0" w:color="auto"/>
              <w:right w:val="single" w:sz="8" w:space="0" w:color="auto"/>
            </w:tcBorders>
            <w:shd w:val="clear" w:color="auto" w:fill="auto"/>
            <w:vAlign w:val="center"/>
            <w:hideMark/>
          </w:tcPr>
          <w:p w14:paraId="666A4C3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4182F22B"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222634CD"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Psarraki</w:t>
            </w:r>
            <w:proofErr w:type="spellEnd"/>
            <w:r w:rsidRPr="00394B52">
              <w:rPr>
                <w:rFonts w:ascii="Times" w:eastAsia="Malgun Gothic" w:hAnsi="Times" w:cs="Times"/>
                <w:color w:val="000000"/>
                <w:kern w:val="0"/>
                <w:szCs w:val="20"/>
              </w:rPr>
              <w:t>, et al. 2020</w:t>
            </w:r>
            <w:r w:rsidRPr="00394B52">
              <w:rPr>
                <w:rFonts w:ascii="Times" w:eastAsia="Malgun Gothic" w:hAnsi="Times" w:cs="Times"/>
                <w:noProof/>
                <w:color w:val="000000"/>
                <w:kern w:val="0"/>
                <w:szCs w:val="20"/>
                <w:vertAlign w:val="superscript"/>
              </w:rPr>
              <w:t>105</w:t>
            </w:r>
          </w:p>
        </w:tc>
        <w:tc>
          <w:tcPr>
            <w:tcW w:w="7760" w:type="dxa"/>
            <w:tcBorders>
              <w:top w:val="nil"/>
              <w:left w:val="nil"/>
              <w:bottom w:val="single" w:sz="8" w:space="0" w:color="auto"/>
              <w:right w:val="single" w:sz="8" w:space="0" w:color="auto"/>
            </w:tcBorders>
            <w:shd w:val="clear" w:color="auto" w:fill="auto"/>
            <w:vAlign w:val="center"/>
            <w:hideMark/>
          </w:tcPr>
          <w:p w14:paraId="2EC4732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35EFC083"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5791224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Ribamar</w:t>
            </w:r>
            <w:proofErr w:type="spellEnd"/>
            <w:r w:rsidRPr="00394B52">
              <w:rPr>
                <w:rFonts w:ascii="Times" w:eastAsia="Malgun Gothic" w:hAnsi="Times" w:cs="Times"/>
                <w:color w:val="000000"/>
                <w:kern w:val="0"/>
                <w:szCs w:val="20"/>
              </w:rPr>
              <w:t>, et al. 2020</w:t>
            </w:r>
            <w:r w:rsidRPr="00394B52">
              <w:rPr>
                <w:rFonts w:ascii="Times" w:eastAsia="Malgun Gothic" w:hAnsi="Times" w:cs="Times"/>
                <w:noProof/>
                <w:color w:val="000000"/>
                <w:kern w:val="0"/>
                <w:szCs w:val="20"/>
                <w:vertAlign w:val="superscript"/>
              </w:rPr>
              <w:t>106</w:t>
            </w:r>
          </w:p>
        </w:tc>
        <w:tc>
          <w:tcPr>
            <w:tcW w:w="7760" w:type="dxa"/>
            <w:tcBorders>
              <w:top w:val="nil"/>
              <w:left w:val="nil"/>
              <w:bottom w:val="single" w:sz="8" w:space="0" w:color="auto"/>
              <w:right w:val="single" w:sz="8" w:space="0" w:color="auto"/>
            </w:tcBorders>
            <w:shd w:val="clear" w:color="auto" w:fill="auto"/>
            <w:vAlign w:val="center"/>
            <w:hideMark/>
          </w:tcPr>
          <w:p w14:paraId="75DCE2A5"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66449D16"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9B9431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Rollè</w:t>
            </w:r>
            <w:proofErr w:type="spellEnd"/>
            <w:r w:rsidRPr="00394B52">
              <w:rPr>
                <w:rFonts w:ascii="Times" w:eastAsia="Malgun Gothic" w:hAnsi="Times" w:cs="Times"/>
                <w:color w:val="000000"/>
                <w:kern w:val="0"/>
                <w:szCs w:val="20"/>
              </w:rPr>
              <w:t>, et al. 2020</w:t>
            </w:r>
            <w:r w:rsidRPr="00394B52">
              <w:rPr>
                <w:rFonts w:ascii="Times" w:eastAsia="Malgun Gothic" w:hAnsi="Times" w:cs="Times"/>
                <w:noProof/>
                <w:color w:val="000000"/>
                <w:kern w:val="0"/>
                <w:szCs w:val="20"/>
                <w:vertAlign w:val="superscript"/>
              </w:rPr>
              <w:t>107</w:t>
            </w:r>
          </w:p>
        </w:tc>
        <w:tc>
          <w:tcPr>
            <w:tcW w:w="7760" w:type="dxa"/>
            <w:tcBorders>
              <w:top w:val="nil"/>
              <w:left w:val="nil"/>
              <w:bottom w:val="single" w:sz="8" w:space="0" w:color="auto"/>
              <w:right w:val="single" w:sz="8" w:space="0" w:color="auto"/>
            </w:tcBorders>
            <w:shd w:val="clear" w:color="auto" w:fill="auto"/>
            <w:vAlign w:val="center"/>
            <w:hideMark/>
          </w:tcPr>
          <w:p w14:paraId="634EEF71"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50FF6A5F"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14B496E"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Ross, et al. 2006</w:t>
            </w:r>
            <w:r w:rsidRPr="00394B52">
              <w:rPr>
                <w:rFonts w:ascii="Times" w:eastAsia="Malgun Gothic" w:hAnsi="Times" w:cs="Times"/>
                <w:noProof/>
                <w:color w:val="000000"/>
                <w:kern w:val="0"/>
                <w:szCs w:val="20"/>
                <w:vertAlign w:val="superscript"/>
              </w:rPr>
              <w:t>108</w:t>
            </w:r>
          </w:p>
        </w:tc>
        <w:tc>
          <w:tcPr>
            <w:tcW w:w="7760" w:type="dxa"/>
            <w:tcBorders>
              <w:top w:val="nil"/>
              <w:left w:val="nil"/>
              <w:bottom w:val="single" w:sz="8" w:space="0" w:color="auto"/>
              <w:right w:val="single" w:sz="8" w:space="0" w:color="auto"/>
            </w:tcBorders>
            <w:shd w:val="clear" w:color="auto" w:fill="auto"/>
            <w:vAlign w:val="center"/>
            <w:hideMark/>
          </w:tcPr>
          <w:p w14:paraId="704CE523"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37823E14"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1A0A5A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Saccone</w:t>
            </w:r>
            <w:proofErr w:type="spellEnd"/>
            <w:r w:rsidRPr="00394B52">
              <w:rPr>
                <w:rFonts w:ascii="Times" w:eastAsia="Malgun Gothic" w:hAnsi="Times" w:cs="Times"/>
                <w:color w:val="000000"/>
                <w:kern w:val="0"/>
                <w:szCs w:val="20"/>
              </w:rPr>
              <w:t>, et al. 2016</w:t>
            </w:r>
            <w:r w:rsidRPr="00394B52">
              <w:rPr>
                <w:rFonts w:ascii="Times" w:eastAsia="Malgun Gothic" w:hAnsi="Times" w:cs="Times"/>
                <w:noProof/>
                <w:color w:val="000000"/>
                <w:kern w:val="0"/>
                <w:szCs w:val="20"/>
                <w:vertAlign w:val="superscript"/>
              </w:rPr>
              <w:t>109</w:t>
            </w:r>
          </w:p>
        </w:tc>
        <w:tc>
          <w:tcPr>
            <w:tcW w:w="7760" w:type="dxa"/>
            <w:tcBorders>
              <w:top w:val="nil"/>
              <w:left w:val="nil"/>
              <w:bottom w:val="single" w:sz="8" w:space="0" w:color="auto"/>
              <w:right w:val="single" w:sz="8" w:space="0" w:color="auto"/>
            </w:tcBorders>
            <w:shd w:val="clear" w:color="auto" w:fill="auto"/>
            <w:vAlign w:val="center"/>
            <w:hideMark/>
          </w:tcPr>
          <w:p w14:paraId="3B012F59"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3D319DAC"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1A944974"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Scope, et al. 2017</w:t>
            </w:r>
            <w:r w:rsidRPr="00394B52">
              <w:rPr>
                <w:rFonts w:ascii="Times" w:eastAsia="Malgun Gothic" w:hAnsi="Times" w:cs="Times"/>
                <w:noProof/>
                <w:color w:val="000000"/>
                <w:kern w:val="0"/>
                <w:szCs w:val="20"/>
                <w:vertAlign w:val="superscript"/>
              </w:rPr>
              <w:t>110</w:t>
            </w:r>
          </w:p>
        </w:tc>
        <w:tc>
          <w:tcPr>
            <w:tcW w:w="7760" w:type="dxa"/>
            <w:tcBorders>
              <w:top w:val="nil"/>
              <w:left w:val="nil"/>
              <w:bottom w:val="single" w:sz="8" w:space="0" w:color="auto"/>
              <w:right w:val="single" w:sz="8" w:space="0" w:color="auto"/>
            </w:tcBorders>
            <w:shd w:val="clear" w:color="auto" w:fill="auto"/>
            <w:vAlign w:val="center"/>
            <w:hideMark/>
          </w:tcPr>
          <w:p w14:paraId="45D2A5D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32784D0A"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337AA48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Scott, et al. 1999</w:t>
            </w:r>
            <w:r w:rsidRPr="00394B52">
              <w:rPr>
                <w:rFonts w:ascii="Times" w:eastAsia="Malgun Gothic" w:hAnsi="Times" w:cs="Times"/>
                <w:noProof/>
                <w:color w:val="000000"/>
                <w:kern w:val="0"/>
                <w:szCs w:val="20"/>
                <w:vertAlign w:val="superscript"/>
              </w:rPr>
              <w:t>111</w:t>
            </w:r>
          </w:p>
        </w:tc>
        <w:tc>
          <w:tcPr>
            <w:tcW w:w="7760" w:type="dxa"/>
            <w:tcBorders>
              <w:top w:val="nil"/>
              <w:left w:val="nil"/>
              <w:bottom w:val="single" w:sz="8" w:space="0" w:color="auto"/>
              <w:right w:val="single" w:sz="8" w:space="0" w:color="auto"/>
            </w:tcBorders>
            <w:shd w:val="clear" w:color="auto" w:fill="auto"/>
            <w:vAlign w:val="center"/>
            <w:hideMark/>
          </w:tcPr>
          <w:p w14:paraId="0306AF1B"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2D8F6921"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C30553F"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Tobin, et al. 2018</w:t>
            </w:r>
            <w:r w:rsidRPr="00394B52">
              <w:rPr>
                <w:rFonts w:ascii="Times" w:eastAsia="Malgun Gothic" w:hAnsi="Times" w:cs="Times"/>
                <w:noProof/>
                <w:color w:val="000000"/>
                <w:kern w:val="0"/>
                <w:szCs w:val="20"/>
                <w:vertAlign w:val="superscript"/>
              </w:rPr>
              <w:t>112</w:t>
            </w:r>
          </w:p>
        </w:tc>
        <w:tc>
          <w:tcPr>
            <w:tcW w:w="7760" w:type="dxa"/>
            <w:tcBorders>
              <w:top w:val="nil"/>
              <w:left w:val="nil"/>
              <w:bottom w:val="single" w:sz="8" w:space="0" w:color="auto"/>
              <w:right w:val="single" w:sz="8" w:space="0" w:color="auto"/>
            </w:tcBorders>
            <w:shd w:val="clear" w:color="auto" w:fill="auto"/>
            <w:vAlign w:val="center"/>
            <w:hideMark/>
          </w:tcPr>
          <w:p w14:paraId="75432FD8"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01D786BD"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1C0F3F9"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Villegas, et al. 2011</w:t>
            </w:r>
            <w:r w:rsidRPr="00394B52">
              <w:rPr>
                <w:rFonts w:ascii="Times" w:eastAsia="Malgun Gothic" w:hAnsi="Times" w:cs="Times"/>
                <w:noProof/>
                <w:color w:val="000000"/>
                <w:kern w:val="0"/>
                <w:szCs w:val="20"/>
                <w:vertAlign w:val="superscript"/>
              </w:rPr>
              <w:t>113</w:t>
            </w:r>
          </w:p>
        </w:tc>
        <w:tc>
          <w:tcPr>
            <w:tcW w:w="7760" w:type="dxa"/>
            <w:tcBorders>
              <w:top w:val="nil"/>
              <w:left w:val="nil"/>
              <w:bottom w:val="single" w:sz="8" w:space="0" w:color="auto"/>
              <w:right w:val="single" w:sz="8" w:space="0" w:color="auto"/>
            </w:tcBorders>
            <w:shd w:val="clear" w:color="auto" w:fill="auto"/>
            <w:vAlign w:val="center"/>
            <w:hideMark/>
          </w:tcPr>
          <w:p w14:paraId="125C814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r w:rsidR="00394B52" w:rsidRPr="00394B52" w14:paraId="42B5AA58" w14:textId="77777777" w:rsidTr="00E01118">
        <w:trPr>
          <w:trHeight w:val="19"/>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4458B842"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r w:rsidRPr="00394B52">
              <w:rPr>
                <w:rFonts w:ascii="Times" w:eastAsia="Malgun Gothic" w:hAnsi="Times" w:cs="Times"/>
                <w:color w:val="000000"/>
                <w:kern w:val="0"/>
                <w:szCs w:val="20"/>
              </w:rPr>
              <w:t>Wilson, et al. 1996</w:t>
            </w:r>
            <w:r w:rsidRPr="00394B52">
              <w:rPr>
                <w:rFonts w:ascii="Times" w:eastAsia="Malgun Gothic" w:hAnsi="Times" w:cs="Times"/>
                <w:noProof/>
                <w:color w:val="000000"/>
                <w:kern w:val="0"/>
                <w:szCs w:val="20"/>
                <w:vertAlign w:val="superscript"/>
              </w:rPr>
              <w:t>114</w:t>
            </w:r>
          </w:p>
        </w:tc>
        <w:tc>
          <w:tcPr>
            <w:tcW w:w="7760" w:type="dxa"/>
            <w:tcBorders>
              <w:top w:val="nil"/>
              <w:left w:val="nil"/>
              <w:bottom w:val="single" w:sz="8" w:space="0" w:color="auto"/>
              <w:right w:val="single" w:sz="8" w:space="0" w:color="auto"/>
            </w:tcBorders>
            <w:shd w:val="clear" w:color="auto" w:fill="auto"/>
            <w:vAlign w:val="center"/>
            <w:hideMark/>
          </w:tcPr>
          <w:p w14:paraId="1AA18D47" w14:textId="77777777" w:rsidR="00394B52" w:rsidRPr="00394B52" w:rsidRDefault="00394B52" w:rsidP="00394B52">
            <w:pPr>
              <w:widowControl/>
              <w:wordWrap/>
              <w:autoSpaceDE/>
              <w:autoSpaceDN/>
              <w:spacing w:after="0" w:line="240" w:lineRule="auto"/>
              <w:rPr>
                <w:rFonts w:ascii="Times" w:eastAsia="Malgun Gothic" w:hAnsi="Times" w:cs="Times"/>
                <w:color w:val="000000"/>
                <w:kern w:val="0"/>
                <w:szCs w:val="20"/>
              </w:rPr>
            </w:pPr>
            <w:proofErr w:type="spellStart"/>
            <w:r w:rsidRPr="00394B52">
              <w:rPr>
                <w:rFonts w:ascii="Times" w:eastAsia="Malgun Gothic" w:hAnsi="Times" w:cs="Times"/>
                <w:color w:val="000000"/>
                <w:kern w:val="0"/>
                <w:szCs w:val="20"/>
              </w:rPr>
              <w:t>Were</w:t>
            </w:r>
            <w:proofErr w:type="spellEnd"/>
            <w:r w:rsidRPr="00394B52">
              <w:rPr>
                <w:rFonts w:ascii="Times" w:eastAsia="Malgun Gothic" w:hAnsi="Times" w:cs="Times"/>
                <w:color w:val="000000"/>
                <w:kern w:val="0"/>
                <w:szCs w:val="20"/>
              </w:rPr>
              <w:t xml:space="preserve"> not meta-analyses conducted with systematic methods</w:t>
            </w:r>
          </w:p>
        </w:tc>
      </w:tr>
    </w:tbl>
    <w:p w14:paraId="4E54CBBB" w14:textId="77777777" w:rsidR="00394B52" w:rsidRPr="00394B52" w:rsidRDefault="00394B52" w:rsidP="00394B52">
      <w:pPr>
        <w:widowControl/>
        <w:wordWrap/>
        <w:autoSpaceDE/>
        <w:autoSpaceDN/>
        <w:rPr>
          <w:rFonts w:ascii="Times" w:hAnsi="Times" w:cs="Times"/>
        </w:rPr>
        <w:sectPr w:rsidR="00394B52" w:rsidRPr="00394B52" w:rsidSect="00E75118">
          <w:pgSz w:w="11906" w:h="16838"/>
          <w:pgMar w:top="720" w:right="720" w:bottom="720" w:left="720" w:header="851" w:footer="992" w:gutter="0"/>
          <w:cols w:space="425"/>
          <w:docGrid w:linePitch="360"/>
        </w:sectPr>
      </w:pPr>
    </w:p>
    <w:p w14:paraId="2618B601" w14:textId="77777777" w:rsidR="00394B52" w:rsidRPr="00394B52" w:rsidRDefault="00394B52" w:rsidP="00394B52">
      <w:pPr>
        <w:widowControl/>
        <w:wordWrap/>
        <w:autoSpaceDE/>
        <w:autoSpaceDN/>
        <w:rPr>
          <w:rFonts w:ascii="Times" w:hAnsi="Times" w:cs="Times"/>
          <w:b/>
          <w:bCs/>
        </w:rPr>
      </w:pPr>
      <w:r w:rsidRPr="00394B52">
        <w:rPr>
          <w:rFonts w:ascii="Times" w:hAnsi="Times" w:cs="Times"/>
          <w:b/>
          <w:bCs/>
        </w:rPr>
        <w:lastRenderedPageBreak/>
        <w:t>References of the excluded meta-analyses by full text screening</w:t>
      </w:r>
    </w:p>
    <w:p w14:paraId="1D0AFB83"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w:t>
      </w:r>
      <w:r w:rsidRPr="00394B52">
        <w:rPr>
          <w:rFonts w:ascii="Times" w:eastAsia="Malgun Gothic" w:hAnsi="Times"/>
          <w:noProof/>
          <w:sz w:val="18"/>
          <w:szCs w:val="18"/>
        </w:rPr>
        <w:tab/>
        <w:t>Abajobir AA, Maravilla JC, Alati R, Najman JM. A systematic review and meta-analysis of the association between unintended pregnancy and perinatal depression. J Affect Disord 2016; 192: 56-63.</w:t>
      </w:r>
    </w:p>
    <w:p w14:paraId="495F9E71"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2.</w:t>
      </w:r>
      <w:r w:rsidRPr="00394B52">
        <w:rPr>
          <w:rFonts w:ascii="Times" w:eastAsia="Malgun Gothic" w:hAnsi="Times"/>
          <w:noProof/>
          <w:sz w:val="18"/>
          <w:szCs w:val="18"/>
        </w:rPr>
        <w:tab/>
        <w:t>Almeida M, Kosman KA, Kendall MC, De Oliveira GS. The association between labor epidural analgesia and postpartum depression: a systematic review and meta-analysis. BMC Womens Health 2020; 20(1): 99.</w:t>
      </w:r>
    </w:p>
    <w:p w14:paraId="744E2452"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3.</w:t>
      </w:r>
      <w:r w:rsidRPr="00394B52">
        <w:rPr>
          <w:rFonts w:ascii="Times" w:eastAsia="Malgun Gothic" w:hAnsi="Times"/>
          <w:noProof/>
          <w:sz w:val="18"/>
          <w:szCs w:val="18"/>
        </w:rPr>
        <w:tab/>
        <w:t>Arafa A, Dong JY. Gestational diabetes and risk of postpartum depressive symptoms: A meta-analysis of cohort studies. J Affect Disord 2019; 253: 312-6.</w:t>
      </w:r>
    </w:p>
    <w:p w14:paraId="74D464BB"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4.</w:t>
      </w:r>
      <w:r w:rsidRPr="00394B52">
        <w:rPr>
          <w:rFonts w:ascii="Times" w:eastAsia="Malgun Gothic" w:hAnsi="Times"/>
          <w:noProof/>
          <w:sz w:val="18"/>
          <w:szCs w:val="18"/>
        </w:rPr>
        <w:tab/>
        <w:t>Sun L, Wang S, Li XQ. Association between mode of delivery and postpartum depression: A systematic review and network meta-analysis. Aust N Z J Psychiatry 2020: 4867420954284.</w:t>
      </w:r>
    </w:p>
    <w:p w14:paraId="13295F62"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5.</w:t>
      </w:r>
      <w:r w:rsidRPr="00394B52">
        <w:rPr>
          <w:rFonts w:ascii="Times" w:eastAsia="Malgun Gothic" w:hAnsi="Times"/>
          <w:noProof/>
          <w:sz w:val="18"/>
          <w:szCs w:val="18"/>
        </w:rPr>
        <w:tab/>
        <w:t>Wilson CA, Newham J, Rankin J, et al. Is there an increased risk of perinatal mental disorder in women with gestational diabetes? A systematic review and meta-analysis. Diabet Med 2020; 37(4): 602-22.</w:t>
      </w:r>
    </w:p>
    <w:p w14:paraId="353CF969"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6.</w:t>
      </w:r>
      <w:r w:rsidRPr="00394B52">
        <w:rPr>
          <w:rFonts w:ascii="Times" w:eastAsia="Malgun Gothic" w:hAnsi="Times"/>
          <w:noProof/>
          <w:sz w:val="18"/>
          <w:szCs w:val="18"/>
        </w:rPr>
        <w:tab/>
        <w:t>Wu Q, Chen HL, Xu XJ. Violence as a risk factor for postpartum depression in mothers: a meta-analysis. Arch Womens Ment Health 2012; 15(2): 107-14.</w:t>
      </w:r>
    </w:p>
    <w:p w14:paraId="7F38FD91"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7.</w:t>
      </w:r>
      <w:r w:rsidRPr="00394B52">
        <w:rPr>
          <w:rFonts w:ascii="Times" w:eastAsia="Malgun Gothic" w:hAnsi="Times"/>
          <w:noProof/>
          <w:sz w:val="18"/>
          <w:szCs w:val="18"/>
        </w:rPr>
        <w:tab/>
        <w:t>Xu H, Ding Y, Ma Y, Xin X, Zhang D. Cesarean section and risk of postpartum depression: A meta-analysis. J Psychosom Res 2017; 97: 118-26.</w:t>
      </w:r>
    </w:p>
    <w:p w14:paraId="4864AE5E"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8.</w:t>
      </w:r>
      <w:r w:rsidRPr="00394B52">
        <w:rPr>
          <w:rFonts w:ascii="Times" w:eastAsia="Malgun Gothic" w:hAnsi="Times"/>
          <w:noProof/>
          <w:sz w:val="18"/>
          <w:szCs w:val="18"/>
        </w:rPr>
        <w:tab/>
        <w:t>Bahadoran P, Oreizi HR, Safari S. Meta-analysis of the role of delivery mode in postpartum depression (Iran 1997-2011). J Educ Health Promot 2014; 3: 118.</w:t>
      </w:r>
    </w:p>
    <w:p w14:paraId="59822E61"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9.</w:t>
      </w:r>
      <w:r w:rsidRPr="00394B52">
        <w:rPr>
          <w:rFonts w:ascii="Times" w:eastAsia="Malgun Gothic" w:hAnsi="Times"/>
          <w:noProof/>
          <w:sz w:val="18"/>
          <w:szCs w:val="18"/>
        </w:rPr>
        <w:tab/>
        <w:t>Beck CT. A meta-analysis of predictors of postpartum depression. Nurs Res 1996; 45(5): 297-303.</w:t>
      </w:r>
    </w:p>
    <w:p w14:paraId="723A1E18"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10.</w:t>
      </w:r>
      <w:r w:rsidRPr="00394B52">
        <w:rPr>
          <w:rFonts w:ascii="Times" w:eastAsia="Malgun Gothic" w:hAnsi="Times"/>
          <w:noProof/>
          <w:sz w:val="18"/>
          <w:szCs w:val="18"/>
        </w:rPr>
        <w:tab/>
        <w:t>Beck CT. Predictors of postpartum depression: an update. Nurs Res 2001; 50(5): 275-85.</w:t>
      </w:r>
    </w:p>
    <w:p w14:paraId="3AA17D46"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11.</w:t>
      </w:r>
      <w:r w:rsidRPr="00394B52">
        <w:rPr>
          <w:rFonts w:ascii="Times" w:eastAsia="Malgun Gothic" w:hAnsi="Times"/>
          <w:noProof/>
          <w:sz w:val="18"/>
          <w:szCs w:val="18"/>
        </w:rPr>
        <w:tab/>
        <w:t>Caropreso L, de Azevedo Cardoso T, Eltayebani M, Frey BN. Preeclampsia as a risk factor for postpartum depression and psychosis: a systematic review and meta-analysis. Arch Womens Ment Health 2020; 23(4): 493-505.</w:t>
      </w:r>
    </w:p>
    <w:p w14:paraId="604FB853"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12.</w:t>
      </w:r>
      <w:r w:rsidRPr="00394B52">
        <w:rPr>
          <w:rFonts w:ascii="Times" w:eastAsia="Malgun Gothic" w:hAnsi="Times"/>
          <w:noProof/>
          <w:sz w:val="18"/>
          <w:szCs w:val="18"/>
        </w:rPr>
        <w:tab/>
        <w:t>Cluxton-Keller F, Bruce ML. Clinical effectiveness of family therapeutic interventions in the prevention and treatment of perinatal depression: A systematic review and meta-analysis. PLoS One 2018; 13(6): e0198730.</w:t>
      </w:r>
    </w:p>
    <w:p w14:paraId="6D5F3672"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13.</w:t>
      </w:r>
      <w:r w:rsidRPr="00394B52">
        <w:rPr>
          <w:rFonts w:ascii="Times" w:eastAsia="Malgun Gothic" w:hAnsi="Times"/>
          <w:noProof/>
          <w:sz w:val="18"/>
          <w:szCs w:val="18"/>
        </w:rPr>
        <w:tab/>
        <w:t>Edwards LM, Le HN, Garnier-Villarreal M. A Systematic Review and Meta-Analysis of Risk Factors for Postpartum Depression Among Latinas. Matern Child Health J 2021; 25(4): 554-64.</w:t>
      </w:r>
    </w:p>
    <w:p w14:paraId="78B89BA3"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14.</w:t>
      </w:r>
      <w:r w:rsidRPr="00394B52">
        <w:rPr>
          <w:rFonts w:ascii="Times" w:eastAsia="Malgun Gothic" w:hAnsi="Times"/>
          <w:noProof/>
          <w:sz w:val="18"/>
          <w:szCs w:val="18"/>
        </w:rPr>
        <w:tab/>
        <w:t>Emamian F, Khazaie H, Okun ML, Tahmasian M, Sepehry AA. Link between insomnia and perinatal depressive symptoms: A meta-analysis. J Sleep Res 2019; 28(6): e12858.</w:t>
      </w:r>
    </w:p>
    <w:p w14:paraId="5D37AF87"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15.</w:t>
      </w:r>
      <w:r w:rsidRPr="00394B52">
        <w:rPr>
          <w:rFonts w:ascii="Times" w:eastAsia="Malgun Gothic" w:hAnsi="Times"/>
          <w:noProof/>
          <w:sz w:val="18"/>
          <w:szCs w:val="18"/>
        </w:rPr>
        <w:tab/>
        <w:t>Fellmeth G, Fazel M, Plugge E. Migration and perinatal mental health in women from low- and middle-income countries: a systematic review and meta-analysis. Bjog 2017; 124(5): 742-52.</w:t>
      </w:r>
    </w:p>
    <w:p w14:paraId="3C55BCDD"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16.</w:t>
      </w:r>
      <w:r w:rsidRPr="00394B52">
        <w:rPr>
          <w:rFonts w:ascii="Times" w:eastAsia="Malgun Gothic" w:hAnsi="Times"/>
          <w:noProof/>
          <w:sz w:val="18"/>
          <w:szCs w:val="18"/>
        </w:rPr>
        <w:tab/>
        <w:t>Gong S, Fan Y, Li L, Meng F. Influence of doula delivery on postpartum depression in puerperae: A meta-analysis. Chinese Journal of Evidence-Based Medicine 2017; 17: 1037-42.</w:t>
      </w:r>
    </w:p>
    <w:p w14:paraId="403B3690"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17.</w:t>
      </w:r>
      <w:r w:rsidRPr="00394B52">
        <w:rPr>
          <w:rFonts w:ascii="Times" w:eastAsia="Malgun Gothic" w:hAnsi="Times"/>
          <w:noProof/>
          <w:sz w:val="18"/>
          <w:szCs w:val="18"/>
        </w:rPr>
        <w:tab/>
        <w:t>Hessami K, Romanelli C, Chiurazzi M, Cozzolino M. COVID-19 pandemic and maternal mental health: a systematic review and meta-analysis. J Matern Fetal Neonatal Med 2020: 1-8.</w:t>
      </w:r>
    </w:p>
    <w:p w14:paraId="3AA908B5"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18.</w:t>
      </w:r>
      <w:r w:rsidRPr="00394B52">
        <w:rPr>
          <w:rFonts w:ascii="Times" w:eastAsia="Malgun Gothic" w:hAnsi="Times"/>
          <w:noProof/>
          <w:sz w:val="18"/>
          <w:szCs w:val="18"/>
        </w:rPr>
        <w:tab/>
        <w:t>Molyneaux E, Poston L, Ashurst-Williams S, Howard LM. Pre-pregnancy obesity and mental disorders during pregnancy and postpartum: A systematic review and meta-analysis. Pregnancy Hypertens 2014; 4(3): 236.</w:t>
      </w:r>
    </w:p>
    <w:p w14:paraId="01BFCBCB"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19.</w:t>
      </w:r>
      <w:r w:rsidRPr="00394B52">
        <w:rPr>
          <w:rFonts w:ascii="Times" w:eastAsia="Malgun Gothic" w:hAnsi="Times"/>
          <w:noProof/>
          <w:sz w:val="18"/>
          <w:szCs w:val="18"/>
        </w:rPr>
        <w:tab/>
        <w:t>Mu TY, Li YH, Pan HF, et al. Postpartum depressive mood (PDM) among Chinese women: a meta-analysis. Arch Womens Ment Health 2019; 22(2): 279-87.</w:t>
      </w:r>
    </w:p>
    <w:p w14:paraId="35F9DB86"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20.</w:t>
      </w:r>
      <w:r w:rsidRPr="00394B52">
        <w:rPr>
          <w:rFonts w:ascii="Times" w:eastAsia="Malgun Gothic" w:hAnsi="Times"/>
          <w:noProof/>
          <w:sz w:val="18"/>
          <w:szCs w:val="18"/>
        </w:rPr>
        <w:tab/>
        <w:t>Nakamura A, van der Waerden J, Melchior M, Bolze C, El-Khoury F, Pryor L. Physical activity during pregnancy and postpartum depression: Systematic review and meta-analysis. J Affect Disord 2019; 246: 29-41.</w:t>
      </w:r>
    </w:p>
    <w:p w14:paraId="4D678709"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21.</w:t>
      </w:r>
      <w:r w:rsidRPr="00394B52">
        <w:rPr>
          <w:rFonts w:ascii="Times" w:eastAsia="Malgun Gothic" w:hAnsi="Times"/>
          <w:noProof/>
          <w:sz w:val="18"/>
          <w:szCs w:val="18"/>
        </w:rPr>
        <w:tab/>
        <w:t>O'Hara MW, Swain AM. Rates and risk of postpartum depression-A meta-analysis. International Review of Psychiatry 1996; 8(1): 37-54.</w:t>
      </w:r>
    </w:p>
    <w:p w14:paraId="17B44F92"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22.</w:t>
      </w:r>
      <w:r w:rsidRPr="00394B52">
        <w:rPr>
          <w:rFonts w:ascii="Times" w:eastAsia="Malgun Gothic" w:hAnsi="Times"/>
          <w:noProof/>
          <w:sz w:val="18"/>
          <w:szCs w:val="18"/>
        </w:rPr>
        <w:tab/>
        <w:t>Özcan NK, Boyacıo</w:t>
      </w:r>
      <w:r w:rsidRPr="00394B52">
        <w:rPr>
          <w:rFonts w:ascii="Times" w:eastAsia="Malgun Gothic" w:hAnsi="Times" w:cs="Calibri"/>
          <w:noProof/>
          <w:sz w:val="18"/>
          <w:szCs w:val="18"/>
        </w:rPr>
        <w:t>ğ</w:t>
      </w:r>
      <w:r w:rsidRPr="00394B52">
        <w:rPr>
          <w:rFonts w:ascii="Times" w:eastAsia="Malgun Gothic" w:hAnsi="Times"/>
          <w:noProof/>
          <w:sz w:val="18"/>
          <w:szCs w:val="18"/>
        </w:rPr>
        <w:t>lu NE, Dinç H. Postpartum Depression Prevalence and Risk Factors in Turkey: A Systematic Review and Meta-Analysis. Arch Psychiatr Nurs 2017; 31(4): 420-8.</w:t>
      </w:r>
    </w:p>
    <w:p w14:paraId="7B5D4BB5"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23.</w:t>
      </w:r>
      <w:r w:rsidRPr="00394B52">
        <w:rPr>
          <w:rFonts w:ascii="Times" w:eastAsia="Malgun Gothic" w:hAnsi="Times"/>
          <w:noProof/>
          <w:sz w:val="18"/>
          <w:szCs w:val="18"/>
        </w:rPr>
        <w:tab/>
        <w:t>Paulson JF, Bazemore SD. Prenatal and postpartum depression in fathers and its association with maternal depression: a meta-analysis. Jama 2010; 303(19): 1961-9.</w:t>
      </w:r>
    </w:p>
    <w:p w14:paraId="452E5D62"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24.</w:t>
      </w:r>
      <w:r w:rsidRPr="00394B52">
        <w:rPr>
          <w:rFonts w:ascii="Times" w:eastAsia="Malgun Gothic" w:hAnsi="Times"/>
          <w:noProof/>
          <w:sz w:val="18"/>
          <w:szCs w:val="18"/>
        </w:rPr>
        <w:tab/>
        <w:t>Pilkington PD, Milne LC, Cairns KE, Lewis J, Whelan TA. Modifiable partner factors associated with perinatal depression and anxiety: a systematic review and meta-analysis. J Affect Disord 2015; 178: 165-80.</w:t>
      </w:r>
    </w:p>
    <w:p w14:paraId="1EC1518B"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25.</w:t>
      </w:r>
      <w:r w:rsidRPr="00394B52">
        <w:rPr>
          <w:rFonts w:ascii="Times" w:eastAsia="Malgun Gothic" w:hAnsi="Times"/>
          <w:noProof/>
          <w:sz w:val="18"/>
          <w:szCs w:val="18"/>
        </w:rPr>
        <w:tab/>
        <w:t>Pritchett RV, Daley AJ, Jolly K. Does aerobic exercise reduce postpartum depressive symptoms? a systematic review and meta-analysis. Br J Gen Pract 2017; 67(663): e684-e91.</w:t>
      </w:r>
    </w:p>
    <w:p w14:paraId="79620C45"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26.</w:t>
      </w:r>
      <w:r w:rsidRPr="00394B52">
        <w:rPr>
          <w:rFonts w:ascii="Times" w:eastAsia="Malgun Gothic" w:hAnsi="Times"/>
          <w:noProof/>
          <w:sz w:val="18"/>
          <w:szCs w:val="18"/>
        </w:rPr>
        <w:tab/>
        <w:t>Racine N, Devereaux C, Cooke JE, Eirich R, Zhu J, Madigan S. Adverse childhood experiences and maternal anxiety and depression: a meta-analysis. BMC Psychiatry 2021; 21(1): 28.</w:t>
      </w:r>
    </w:p>
    <w:p w14:paraId="417DBDE9"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27.</w:t>
      </w:r>
      <w:r w:rsidRPr="00394B52">
        <w:rPr>
          <w:rFonts w:ascii="Times" w:eastAsia="Malgun Gothic" w:hAnsi="Times"/>
          <w:noProof/>
          <w:sz w:val="18"/>
          <w:szCs w:val="18"/>
        </w:rPr>
        <w:tab/>
        <w:t>Suradom C, Suttajit S, Oon-Arom A, Maneeton B, Srisurapanont M. Omega-3 polyunsaturated fatty acid (n-3 PUFA) supplementation for prevention and treatment of perinatal depression: a systematic review and meta-analysis of randomized-controlled trials. Nord J Psychiatry 2021; 75(4): 239-46.</w:t>
      </w:r>
    </w:p>
    <w:p w14:paraId="0FEB5D74"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28.</w:t>
      </w:r>
      <w:r w:rsidRPr="00394B52">
        <w:rPr>
          <w:rFonts w:ascii="Times" w:eastAsia="Malgun Gothic" w:hAnsi="Times"/>
          <w:noProof/>
          <w:sz w:val="18"/>
          <w:szCs w:val="18"/>
        </w:rPr>
        <w:tab/>
        <w:t>Thiel F, Pittelkow MM, Wittchen HU, Garthus-Niegel S. The Relationship Between Paternal and Maternal Depression During the Perinatal Period: A Systematic Review and Meta-Analysis. Front Psychiatry 2020; 11: 563287.</w:t>
      </w:r>
    </w:p>
    <w:p w14:paraId="536CDB65"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29.</w:t>
      </w:r>
      <w:r w:rsidRPr="00394B52">
        <w:rPr>
          <w:rFonts w:ascii="Times" w:eastAsia="Malgun Gothic" w:hAnsi="Times"/>
          <w:noProof/>
          <w:sz w:val="18"/>
          <w:szCs w:val="18"/>
        </w:rPr>
        <w:tab/>
        <w:t>van Veenendaal NR, van Kempen A, Franck LS, et al. Hospitalising preterm infants in single family rooms versus open bay units: A systematic review and meta-analysis of impact on parents. EClinicalMedicine 2020; 23: 100388.</w:t>
      </w:r>
    </w:p>
    <w:p w14:paraId="12298AA2"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30.</w:t>
      </w:r>
      <w:r w:rsidRPr="00394B52">
        <w:rPr>
          <w:rFonts w:ascii="Times" w:eastAsia="Malgun Gothic" w:hAnsi="Times"/>
          <w:noProof/>
          <w:sz w:val="18"/>
          <w:szCs w:val="18"/>
        </w:rPr>
        <w:tab/>
        <w:t>Veisani Y, Delpisheh A, Sayehmiri K, Rezaeian S. Trends of postpartum depression in iran: a systematic review and meta-analysis. Depress Res Treat 2013; 2013: 291029.</w:t>
      </w:r>
    </w:p>
    <w:p w14:paraId="5EB833A1"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31.</w:t>
      </w:r>
      <w:r w:rsidRPr="00394B52">
        <w:rPr>
          <w:rFonts w:ascii="Times" w:eastAsia="Malgun Gothic" w:hAnsi="Times"/>
          <w:noProof/>
          <w:sz w:val="18"/>
          <w:szCs w:val="18"/>
        </w:rPr>
        <w:tab/>
        <w:t>Wilson N, Lee JJ, Bei B. Postpartum fatigue and depression: A systematic review and meta-analysis. J Affect Disord 2019; 246: 224-33.</w:t>
      </w:r>
    </w:p>
    <w:p w14:paraId="5BA18BF7"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32.</w:t>
      </w:r>
      <w:r w:rsidRPr="00394B52">
        <w:rPr>
          <w:rFonts w:ascii="Times" w:eastAsia="Malgun Gothic" w:hAnsi="Times"/>
          <w:noProof/>
          <w:sz w:val="18"/>
          <w:szCs w:val="18"/>
        </w:rPr>
        <w:tab/>
        <w:t>Carter T, Bastounis A, Guo B, Jane Morrell C. The effectiveness of exercise-based interventions for preventing or treating postpartum depression: a systematic review and meta-analysis. Arch Womens Ment Health 2019; 22(1): 37-53.</w:t>
      </w:r>
    </w:p>
    <w:p w14:paraId="5F8372D2"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33.</w:t>
      </w:r>
      <w:r w:rsidRPr="00394B52">
        <w:rPr>
          <w:rFonts w:ascii="Times" w:eastAsia="Malgun Gothic" w:hAnsi="Times"/>
          <w:noProof/>
          <w:sz w:val="18"/>
          <w:szCs w:val="18"/>
        </w:rPr>
        <w:tab/>
        <w:t>Dennis CL, Creedy D. Psychosocial and psychological interventions for preventing postpartum depression. Cochrane Database Syst Rev 2004; (4): Cd001134.</w:t>
      </w:r>
    </w:p>
    <w:p w14:paraId="50D8D84D"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lastRenderedPageBreak/>
        <w:t>34.</w:t>
      </w:r>
      <w:r w:rsidRPr="00394B52">
        <w:rPr>
          <w:rFonts w:ascii="Times" w:eastAsia="Malgun Gothic" w:hAnsi="Times"/>
          <w:noProof/>
          <w:sz w:val="18"/>
          <w:szCs w:val="18"/>
        </w:rPr>
        <w:tab/>
        <w:t>Dennis CL. Psychosocial and psychological interventions for prevention of postnatal depression: systematic review. Bmj 2005; 331(7507): 15.</w:t>
      </w:r>
    </w:p>
    <w:p w14:paraId="29EEDF09"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35.</w:t>
      </w:r>
      <w:r w:rsidRPr="00394B52">
        <w:rPr>
          <w:rFonts w:ascii="Times" w:eastAsia="Malgun Gothic" w:hAnsi="Times"/>
          <w:noProof/>
          <w:sz w:val="18"/>
          <w:szCs w:val="18"/>
        </w:rPr>
        <w:tab/>
        <w:t>Dhillon A, Sparkes E, Duarte RV. Mindfulness-Based Interventions During Pregnancy: a Systematic Review and Meta-analysis. Mindfulness (N Y) 2017; 8(6): 1421-37.</w:t>
      </w:r>
    </w:p>
    <w:p w14:paraId="4BEF26AC"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36.</w:t>
      </w:r>
      <w:r w:rsidRPr="00394B52">
        <w:rPr>
          <w:rFonts w:ascii="Times" w:eastAsia="Malgun Gothic" w:hAnsi="Times"/>
          <w:noProof/>
          <w:sz w:val="18"/>
          <w:szCs w:val="18"/>
        </w:rPr>
        <w:tab/>
        <w:t>Dodd JM, Dowswell T, Crowther CA. Specialised antenatal clinics for women with a multiple pregnancy for improving maternal and infant outcomes. Cochrane Database Syst Rev 2015; (11): Cd005300.</w:t>
      </w:r>
    </w:p>
    <w:p w14:paraId="30AB7C7C"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37.</w:t>
      </w:r>
      <w:r w:rsidRPr="00394B52">
        <w:rPr>
          <w:rFonts w:ascii="Times" w:eastAsia="Malgun Gothic" w:hAnsi="Times"/>
          <w:noProof/>
          <w:sz w:val="18"/>
          <w:szCs w:val="18"/>
        </w:rPr>
        <w:tab/>
        <w:t>Dol J, Richardson B, Murphy GT, Aston M, McMillan D, Campbell-Yeo M. Impact of mobile health interventions during the perinatal period on maternal psychosocial outcomes: a systematic review. JBI Evid Synth 2020; 18(1): 30-55.</w:t>
      </w:r>
    </w:p>
    <w:p w14:paraId="3DD37F62"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38.</w:t>
      </w:r>
      <w:r w:rsidRPr="00394B52">
        <w:rPr>
          <w:rFonts w:ascii="Times" w:eastAsia="Malgun Gothic" w:hAnsi="Times"/>
          <w:noProof/>
          <w:sz w:val="18"/>
          <w:szCs w:val="18"/>
        </w:rPr>
        <w:tab/>
        <w:t>Geller PA, Stasko EC. Effect of Previous Posttraumatic Stress in the Perinatal Period. J Obstet Gynecol Neonatal Nurs 2017; 46(6): 912-22.</w:t>
      </w:r>
    </w:p>
    <w:p w14:paraId="75CAA060"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39.</w:t>
      </w:r>
      <w:r w:rsidRPr="00394B52">
        <w:rPr>
          <w:rFonts w:ascii="Times" w:eastAsia="Malgun Gothic" w:hAnsi="Times"/>
          <w:noProof/>
          <w:sz w:val="18"/>
          <w:szCs w:val="18"/>
        </w:rPr>
        <w:tab/>
        <w:t>Hall HG, Cant R, Munk N, et al. The effectiveness of massage for reducing pregnant women's anxiety and depression; systematic review and meta-analysis. Midwifery 2020; 90: 102818.</w:t>
      </w:r>
    </w:p>
    <w:p w14:paraId="7977718A"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40.</w:t>
      </w:r>
      <w:r w:rsidRPr="00394B52">
        <w:rPr>
          <w:rFonts w:ascii="Times" w:eastAsia="Malgun Gothic" w:hAnsi="Times"/>
          <w:noProof/>
          <w:sz w:val="18"/>
          <w:szCs w:val="18"/>
        </w:rPr>
        <w:tab/>
        <w:t>Huang R, Yan C, Tian Y, et al. Effectiveness of peer support intervention on perinatal depression: A systematic review and meta-analysis. J Affect Disord 2020; 276: 788-96.</w:t>
      </w:r>
    </w:p>
    <w:p w14:paraId="764BC646"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41.</w:t>
      </w:r>
      <w:r w:rsidRPr="00394B52">
        <w:rPr>
          <w:rFonts w:ascii="Times" w:eastAsia="Malgun Gothic" w:hAnsi="Times"/>
          <w:noProof/>
          <w:sz w:val="18"/>
          <w:szCs w:val="18"/>
        </w:rPr>
        <w:tab/>
        <w:t>Lavender T, Richens Y, Milan SJ, Smyth RM, Dowswell T. Telephone support for women during pregnancy and the first six weeks postpartum. Cochrane Database Syst Rev 2013; (7): Cd009338.</w:t>
      </w:r>
    </w:p>
    <w:p w14:paraId="5402511B"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42.</w:t>
      </w:r>
      <w:r w:rsidRPr="00394B52">
        <w:rPr>
          <w:rFonts w:ascii="Times" w:eastAsia="Malgun Gothic" w:hAnsi="Times"/>
          <w:noProof/>
          <w:sz w:val="18"/>
          <w:szCs w:val="18"/>
        </w:rPr>
        <w:tab/>
        <w:t>Lin PZ, Xue JM, Yang B, Li M, Cao FL. Effectiveness of self-help psychological interventions for treating and preventing postpartum depression: a meta-analysis. Arch Womens Ment Health 2018; 21(5): 491-503.</w:t>
      </w:r>
    </w:p>
    <w:p w14:paraId="77EE6560"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43.</w:t>
      </w:r>
      <w:r w:rsidRPr="00394B52">
        <w:rPr>
          <w:rFonts w:ascii="Times" w:eastAsia="Malgun Gothic" w:hAnsi="Times"/>
          <w:noProof/>
          <w:sz w:val="18"/>
          <w:szCs w:val="18"/>
        </w:rPr>
        <w:tab/>
        <w:t>Littleton HL, Breitkopf CR, Berenson AB. Correlates of anxiety symptoms during pregnancy and association with perinatal outcomes: a meta-analysis. Am J Obstet Gynecol 2007; 196(5): 424-32.</w:t>
      </w:r>
    </w:p>
    <w:p w14:paraId="0FB41BA6"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44.</w:t>
      </w:r>
      <w:r w:rsidRPr="00394B52">
        <w:rPr>
          <w:rFonts w:ascii="Times" w:eastAsia="Malgun Gothic" w:hAnsi="Times"/>
          <w:noProof/>
          <w:sz w:val="18"/>
          <w:szCs w:val="18"/>
        </w:rPr>
        <w:tab/>
        <w:t>Meyrel M, Varin L, Detaint B, Mouaffak F. [The intestinal microbiota: A new player in depression?]. Encephale 2018; 44(1): 67-74.</w:t>
      </w:r>
    </w:p>
    <w:p w14:paraId="0B9567E1"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45.</w:t>
      </w:r>
      <w:r w:rsidRPr="00394B52">
        <w:rPr>
          <w:rFonts w:ascii="Times" w:eastAsia="Malgun Gothic" w:hAnsi="Times"/>
          <w:noProof/>
          <w:sz w:val="18"/>
          <w:szCs w:val="18"/>
        </w:rPr>
        <w:tab/>
        <w:t>O'Connor E, Senger CA, Henninger ML, Coppola E, Gaynes BN. Interventions to Prevent Perinatal Depression: Evidence Report and Systematic Review for the US Preventive Services Task Force. Jama 2019; 321(6): 588-601.</w:t>
      </w:r>
    </w:p>
    <w:p w14:paraId="7DBEDB88"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46.</w:t>
      </w:r>
      <w:r w:rsidRPr="00394B52">
        <w:rPr>
          <w:rFonts w:ascii="Times" w:eastAsia="Malgun Gothic" w:hAnsi="Times"/>
          <w:noProof/>
          <w:sz w:val="18"/>
          <w:szCs w:val="18"/>
        </w:rPr>
        <w:tab/>
        <w:t>Poyatos-León R, García-Hermoso A, Sanabria-Martínez G, Álvarez-Bueno C, Cavero-Redondo I, Martínez-Vizcaíno V. Effects of exercise-based interventions on postpartum depression: A meta-analysis of randomized controlled trials. Birth 2017; 44(3): 200-8.</w:t>
      </w:r>
    </w:p>
    <w:p w14:paraId="1DF8E479"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47.</w:t>
      </w:r>
      <w:r w:rsidRPr="00394B52">
        <w:rPr>
          <w:rFonts w:ascii="Times" w:eastAsia="Malgun Gothic" w:hAnsi="Times"/>
          <w:noProof/>
          <w:sz w:val="18"/>
          <w:szCs w:val="18"/>
        </w:rPr>
        <w:tab/>
        <w:t>Shorey S, Chee CYI, Ng ED, Chan YH, Tam WWS, Chong YS. Prevalence and incidence of postpartum depression among healthy mothers: A systematic review and meta-analysis. J Psychiatr Res 2018; 104: 235-48.</w:t>
      </w:r>
    </w:p>
    <w:p w14:paraId="7061B75E"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48.</w:t>
      </w:r>
      <w:r w:rsidRPr="00394B52">
        <w:rPr>
          <w:rFonts w:ascii="Times" w:eastAsia="Malgun Gothic" w:hAnsi="Times"/>
          <w:noProof/>
          <w:sz w:val="18"/>
          <w:szCs w:val="18"/>
        </w:rPr>
        <w:tab/>
        <w:t>Sockol LE, Epperson CN, Barber JP. Preventing postpartum depression: a meta-analytic review. Clin Psychol Rev 2013; 33(8): 1205-17.</w:t>
      </w:r>
    </w:p>
    <w:p w14:paraId="6FC480F0"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49.</w:t>
      </w:r>
      <w:r w:rsidRPr="00394B52">
        <w:rPr>
          <w:rFonts w:ascii="Times" w:eastAsia="Malgun Gothic" w:hAnsi="Times"/>
          <w:noProof/>
          <w:sz w:val="18"/>
          <w:szCs w:val="18"/>
        </w:rPr>
        <w:tab/>
        <w:t>Sockol LE. A systematic review of the efficacy of cognitive behavioral therapy for treating and preventing perinatal depression. J Affect Disord 2015; 177: 7-21.</w:t>
      </w:r>
    </w:p>
    <w:p w14:paraId="609377B0"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50.</w:t>
      </w:r>
      <w:r w:rsidRPr="00394B52">
        <w:rPr>
          <w:rFonts w:ascii="Times" w:eastAsia="Malgun Gothic" w:hAnsi="Times"/>
          <w:noProof/>
          <w:sz w:val="18"/>
          <w:szCs w:val="18"/>
        </w:rPr>
        <w:tab/>
        <w:t>Sockol LE. A systematic review and meta-analysis of interpersonal psychotherapy for perinatal women. J Affect Disord 2018; 232: 316-28.</w:t>
      </w:r>
    </w:p>
    <w:p w14:paraId="14638890"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51.</w:t>
      </w:r>
      <w:r w:rsidRPr="00394B52">
        <w:rPr>
          <w:rFonts w:ascii="Times" w:eastAsia="Malgun Gothic" w:hAnsi="Times"/>
          <w:noProof/>
          <w:sz w:val="18"/>
          <w:szCs w:val="18"/>
        </w:rPr>
        <w:tab/>
        <w:t>Stuart S, O'Hara MW, Gorman LL. The prevention and psychotherapeutic treatment of postpartum depression. Arch Womens Ment Health 2003; 6 Suppl 2: S57-69.</w:t>
      </w:r>
    </w:p>
    <w:p w14:paraId="497AA5D3"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52.</w:t>
      </w:r>
      <w:r w:rsidRPr="00394B52">
        <w:rPr>
          <w:rFonts w:ascii="Times" w:eastAsia="Malgun Gothic" w:hAnsi="Times"/>
          <w:noProof/>
          <w:sz w:val="18"/>
          <w:szCs w:val="18"/>
        </w:rPr>
        <w:tab/>
        <w:t>Lever Taylor B, Cavanagh K, Strauss C. The Effectiveness of Mindfulness-Based Interventions in the Perinatal Period: A Systematic Review and Meta-Analysis. PLoS One 2016; 11(5): e0155720.</w:t>
      </w:r>
    </w:p>
    <w:p w14:paraId="01385B42"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53.</w:t>
      </w:r>
      <w:r w:rsidRPr="00394B52">
        <w:rPr>
          <w:rFonts w:ascii="Times" w:eastAsia="Malgun Gothic" w:hAnsi="Times"/>
          <w:noProof/>
          <w:sz w:val="18"/>
          <w:szCs w:val="18"/>
        </w:rPr>
        <w:tab/>
        <w:t>Tong P, Dong LP, Yang Y, Shi YH, Sun T, Bo P. Traditional Chinese acupuncture and postpartum depression: A systematic review and meta-analysis. J Chin Med Assoc 2019; 82(9): 719-26.</w:t>
      </w:r>
    </w:p>
    <w:p w14:paraId="6A11B104"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54.</w:t>
      </w:r>
      <w:r w:rsidRPr="00394B52">
        <w:rPr>
          <w:rFonts w:ascii="Times" w:eastAsia="Malgun Gothic" w:hAnsi="Times"/>
          <w:noProof/>
          <w:sz w:val="18"/>
          <w:szCs w:val="18"/>
        </w:rPr>
        <w:tab/>
        <w:t>Warsiti W. The Effect of Maternal Role Intervention with Increased Maternal Role Identity Attainment in Pregnancy and Infant Growth: A Meta-analysis. Open Access Macedonian Journal of Medical Sciences 2020; 8(F): 287-92.</w:t>
      </w:r>
    </w:p>
    <w:p w14:paraId="43C0CF94"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55.</w:t>
      </w:r>
      <w:r w:rsidRPr="00394B52">
        <w:rPr>
          <w:rFonts w:ascii="Times" w:eastAsia="Malgun Gothic" w:hAnsi="Times"/>
          <w:noProof/>
          <w:sz w:val="18"/>
          <w:szCs w:val="18"/>
        </w:rPr>
        <w:tab/>
        <w:t>Wojcieszek AM, Shepherd E, Middleton P, et al. Care prior to and during subsequent pregnancies following stillbirth for improving outcomes. Cochrane Database Syst Rev 2018; 12(12): Cd012203.</w:t>
      </w:r>
    </w:p>
    <w:p w14:paraId="56E84000"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56.</w:t>
      </w:r>
      <w:r w:rsidRPr="00394B52">
        <w:rPr>
          <w:rFonts w:ascii="Times" w:eastAsia="Malgun Gothic" w:hAnsi="Times"/>
          <w:noProof/>
          <w:sz w:val="18"/>
          <w:szCs w:val="18"/>
        </w:rPr>
        <w:tab/>
        <w:t>Woody CA, Ferrari AJ, Siskind DJ, Whiteford HA, Harris MG. A systematic review and meta-regression of the prevalence and incidence of perinatal depression. J Affect Disord 2017; 219: 86-92.</w:t>
      </w:r>
    </w:p>
    <w:p w14:paraId="26EC14AC"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57.</w:t>
      </w:r>
      <w:r w:rsidRPr="00394B52">
        <w:rPr>
          <w:rFonts w:ascii="Times" w:eastAsia="Malgun Gothic" w:hAnsi="Times"/>
          <w:noProof/>
          <w:sz w:val="18"/>
          <w:szCs w:val="18"/>
        </w:rPr>
        <w:tab/>
        <w:t>Yonemoto N, Dowswell T, Nagai S, Mori R. Schedules for home visits in the early postpartum period. Cochrane Database Syst Rev 2017; 8(8): Cd009326.</w:t>
      </w:r>
    </w:p>
    <w:p w14:paraId="49E1C7B3"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58.</w:t>
      </w:r>
      <w:r w:rsidRPr="00394B52">
        <w:rPr>
          <w:rFonts w:ascii="Times" w:eastAsia="Malgun Gothic" w:hAnsi="Times"/>
          <w:noProof/>
          <w:sz w:val="18"/>
          <w:szCs w:val="18"/>
        </w:rPr>
        <w:tab/>
        <w:t>Anderson FM, Hatch SL, Comacchio C, Howard LM. Prevalence and risk of mental disorders in the perinatal period among migrant women: a systematic review and meta-analysis. Arch Womens Ment Health 2017; 20(3): 449-62.</w:t>
      </w:r>
    </w:p>
    <w:p w14:paraId="75B70739"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59.</w:t>
      </w:r>
      <w:r w:rsidRPr="00394B52">
        <w:rPr>
          <w:rFonts w:ascii="Times" w:eastAsia="Malgun Gothic" w:hAnsi="Times"/>
          <w:noProof/>
          <w:sz w:val="18"/>
          <w:szCs w:val="18"/>
        </w:rPr>
        <w:tab/>
        <w:t>Azam S, Khanam A, Tirlapur S, Khan K. Planned caesarean section or trial of vaginal delivery? A meta-analysis. Curr Opin Obstet Gynecol 2014; 26(6): 461-8.</w:t>
      </w:r>
    </w:p>
    <w:p w14:paraId="099D16D0"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60.</w:t>
      </w:r>
      <w:r w:rsidRPr="00394B52">
        <w:rPr>
          <w:rFonts w:ascii="Times" w:eastAsia="Malgun Gothic" w:hAnsi="Times"/>
          <w:noProof/>
          <w:sz w:val="18"/>
          <w:szCs w:val="18"/>
        </w:rPr>
        <w:tab/>
        <w:t>Beck CT. Postpartum depression: a metasynthesis. Qual Health Res 2002; 12(4): 453-72.</w:t>
      </w:r>
    </w:p>
    <w:p w14:paraId="6A80DBD6"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61.</w:t>
      </w:r>
      <w:r w:rsidRPr="00394B52">
        <w:rPr>
          <w:rFonts w:ascii="Times" w:eastAsia="Malgun Gothic" w:hAnsi="Times"/>
          <w:noProof/>
          <w:sz w:val="18"/>
          <w:szCs w:val="18"/>
        </w:rPr>
        <w:tab/>
        <w:t>Brown HK, Qazilbash A, Rahim N, Dennis CL, Vigod SN. Chronic Medical Conditions and Peripartum Mental Illness: A Systematic Review and Meta-Analysis. Am J Epidemiol 2018; 187(9): 2060-8.</w:t>
      </w:r>
    </w:p>
    <w:p w14:paraId="6C7E9C5F"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62.</w:t>
      </w:r>
      <w:r w:rsidRPr="00394B52">
        <w:rPr>
          <w:rFonts w:ascii="Times" w:eastAsia="Malgun Gothic" w:hAnsi="Times"/>
          <w:noProof/>
          <w:sz w:val="18"/>
          <w:szCs w:val="18"/>
        </w:rPr>
        <w:tab/>
        <w:t>Chen S, Wang T, Zhang S, Zhao L, Chen L. Association between infertility treatment and perinatal depressive symptoms: A meta-analysis of observational studies. J Psychosom Res 2019; 120: 110-7.</w:t>
      </w:r>
    </w:p>
    <w:p w14:paraId="5041DD79"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63.</w:t>
      </w:r>
      <w:r w:rsidRPr="00394B52">
        <w:rPr>
          <w:rFonts w:ascii="Times" w:eastAsia="Malgun Gothic" w:hAnsi="Times"/>
          <w:noProof/>
          <w:sz w:val="18"/>
          <w:szCs w:val="18"/>
        </w:rPr>
        <w:tab/>
        <w:t>Chowdhury R, Sinha B, Sankar MJ, et al. Breastfeeding and maternal health outcomes: a systematic review and meta-analysis. Acta Paediatr 2015; 104(467): 96-113.</w:t>
      </w:r>
    </w:p>
    <w:p w14:paraId="09DA59A1"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64.</w:t>
      </w:r>
      <w:r w:rsidRPr="00394B52">
        <w:rPr>
          <w:rFonts w:ascii="Times" w:eastAsia="Malgun Gothic" w:hAnsi="Times"/>
          <w:noProof/>
          <w:sz w:val="18"/>
          <w:szCs w:val="18"/>
        </w:rPr>
        <w:tab/>
        <w:t>Cuijpers P, Van Straten A, Smit F. Preventing the incidence of new cases of mental disorders: a meta-analytic review. J Nerv Ment Dis 2005; 193(2): 119-25.</w:t>
      </w:r>
    </w:p>
    <w:p w14:paraId="18AD33D5"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65.</w:t>
      </w:r>
      <w:r w:rsidRPr="00394B52">
        <w:rPr>
          <w:rFonts w:ascii="Times" w:eastAsia="Malgun Gothic" w:hAnsi="Times"/>
          <w:noProof/>
          <w:sz w:val="18"/>
          <w:szCs w:val="18"/>
        </w:rPr>
        <w:tab/>
        <w:t>Dachew BA, Ayano G, Alati R. Does weight gain during pregnancy influence antenatal depressive symptoms? A systematic review and meta-analysis. J Psychosom Res 2020; 138: 110255.</w:t>
      </w:r>
    </w:p>
    <w:p w14:paraId="47AA2AA6"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66.</w:t>
      </w:r>
      <w:r w:rsidRPr="00394B52">
        <w:rPr>
          <w:rFonts w:ascii="Times" w:eastAsia="Malgun Gothic" w:hAnsi="Times"/>
          <w:noProof/>
          <w:sz w:val="18"/>
          <w:szCs w:val="18"/>
        </w:rPr>
        <w:tab/>
        <w:t>Dale J, Caramlau IO, Lindenmeyer A, Williams SM. Peer support telephone calls for improving health. Cochrane Database Syst Rev 2008; 2008(4): Cd006903.</w:t>
      </w:r>
    </w:p>
    <w:p w14:paraId="66330BF4"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67.</w:t>
      </w:r>
      <w:r w:rsidRPr="00394B52">
        <w:rPr>
          <w:rFonts w:ascii="Times" w:eastAsia="Malgun Gothic" w:hAnsi="Times"/>
          <w:noProof/>
          <w:sz w:val="18"/>
          <w:szCs w:val="18"/>
        </w:rPr>
        <w:tab/>
        <w:t>Davenport MH, McCurdy AP, Mottola MF, et al. Impact of prenatal exercise on both prenatal and postnatal anxiety and depressive symptoms: a systematic review and meta-analysis. Br J Sports Med 2018; 52(21): 1376-85.</w:t>
      </w:r>
    </w:p>
    <w:p w14:paraId="4F5E6DD3"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68.</w:t>
      </w:r>
      <w:r w:rsidRPr="00394B52">
        <w:rPr>
          <w:rFonts w:ascii="Times" w:eastAsia="Malgun Gothic" w:hAnsi="Times"/>
          <w:noProof/>
          <w:sz w:val="18"/>
          <w:szCs w:val="18"/>
        </w:rPr>
        <w:tab/>
        <w:t>Dipietro L, Evenson KR, Bloodgood B, et al. Benefits of Physical Activity during Pregnancy and Postpartum: An Umbrella Review. Med Sci Sports Exerc 2019; 51(6): 1292-302.</w:t>
      </w:r>
    </w:p>
    <w:p w14:paraId="74A81DDA"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69.</w:t>
      </w:r>
      <w:r w:rsidRPr="00394B52">
        <w:rPr>
          <w:rFonts w:ascii="Times" w:eastAsia="Malgun Gothic" w:hAnsi="Times"/>
          <w:noProof/>
          <w:sz w:val="18"/>
          <w:szCs w:val="18"/>
        </w:rPr>
        <w:tab/>
        <w:t>González-Mesa E, Cuenca-Marín C, Suarez-Arana M, et al. Poor sleep quality is associated with perinatal depression. A systematic review of last decade scientific literature and meta-analysis. J Perinat Med 2019; 47(7): 689-703.</w:t>
      </w:r>
    </w:p>
    <w:p w14:paraId="708E2B1B"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lastRenderedPageBreak/>
        <w:t>70.</w:t>
      </w:r>
      <w:r w:rsidRPr="00394B52">
        <w:rPr>
          <w:rFonts w:ascii="Times" w:eastAsia="Malgun Gothic" w:hAnsi="Times"/>
          <w:noProof/>
          <w:sz w:val="18"/>
          <w:szCs w:val="18"/>
        </w:rPr>
        <w:tab/>
        <w:t>Hofmeyr GJ, Barrett JF, Crowther CA. Planned caesarean section for women with a twin pregnancy. Cochrane Database Syst Rev 2015; 2015(12): Cd006553.</w:t>
      </w:r>
    </w:p>
    <w:p w14:paraId="19188ED7"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71.</w:t>
      </w:r>
      <w:r w:rsidRPr="00394B52">
        <w:rPr>
          <w:rFonts w:ascii="Times" w:eastAsia="Malgun Gothic" w:hAnsi="Times"/>
          <w:noProof/>
          <w:sz w:val="18"/>
          <w:szCs w:val="18"/>
        </w:rPr>
        <w:tab/>
        <w:t>Hösli I, Zanetti-Daellenbach R, Holzgreve W, Lapaire O. Role of omega 3-fatty acids and multivitamins in gestation. J Perinat Med 2007; 35 Suppl 1: S19-24.</w:t>
      </w:r>
    </w:p>
    <w:p w14:paraId="5E2C9476"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72.</w:t>
      </w:r>
      <w:r w:rsidRPr="00394B52">
        <w:rPr>
          <w:rFonts w:ascii="Times" w:eastAsia="Malgun Gothic" w:hAnsi="Times"/>
          <w:noProof/>
          <w:sz w:val="18"/>
          <w:szCs w:val="18"/>
        </w:rPr>
        <w:tab/>
        <w:t>Hutchens BF, Kearney J. Risk Factors for Postpartum Depression: An Umbrella Review. J Midwifery Womens Health 2020; 65(1): 96-108.</w:t>
      </w:r>
    </w:p>
    <w:p w14:paraId="6F486235"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73.</w:t>
      </w:r>
      <w:r w:rsidRPr="00394B52">
        <w:rPr>
          <w:rFonts w:ascii="Times" w:eastAsia="Malgun Gothic" w:hAnsi="Times"/>
          <w:noProof/>
          <w:sz w:val="18"/>
          <w:szCs w:val="18"/>
        </w:rPr>
        <w:tab/>
        <w:t>Luo Y, He GP. [Correlative analysis of postpartum depression]. Zhong Nan Da Xue Xue Bao Yi Xue Ban 2007; 32(3): 460-5.</w:t>
      </w:r>
    </w:p>
    <w:p w14:paraId="46EC884F"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74.</w:t>
      </w:r>
      <w:r w:rsidRPr="00394B52">
        <w:rPr>
          <w:rFonts w:ascii="Times" w:eastAsia="Malgun Gothic" w:hAnsi="Times"/>
          <w:noProof/>
          <w:sz w:val="18"/>
          <w:szCs w:val="18"/>
        </w:rPr>
        <w:tab/>
        <w:t>Mersha AG, Abebe SA, Sori LM, Abegaz TM. Prevalence and Associated Factors of Perinatal Depression in Ethiopia: A Systematic Review and Meta-Analysis. Depress Res Treat 2018; 2018: 1813834.</w:t>
      </w:r>
    </w:p>
    <w:p w14:paraId="7B361EAE"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75.</w:t>
      </w:r>
      <w:r w:rsidRPr="00394B52">
        <w:rPr>
          <w:rFonts w:ascii="Times" w:eastAsia="Malgun Gothic" w:hAnsi="Times"/>
          <w:noProof/>
          <w:sz w:val="18"/>
          <w:szCs w:val="18"/>
        </w:rPr>
        <w:tab/>
        <w:t>O'Connor E, Rossom RC, Henninger M, et al. U.S. Preventive Services Task Force Evidence Syntheses, formerly Systematic Evidence Reviews.  Screening for Depression in Adults: An Updated Systematic Evidence Review for the US Preventive Services Task Force. Rockville (MD): Agency for Healthcare Research and Quality (US); 2016.</w:t>
      </w:r>
    </w:p>
    <w:p w14:paraId="6643ED33"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76.</w:t>
      </w:r>
      <w:r w:rsidRPr="00394B52">
        <w:rPr>
          <w:rFonts w:ascii="Times" w:eastAsia="Malgun Gothic" w:hAnsi="Times"/>
          <w:noProof/>
          <w:sz w:val="18"/>
          <w:szCs w:val="18"/>
        </w:rPr>
        <w:tab/>
        <w:t>O’Connor E, Senger CA, Henninger M, Gaynes BN, Coppola E, Soulsby Weyrich M. U.S. Preventive Services Task Force Evidence Syntheses, formerly Systematic Evidence Reviews.  Interventions to Prevent Perinatal Depression: A Systematic Evidence Review for the US Preventive Services Task Force. Rockville (MD): Agency for Healthcare Research and Quality (US); 2019.</w:t>
      </w:r>
    </w:p>
    <w:p w14:paraId="56EF9E42"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77.</w:t>
      </w:r>
      <w:r w:rsidRPr="00394B52">
        <w:rPr>
          <w:rFonts w:ascii="Times" w:eastAsia="Malgun Gothic" w:hAnsi="Times"/>
          <w:noProof/>
          <w:sz w:val="18"/>
          <w:szCs w:val="18"/>
        </w:rPr>
        <w:tab/>
        <w:t>Owais S, Faltyn M, Johnson AVD, et al. The Perinatal Mental Health of Indigenous Women: A Systematic Review and Meta-Analysis. Can J Psychiatry 2020; 65(3): 149-63.</w:t>
      </w:r>
    </w:p>
    <w:p w14:paraId="419736EC"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78.</w:t>
      </w:r>
      <w:r w:rsidRPr="00394B52">
        <w:rPr>
          <w:rFonts w:ascii="Times" w:eastAsia="Malgun Gothic" w:hAnsi="Times"/>
          <w:noProof/>
          <w:sz w:val="18"/>
          <w:szCs w:val="18"/>
        </w:rPr>
        <w:tab/>
        <w:t>Park S, Kim J, Oh J, Ahn S. Effects of psychoeducation on the mental health and relationships of pregnant couples: A systemic review and meta-analysis. Int J Nurs Stud 2020; 104: 103439.</w:t>
      </w:r>
    </w:p>
    <w:p w14:paraId="6122D99E"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79.</w:t>
      </w:r>
      <w:r w:rsidRPr="00394B52">
        <w:rPr>
          <w:rFonts w:ascii="Times" w:eastAsia="Malgun Gothic" w:hAnsi="Times"/>
          <w:noProof/>
          <w:sz w:val="18"/>
          <w:szCs w:val="18"/>
        </w:rPr>
        <w:tab/>
        <w:t>Robertson E, Grace S, Wallington T, Stewart DE. Antenatal risk factors for postpartum depression: a synthesis of recent literature. Gen Hosp Psychiatry 2004; 26(4): 289-95.</w:t>
      </w:r>
    </w:p>
    <w:p w14:paraId="11037318"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80.</w:t>
      </w:r>
      <w:r w:rsidRPr="00394B52">
        <w:rPr>
          <w:rFonts w:ascii="Times" w:eastAsia="Malgun Gothic" w:hAnsi="Times"/>
          <w:noProof/>
          <w:sz w:val="18"/>
          <w:szCs w:val="18"/>
        </w:rPr>
        <w:tab/>
        <w:t>Suzuki D, Wariki WMV, Suto M, et al. Association of secondhand smoke and depressive symptoms in nonsmoking pregnant Women: A systematic review and meta-analysis. J Affect Disord 2019; 245: 918-27.</w:t>
      </w:r>
    </w:p>
    <w:p w14:paraId="4C631A63"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81.</w:t>
      </w:r>
      <w:r w:rsidRPr="00394B52">
        <w:rPr>
          <w:rFonts w:ascii="Times" w:eastAsia="Malgun Gothic" w:hAnsi="Times"/>
          <w:noProof/>
          <w:sz w:val="18"/>
          <w:szCs w:val="18"/>
        </w:rPr>
        <w:tab/>
        <w:t>Upadhyay RP, Chowdhury R, Aslyeh S, et al. Postpartum depression in India: a systematic review and meta-analysis. Bull World Health Organ 2017; 95(10): 706-17c.</w:t>
      </w:r>
    </w:p>
    <w:p w14:paraId="10F82A6C"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82.</w:t>
      </w:r>
      <w:r w:rsidRPr="00394B52">
        <w:rPr>
          <w:rFonts w:ascii="Times" w:eastAsia="Malgun Gothic" w:hAnsi="Times"/>
          <w:noProof/>
          <w:sz w:val="18"/>
          <w:szCs w:val="18"/>
        </w:rPr>
        <w:tab/>
        <w:t>Yan H, Ding Y, Guo W. Mental Health of Pregnant and Postpartum Women During the Coronavirus Disease 2019 Pandemic: A Systematic Review and Meta-Analysis. Front Psychol 2020; 11: 617001.</w:t>
      </w:r>
    </w:p>
    <w:p w14:paraId="1B803EA3"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83.</w:t>
      </w:r>
      <w:r w:rsidRPr="00394B52">
        <w:rPr>
          <w:rFonts w:ascii="Times" w:eastAsia="Malgun Gothic" w:hAnsi="Times"/>
          <w:noProof/>
          <w:sz w:val="18"/>
          <w:szCs w:val="18"/>
        </w:rPr>
        <w:tab/>
        <w:t>Yonemoto N, Dowswell T, Nagai S, Mori R. Schedules for home visits in the early postpartum period. Cochrane Database Syst Rev 2013; (7): Cd009326.</w:t>
      </w:r>
    </w:p>
    <w:p w14:paraId="21EFBF0B"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84.</w:t>
      </w:r>
      <w:r w:rsidRPr="00394B52">
        <w:rPr>
          <w:rFonts w:ascii="Times" w:eastAsia="Malgun Gothic" w:hAnsi="Times"/>
          <w:noProof/>
          <w:sz w:val="18"/>
          <w:szCs w:val="18"/>
        </w:rPr>
        <w:tab/>
        <w:t>Zhao XH, Zhang ZH. Risk factors for postpartum depression: An evidence-based systematic review of systematic reviews and meta-analyses. Asian J Psychiatr 2020; 53: 102353.</w:t>
      </w:r>
    </w:p>
    <w:p w14:paraId="0580DBF2"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85.</w:t>
      </w:r>
      <w:r w:rsidRPr="00394B52">
        <w:rPr>
          <w:rFonts w:ascii="Times" w:eastAsia="Malgun Gothic" w:hAnsi="Times"/>
          <w:noProof/>
          <w:sz w:val="18"/>
          <w:szCs w:val="18"/>
        </w:rPr>
        <w:tab/>
        <w:t>Austin MP, Priest SR, Sullivan EA. Antenatal psychosocial assessment for reducing perinatal mental health morbidity. Cochrane Database Syst Rev 2008; (4): Cd005124.</w:t>
      </w:r>
    </w:p>
    <w:p w14:paraId="3B828950"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86.</w:t>
      </w:r>
      <w:r w:rsidRPr="00394B52">
        <w:rPr>
          <w:rFonts w:ascii="Times" w:eastAsia="Malgun Gothic" w:hAnsi="Times"/>
          <w:noProof/>
          <w:sz w:val="18"/>
          <w:szCs w:val="18"/>
        </w:rPr>
        <w:tab/>
        <w:t>Ayano G, Tesfaw G, Shumet S. Prevalence and determinants of antenatal depression in Ethiopia: A systematic review and meta-analysis. PLoS One 2019; 14(2): e0211764.</w:t>
      </w:r>
    </w:p>
    <w:p w14:paraId="19DA96F5"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87.</w:t>
      </w:r>
      <w:r w:rsidRPr="00394B52">
        <w:rPr>
          <w:rFonts w:ascii="Times" w:eastAsia="Malgun Gothic" w:hAnsi="Times"/>
          <w:noProof/>
          <w:sz w:val="18"/>
          <w:szCs w:val="18"/>
        </w:rPr>
        <w:tab/>
        <w:t>Bastos MH, Furuta M, Small R, McKenzie-McHarg K, Bick D. Debriefing interventions for the prevention of psychological trauma in women following childbirth. Cochrane Database Syst Rev 2015; (4): Cd007194.</w:t>
      </w:r>
    </w:p>
    <w:p w14:paraId="71DE071F"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88.</w:t>
      </w:r>
      <w:r w:rsidRPr="00394B52">
        <w:rPr>
          <w:rFonts w:ascii="Times" w:eastAsia="Malgun Gothic" w:hAnsi="Times"/>
          <w:noProof/>
          <w:sz w:val="18"/>
          <w:szCs w:val="18"/>
        </w:rPr>
        <w:tab/>
        <w:t>Chen J, Cross WM, Plummer V, Lam L, Tang S. A systematic review of prevalence and risk factors of postpartum depression in Chinese immigrant women. Women Birth 2019; 32(6): 487-92.</w:t>
      </w:r>
    </w:p>
    <w:p w14:paraId="6DC43375"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89.</w:t>
      </w:r>
      <w:r w:rsidRPr="00394B52">
        <w:rPr>
          <w:rFonts w:ascii="Times" w:eastAsia="Malgun Gothic" w:hAnsi="Times"/>
          <w:noProof/>
          <w:sz w:val="18"/>
          <w:szCs w:val="18"/>
        </w:rPr>
        <w:tab/>
        <w:t>Dencker A, Nilsson C, Begley C, et al. Causes and outcomes in studies of fear of childbirth: A systematic review. Women Birth 2019; 32(2): 99-111.</w:t>
      </w:r>
    </w:p>
    <w:p w14:paraId="1AF711CF"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90.</w:t>
      </w:r>
      <w:r w:rsidRPr="00394B52">
        <w:rPr>
          <w:rFonts w:ascii="Times" w:eastAsia="Malgun Gothic" w:hAnsi="Times"/>
          <w:noProof/>
          <w:sz w:val="18"/>
          <w:szCs w:val="18"/>
        </w:rPr>
        <w:tab/>
        <w:t>Dennis CL, Kingston D. A systematic review of telephone support for women during pregnancy and the early postpartum period. J Obstet Gynecol Neonatal Nurs 2008; 37(3): 301-14.</w:t>
      </w:r>
    </w:p>
    <w:p w14:paraId="1372E0E2"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91.</w:t>
      </w:r>
      <w:r w:rsidRPr="00394B52">
        <w:rPr>
          <w:rFonts w:ascii="Times" w:eastAsia="Malgun Gothic" w:hAnsi="Times"/>
          <w:noProof/>
          <w:sz w:val="18"/>
          <w:szCs w:val="18"/>
        </w:rPr>
        <w:tab/>
        <w:t>Dennis CL, Ross LE, Herxheimer A. Oestrogens and progestins for preventing and treating postpartum depression. Cochrane Database Syst Rev 2008; 2008(4): Cd001690.</w:t>
      </w:r>
    </w:p>
    <w:p w14:paraId="3929F7CC"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92.</w:t>
      </w:r>
      <w:r w:rsidRPr="00394B52">
        <w:rPr>
          <w:rFonts w:ascii="Times" w:eastAsia="Malgun Gothic" w:hAnsi="Times"/>
          <w:noProof/>
          <w:sz w:val="18"/>
          <w:szCs w:val="18"/>
        </w:rPr>
        <w:tab/>
        <w:t>Duko B, Wolde D, Alemayehu Y. The epidemiology of postnatal depression in Ethiopia: a systematic review and meta-analysis. Reprod Health 2020; 17(1): 180.</w:t>
      </w:r>
    </w:p>
    <w:p w14:paraId="1A1421B5"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93.</w:t>
      </w:r>
      <w:r w:rsidRPr="00394B52">
        <w:rPr>
          <w:rFonts w:ascii="Times" w:eastAsia="Malgun Gothic" w:hAnsi="Times"/>
          <w:noProof/>
          <w:sz w:val="18"/>
          <w:szCs w:val="18"/>
        </w:rPr>
        <w:tab/>
        <w:t>Field T. Yoga research review. Complement Ther Clin Pract 2016; 24: 145-61.</w:t>
      </w:r>
    </w:p>
    <w:p w14:paraId="115DD301"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94.</w:t>
      </w:r>
      <w:r w:rsidRPr="00394B52">
        <w:rPr>
          <w:rFonts w:ascii="Times" w:eastAsia="Malgun Gothic" w:hAnsi="Times"/>
          <w:noProof/>
          <w:sz w:val="18"/>
          <w:szCs w:val="18"/>
        </w:rPr>
        <w:tab/>
        <w:t>Gilinsky AS, Dale H, Robinson C, Hughes AR, McInnes R, Lavallee D. Efficacy of physical activity interventions in post-natal populations: systematic review, meta-analysis and content coding of behaviour change techniques. Health Psychol Rev 2015; 9(2): 244-63.</w:t>
      </w:r>
    </w:p>
    <w:p w14:paraId="57749452"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95.</w:t>
      </w:r>
      <w:r w:rsidRPr="00394B52">
        <w:rPr>
          <w:rFonts w:ascii="Times" w:eastAsia="Malgun Gothic" w:hAnsi="Times"/>
          <w:noProof/>
          <w:sz w:val="18"/>
          <w:szCs w:val="18"/>
        </w:rPr>
        <w:tab/>
        <w:t>De Giuseppe R, Roggi C, Cena H. n-3 LC-PUFA supplementation: effects on infant and maternal outcomes. Eur J Nutr 2014; 53(5): 1147-54.</w:t>
      </w:r>
    </w:p>
    <w:p w14:paraId="2E6AE827"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96.</w:t>
      </w:r>
      <w:r w:rsidRPr="00394B52">
        <w:rPr>
          <w:rFonts w:ascii="Times" w:eastAsia="Malgun Gothic" w:hAnsi="Times"/>
          <w:noProof/>
          <w:sz w:val="18"/>
          <w:szCs w:val="18"/>
        </w:rPr>
        <w:tab/>
        <w:t>Gould JF, Best K, Makrides M. Perinatal nutrition interventions and post-partum depressive symptoms. J Affect Disord 2017; 224: 2-9.</w:t>
      </w:r>
    </w:p>
    <w:p w14:paraId="5658FC41"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97.</w:t>
      </w:r>
      <w:r w:rsidRPr="00394B52">
        <w:rPr>
          <w:rFonts w:ascii="Times" w:eastAsia="Malgun Gothic" w:hAnsi="Times"/>
          <w:noProof/>
          <w:sz w:val="18"/>
          <w:szCs w:val="18"/>
        </w:rPr>
        <w:tab/>
        <w:t>Hahn-Holbrook J, Cornwell-Hinrichs T, Anaya I. Economic and Health Predictors of National Postpartum Depression Prevalence: A Systematic Review, Meta-analysis, and Meta-Regression of 291 Studies from 56 Countries. Front Psychiatry 2017; 8: 248.</w:t>
      </w:r>
    </w:p>
    <w:p w14:paraId="2ED22C85"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98.</w:t>
      </w:r>
      <w:r w:rsidRPr="00394B52">
        <w:rPr>
          <w:rFonts w:ascii="Times" w:eastAsia="Malgun Gothic" w:hAnsi="Times"/>
          <w:noProof/>
          <w:sz w:val="18"/>
          <w:szCs w:val="18"/>
        </w:rPr>
        <w:tab/>
        <w:t>Ip S, Chung M, Raman G, et al. Breastfeeding and maternal and infant health outcomes in developed countries. Evid Rep Technol Assess (Full Rep) 2007; (153): 1-186.</w:t>
      </w:r>
    </w:p>
    <w:p w14:paraId="5002BB2A"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99.</w:t>
      </w:r>
      <w:r w:rsidRPr="00394B52">
        <w:rPr>
          <w:rFonts w:ascii="Times" w:eastAsia="Malgun Gothic" w:hAnsi="Times"/>
          <w:noProof/>
          <w:sz w:val="18"/>
          <w:szCs w:val="18"/>
        </w:rPr>
        <w:tab/>
        <w:t>Karaçam Z, Çoban A, Akba</w:t>
      </w:r>
      <w:r w:rsidRPr="00394B52">
        <w:rPr>
          <w:rFonts w:ascii="Times" w:eastAsia="Malgun Gothic" w:hAnsi="Times" w:cs="Calibri"/>
          <w:noProof/>
          <w:sz w:val="18"/>
          <w:szCs w:val="18"/>
        </w:rPr>
        <w:t>ş</w:t>
      </w:r>
      <w:r w:rsidRPr="00394B52">
        <w:rPr>
          <w:rFonts w:ascii="Times" w:eastAsia="Malgun Gothic" w:hAnsi="Times"/>
          <w:noProof/>
          <w:sz w:val="18"/>
          <w:szCs w:val="18"/>
        </w:rPr>
        <w:t xml:space="preserve"> B, Karabulut E. Status of postpartum depression in Turkey: A meta-analysis. Health Care Women Int 2018; 39(7): 821-41.</w:t>
      </w:r>
    </w:p>
    <w:p w14:paraId="13D313BA"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100.</w:t>
      </w:r>
      <w:r w:rsidRPr="00394B52">
        <w:rPr>
          <w:rFonts w:ascii="Times" w:eastAsia="Malgun Gothic" w:hAnsi="Times"/>
          <w:noProof/>
          <w:sz w:val="18"/>
          <w:szCs w:val="18"/>
        </w:rPr>
        <w:tab/>
        <w:t>Middleton P, Gomersall JC, Gould JF, Shepherd E, Olsen SF, Makrides M. Omega-3 fatty acid addition during pregnancy. Cochrane Database Syst Rev 2018; 11(11): Cd003402.</w:t>
      </w:r>
    </w:p>
    <w:p w14:paraId="23A87567"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101.</w:t>
      </w:r>
      <w:r w:rsidRPr="00394B52">
        <w:rPr>
          <w:rFonts w:ascii="Times" w:eastAsia="Malgun Gothic" w:hAnsi="Times"/>
          <w:noProof/>
          <w:sz w:val="18"/>
          <w:szCs w:val="18"/>
        </w:rPr>
        <w:tab/>
        <w:t>Miller BJ, Murray L, Beckmann MM, Kent T, Macfarlane B. Dietary supplements for preventing postnatal depression. Cochrane Database Syst Rev 2013; (10): Cd009104.</w:t>
      </w:r>
    </w:p>
    <w:p w14:paraId="10ACB80D"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102.</w:t>
      </w:r>
      <w:r w:rsidRPr="00394B52">
        <w:rPr>
          <w:rFonts w:ascii="Times" w:eastAsia="Malgun Gothic" w:hAnsi="Times"/>
          <w:noProof/>
          <w:sz w:val="18"/>
          <w:szCs w:val="18"/>
        </w:rPr>
        <w:tab/>
        <w:t>Molyneaux E, Telesia LA, Henshaw C, Boath E, Bradley E, Howard LM. Antidepressants for preventing postnatal depression. Cochrane Database Syst Rev 2018; 4(4): Cd004363.</w:t>
      </w:r>
    </w:p>
    <w:p w14:paraId="4D1D9713"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103.</w:t>
      </w:r>
      <w:r w:rsidRPr="00394B52">
        <w:rPr>
          <w:rFonts w:ascii="Times" w:eastAsia="Malgun Gothic" w:hAnsi="Times"/>
          <w:noProof/>
          <w:sz w:val="18"/>
          <w:szCs w:val="18"/>
        </w:rPr>
        <w:tab/>
        <w:t>Nilaweera I, Doran F, Fisher J. Prevalence, nature and determinants of postpartum mental health problems among women who have migrated from South Asian to high-income countries: a systematic review of the evidence. J Affect Disord 2014; 166: 213-26.</w:t>
      </w:r>
    </w:p>
    <w:p w14:paraId="03399144"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104.</w:t>
      </w:r>
      <w:r w:rsidRPr="00394B52">
        <w:rPr>
          <w:rFonts w:ascii="Times" w:eastAsia="Malgun Gothic" w:hAnsi="Times"/>
          <w:noProof/>
          <w:sz w:val="18"/>
          <w:szCs w:val="18"/>
        </w:rPr>
        <w:tab/>
        <w:t>Øverland S, Woicik W, Sikora L, et al. Seasonality and symptoms of depression: A systematic review of the literature. Epidemiol Psychiatr Sci 2019; 29: e31.</w:t>
      </w:r>
    </w:p>
    <w:p w14:paraId="52869D9E"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105.</w:t>
      </w:r>
      <w:r w:rsidRPr="00394B52">
        <w:rPr>
          <w:rFonts w:ascii="Times" w:eastAsia="Malgun Gothic" w:hAnsi="Times"/>
          <w:noProof/>
          <w:sz w:val="18"/>
          <w:szCs w:val="18"/>
        </w:rPr>
        <w:tab/>
        <w:t>Psarraki EE, Kokka I, Bacopoulou F, Chrousos GP, Artemiadis A, Darviri C. Is there a relation between major depression and hair cortisol? A systematic review and meta-analysis. Psychoneuroendocrinology 2021; 124: 105098.</w:t>
      </w:r>
    </w:p>
    <w:p w14:paraId="11598DEC"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106.</w:t>
      </w:r>
      <w:r w:rsidRPr="00394B52">
        <w:rPr>
          <w:rFonts w:ascii="Times" w:eastAsia="Malgun Gothic" w:hAnsi="Times"/>
          <w:noProof/>
          <w:sz w:val="18"/>
          <w:szCs w:val="18"/>
        </w:rPr>
        <w:tab/>
        <w:t>Ribamar A, Almeida B, Soares A, et al. Relationship between vitamin D deficiency and both gestational and postpartum depression. Nutr Hosp 2020; 37(6): 1238-45.</w:t>
      </w:r>
    </w:p>
    <w:p w14:paraId="33A640D8"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107.</w:t>
      </w:r>
      <w:r w:rsidRPr="00394B52">
        <w:rPr>
          <w:rFonts w:ascii="Times" w:eastAsia="Malgun Gothic" w:hAnsi="Times"/>
          <w:noProof/>
          <w:sz w:val="18"/>
          <w:szCs w:val="18"/>
        </w:rPr>
        <w:tab/>
        <w:t>Rollè L, Giordano M, Santoniccolo F, Trombetta T. Prenatal Attachment and Perinatal Depression: A Systematic Review. Int J Environ Res Public Health 2020; 17(8).</w:t>
      </w:r>
    </w:p>
    <w:p w14:paraId="0C127B75"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lastRenderedPageBreak/>
        <w:t>108.</w:t>
      </w:r>
      <w:r w:rsidRPr="00394B52">
        <w:rPr>
          <w:rFonts w:ascii="Times" w:eastAsia="Malgun Gothic" w:hAnsi="Times"/>
          <w:noProof/>
          <w:sz w:val="18"/>
          <w:szCs w:val="18"/>
        </w:rPr>
        <w:tab/>
        <w:t>Ross LE, Campbell VL, Dennis CL, Blackmore ER. Demographic characteristics of participants in studies of risk factors, prevention, and treatment of postpartum depression. Can J Psychiatry 2006; 51(11): 704-10.</w:t>
      </w:r>
    </w:p>
    <w:p w14:paraId="3C16FAF1"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109.</w:t>
      </w:r>
      <w:r w:rsidRPr="00394B52">
        <w:rPr>
          <w:rFonts w:ascii="Times" w:eastAsia="Malgun Gothic" w:hAnsi="Times"/>
          <w:noProof/>
          <w:sz w:val="18"/>
          <w:szCs w:val="18"/>
        </w:rPr>
        <w:tab/>
        <w:t>Saccone G, Saccone I, Berghella V. Omega-3 long-chain polyunsaturated fatty acids and fish oil supplementation during pregnancy: which evidence? J Matern Fetal Neonatal Med 2016; 29(15): 2389-97.</w:t>
      </w:r>
    </w:p>
    <w:p w14:paraId="58A5B54F"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110.</w:t>
      </w:r>
      <w:r w:rsidRPr="00394B52">
        <w:rPr>
          <w:rFonts w:ascii="Times" w:eastAsia="Malgun Gothic" w:hAnsi="Times"/>
          <w:noProof/>
          <w:sz w:val="18"/>
          <w:szCs w:val="18"/>
        </w:rPr>
        <w:tab/>
        <w:t>Scope A, Booth A, Morrell CJ, Sutcliffe P, Cantrell A. Perceptions and experiences of interventions to prevent postnatal depression. A systematic review and qualitative evidence synthesis. J Affect Disord 2017; 210: 100-10.</w:t>
      </w:r>
    </w:p>
    <w:p w14:paraId="682975A8"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111.</w:t>
      </w:r>
      <w:r w:rsidRPr="00394B52">
        <w:rPr>
          <w:rFonts w:ascii="Times" w:eastAsia="Malgun Gothic" w:hAnsi="Times"/>
          <w:noProof/>
          <w:sz w:val="18"/>
          <w:szCs w:val="18"/>
        </w:rPr>
        <w:tab/>
        <w:t>Scott KD, Klaus PH, Klaus MH. The obstetrical and postpartum benefits of continuous support during childbirth. J Womens Health Gend Based Med 1999; 8(10): 1257-64.</w:t>
      </w:r>
    </w:p>
    <w:p w14:paraId="1993A5B2"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112.</w:t>
      </w:r>
      <w:r w:rsidRPr="00394B52">
        <w:rPr>
          <w:rFonts w:ascii="Times" w:eastAsia="Malgun Gothic" w:hAnsi="Times"/>
          <w:noProof/>
          <w:sz w:val="18"/>
          <w:szCs w:val="18"/>
        </w:rPr>
        <w:tab/>
        <w:t>Tobin CL, Di Napoli P, Beck CT. Refugee and Immigrant Women's Experience of Postpartum Depression: A Meta-Synthesis. J Transcult Nurs 2018; 29(1): 84-100.</w:t>
      </w:r>
    </w:p>
    <w:p w14:paraId="50485436" w14:textId="77777777" w:rsidR="00394B52" w:rsidRPr="00394B52" w:rsidRDefault="00394B52" w:rsidP="00394B52">
      <w:pPr>
        <w:spacing w:after="0" w:line="240" w:lineRule="auto"/>
        <w:jc w:val="left"/>
        <w:rPr>
          <w:rFonts w:ascii="Times" w:eastAsia="Malgun Gothic" w:hAnsi="Times"/>
          <w:noProof/>
          <w:sz w:val="18"/>
          <w:szCs w:val="18"/>
        </w:rPr>
      </w:pPr>
      <w:r w:rsidRPr="00394B52">
        <w:rPr>
          <w:rFonts w:ascii="Times" w:eastAsia="Malgun Gothic" w:hAnsi="Times"/>
          <w:noProof/>
          <w:sz w:val="18"/>
          <w:szCs w:val="18"/>
        </w:rPr>
        <w:t>113.</w:t>
      </w:r>
      <w:r w:rsidRPr="00394B52">
        <w:rPr>
          <w:rFonts w:ascii="Times" w:eastAsia="Malgun Gothic" w:hAnsi="Times"/>
          <w:noProof/>
          <w:sz w:val="18"/>
          <w:szCs w:val="18"/>
        </w:rPr>
        <w:tab/>
        <w:t>Villegas L, McKay K, Dennis CL, Ross LE. Postpartum depression among rural women from developed and developing countries: a systematic review. J Rural Health 2011; 27(3): 278-88.</w:t>
      </w:r>
    </w:p>
    <w:p w14:paraId="01D37E74" w14:textId="77777777" w:rsidR="00394B52" w:rsidRPr="00394B52" w:rsidRDefault="00394B52" w:rsidP="00394B52">
      <w:pPr>
        <w:spacing w:line="240" w:lineRule="auto"/>
        <w:jc w:val="left"/>
        <w:rPr>
          <w:rFonts w:ascii="Times" w:eastAsia="Malgun Gothic" w:hAnsi="Times"/>
          <w:noProof/>
          <w:sz w:val="18"/>
          <w:szCs w:val="18"/>
        </w:rPr>
      </w:pPr>
      <w:r w:rsidRPr="00394B52">
        <w:rPr>
          <w:rFonts w:ascii="Times" w:eastAsia="Malgun Gothic" w:hAnsi="Times"/>
          <w:noProof/>
          <w:sz w:val="18"/>
          <w:szCs w:val="18"/>
        </w:rPr>
        <w:t>114.</w:t>
      </w:r>
      <w:r w:rsidRPr="00394B52">
        <w:rPr>
          <w:rFonts w:ascii="Times" w:eastAsia="Malgun Gothic" w:hAnsi="Times"/>
          <w:noProof/>
          <w:sz w:val="18"/>
          <w:szCs w:val="18"/>
        </w:rPr>
        <w:tab/>
        <w:t>Wilson LM, Reid AJ, Midmer DK, Biringer A, Carroll JC, Stewart DE. Antenatal psychosocial risk factors associated with adverse postpartum family outcomes. Cmaj 1996; 154(6): 785-99.</w:t>
      </w:r>
    </w:p>
    <w:p w14:paraId="29A6CBA9" w14:textId="77777777" w:rsidR="00394B52" w:rsidRPr="00394B52" w:rsidRDefault="00394B52" w:rsidP="00394B52">
      <w:pPr>
        <w:widowControl/>
        <w:wordWrap/>
        <w:autoSpaceDE/>
        <w:autoSpaceDN/>
        <w:rPr>
          <w:rFonts w:ascii="Times" w:hAnsi="Times" w:cs="Times"/>
          <w:sz w:val="16"/>
          <w:szCs w:val="16"/>
        </w:rPr>
        <w:sectPr w:rsidR="00394B52" w:rsidRPr="00394B52" w:rsidSect="004F35E9">
          <w:pgSz w:w="16838" w:h="11906" w:orient="landscape"/>
          <w:pgMar w:top="720" w:right="720" w:bottom="720" w:left="720" w:header="851" w:footer="992" w:gutter="0"/>
          <w:cols w:space="425"/>
          <w:docGrid w:linePitch="360"/>
        </w:sectPr>
      </w:pPr>
    </w:p>
    <w:p w14:paraId="7EDFC99E" w14:textId="77777777" w:rsidR="00394B52" w:rsidRPr="00394B52" w:rsidRDefault="00394B52" w:rsidP="00394B52">
      <w:pPr>
        <w:rPr>
          <w:rFonts w:ascii="Times" w:hAnsi="Times"/>
          <w:b/>
          <w:bCs/>
        </w:rPr>
      </w:pPr>
      <w:r w:rsidRPr="00394B52">
        <w:rPr>
          <w:rFonts w:ascii="Times" w:hAnsi="Times" w:hint="eastAsia"/>
          <w:b/>
          <w:bCs/>
        </w:rPr>
        <w:lastRenderedPageBreak/>
        <w:t>T</w:t>
      </w:r>
      <w:r w:rsidRPr="00394B52">
        <w:rPr>
          <w:rFonts w:ascii="Times" w:hAnsi="Times"/>
          <w:b/>
          <w:bCs/>
        </w:rPr>
        <w:t>able S1. Biomarkers of postpartum depressive symptoms</w:t>
      </w:r>
    </w:p>
    <w:tbl>
      <w:tblPr>
        <w:tblpPr w:leftFromText="142" w:rightFromText="142" w:vertAnchor="page" w:horzAnchor="margin" w:tblpY="1197"/>
        <w:tblW w:w="15596" w:type="dxa"/>
        <w:tblCellMar>
          <w:left w:w="99" w:type="dxa"/>
          <w:right w:w="99" w:type="dxa"/>
        </w:tblCellMar>
        <w:tblLook w:val="04A0" w:firstRow="1" w:lastRow="0" w:firstColumn="1" w:lastColumn="0" w:noHBand="0" w:noVBand="1"/>
      </w:tblPr>
      <w:tblGrid>
        <w:gridCol w:w="1801"/>
        <w:gridCol w:w="1171"/>
        <w:gridCol w:w="992"/>
        <w:gridCol w:w="829"/>
        <w:gridCol w:w="1679"/>
        <w:gridCol w:w="851"/>
        <w:gridCol w:w="1559"/>
        <w:gridCol w:w="992"/>
        <w:gridCol w:w="586"/>
        <w:gridCol w:w="1115"/>
        <w:gridCol w:w="1985"/>
        <w:gridCol w:w="1134"/>
        <w:gridCol w:w="902"/>
      </w:tblGrid>
      <w:tr w:rsidR="00394B52" w:rsidRPr="00394B52" w14:paraId="25F1EABA" w14:textId="77777777" w:rsidTr="00E01118">
        <w:trPr>
          <w:trHeight w:val="628"/>
        </w:trPr>
        <w:tc>
          <w:tcPr>
            <w:tcW w:w="1801" w:type="dxa"/>
            <w:tcBorders>
              <w:top w:val="single" w:sz="4" w:space="0" w:color="auto"/>
              <w:left w:val="single" w:sz="4" w:space="0" w:color="auto"/>
              <w:bottom w:val="single" w:sz="4" w:space="0" w:color="auto"/>
              <w:right w:val="single" w:sz="4" w:space="0" w:color="auto"/>
            </w:tcBorders>
            <w:shd w:val="clear" w:color="auto" w:fill="auto"/>
            <w:hideMark/>
          </w:tcPr>
          <w:p w14:paraId="6A469E38" w14:textId="77777777" w:rsidR="00394B52" w:rsidRPr="00394B52" w:rsidRDefault="00394B52" w:rsidP="00394B52">
            <w:pPr>
              <w:widowControl/>
              <w:wordWrap/>
              <w:autoSpaceDE/>
              <w:autoSpaceDN/>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Biomarker</w:t>
            </w:r>
          </w:p>
        </w:tc>
        <w:tc>
          <w:tcPr>
            <w:tcW w:w="1171" w:type="dxa"/>
            <w:tcBorders>
              <w:top w:val="single" w:sz="4" w:space="0" w:color="auto"/>
              <w:left w:val="nil"/>
              <w:bottom w:val="single" w:sz="4" w:space="0" w:color="auto"/>
              <w:right w:val="single" w:sz="4" w:space="0" w:color="auto"/>
            </w:tcBorders>
            <w:shd w:val="clear" w:color="auto" w:fill="auto"/>
            <w:hideMark/>
          </w:tcPr>
          <w:p w14:paraId="3230B2DF" w14:textId="77777777" w:rsidR="00394B52" w:rsidRPr="00394B52" w:rsidRDefault="00394B52" w:rsidP="00394B52">
            <w:pPr>
              <w:widowControl/>
              <w:wordWrap/>
              <w:autoSpaceDE/>
              <w:autoSpaceDN/>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Author, year</w:t>
            </w:r>
          </w:p>
        </w:tc>
        <w:tc>
          <w:tcPr>
            <w:tcW w:w="992" w:type="dxa"/>
            <w:tcBorders>
              <w:top w:val="single" w:sz="4" w:space="0" w:color="auto"/>
              <w:left w:val="nil"/>
              <w:bottom w:val="single" w:sz="4" w:space="0" w:color="auto"/>
              <w:right w:val="single" w:sz="4" w:space="0" w:color="auto"/>
            </w:tcBorders>
            <w:shd w:val="clear" w:color="auto" w:fill="auto"/>
            <w:hideMark/>
          </w:tcPr>
          <w:p w14:paraId="114AD767" w14:textId="77777777" w:rsidR="00394B52" w:rsidRPr="00394B52" w:rsidRDefault="00394B52" w:rsidP="00394B52">
            <w:pPr>
              <w:widowControl/>
              <w:wordWrap/>
              <w:autoSpaceDE/>
              <w:autoSpaceDN/>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Number of cases / total population</w:t>
            </w:r>
          </w:p>
        </w:tc>
        <w:tc>
          <w:tcPr>
            <w:tcW w:w="829" w:type="dxa"/>
            <w:tcBorders>
              <w:top w:val="single" w:sz="4" w:space="0" w:color="auto"/>
              <w:left w:val="nil"/>
              <w:bottom w:val="single" w:sz="4" w:space="0" w:color="auto"/>
              <w:right w:val="single" w:sz="4" w:space="0" w:color="auto"/>
            </w:tcBorders>
            <w:shd w:val="clear" w:color="auto" w:fill="auto"/>
            <w:hideMark/>
          </w:tcPr>
          <w:p w14:paraId="7F363B58" w14:textId="77777777" w:rsidR="00394B52" w:rsidRPr="00394B52" w:rsidRDefault="00394B52" w:rsidP="00394B52">
            <w:pPr>
              <w:widowControl/>
              <w:wordWrap/>
              <w:autoSpaceDE/>
              <w:autoSpaceDN/>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Number of study estimates</w:t>
            </w:r>
          </w:p>
        </w:tc>
        <w:tc>
          <w:tcPr>
            <w:tcW w:w="1679" w:type="dxa"/>
            <w:tcBorders>
              <w:top w:val="single" w:sz="4" w:space="0" w:color="auto"/>
              <w:left w:val="nil"/>
              <w:bottom w:val="single" w:sz="4" w:space="0" w:color="auto"/>
              <w:right w:val="single" w:sz="4" w:space="0" w:color="auto"/>
            </w:tcBorders>
            <w:shd w:val="clear" w:color="auto" w:fill="auto"/>
            <w:hideMark/>
          </w:tcPr>
          <w:p w14:paraId="5E8F9042" w14:textId="77777777" w:rsidR="00394B52" w:rsidRPr="00394B52" w:rsidRDefault="00394B52" w:rsidP="00394B52">
            <w:pPr>
              <w:widowControl/>
              <w:wordWrap/>
              <w:autoSpaceDE/>
              <w:autoSpaceDN/>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Study design</w:t>
            </w:r>
          </w:p>
        </w:tc>
        <w:tc>
          <w:tcPr>
            <w:tcW w:w="851" w:type="dxa"/>
            <w:tcBorders>
              <w:top w:val="single" w:sz="4" w:space="0" w:color="auto"/>
              <w:left w:val="nil"/>
              <w:bottom w:val="single" w:sz="4" w:space="0" w:color="auto"/>
              <w:right w:val="single" w:sz="4" w:space="0" w:color="auto"/>
            </w:tcBorders>
            <w:shd w:val="clear" w:color="auto" w:fill="auto"/>
            <w:hideMark/>
          </w:tcPr>
          <w:p w14:paraId="449E2664" w14:textId="77777777" w:rsidR="00394B52" w:rsidRPr="00394B52" w:rsidRDefault="00394B52" w:rsidP="00394B52">
            <w:pPr>
              <w:widowControl/>
              <w:wordWrap/>
              <w:autoSpaceDE/>
              <w:autoSpaceDN/>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Effect metrics</w:t>
            </w:r>
          </w:p>
        </w:tc>
        <w:tc>
          <w:tcPr>
            <w:tcW w:w="1559" w:type="dxa"/>
            <w:tcBorders>
              <w:top w:val="single" w:sz="4" w:space="0" w:color="auto"/>
              <w:left w:val="nil"/>
              <w:bottom w:val="single" w:sz="4" w:space="0" w:color="auto"/>
              <w:right w:val="single" w:sz="4" w:space="0" w:color="auto"/>
            </w:tcBorders>
            <w:shd w:val="clear" w:color="auto" w:fill="auto"/>
            <w:hideMark/>
          </w:tcPr>
          <w:p w14:paraId="0233B22F" w14:textId="77777777" w:rsidR="00394B52" w:rsidRPr="00394B52" w:rsidRDefault="00394B52" w:rsidP="00394B52">
            <w:pPr>
              <w:widowControl/>
              <w:wordWrap/>
              <w:autoSpaceDE/>
              <w:autoSpaceDN/>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Random effects summary estimate (95% CI)</w:t>
            </w:r>
          </w:p>
        </w:tc>
        <w:tc>
          <w:tcPr>
            <w:tcW w:w="992" w:type="dxa"/>
            <w:tcBorders>
              <w:top w:val="single" w:sz="4" w:space="0" w:color="auto"/>
              <w:left w:val="nil"/>
              <w:bottom w:val="single" w:sz="4" w:space="0" w:color="auto"/>
              <w:right w:val="single" w:sz="4" w:space="0" w:color="auto"/>
            </w:tcBorders>
            <w:shd w:val="clear" w:color="auto" w:fill="auto"/>
            <w:hideMark/>
          </w:tcPr>
          <w:p w14:paraId="14475F1D" w14:textId="77777777" w:rsidR="00394B52" w:rsidRPr="00394B52" w:rsidRDefault="00394B52" w:rsidP="00394B52">
            <w:pPr>
              <w:widowControl/>
              <w:wordWrap/>
              <w:autoSpaceDE/>
              <w:autoSpaceDN/>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Random effects p-value</w:t>
            </w:r>
          </w:p>
        </w:tc>
        <w:tc>
          <w:tcPr>
            <w:tcW w:w="586" w:type="dxa"/>
            <w:tcBorders>
              <w:top w:val="single" w:sz="4" w:space="0" w:color="auto"/>
              <w:left w:val="nil"/>
              <w:bottom w:val="single" w:sz="4" w:space="0" w:color="auto"/>
              <w:right w:val="single" w:sz="4" w:space="0" w:color="auto"/>
            </w:tcBorders>
            <w:shd w:val="clear" w:color="auto" w:fill="auto"/>
            <w:hideMark/>
          </w:tcPr>
          <w:p w14:paraId="11188B32" w14:textId="77777777" w:rsidR="00394B52" w:rsidRPr="00394B52" w:rsidRDefault="00394B52" w:rsidP="00394B52">
            <w:pPr>
              <w:widowControl/>
              <w:wordWrap/>
              <w:autoSpaceDE/>
              <w:autoSpaceDN/>
              <w:jc w:val="left"/>
              <w:rPr>
                <w:rFonts w:ascii="Times New Roman" w:eastAsia="Malgun Gothic" w:hAnsi="Times New Roman" w:cs="Times New Roman"/>
                <w:b/>
                <w:bCs/>
                <w:i/>
                <w:iCs/>
                <w:color w:val="000000"/>
                <w:kern w:val="0"/>
                <w:sz w:val="16"/>
                <w:szCs w:val="16"/>
              </w:rPr>
            </w:pPr>
            <w:r w:rsidRPr="00394B52">
              <w:rPr>
                <w:rFonts w:ascii="Times New Roman" w:eastAsia="Malgun Gothic" w:hAnsi="Times New Roman" w:cs="Times New Roman"/>
                <w:b/>
                <w:bCs/>
                <w:i/>
                <w:iCs/>
                <w:color w:val="000000"/>
                <w:kern w:val="0"/>
                <w:sz w:val="16"/>
                <w:szCs w:val="16"/>
              </w:rPr>
              <w:t>I</w:t>
            </w:r>
            <w:r w:rsidRPr="00394B52">
              <w:rPr>
                <w:rFonts w:ascii="Times New Roman" w:eastAsia="Malgun Gothic" w:hAnsi="Times New Roman" w:cs="Times New Roman"/>
                <w:b/>
                <w:bCs/>
                <w:i/>
                <w:iCs/>
                <w:color w:val="000000"/>
                <w:kern w:val="0"/>
                <w:sz w:val="16"/>
                <w:szCs w:val="16"/>
                <w:vertAlign w:val="superscript"/>
              </w:rPr>
              <w:t>2</w:t>
            </w:r>
          </w:p>
        </w:tc>
        <w:tc>
          <w:tcPr>
            <w:tcW w:w="1115" w:type="dxa"/>
            <w:tcBorders>
              <w:top w:val="single" w:sz="4" w:space="0" w:color="auto"/>
              <w:left w:val="nil"/>
              <w:bottom w:val="single" w:sz="4" w:space="0" w:color="auto"/>
              <w:right w:val="single" w:sz="4" w:space="0" w:color="auto"/>
            </w:tcBorders>
            <w:shd w:val="clear" w:color="auto" w:fill="auto"/>
            <w:hideMark/>
          </w:tcPr>
          <w:p w14:paraId="75A0B55B" w14:textId="77777777" w:rsidR="00394B52" w:rsidRPr="00394B52" w:rsidRDefault="00394B52" w:rsidP="00394B52">
            <w:pPr>
              <w:widowControl/>
              <w:wordWrap/>
              <w:autoSpaceDE/>
              <w:autoSpaceDN/>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95% prediction interval</w:t>
            </w:r>
          </w:p>
        </w:tc>
        <w:tc>
          <w:tcPr>
            <w:tcW w:w="1985" w:type="dxa"/>
            <w:tcBorders>
              <w:top w:val="single" w:sz="4" w:space="0" w:color="auto"/>
              <w:left w:val="nil"/>
              <w:bottom w:val="single" w:sz="4" w:space="0" w:color="auto"/>
              <w:right w:val="single" w:sz="4" w:space="0" w:color="auto"/>
            </w:tcBorders>
            <w:shd w:val="clear" w:color="auto" w:fill="auto"/>
            <w:hideMark/>
          </w:tcPr>
          <w:p w14:paraId="315A6D1B" w14:textId="77777777" w:rsidR="00394B52" w:rsidRPr="00394B52" w:rsidRDefault="00394B52" w:rsidP="00394B52">
            <w:pPr>
              <w:widowControl/>
              <w:wordWrap/>
              <w:autoSpaceDE/>
              <w:autoSpaceDN/>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Large heterogeneity, small study effect, loss of significance under 10% credibility ceiling, or evidential value not found under p-curve analysis</w:t>
            </w:r>
          </w:p>
        </w:tc>
        <w:tc>
          <w:tcPr>
            <w:tcW w:w="1134" w:type="dxa"/>
            <w:tcBorders>
              <w:top w:val="single" w:sz="4" w:space="0" w:color="auto"/>
              <w:left w:val="nil"/>
              <w:bottom w:val="single" w:sz="4" w:space="0" w:color="auto"/>
              <w:right w:val="single" w:sz="4" w:space="0" w:color="auto"/>
            </w:tcBorders>
            <w:shd w:val="clear" w:color="auto" w:fill="auto"/>
            <w:hideMark/>
          </w:tcPr>
          <w:p w14:paraId="751860D3" w14:textId="77777777" w:rsidR="00394B52" w:rsidRPr="00394B52" w:rsidRDefault="00394B52" w:rsidP="00394B52">
            <w:pPr>
              <w:widowControl/>
              <w:wordWrap/>
              <w:autoSpaceDE/>
              <w:autoSpaceDN/>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AMSTAR 2</w:t>
            </w:r>
          </w:p>
        </w:tc>
        <w:tc>
          <w:tcPr>
            <w:tcW w:w="902" w:type="dxa"/>
            <w:tcBorders>
              <w:top w:val="single" w:sz="4" w:space="0" w:color="auto"/>
              <w:left w:val="nil"/>
              <w:bottom w:val="single" w:sz="4" w:space="0" w:color="auto"/>
              <w:right w:val="single" w:sz="4" w:space="0" w:color="auto"/>
            </w:tcBorders>
          </w:tcPr>
          <w:p w14:paraId="43476B73" w14:textId="77777777" w:rsidR="00394B52" w:rsidRPr="00394B52" w:rsidRDefault="00394B52" w:rsidP="00394B52">
            <w:pPr>
              <w:widowControl/>
              <w:wordWrap/>
              <w:autoSpaceDE/>
              <w:autoSpaceDN/>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hint="eastAsia"/>
                <w:b/>
                <w:bCs/>
                <w:color w:val="000000"/>
                <w:kern w:val="0"/>
                <w:sz w:val="16"/>
                <w:szCs w:val="16"/>
              </w:rPr>
              <w:t>GRADE</w:t>
            </w:r>
          </w:p>
        </w:tc>
      </w:tr>
      <w:tr w:rsidR="00394B52" w:rsidRPr="00394B52" w14:paraId="7DF9A95C" w14:textId="77777777" w:rsidTr="00E01118">
        <w:trPr>
          <w:trHeight w:val="261"/>
        </w:trPr>
        <w:tc>
          <w:tcPr>
            <w:tcW w:w="15596" w:type="dxa"/>
            <w:gridSpan w:val="13"/>
            <w:tcBorders>
              <w:top w:val="single" w:sz="4" w:space="0" w:color="auto"/>
              <w:left w:val="single" w:sz="4" w:space="0" w:color="auto"/>
              <w:bottom w:val="single" w:sz="4" w:space="0" w:color="auto"/>
              <w:right w:val="single" w:sz="4" w:space="0" w:color="000000"/>
            </w:tcBorders>
          </w:tcPr>
          <w:p w14:paraId="4CC6B424" w14:textId="77777777" w:rsidR="00394B52" w:rsidRPr="00394B52" w:rsidRDefault="00394B52" w:rsidP="00394B52">
            <w:pPr>
              <w:widowControl/>
              <w:wordWrap/>
              <w:autoSpaceDE/>
              <w:autoSpaceDN/>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Weak (class V)</w:t>
            </w:r>
          </w:p>
        </w:tc>
      </w:tr>
      <w:tr w:rsidR="00394B52" w:rsidRPr="00394B52" w14:paraId="6CF95F81" w14:textId="77777777" w:rsidTr="00E01118">
        <w:trPr>
          <w:trHeight w:val="296"/>
        </w:trPr>
        <w:tc>
          <w:tcPr>
            <w:tcW w:w="1801" w:type="dxa"/>
            <w:tcBorders>
              <w:top w:val="nil"/>
              <w:left w:val="single" w:sz="4" w:space="0" w:color="auto"/>
              <w:bottom w:val="single" w:sz="4" w:space="0" w:color="auto"/>
              <w:right w:val="single" w:sz="4" w:space="0" w:color="auto"/>
            </w:tcBorders>
            <w:shd w:val="clear" w:color="auto" w:fill="auto"/>
            <w:noWrap/>
            <w:hideMark/>
          </w:tcPr>
          <w:p w14:paraId="6DE317EB"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Serum 25(OH)D level &lt; 50 nmol/l</w:t>
            </w:r>
          </w:p>
        </w:tc>
        <w:tc>
          <w:tcPr>
            <w:tcW w:w="1171" w:type="dxa"/>
            <w:tcBorders>
              <w:top w:val="nil"/>
              <w:left w:val="nil"/>
              <w:bottom w:val="single" w:sz="4" w:space="0" w:color="auto"/>
              <w:right w:val="single" w:sz="4" w:space="0" w:color="auto"/>
            </w:tcBorders>
            <w:shd w:val="clear" w:color="auto" w:fill="auto"/>
            <w:noWrap/>
            <w:hideMark/>
          </w:tcPr>
          <w:p w14:paraId="3C1988FC"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Wang 2018</w:t>
            </w:r>
          </w:p>
        </w:tc>
        <w:tc>
          <w:tcPr>
            <w:tcW w:w="992" w:type="dxa"/>
            <w:tcBorders>
              <w:top w:val="nil"/>
              <w:left w:val="nil"/>
              <w:bottom w:val="single" w:sz="4" w:space="0" w:color="auto"/>
              <w:right w:val="single" w:sz="4" w:space="0" w:color="auto"/>
            </w:tcBorders>
            <w:shd w:val="clear" w:color="auto" w:fill="auto"/>
            <w:noWrap/>
            <w:hideMark/>
          </w:tcPr>
          <w:p w14:paraId="3AA8F3B4"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168 / 1432</w:t>
            </w:r>
          </w:p>
        </w:tc>
        <w:tc>
          <w:tcPr>
            <w:tcW w:w="829" w:type="dxa"/>
            <w:tcBorders>
              <w:top w:val="nil"/>
              <w:left w:val="nil"/>
              <w:bottom w:val="single" w:sz="4" w:space="0" w:color="auto"/>
              <w:right w:val="single" w:sz="4" w:space="0" w:color="auto"/>
            </w:tcBorders>
            <w:shd w:val="clear" w:color="auto" w:fill="auto"/>
            <w:noWrap/>
            <w:hideMark/>
          </w:tcPr>
          <w:p w14:paraId="7E9A1727"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3</w:t>
            </w:r>
          </w:p>
        </w:tc>
        <w:tc>
          <w:tcPr>
            <w:tcW w:w="1679" w:type="dxa"/>
            <w:tcBorders>
              <w:top w:val="nil"/>
              <w:left w:val="nil"/>
              <w:bottom w:val="single" w:sz="4" w:space="0" w:color="auto"/>
              <w:right w:val="single" w:sz="4" w:space="0" w:color="auto"/>
            </w:tcBorders>
            <w:shd w:val="clear" w:color="auto" w:fill="auto"/>
            <w:noWrap/>
            <w:hideMark/>
          </w:tcPr>
          <w:p w14:paraId="78774068"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Cohort</w:t>
            </w:r>
          </w:p>
        </w:tc>
        <w:tc>
          <w:tcPr>
            <w:tcW w:w="851" w:type="dxa"/>
            <w:tcBorders>
              <w:top w:val="nil"/>
              <w:left w:val="nil"/>
              <w:bottom w:val="single" w:sz="4" w:space="0" w:color="auto"/>
              <w:right w:val="single" w:sz="4" w:space="0" w:color="auto"/>
            </w:tcBorders>
            <w:shd w:val="clear" w:color="auto" w:fill="auto"/>
            <w:noWrap/>
            <w:hideMark/>
          </w:tcPr>
          <w:p w14:paraId="11EEBEC2"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559" w:type="dxa"/>
            <w:tcBorders>
              <w:top w:val="nil"/>
              <w:left w:val="nil"/>
              <w:bottom w:val="single" w:sz="4" w:space="0" w:color="auto"/>
              <w:right w:val="single" w:sz="4" w:space="0" w:color="auto"/>
            </w:tcBorders>
            <w:shd w:val="clear" w:color="auto" w:fill="auto"/>
            <w:noWrap/>
            <w:hideMark/>
          </w:tcPr>
          <w:p w14:paraId="0F18DE63"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4.51 (1.62 to 12.58)</w:t>
            </w:r>
          </w:p>
        </w:tc>
        <w:tc>
          <w:tcPr>
            <w:tcW w:w="992" w:type="dxa"/>
            <w:tcBorders>
              <w:top w:val="nil"/>
              <w:left w:val="nil"/>
              <w:bottom w:val="single" w:sz="4" w:space="0" w:color="auto"/>
              <w:right w:val="single" w:sz="4" w:space="0" w:color="auto"/>
            </w:tcBorders>
            <w:shd w:val="clear" w:color="auto" w:fill="auto"/>
            <w:noWrap/>
            <w:hideMark/>
          </w:tcPr>
          <w:p w14:paraId="48184180"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0.004</w:t>
            </w:r>
          </w:p>
        </w:tc>
        <w:tc>
          <w:tcPr>
            <w:tcW w:w="586" w:type="dxa"/>
            <w:tcBorders>
              <w:top w:val="nil"/>
              <w:left w:val="nil"/>
              <w:bottom w:val="single" w:sz="4" w:space="0" w:color="auto"/>
              <w:right w:val="single" w:sz="4" w:space="0" w:color="auto"/>
            </w:tcBorders>
            <w:shd w:val="clear" w:color="auto" w:fill="auto"/>
            <w:noWrap/>
            <w:hideMark/>
          </w:tcPr>
          <w:p w14:paraId="6595948E"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82%</w:t>
            </w:r>
          </w:p>
        </w:tc>
        <w:tc>
          <w:tcPr>
            <w:tcW w:w="1115" w:type="dxa"/>
            <w:tcBorders>
              <w:top w:val="nil"/>
              <w:left w:val="nil"/>
              <w:bottom w:val="single" w:sz="4" w:space="0" w:color="auto"/>
              <w:right w:val="single" w:sz="4" w:space="0" w:color="auto"/>
            </w:tcBorders>
            <w:shd w:val="clear" w:color="auto" w:fill="auto"/>
            <w:noWrap/>
            <w:hideMark/>
          </w:tcPr>
          <w:p w14:paraId="3670E93F"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 to 966649.84</w:t>
            </w:r>
          </w:p>
        </w:tc>
        <w:tc>
          <w:tcPr>
            <w:tcW w:w="1985" w:type="dxa"/>
            <w:tcBorders>
              <w:top w:val="nil"/>
              <w:left w:val="nil"/>
              <w:bottom w:val="single" w:sz="4" w:space="0" w:color="auto"/>
              <w:right w:val="single" w:sz="4" w:space="0" w:color="auto"/>
            </w:tcBorders>
            <w:shd w:val="clear" w:color="auto" w:fill="auto"/>
            <w:noWrap/>
            <w:hideMark/>
          </w:tcPr>
          <w:p w14:paraId="24B0F1AD"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loss of significance under 10% credibility ceiling; p curve analysis unavailable due to less than three significant studies</w:t>
            </w:r>
          </w:p>
        </w:tc>
        <w:tc>
          <w:tcPr>
            <w:tcW w:w="1134" w:type="dxa"/>
            <w:tcBorders>
              <w:top w:val="nil"/>
              <w:left w:val="nil"/>
              <w:bottom w:val="single" w:sz="4" w:space="0" w:color="auto"/>
              <w:right w:val="single" w:sz="4" w:space="0" w:color="auto"/>
            </w:tcBorders>
            <w:shd w:val="clear" w:color="auto" w:fill="auto"/>
            <w:noWrap/>
            <w:hideMark/>
          </w:tcPr>
          <w:p w14:paraId="333440E1"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Critically low</w:t>
            </w:r>
          </w:p>
        </w:tc>
        <w:tc>
          <w:tcPr>
            <w:tcW w:w="902" w:type="dxa"/>
            <w:tcBorders>
              <w:top w:val="nil"/>
              <w:left w:val="nil"/>
              <w:bottom w:val="single" w:sz="4" w:space="0" w:color="auto"/>
              <w:right w:val="single" w:sz="4" w:space="0" w:color="auto"/>
            </w:tcBorders>
          </w:tcPr>
          <w:p w14:paraId="76A9D911"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hint="eastAsia"/>
                <w:color w:val="000000"/>
                <w:kern w:val="0"/>
                <w:sz w:val="16"/>
                <w:szCs w:val="16"/>
              </w:rPr>
              <w:t>Very low</w:t>
            </w:r>
          </w:p>
        </w:tc>
      </w:tr>
      <w:tr w:rsidR="00394B52" w:rsidRPr="00394B52" w14:paraId="0D785631" w14:textId="77777777" w:rsidTr="00E01118">
        <w:trPr>
          <w:trHeight w:val="296"/>
        </w:trPr>
        <w:tc>
          <w:tcPr>
            <w:tcW w:w="1801" w:type="dxa"/>
            <w:tcBorders>
              <w:top w:val="nil"/>
              <w:left w:val="single" w:sz="4" w:space="0" w:color="auto"/>
              <w:bottom w:val="single" w:sz="4" w:space="0" w:color="auto"/>
              <w:right w:val="single" w:sz="4" w:space="0" w:color="auto"/>
            </w:tcBorders>
            <w:shd w:val="clear" w:color="auto" w:fill="auto"/>
            <w:noWrap/>
            <w:hideMark/>
          </w:tcPr>
          <w:p w14:paraId="35D1BB4B"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 concentration of serum 25(OH)D</w:t>
            </w:r>
          </w:p>
        </w:tc>
        <w:tc>
          <w:tcPr>
            <w:tcW w:w="1171" w:type="dxa"/>
            <w:tcBorders>
              <w:top w:val="nil"/>
              <w:left w:val="nil"/>
              <w:bottom w:val="single" w:sz="4" w:space="0" w:color="auto"/>
              <w:right w:val="single" w:sz="4" w:space="0" w:color="auto"/>
            </w:tcBorders>
            <w:shd w:val="clear" w:color="auto" w:fill="auto"/>
            <w:noWrap/>
            <w:hideMark/>
          </w:tcPr>
          <w:p w14:paraId="4A0B0795"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Tan 2020</w:t>
            </w:r>
          </w:p>
        </w:tc>
        <w:tc>
          <w:tcPr>
            <w:tcW w:w="992" w:type="dxa"/>
            <w:tcBorders>
              <w:top w:val="nil"/>
              <w:left w:val="nil"/>
              <w:bottom w:val="single" w:sz="4" w:space="0" w:color="auto"/>
              <w:right w:val="single" w:sz="4" w:space="0" w:color="auto"/>
            </w:tcBorders>
            <w:shd w:val="clear" w:color="auto" w:fill="auto"/>
            <w:noWrap/>
            <w:hideMark/>
          </w:tcPr>
          <w:p w14:paraId="242EC914"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404 / 2375</w:t>
            </w:r>
          </w:p>
        </w:tc>
        <w:tc>
          <w:tcPr>
            <w:tcW w:w="829" w:type="dxa"/>
            <w:tcBorders>
              <w:top w:val="nil"/>
              <w:left w:val="nil"/>
              <w:bottom w:val="single" w:sz="4" w:space="0" w:color="auto"/>
              <w:right w:val="single" w:sz="4" w:space="0" w:color="auto"/>
            </w:tcBorders>
            <w:shd w:val="clear" w:color="auto" w:fill="auto"/>
            <w:noWrap/>
            <w:hideMark/>
          </w:tcPr>
          <w:p w14:paraId="31E4D7F6"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7</w:t>
            </w:r>
          </w:p>
        </w:tc>
        <w:tc>
          <w:tcPr>
            <w:tcW w:w="1679" w:type="dxa"/>
            <w:tcBorders>
              <w:top w:val="nil"/>
              <w:left w:val="nil"/>
              <w:bottom w:val="single" w:sz="4" w:space="0" w:color="auto"/>
              <w:right w:val="single" w:sz="4" w:space="0" w:color="auto"/>
            </w:tcBorders>
            <w:shd w:val="clear" w:color="auto" w:fill="auto"/>
            <w:noWrap/>
            <w:hideMark/>
          </w:tcPr>
          <w:p w14:paraId="333DCE16"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Cohort, case-control, cross-sectional</w:t>
            </w:r>
          </w:p>
        </w:tc>
        <w:tc>
          <w:tcPr>
            <w:tcW w:w="851" w:type="dxa"/>
            <w:tcBorders>
              <w:top w:val="nil"/>
              <w:left w:val="nil"/>
              <w:bottom w:val="single" w:sz="4" w:space="0" w:color="auto"/>
              <w:right w:val="single" w:sz="4" w:space="0" w:color="auto"/>
            </w:tcBorders>
            <w:shd w:val="clear" w:color="auto" w:fill="auto"/>
            <w:noWrap/>
            <w:hideMark/>
          </w:tcPr>
          <w:p w14:paraId="6517F409"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RR</w:t>
            </w:r>
          </w:p>
        </w:tc>
        <w:tc>
          <w:tcPr>
            <w:tcW w:w="1559" w:type="dxa"/>
            <w:tcBorders>
              <w:top w:val="nil"/>
              <w:left w:val="nil"/>
              <w:bottom w:val="single" w:sz="4" w:space="0" w:color="auto"/>
              <w:right w:val="single" w:sz="4" w:space="0" w:color="auto"/>
            </w:tcBorders>
            <w:shd w:val="clear" w:color="auto" w:fill="auto"/>
            <w:noWrap/>
            <w:hideMark/>
          </w:tcPr>
          <w:p w14:paraId="62F9F980"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0.48 (0.26 to 0.87)</w:t>
            </w:r>
          </w:p>
        </w:tc>
        <w:tc>
          <w:tcPr>
            <w:tcW w:w="992" w:type="dxa"/>
            <w:tcBorders>
              <w:top w:val="nil"/>
              <w:left w:val="nil"/>
              <w:bottom w:val="single" w:sz="4" w:space="0" w:color="auto"/>
              <w:right w:val="single" w:sz="4" w:space="0" w:color="auto"/>
            </w:tcBorders>
            <w:shd w:val="clear" w:color="auto" w:fill="auto"/>
            <w:noWrap/>
            <w:hideMark/>
          </w:tcPr>
          <w:p w14:paraId="2AE5837C"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0.015</w:t>
            </w:r>
          </w:p>
        </w:tc>
        <w:tc>
          <w:tcPr>
            <w:tcW w:w="586" w:type="dxa"/>
            <w:tcBorders>
              <w:top w:val="nil"/>
              <w:left w:val="nil"/>
              <w:bottom w:val="single" w:sz="4" w:space="0" w:color="auto"/>
              <w:right w:val="single" w:sz="4" w:space="0" w:color="auto"/>
            </w:tcBorders>
            <w:shd w:val="clear" w:color="auto" w:fill="auto"/>
            <w:noWrap/>
            <w:hideMark/>
          </w:tcPr>
          <w:p w14:paraId="41F1F9AC"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86%</w:t>
            </w:r>
          </w:p>
        </w:tc>
        <w:tc>
          <w:tcPr>
            <w:tcW w:w="1115" w:type="dxa"/>
            <w:tcBorders>
              <w:top w:val="nil"/>
              <w:left w:val="nil"/>
              <w:bottom w:val="single" w:sz="4" w:space="0" w:color="auto"/>
              <w:right w:val="single" w:sz="4" w:space="0" w:color="auto"/>
            </w:tcBorders>
            <w:shd w:val="clear" w:color="auto" w:fill="auto"/>
            <w:noWrap/>
            <w:hideMark/>
          </w:tcPr>
          <w:p w14:paraId="7B041C37"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0.06 to 3.62</w:t>
            </w:r>
          </w:p>
        </w:tc>
        <w:tc>
          <w:tcPr>
            <w:tcW w:w="1985" w:type="dxa"/>
            <w:tcBorders>
              <w:top w:val="nil"/>
              <w:left w:val="nil"/>
              <w:bottom w:val="single" w:sz="4" w:space="0" w:color="auto"/>
              <w:right w:val="single" w:sz="4" w:space="0" w:color="auto"/>
            </w:tcBorders>
            <w:shd w:val="clear" w:color="auto" w:fill="auto"/>
            <w:noWrap/>
            <w:hideMark/>
          </w:tcPr>
          <w:p w14:paraId="67BB56ED"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loss of significance under 10% credibility ceiling</w:t>
            </w:r>
          </w:p>
        </w:tc>
        <w:tc>
          <w:tcPr>
            <w:tcW w:w="1134" w:type="dxa"/>
            <w:tcBorders>
              <w:top w:val="nil"/>
              <w:left w:val="nil"/>
              <w:bottom w:val="single" w:sz="4" w:space="0" w:color="auto"/>
              <w:right w:val="single" w:sz="4" w:space="0" w:color="auto"/>
            </w:tcBorders>
            <w:shd w:val="clear" w:color="auto" w:fill="auto"/>
            <w:noWrap/>
            <w:hideMark/>
          </w:tcPr>
          <w:p w14:paraId="1902A023"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Low</w:t>
            </w:r>
          </w:p>
        </w:tc>
        <w:tc>
          <w:tcPr>
            <w:tcW w:w="902" w:type="dxa"/>
            <w:tcBorders>
              <w:top w:val="nil"/>
              <w:left w:val="nil"/>
              <w:bottom w:val="single" w:sz="4" w:space="0" w:color="auto"/>
              <w:right w:val="single" w:sz="4" w:space="0" w:color="auto"/>
            </w:tcBorders>
          </w:tcPr>
          <w:p w14:paraId="14C6109F"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hint="eastAsia"/>
                <w:color w:val="000000"/>
                <w:kern w:val="0"/>
                <w:sz w:val="16"/>
                <w:szCs w:val="16"/>
              </w:rPr>
              <w:t>Very low</w:t>
            </w:r>
          </w:p>
        </w:tc>
      </w:tr>
      <w:tr w:rsidR="00394B52" w:rsidRPr="00394B52" w14:paraId="094FF31F" w14:textId="77777777" w:rsidTr="00E01118">
        <w:trPr>
          <w:trHeight w:val="296"/>
        </w:trPr>
        <w:tc>
          <w:tcPr>
            <w:tcW w:w="1801" w:type="dxa"/>
            <w:tcBorders>
              <w:top w:val="nil"/>
              <w:left w:val="single" w:sz="4" w:space="0" w:color="auto"/>
              <w:bottom w:val="single" w:sz="4" w:space="0" w:color="auto"/>
              <w:right w:val="single" w:sz="4" w:space="0" w:color="auto"/>
            </w:tcBorders>
            <w:shd w:val="clear" w:color="auto" w:fill="auto"/>
            <w:noWrap/>
            <w:hideMark/>
          </w:tcPr>
          <w:p w14:paraId="5C8F52A4"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Omega-6/omega-3 ratio</w:t>
            </w:r>
          </w:p>
        </w:tc>
        <w:tc>
          <w:tcPr>
            <w:tcW w:w="1171" w:type="dxa"/>
            <w:tcBorders>
              <w:top w:val="nil"/>
              <w:left w:val="nil"/>
              <w:bottom w:val="single" w:sz="4" w:space="0" w:color="auto"/>
              <w:right w:val="single" w:sz="4" w:space="0" w:color="auto"/>
            </w:tcBorders>
            <w:shd w:val="clear" w:color="auto" w:fill="auto"/>
            <w:noWrap/>
            <w:hideMark/>
          </w:tcPr>
          <w:p w14:paraId="01624A4E"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Lin 2017</w:t>
            </w:r>
          </w:p>
        </w:tc>
        <w:tc>
          <w:tcPr>
            <w:tcW w:w="992" w:type="dxa"/>
            <w:tcBorders>
              <w:top w:val="nil"/>
              <w:left w:val="nil"/>
              <w:bottom w:val="single" w:sz="4" w:space="0" w:color="auto"/>
              <w:right w:val="single" w:sz="4" w:space="0" w:color="auto"/>
            </w:tcBorders>
            <w:shd w:val="clear" w:color="auto" w:fill="auto"/>
            <w:noWrap/>
            <w:hideMark/>
          </w:tcPr>
          <w:p w14:paraId="32C934F4"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200 / 1741</w:t>
            </w:r>
          </w:p>
        </w:tc>
        <w:tc>
          <w:tcPr>
            <w:tcW w:w="829" w:type="dxa"/>
            <w:tcBorders>
              <w:top w:val="nil"/>
              <w:left w:val="nil"/>
              <w:bottom w:val="single" w:sz="4" w:space="0" w:color="auto"/>
              <w:right w:val="single" w:sz="4" w:space="0" w:color="auto"/>
            </w:tcBorders>
            <w:shd w:val="clear" w:color="auto" w:fill="auto"/>
            <w:noWrap/>
            <w:hideMark/>
          </w:tcPr>
          <w:p w14:paraId="6C014B55"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5</w:t>
            </w:r>
          </w:p>
        </w:tc>
        <w:tc>
          <w:tcPr>
            <w:tcW w:w="1679" w:type="dxa"/>
            <w:tcBorders>
              <w:top w:val="nil"/>
              <w:left w:val="nil"/>
              <w:bottom w:val="single" w:sz="4" w:space="0" w:color="auto"/>
              <w:right w:val="single" w:sz="4" w:space="0" w:color="auto"/>
            </w:tcBorders>
            <w:shd w:val="clear" w:color="auto" w:fill="auto"/>
            <w:noWrap/>
            <w:hideMark/>
          </w:tcPr>
          <w:p w14:paraId="08B3E74B"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Cohort</w:t>
            </w:r>
          </w:p>
        </w:tc>
        <w:tc>
          <w:tcPr>
            <w:tcW w:w="851" w:type="dxa"/>
            <w:tcBorders>
              <w:top w:val="nil"/>
              <w:left w:val="nil"/>
              <w:bottom w:val="single" w:sz="4" w:space="0" w:color="auto"/>
              <w:right w:val="single" w:sz="4" w:space="0" w:color="auto"/>
            </w:tcBorders>
            <w:shd w:val="clear" w:color="auto" w:fill="auto"/>
            <w:noWrap/>
            <w:hideMark/>
          </w:tcPr>
          <w:p w14:paraId="78BCD739"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Hedges' g</w:t>
            </w:r>
          </w:p>
        </w:tc>
        <w:tc>
          <w:tcPr>
            <w:tcW w:w="1559" w:type="dxa"/>
            <w:tcBorders>
              <w:top w:val="nil"/>
              <w:left w:val="nil"/>
              <w:bottom w:val="single" w:sz="4" w:space="0" w:color="auto"/>
              <w:right w:val="single" w:sz="4" w:space="0" w:color="auto"/>
            </w:tcBorders>
            <w:shd w:val="clear" w:color="auto" w:fill="auto"/>
            <w:noWrap/>
            <w:hideMark/>
          </w:tcPr>
          <w:p w14:paraId="7F99A1A3"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0.35 (0.02 to 0.68)</w:t>
            </w:r>
          </w:p>
        </w:tc>
        <w:tc>
          <w:tcPr>
            <w:tcW w:w="992" w:type="dxa"/>
            <w:tcBorders>
              <w:top w:val="nil"/>
              <w:left w:val="nil"/>
              <w:bottom w:val="single" w:sz="4" w:space="0" w:color="auto"/>
              <w:right w:val="single" w:sz="4" w:space="0" w:color="auto"/>
            </w:tcBorders>
            <w:shd w:val="clear" w:color="auto" w:fill="auto"/>
            <w:noWrap/>
            <w:hideMark/>
          </w:tcPr>
          <w:p w14:paraId="43DAD4D7"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0.037</w:t>
            </w:r>
          </w:p>
        </w:tc>
        <w:tc>
          <w:tcPr>
            <w:tcW w:w="586" w:type="dxa"/>
            <w:tcBorders>
              <w:top w:val="nil"/>
              <w:left w:val="nil"/>
              <w:bottom w:val="single" w:sz="4" w:space="0" w:color="auto"/>
              <w:right w:val="single" w:sz="4" w:space="0" w:color="auto"/>
            </w:tcBorders>
            <w:shd w:val="clear" w:color="auto" w:fill="auto"/>
            <w:noWrap/>
            <w:hideMark/>
          </w:tcPr>
          <w:p w14:paraId="3D2401DD"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70%</w:t>
            </w:r>
          </w:p>
        </w:tc>
        <w:tc>
          <w:tcPr>
            <w:tcW w:w="1115" w:type="dxa"/>
            <w:tcBorders>
              <w:top w:val="nil"/>
              <w:left w:val="nil"/>
              <w:bottom w:val="single" w:sz="4" w:space="0" w:color="auto"/>
              <w:right w:val="single" w:sz="4" w:space="0" w:color="auto"/>
            </w:tcBorders>
            <w:shd w:val="clear" w:color="auto" w:fill="auto"/>
            <w:noWrap/>
            <w:hideMark/>
          </w:tcPr>
          <w:p w14:paraId="2968593F"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-0.72 to 1.43</w:t>
            </w:r>
          </w:p>
        </w:tc>
        <w:tc>
          <w:tcPr>
            <w:tcW w:w="1985" w:type="dxa"/>
            <w:tcBorders>
              <w:top w:val="nil"/>
              <w:left w:val="nil"/>
              <w:bottom w:val="single" w:sz="4" w:space="0" w:color="auto"/>
              <w:right w:val="single" w:sz="4" w:space="0" w:color="auto"/>
            </w:tcBorders>
            <w:shd w:val="clear" w:color="auto" w:fill="auto"/>
            <w:noWrap/>
            <w:hideMark/>
          </w:tcPr>
          <w:p w14:paraId="23349730"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loss of significance under 10% credibility ceiling; p curve analysis unavailable due to less than three significant studies</w:t>
            </w:r>
          </w:p>
        </w:tc>
        <w:tc>
          <w:tcPr>
            <w:tcW w:w="1134" w:type="dxa"/>
            <w:tcBorders>
              <w:top w:val="nil"/>
              <w:left w:val="nil"/>
              <w:bottom w:val="single" w:sz="4" w:space="0" w:color="auto"/>
              <w:right w:val="single" w:sz="4" w:space="0" w:color="auto"/>
            </w:tcBorders>
            <w:shd w:val="clear" w:color="auto" w:fill="auto"/>
            <w:noWrap/>
            <w:hideMark/>
          </w:tcPr>
          <w:p w14:paraId="3398C2FD"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Critically low</w:t>
            </w:r>
          </w:p>
        </w:tc>
        <w:tc>
          <w:tcPr>
            <w:tcW w:w="902" w:type="dxa"/>
            <w:tcBorders>
              <w:top w:val="nil"/>
              <w:left w:val="nil"/>
              <w:bottom w:val="single" w:sz="4" w:space="0" w:color="auto"/>
              <w:right w:val="single" w:sz="4" w:space="0" w:color="auto"/>
            </w:tcBorders>
          </w:tcPr>
          <w:p w14:paraId="067D2062"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hint="eastAsia"/>
                <w:color w:val="000000"/>
                <w:kern w:val="0"/>
                <w:sz w:val="16"/>
                <w:szCs w:val="16"/>
              </w:rPr>
              <w:t>Very low</w:t>
            </w:r>
          </w:p>
        </w:tc>
      </w:tr>
      <w:tr w:rsidR="00394B52" w:rsidRPr="00394B52" w14:paraId="2742A0DE" w14:textId="77777777" w:rsidTr="00E01118">
        <w:trPr>
          <w:trHeight w:val="261"/>
        </w:trPr>
        <w:tc>
          <w:tcPr>
            <w:tcW w:w="15596" w:type="dxa"/>
            <w:gridSpan w:val="13"/>
            <w:tcBorders>
              <w:top w:val="single" w:sz="4" w:space="0" w:color="auto"/>
              <w:left w:val="single" w:sz="4" w:space="0" w:color="auto"/>
              <w:bottom w:val="single" w:sz="4" w:space="0" w:color="auto"/>
              <w:right w:val="single" w:sz="4" w:space="0" w:color="000000"/>
            </w:tcBorders>
          </w:tcPr>
          <w:p w14:paraId="5B2EA37C" w14:textId="77777777" w:rsidR="00394B52" w:rsidRPr="00394B52" w:rsidRDefault="00394B52" w:rsidP="00394B52">
            <w:pPr>
              <w:widowControl/>
              <w:wordWrap/>
              <w:autoSpaceDE/>
              <w:autoSpaceDN/>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Not significant (NS)</w:t>
            </w:r>
          </w:p>
        </w:tc>
      </w:tr>
      <w:tr w:rsidR="00394B52" w:rsidRPr="00394B52" w14:paraId="2D0209F6" w14:textId="77777777" w:rsidTr="00E01118">
        <w:trPr>
          <w:trHeight w:val="296"/>
        </w:trPr>
        <w:tc>
          <w:tcPr>
            <w:tcW w:w="1801" w:type="dxa"/>
            <w:tcBorders>
              <w:top w:val="nil"/>
              <w:left w:val="single" w:sz="4" w:space="0" w:color="auto"/>
              <w:bottom w:val="single" w:sz="4" w:space="0" w:color="auto"/>
              <w:right w:val="single" w:sz="4" w:space="0" w:color="auto"/>
            </w:tcBorders>
            <w:shd w:val="clear" w:color="auto" w:fill="auto"/>
            <w:noWrap/>
            <w:hideMark/>
          </w:tcPr>
          <w:p w14:paraId="42222FCD"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Positive anti-</w:t>
            </w:r>
            <w:proofErr w:type="spellStart"/>
            <w:r w:rsidRPr="00394B52">
              <w:rPr>
                <w:rFonts w:ascii="Times New Roman" w:eastAsia="Malgun Gothic" w:hAnsi="Times New Roman" w:cs="Times New Roman"/>
                <w:color w:val="000000"/>
                <w:kern w:val="0"/>
                <w:sz w:val="16"/>
                <w:szCs w:val="16"/>
              </w:rPr>
              <w:t>thyroperoxidase</w:t>
            </w:r>
            <w:proofErr w:type="spellEnd"/>
            <w:r w:rsidRPr="00394B52">
              <w:rPr>
                <w:rFonts w:ascii="Times New Roman" w:eastAsia="Malgun Gothic" w:hAnsi="Times New Roman" w:cs="Times New Roman"/>
                <w:color w:val="000000"/>
                <w:kern w:val="0"/>
                <w:sz w:val="16"/>
                <w:szCs w:val="16"/>
              </w:rPr>
              <w:t xml:space="preserve"> antibodies</w:t>
            </w:r>
          </w:p>
        </w:tc>
        <w:tc>
          <w:tcPr>
            <w:tcW w:w="1171" w:type="dxa"/>
            <w:tcBorders>
              <w:top w:val="nil"/>
              <w:left w:val="nil"/>
              <w:bottom w:val="single" w:sz="4" w:space="0" w:color="auto"/>
              <w:right w:val="single" w:sz="4" w:space="0" w:color="auto"/>
            </w:tcBorders>
            <w:shd w:val="clear" w:color="auto" w:fill="auto"/>
            <w:noWrap/>
            <w:hideMark/>
          </w:tcPr>
          <w:p w14:paraId="3490AC6E"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Minaldi</w:t>
            </w:r>
            <w:proofErr w:type="spellEnd"/>
            <w:r w:rsidRPr="00394B52">
              <w:rPr>
                <w:rFonts w:ascii="Times New Roman" w:eastAsia="Malgun Gothic" w:hAnsi="Times New Roman" w:cs="Times New Roman"/>
                <w:color w:val="000000"/>
                <w:kern w:val="0"/>
                <w:sz w:val="16"/>
                <w:szCs w:val="16"/>
              </w:rPr>
              <w:t xml:space="preserve"> 2020</w:t>
            </w:r>
          </w:p>
        </w:tc>
        <w:tc>
          <w:tcPr>
            <w:tcW w:w="992" w:type="dxa"/>
            <w:tcBorders>
              <w:top w:val="nil"/>
              <w:left w:val="nil"/>
              <w:bottom w:val="single" w:sz="4" w:space="0" w:color="auto"/>
              <w:right w:val="single" w:sz="4" w:space="0" w:color="auto"/>
            </w:tcBorders>
            <w:shd w:val="clear" w:color="auto" w:fill="auto"/>
            <w:noWrap/>
            <w:hideMark/>
          </w:tcPr>
          <w:p w14:paraId="2D33D373"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201 / 2348</w:t>
            </w:r>
          </w:p>
        </w:tc>
        <w:tc>
          <w:tcPr>
            <w:tcW w:w="829" w:type="dxa"/>
            <w:tcBorders>
              <w:top w:val="nil"/>
              <w:left w:val="nil"/>
              <w:bottom w:val="single" w:sz="4" w:space="0" w:color="auto"/>
              <w:right w:val="single" w:sz="4" w:space="0" w:color="auto"/>
            </w:tcBorders>
            <w:shd w:val="clear" w:color="auto" w:fill="auto"/>
            <w:noWrap/>
            <w:hideMark/>
          </w:tcPr>
          <w:p w14:paraId="3843B44D"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3</w:t>
            </w:r>
          </w:p>
        </w:tc>
        <w:tc>
          <w:tcPr>
            <w:tcW w:w="1679" w:type="dxa"/>
            <w:tcBorders>
              <w:top w:val="nil"/>
              <w:left w:val="nil"/>
              <w:bottom w:val="single" w:sz="4" w:space="0" w:color="auto"/>
              <w:right w:val="single" w:sz="4" w:space="0" w:color="auto"/>
            </w:tcBorders>
            <w:shd w:val="clear" w:color="auto" w:fill="auto"/>
            <w:noWrap/>
            <w:hideMark/>
          </w:tcPr>
          <w:p w14:paraId="1868B96E"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Cohort</w:t>
            </w:r>
          </w:p>
        </w:tc>
        <w:tc>
          <w:tcPr>
            <w:tcW w:w="851" w:type="dxa"/>
            <w:tcBorders>
              <w:top w:val="nil"/>
              <w:left w:val="nil"/>
              <w:bottom w:val="single" w:sz="4" w:space="0" w:color="auto"/>
              <w:right w:val="single" w:sz="4" w:space="0" w:color="auto"/>
            </w:tcBorders>
            <w:shd w:val="clear" w:color="auto" w:fill="auto"/>
            <w:noWrap/>
            <w:hideMark/>
          </w:tcPr>
          <w:p w14:paraId="049E6112"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RR</w:t>
            </w:r>
          </w:p>
        </w:tc>
        <w:tc>
          <w:tcPr>
            <w:tcW w:w="1559" w:type="dxa"/>
            <w:tcBorders>
              <w:top w:val="nil"/>
              <w:left w:val="nil"/>
              <w:bottom w:val="single" w:sz="4" w:space="0" w:color="auto"/>
              <w:right w:val="single" w:sz="4" w:space="0" w:color="auto"/>
            </w:tcBorders>
            <w:shd w:val="clear" w:color="auto" w:fill="auto"/>
            <w:noWrap/>
            <w:hideMark/>
          </w:tcPr>
          <w:p w14:paraId="4AFE942E"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1.46 (0.76 to 2.77)</w:t>
            </w:r>
          </w:p>
        </w:tc>
        <w:tc>
          <w:tcPr>
            <w:tcW w:w="992" w:type="dxa"/>
            <w:tcBorders>
              <w:top w:val="nil"/>
              <w:left w:val="nil"/>
              <w:bottom w:val="single" w:sz="4" w:space="0" w:color="auto"/>
              <w:right w:val="single" w:sz="4" w:space="0" w:color="auto"/>
            </w:tcBorders>
            <w:shd w:val="clear" w:color="auto" w:fill="auto"/>
            <w:noWrap/>
            <w:hideMark/>
          </w:tcPr>
          <w:p w14:paraId="23877BBC"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0.25</w:t>
            </w:r>
          </w:p>
        </w:tc>
        <w:tc>
          <w:tcPr>
            <w:tcW w:w="586" w:type="dxa"/>
            <w:tcBorders>
              <w:top w:val="nil"/>
              <w:left w:val="nil"/>
              <w:bottom w:val="single" w:sz="4" w:space="0" w:color="auto"/>
              <w:right w:val="single" w:sz="4" w:space="0" w:color="auto"/>
            </w:tcBorders>
            <w:shd w:val="clear" w:color="auto" w:fill="auto"/>
            <w:noWrap/>
            <w:hideMark/>
          </w:tcPr>
          <w:p w14:paraId="1FA298AA"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71%</w:t>
            </w:r>
          </w:p>
        </w:tc>
        <w:tc>
          <w:tcPr>
            <w:tcW w:w="1115" w:type="dxa"/>
            <w:tcBorders>
              <w:top w:val="nil"/>
              <w:left w:val="nil"/>
              <w:bottom w:val="single" w:sz="4" w:space="0" w:color="auto"/>
              <w:right w:val="single" w:sz="4" w:space="0" w:color="auto"/>
            </w:tcBorders>
            <w:shd w:val="clear" w:color="auto" w:fill="auto"/>
            <w:noWrap/>
            <w:hideMark/>
          </w:tcPr>
          <w:p w14:paraId="3BC78288"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 to 2192.8</w:t>
            </w:r>
          </w:p>
        </w:tc>
        <w:tc>
          <w:tcPr>
            <w:tcW w:w="1985" w:type="dxa"/>
            <w:tcBorders>
              <w:top w:val="nil"/>
              <w:left w:val="nil"/>
              <w:bottom w:val="single" w:sz="4" w:space="0" w:color="auto"/>
              <w:right w:val="single" w:sz="4" w:space="0" w:color="auto"/>
            </w:tcBorders>
            <w:shd w:val="clear" w:color="auto" w:fill="auto"/>
            <w:noWrap/>
            <w:hideMark/>
          </w:tcPr>
          <w:p w14:paraId="6FE76DE6"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w:t>
            </w:r>
          </w:p>
        </w:tc>
        <w:tc>
          <w:tcPr>
            <w:tcW w:w="1134" w:type="dxa"/>
            <w:tcBorders>
              <w:top w:val="nil"/>
              <w:left w:val="nil"/>
              <w:bottom w:val="single" w:sz="4" w:space="0" w:color="auto"/>
              <w:right w:val="single" w:sz="4" w:space="0" w:color="auto"/>
            </w:tcBorders>
            <w:shd w:val="clear" w:color="auto" w:fill="auto"/>
            <w:noWrap/>
            <w:hideMark/>
          </w:tcPr>
          <w:p w14:paraId="1C70103C"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Critically low</w:t>
            </w:r>
          </w:p>
        </w:tc>
        <w:tc>
          <w:tcPr>
            <w:tcW w:w="902" w:type="dxa"/>
            <w:tcBorders>
              <w:top w:val="nil"/>
              <w:left w:val="nil"/>
              <w:bottom w:val="single" w:sz="4" w:space="0" w:color="auto"/>
              <w:right w:val="single" w:sz="4" w:space="0" w:color="auto"/>
            </w:tcBorders>
          </w:tcPr>
          <w:p w14:paraId="122B950F"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hint="eastAsia"/>
                <w:color w:val="000000"/>
                <w:kern w:val="0"/>
                <w:sz w:val="16"/>
                <w:szCs w:val="16"/>
              </w:rPr>
              <w:t>Very low</w:t>
            </w:r>
          </w:p>
        </w:tc>
      </w:tr>
      <w:tr w:rsidR="00394B52" w:rsidRPr="00394B52" w14:paraId="02065428" w14:textId="77777777" w:rsidTr="00E01118">
        <w:trPr>
          <w:trHeight w:val="296"/>
        </w:trPr>
        <w:tc>
          <w:tcPr>
            <w:tcW w:w="1801" w:type="dxa"/>
            <w:tcBorders>
              <w:top w:val="nil"/>
              <w:left w:val="single" w:sz="4" w:space="0" w:color="auto"/>
              <w:bottom w:val="single" w:sz="4" w:space="0" w:color="auto"/>
              <w:right w:val="single" w:sz="4" w:space="0" w:color="auto"/>
            </w:tcBorders>
            <w:shd w:val="clear" w:color="auto" w:fill="auto"/>
            <w:noWrap/>
            <w:hideMark/>
          </w:tcPr>
          <w:p w14:paraId="4244EDF8"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Total omega-6 acid</w:t>
            </w:r>
          </w:p>
        </w:tc>
        <w:tc>
          <w:tcPr>
            <w:tcW w:w="1171" w:type="dxa"/>
            <w:tcBorders>
              <w:top w:val="nil"/>
              <w:left w:val="nil"/>
              <w:bottom w:val="single" w:sz="4" w:space="0" w:color="auto"/>
              <w:right w:val="single" w:sz="4" w:space="0" w:color="auto"/>
            </w:tcBorders>
            <w:shd w:val="clear" w:color="auto" w:fill="auto"/>
            <w:noWrap/>
            <w:hideMark/>
          </w:tcPr>
          <w:p w14:paraId="696A277F"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Lin 2017</w:t>
            </w:r>
          </w:p>
        </w:tc>
        <w:tc>
          <w:tcPr>
            <w:tcW w:w="992" w:type="dxa"/>
            <w:tcBorders>
              <w:top w:val="nil"/>
              <w:left w:val="nil"/>
              <w:bottom w:val="single" w:sz="4" w:space="0" w:color="auto"/>
              <w:right w:val="single" w:sz="4" w:space="0" w:color="auto"/>
            </w:tcBorders>
            <w:shd w:val="clear" w:color="auto" w:fill="auto"/>
            <w:noWrap/>
            <w:hideMark/>
          </w:tcPr>
          <w:p w14:paraId="287A1C43"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200 / 1741</w:t>
            </w:r>
          </w:p>
        </w:tc>
        <w:tc>
          <w:tcPr>
            <w:tcW w:w="829" w:type="dxa"/>
            <w:tcBorders>
              <w:top w:val="nil"/>
              <w:left w:val="nil"/>
              <w:bottom w:val="single" w:sz="4" w:space="0" w:color="auto"/>
              <w:right w:val="single" w:sz="4" w:space="0" w:color="auto"/>
            </w:tcBorders>
            <w:shd w:val="clear" w:color="auto" w:fill="auto"/>
            <w:noWrap/>
            <w:hideMark/>
          </w:tcPr>
          <w:p w14:paraId="6F9B0A1B"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5</w:t>
            </w:r>
          </w:p>
        </w:tc>
        <w:tc>
          <w:tcPr>
            <w:tcW w:w="1679" w:type="dxa"/>
            <w:tcBorders>
              <w:top w:val="nil"/>
              <w:left w:val="nil"/>
              <w:bottom w:val="single" w:sz="4" w:space="0" w:color="auto"/>
              <w:right w:val="single" w:sz="4" w:space="0" w:color="auto"/>
            </w:tcBorders>
            <w:shd w:val="clear" w:color="auto" w:fill="auto"/>
            <w:noWrap/>
            <w:hideMark/>
          </w:tcPr>
          <w:p w14:paraId="29DFB0DC"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Cohort</w:t>
            </w:r>
          </w:p>
        </w:tc>
        <w:tc>
          <w:tcPr>
            <w:tcW w:w="851" w:type="dxa"/>
            <w:tcBorders>
              <w:top w:val="nil"/>
              <w:left w:val="nil"/>
              <w:bottom w:val="single" w:sz="4" w:space="0" w:color="auto"/>
              <w:right w:val="single" w:sz="4" w:space="0" w:color="auto"/>
            </w:tcBorders>
            <w:shd w:val="clear" w:color="auto" w:fill="auto"/>
            <w:noWrap/>
            <w:hideMark/>
          </w:tcPr>
          <w:p w14:paraId="0590B5ED"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Hedges' g</w:t>
            </w:r>
          </w:p>
        </w:tc>
        <w:tc>
          <w:tcPr>
            <w:tcW w:w="1559" w:type="dxa"/>
            <w:tcBorders>
              <w:top w:val="nil"/>
              <w:left w:val="nil"/>
              <w:bottom w:val="single" w:sz="4" w:space="0" w:color="auto"/>
              <w:right w:val="single" w:sz="4" w:space="0" w:color="auto"/>
            </w:tcBorders>
            <w:shd w:val="clear" w:color="auto" w:fill="auto"/>
            <w:noWrap/>
            <w:hideMark/>
          </w:tcPr>
          <w:p w14:paraId="1B9FFBF3"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0.13 (-0.02 to 0.27)</w:t>
            </w:r>
          </w:p>
        </w:tc>
        <w:tc>
          <w:tcPr>
            <w:tcW w:w="992" w:type="dxa"/>
            <w:tcBorders>
              <w:top w:val="nil"/>
              <w:left w:val="nil"/>
              <w:bottom w:val="single" w:sz="4" w:space="0" w:color="auto"/>
              <w:right w:val="single" w:sz="4" w:space="0" w:color="auto"/>
            </w:tcBorders>
            <w:shd w:val="clear" w:color="auto" w:fill="auto"/>
            <w:noWrap/>
            <w:hideMark/>
          </w:tcPr>
          <w:p w14:paraId="63914B41"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0.079</w:t>
            </w:r>
          </w:p>
        </w:tc>
        <w:tc>
          <w:tcPr>
            <w:tcW w:w="586" w:type="dxa"/>
            <w:tcBorders>
              <w:top w:val="nil"/>
              <w:left w:val="nil"/>
              <w:bottom w:val="single" w:sz="4" w:space="0" w:color="auto"/>
              <w:right w:val="single" w:sz="4" w:space="0" w:color="auto"/>
            </w:tcBorders>
            <w:shd w:val="clear" w:color="auto" w:fill="auto"/>
            <w:noWrap/>
            <w:hideMark/>
          </w:tcPr>
          <w:p w14:paraId="5800DC5F"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w:t>
            </w:r>
          </w:p>
        </w:tc>
        <w:tc>
          <w:tcPr>
            <w:tcW w:w="1115" w:type="dxa"/>
            <w:tcBorders>
              <w:top w:val="nil"/>
              <w:left w:val="nil"/>
              <w:bottom w:val="single" w:sz="4" w:space="0" w:color="auto"/>
              <w:right w:val="single" w:sz="4" w:space="0" w:color="auto"/>
            </w:tcBorders>
            <w:shd w:val="clear" w:color="auto" w:fill="auto"/>
            <w:noWrap/>
            <w:hideMark/>
          </w:tcPr>
          <w:p w14:paraId="34130799"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-0.11 to 0.36</w:t>
            </w:r>
          </w:p>
        </w:tc>
        <w:tc>
          <w:tcPr>
            <w:tcW w:w="1985" w:type="dxa"/>
            <w:tcBorders>
              <w:top w:val="nil"/>
              <w:left w:val="nil"/>
              <w:bottom w:val="single" w:sz="4" w:space="0" w:color="auto"/>
              <w:right w:val="single" w:sz="4" w:space="0" w:color="auto"/>
            </w:tcBorders>
            <w:shd w:val="clear" w:color="auto" w:fill="auto"/>
            <w:noWrap/>
            <w:hideMark/>
          </w:tcPr>
          <w:p w14:paraId="59173F50"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None</w:t>
            </w:r>
          </w:p>
        </w:tc>
        <w:tc>
          <w:tcPr>
            <w:tcW w:w="1134" w:type="dxa"/>
            <w:tcBorders>
              <w:top w:val="nil"/>
              <w:left w:val="nil"/>
              <w:bottom w:val="single" w:sz="4" w:space="0" w:color="auto"/>
              <w:right w:val="single" w:sz="4" w:space="0" w:color="auto"/>
            </w:tcBorders>
            <w:shd w:val="clear" w:color="auto" w:fill="auto"/>
            <w:noWrap/>
            <w:hideMark/>
          </w:tcPr>
          <w:p w14:paraId="6BE4CBE2"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Critically low</w:t>
            </w:r>
          </w:p>
        </w:tc>
        <w:tc>
          <w:tcPr>
            <w:tcW w:w="902" w:type="dxa"/>
            <w:tcBorders>
              <w:top w:val="nil"/>
              <w:left w:val="nil"/>
              <w:bottom w:val="single" w:sz="4" w:space="0" w:color="auto"/>
              <w:right w:val="single" w:sz="4" w:space="0" w:color="auto"/>
            </w:tcBorders>
          </w:tcPr>
          <w:p w14:paraId="436E858D"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hint="eastAsia"/>
                <w:color w:val="000000"/>
                <w:kern w:val="0"/>
                <w:sz w:val="16"/>
                <w:szCs w:val="16"/>
              </w:rPr>
              <w:t>Very low</w:t>
            </w:r>
          </w:p>
        </w:tc>
      </w:tr>
      <w:tr w:rsidR="00394B52" w:rsidRPr="00394B52" w14:paraId="1C7E32F9" w14:textId="77777777" w:rsidTr="00E01118">
        <w:trPr>
          <w:trHeight w:val="296"/>
        </w:trPr>
        <w:tc>
          <w:tcPr>
            <w:tcW w:w="1801" w:type="dxa"/>
            <w:tcBorders>
              <w:top w:val="nil"/>
              <w:left w:val="single" w:sz="4" w:space="0" w:color="auto"/>
              <w:bottom w:val="single" w:sz="4" w:space="0" w:color="auto"/>
              <w:right w:val="single" w:sz="4" w:space="0" w:color="auto"/>
            </w:tcBorders>
            <w:shd w:val="clear" w:color="auto" w:fill="auto"/>
            <w:noWrap/>
            <w:hideMark/>
          </w:tcPr>
          <w:p w14:paraId="47D74584"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Arachidonic acid</w:t>
            </w:r>
          </w:p>
        </w:tc>
        <w:tc>
          <w:tcPr>
            <w:tcW w:w="1171" w:type="dxa"/>
            <w:tcBorders>
              <w:top w:val="nil"/>
              <w:left w:val="nil"/>
              <w:bottom w:val="single" w:sz="4" w:space="0" w:color="auto"/>
              <w:right w:val="single" w:sz="4" w:space="0" w:color="auto"/>
            </w:tcBorders>
            <w:shd w:val="clear" w:color="auto" w:fill="auto"/>
            <w:noWrap/>
            <w:hideMark/>
          </w:tcPr>
          <w:p w14:paraId="2892C1A2"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Lin 2017</w:t>
            </w:r>
          </w:p>
        </w:tc>
        <w:tc>
          <w:tcPr>
            <w:tcW w:w="992" w:type="dxa"/>
            <w:tcBorders>
              <w:top w:val="nil"/>
              <w:left w:val="nil"/>
              <w:bottom w:val="single" w:sz="4" w:space="0" w:color="auto"/>
              <w:right w:val="single" w:sz="4" w:space="0" w:color="auto"/>
            </w:tcBorders>
            <w:shd w:val="clear" w:color="auto" w:fill="auto"/>
            <w:noWrap/>
            <w:hideMark/>
          </w:tcPr>
          <w:p w14:paraId="211B24D1"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200 / 1741</w:t>
            </w:r>
          </w:p>
        </w:tc>
        <w:tc>
          <w:tcPr>
            <w:tcW w:w="829" w:type="dxa"/>
            <w:tcBorders>
              <w:top w:val="nil"/>
              <w:left w:val="nil"/>
              <w:bottom w:val="single" w:sz="4" w:space="0" w:color="auto"/>
              <w:right w:val="single" w:sz="4" w:space="0" w:color="auto"/>
            </w:tcBorders>
            <w:shd w:val="clear" w:color="auto" w:fill="auto"/>
            <w:noWrap/>
            <w:hideMark/>
          </w:tcPr>
          <w:p w14:paraId="29602BE9"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5</w:t>
            </w:r>
          </w:p>
        </w:tc>
        <w:tc>
          <w:tcPr>
            <w:tcW w:w="1679" w:type="dxa"/>
            <w:tcBorders>
              <w:top w:val="nil"/>
              <w:left w:val="nil"/>
              <w:bottom w:val="single" w:sz="4" w:space="0" w:color="auto"/>
              <w:right w:val="single" w:sz="4" w:space="0" w:color="auto"/>
            </w:tcBorders>
            <w:shd w:val="clear" w:color="auto" w:fill="auto"/>
            <w:noWrap/>
            <w:hideMark/>
          </w:tcPr>
          <w:p w14:paraId="69815625"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Cohort</w:t>
            </w:r>
          </w:p>
        </w:tc>
        <w:tc>
          <w:tcPr>
            <w:tcW w:w="851" w:type="dxa"/>
            <w:tcBorders>
              <w:top w:val="nil"/>
              <w:left w:val="nil"/>
              <w:bottom w:val="single" w:sz="4" w:space="0" w:color="auto"/>
              <w:right w:val="single" w:sz="4" w:space="0" w:color="auto"/>
            </w:tcBorders>
            <w:shd w:val="clear" w:color="auto" w:fill="auto"/>
            <w:noWrap/>
            <w:hideMark/>
          </w:tcPr>
          <w:p w14:paraId="21D2B4BE"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Hedges' g</w:t>
            </w:r>
          </w:p>
        </w:tc>
        <w:tc>
          <w:tcPr>
            <w:tcW w:w="1559" w:type="dxa"/>
            <w:tcBorders>
              <w:top w:val="nil"/>
              <w:left w:val="nil"/>
              <w:bottom w:val="single" w:sz="4" w:space="0" w:color="auto"/>
              <w:right w:val="single" w:sz="4" w:space="0" w:color="auto"/>
            </w:tcBorders>
            <w:shd w:val="clear" w:color="auto" w:fill="auto"/>
            <w:noWrap/>
            <w:hideMark/>
          </w:tcPr>
          <w:p w14:paraId="2B6C94B2"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0.05 (-0.12 to 0.23)</w:t>
            </w:r>
          </w:p>
        </w:tc>
        <w:tc>
          <w:tcPr>
            <w:tcW w:w="992" w:type="dxa"/>
            <w:tcBorders>
              <w:top w:val="nil"/>
              <w:left w:val="nil"/>
              <w:bottom w:val="single" w:sz="4" w:space="0" w:color="auto"/>
              <w:right w:val="single" w:sz="4" w:space="0" w:color="auto"/>
            </w:tcBorders>
            <w:shd w:val="clear" w:color="auto" w:fill="auto"/>
            <w:noWrap/>
            <w:hideMark/>
          </w:tcPr>
          <w:p w14:paraId="7F9148ED"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0.55</w:t>
            </w:r>
          </w:p>
        </w:tc>
        <w:tc>
          <w:tcPr>
            <w:tcW w:w="586" w:type="dxa"/>
            <w:tcBorders>
              <w:top w:val="nil"/>
              <w:left w:val="nil"/>
              <w:bottom w:val="single" w:sz="4" w:space="0" w:color="auto"/>
              <w:right w:val="single" w:sz="4" w:space="0" w:color="auto"/>
            </w:tcBorders>
            <w:shd w:val="clear" w:color="auto" w:fill="auto"/>
            <w:noWrap/>
            <w:hideMark/>
          </w:tcPr>
          <w:p w14:paraId="03A7AB41"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19%</w:t>
            </w:r>
          </w:p>
        </w:tc>
        <w:tc>
          <w:tcPr>
            <w:tcW w:w="1115" w:type="dxa"/>
            <w:tcBorders>
              <w:top w:val="nil"/>
              <w:left w:val="nil"/>
              <w:bottom w:val="single" w:sz="4" w:space="0" w:color="auto"/>
              <w:right w:val="single" w:sz="4" w:space="0" w:color="auto"/>
            </w:tcBorders>
            <w:shd w:val="clear" w:color="auto" w:fill="auto"/>
            <w:noWrap/>
            <w:hideMark/>
          </w:tcPr>
          <w:p w14:paraId="52619987"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-0.34 to 0.45</w:t>
            </w:r>
          </w:p>
        </w:tc>
        <w:tc>
          <w:tcPr>
            <w:tcW w:w="1985" w:type="dxa"/>
            <w:tcBorders>
              <w:top w:val="nil"/>
              <w:left w:val="nil"/>
              <w:bottom w:val="single" w:sz="4" w:space="0" w:color="auto"/>
              <w:right w:val="single" w:sz="4" w:space="0" w:color="auto"/>
            </w:tcBorders>
            <w:shd w:val="clear" w:color="auto" w:fill="auto"/>
            <w:noWrap/>
            <w:hideMark/>
          </w:tcPr>
          <w:p w14:paraId="054BC3BC"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None</w:t>
            </w:r>
          </w:p>
        </w:tc>
        <w:tc>
          <w:tcPr>
            <w:tcW w:w="1134" w:type="dxa"/>
            <w:tcBorders>
              <w:top w:val="nil"/>
              <w:left w:val="nil"/>
              <w:bottom w:val="single" w:sz="4" w:space="0" w:color="auto"/>
              <w:right w:val="single" w:sz="4" w:space="0" w:color="auto"/>
            </w:tcBorders>
            <w:shd w:val="clear" w:color="auto" w:fill="auto"/>
            <w:noWrap/>
            <w:hideMark/>
          </w:tcPr>
          <w:p w14:paraId="46A0C828"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Critically low</w:t>
            </w:r>
          </w:p>
        </w:tc>
        <w:tc>
          <w:tcPr>
            <w:tcW w:w="902" w:type="dxa"/>
            <w:tcBorders>
              <w:top w:val="nil"/>
              <w:left w:val="nil"/>
              <w:bottom w:val="single" w:sz="4" w:space="0" w:color="auto"/>
              <w:right w:val="single" w:sz="4" w:space="0" w:color="auto"/>
            </w:tcBorders>
          </w:tcPr>
          <w:p w14:paraId="212B7D9A"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hint="eastAsia"/>
                <w:color w:val="000000"/>
                <w:kern w:val="0"/>
                <w:sz w:val="16"/>
                <w:szCs w:val="16"/>
              </w:rPr>
              <w:t>Very low</w:t>
            </w:r>
          </w:p>
        </w:tc>
      </w:tr>
      <w:tr w:rsidR="00394B52" w:rsidRPr="00394B52" w14:paraId="5E260CAB" w14:textId="77777777" w:rsidTr="00E01118">
        <w:trPr>
          <w:trHeight w:val="296"/>
        </w:trPr>
        <w:tc>
          <w:tcPr>
            <w:tcW w:w="1801" w:type="dxa"/>
            <w:tcBorders>
              <w:top w:val="nil"/>
              <w:left w:val="single" w:sz="4" w:space="0" w:color="auto"/>
              <w:bottom w:val="single" w:sz="4" w:space="0" w:color="auto"/>
              <w:right w:val="single" w:sz="4" w:space="0" w:color="auto"/>
            </w:tcBorders>
            <w:shd w:val="clear" w:color="auto" w:fill="auto"/>
            <w:noWrap/>
            <w:hideMark/>
          </w:tcPr>
          <w:p w14:paraId="30762C83"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Eicosapentaenoic</w:t>
            </w:r>
            <w:proofErr w:type="spellEnd"/>
            <w:r w:rsidRPr="00394B52">
              <w:rPr>
                <w:rFonts w:ascii="Times New Roman" w:eastAsia="Malgun Gothic" w:hAnsi="Times New Roman" w:cs="Times New Roman"/>
                <w:color w:val="000000"/>
                <w:kern w:val="0"/>
                <w:sz w:val="16"/>
                <w:szCs w:val="16"/>
              </w:rPr>
              <w:t xml:space="preserve"> acid</w:t>
            </w:r>
          </w:p>
        </w:tc>
        <w:tc>
          <w:tcPr>
            <w:tcW w:w="1171" w:type="dxa"/>
            <w:tcBorders>
              <w:top w:val="nil"/>
              <w:left w:val="nil"/>
              <w:bottom w:val="single" w:sz="4" w:space="0" w:color="auto"/>
              <w:right w:val="single" w:sz="4" w:space="0" w:color="auto"/>
            </w:tcBorders>
            <w:shd w:val="clear" w:color="auto" w:fill="auto"/>
            <w:noWrap/>
            <w:hideMark/>
          </w:tcPr>
          <w:p w14:paraId="40965DF4"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Lin 2017</w:t>
            </w:r>
          </w:p>
        </w:tc>
        <w:tc>
          <w:tcPr>
            <w:tcW w:w="992" w:type="dxa"/>
            <w:tcBorders>
              <w:top w:val="nil"/>
              <w:left w:val="nil"/>
              <w:bottom w:val="single" w:sz="4" w:space="0" w:color="auto"/>
              <w:right w:val="single" w:sz="4" w:space="0" w:color="auto"/>
            </w:tcBorders>
            <w:shd w:val="clear" w:color="auto" w:fill="auto"/>
            <w:noWrap/>
            <w:hideMark/>
          </w:tcPr>
          <w:p w14:paraId="639F349A"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215 / 1793</w:t>
            </w:r>
          </w:p>
        </w:tc>
        <w:tc>
          <w:tcPr>
            <w:tcW w:w="829" w:type="dxa"/>
            <w:tcBorders>
              <w:top w:val="nil"/>
              <w:left w:val="nil"/>
              <w:bottom w:val="single" w:sz="4" w:space="0" w:color="auto"/>
              <w:right w:val="single" w:sz="4" w:space="0" w:color="auto"/>
            </w:tcBorders>
            <w:shd w:val="clear" w:color="auto" w:fill="auto"/>
            <w:noWrap/>
            <w:hideMark/>
          </w:tcPr>
          <w:p w14:paraId="6DB1E56A"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w:t>
            </w:r>
          </w:p>
        </w:tc>
        <w:tc>
          <w:tcPr>
            <w:tcW w:w="1679" w:type="dxa"/>
            <w:tcBorders>
              <w:top w:val="nil"/>
              <w:left w:val="nil"/>
              <w:bottom w:val="single" w:sz="4" w:space="0" w:color="auto"/>
              <w:right w:val="single" w:sz="4" w:space="0" w:color="auto"/>
            </w:tcBorders>
            <w:shd w:val="clear" w:color="auto" w:fill="auto"/>
            <w:noWrap/>
            <w:hideMark/>
          </w:tcPr>
          <w:p w14:paraId="5CBAFBCE"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Cohort, case-control</w:t>
            </w:r>
          </w:p>
        </w:tc>
        <w:tc>
          <w:tcPr>
            <w:tcW w:w="851" w:type="dxa"/>
            <w:tcBorders>
              <w:top w:val="nil"/>
              <w:left w:val="nil"/>
              <w:bottom w:val="single" w:sz="4" w:space="0" w:color="auto"/>
              <w:right w:val="single" w:sz="4" w:space="0" w:color="auto"/>
            </w:tcBorders>
            <w:shd w:val="clear" w:color="auto" w:fill="auto"/>
            <w:noWrap/>
            <w:hideMark/>
          </w:tcPr>
          <w:p w14:paraId="0C5B080C"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Hedges' g</w:t>
            </w:r>
          </w:p>
        </w:tc>
        <w:tc>
          <w:tcPr>
            <w:tcW w:w="1559" w:type="dxa"/>
            <w:tcBorders>
              <w:top w:val="nil"/>
              <w:left w:val="nil"/>
              <w:bottom w:val="single" w:sz="4" w:space="0" w:color="auto"/>
              <w:right w:val="single" w:sz="4" w:space="0" w:color="auto"/>
            </w:tcBorders>
            <w:shd w:val="clear" w:color="auto" w:fill="auto"/>
            <w:noWrap/>
            <w:hideMark/>
          </w:tcPr>
          <w:p w14:paraId="1B5071A7"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-0.08 (-0.25 to 0.1)</w:t>
            </w:r>
          </w:p>
        </w:tc>
        <w:tc>
          <w:tcPr>
            <w:tcW w:w="992" w:type="dxa"/>
            <w:tcBorders>
              <w:top w:val="nil"/>
              <w:left w:val="nil"/>
              <w:bottom w:val="single" w:sz="4" w:space="0" w:color="auto"/>
              <w:right w:val="single" w:sz="4" w:space="0" w:color="auto"/>
            </w:tcBorders>
            <w:shd w:val="clear" w:color="auto" w:fill="auto"/>
            <w:noWrap/>
            <w:hideMark/>
          </w:tcPr>
          <w:p w14:paraId="7824DD78"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0.39</w:t>
            </w:r>
          </w:p>
        </w:tc>
        <w:tc>
          <w:tcPr>
            <w:tcW w:w="586" w:type="dxa"/>
            <w:tcBorders>
              <w:top w:val="nil"/>
              <w:left w:val="nil"/>
              <w:bottom w:val="single" w:sz="4" w:space="0" w:color="auto"/>
              <w:right w:val="single" w:sz="4" w:space="0" w:color="auto"/>
            </w:tcBorders>
            <w:shd w:val="clear" w:color="auto" w:fill="auto"/>
            <w:noWrap/>
            <w:hideMark/>
          </w:tcPr>
          <w:p w14:paraId="39514193"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23%</w:t>
            </w:r>
          </w:p>
        </w:tc>
        <w:tc>
          <w:tcPr>
            <w:tcW w:w="1115" w:type="dxa"/>
            <w:tcBorders>
              <w:top w:val="nil"/>
              <w:left w:val="nil"/>
              <w:bottom w:val="single" w:sz="4" w:space="0" w:color="auto"/>
              <w:right w:val="single" w:sz="4" w:space="0" w:color="auto"/>
            </w:tcBorders>
            <w:shd w:val="clear" w:color="auto" w:fill="auto"/>
            <w:noWrap/>
            <w:hideMark/>
          </w:tcPr>
          <w:p w14:paraId="7D4D7D57"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-0.46 to 0.31</w:t>
            </w:r>
          </w:p>
        </w:tc>
        <w:tc>
          <w:tcPr>
            <w:tcW w:w="1985" w:type="dxa"/>
            <w:tcBorders>
              <w:top w:val="nil"/>
              <w:left w:val="nil"/>
              <w:bottom w:val="single" w:sz="4" w:space="0" w:color="auto"/>
              <w:right w:val="single" w:sz="4" w:space="0" w:color="auto"/>
            </w:tcBorders>
            <w:shd w:val="clear" w:color="auto" w:fill="auto"/>
            <w:noWrap/>
            <w:hideMark/>
          </w:tcPr>
          <w:p w14:paraId="20CE63C0"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Small study effect</w:t>
            </w:r>
          </w:p>
        </w:tc>
        <w:tc>
          <w:tcPr>
            <w:tcW w:w="1134" w:type="dxa"/>
            <w:tcBorders>
              <w:top w:val="nil"/>
              <w:left w:val="nil"/>
              <w:bottom w:val="single" w:sz="4" w:space="0" w:color="auto"/>
              <w:right w:val="single" w:sz="4" w:space="0" w:color="auto"/>
            </w:tcBorders>
            <w:shd w:val="clear" w:color="auto" w:fill="auto"/>
            <w:noWrap/>
            <w:hideMark/>
          </w:tcPr>
          <w:p w14:paraId="28D57B04"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Critically low</w:t>
            </w:r>
          </w:p>
        </w:tc>
        <w:tc>
          <w:tcPr>
            <w:tcW w:w="902" w:type="dxa"/>
            <w:tcBorders>
              <w:top w:val="nil"/>
              <w:left w:val="nil"/>
              <w:bottom w:val="single" w:sz="4" w:space="0" w:color="auto"/>
              <w:right w:val="single" w:sz="4" w:space="0" w:color="auto"/>
            </w:tcBorders>
          </w:tcPr>
          <w:p w14:paraId="20DD201F"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hint="eastAsia"/>
                <w:color w:val="000000"/>
                <w:kern w:val="0"/>
                <w:sz w:val="16"/>
                <w:szCs w:val="16"/>
              </w:rPr>
              <w:t>Very low</w:t>
            </w:r>
          </w:p>
        </w:tc>
      </w:tr>
      <w:tr w:rsidR="00394B52" w:rsidRPr="00394B52" w14:paraId="3A0C4B75" w14:textId="77777777" w:rsidTr="00E01118">
        <w:trPr>
          <w:trHeight w:val="296"/>
        </w:trPr>
        <w:tc>
          <w:tcPr>
            <w:tcW w:w="1801" w:type="dxa"/>
            <w:tcBorders>
              <w:top w:val="nil"/>
              <w:left w:val="single" w:sz="4" w:space="0" w:color="auto"/>
              <w:bottom w:val="single" w:sz="4" w:space="0" w:color="auto"/>
              <w:right w:val="single" w:sz="4" w:space="0" w:color="auto"/>
            </w:tcBorders>
            <w:shd w:val="clear" w:color="auto" w:fill="auto"/>
            <w:noWrap/>
            <w:hideMark/>
          </w:tcPr>
          <w:p w14:paraId="74C0D9EE"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Docosahexaenoic acid</w:t>
            </w:r>
          </w:p>
        </w:tc>
        <w:tc>
          <w:tcPr>
            <w:tcW w:w="1171" w:type="dxa"/>
            <w:tcBorders>
              <w:top w:val="nil"/>
              <w:left w:val="nil"/>
              <w:bottom w:val="single" w:sz="4" w:space="0" w:color="auto"/>
              <w:right w:val="single" w:sz="4" w:space="0" w:color="auto"/>
            </w:tcBorders>
            <w:shd w:val="clear" w:color="auto" w:fill="auto"/>
            <w:noWrap/>
            <w:hideMark/>
          </w:tcPr>
          <w:p w14:paraId="25756930"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Lin 2017</w:t>
            </w:r>
          </w:p>
        </w:tc>
        <w:tc>
          <w:tcPr>
            <w:tcW w:w="992" w:type="dxa"/>
            <w:tcBorders>
              <w:top w:val="nil"/>
              <w:left w:val="nil"/>
              <w:bottom w:val="single" w:sz="4" w:space="0" w:color="auto"/>
              <w:right w:val="single" w:sz="4" w:space="0" w:color="auto"/>
            </w:tcBorders>
            <w:shd w:val="clear" w:color="auto" w:fill="auto"/>
            <w:noWrap/>
            <w:hideMark/>
          </w:tcPr>
          <w:p w14:paraId="2451154E"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215 / 1793</w:t>
            </w:r>
          </w:p>
        </w:tc>
        <w:tc>
          <w:tcPr>
            <w:tcW w:w="829" w:type="dxa"/>
            <w:tcBorders>
              <w:top w:val="nil"/>
              <w:left w:val="nil"/>
              <w:bottom w:val="single" w:sz="4" w:space="0" w:color="auto"/>
              <w:right w:val="single" w:sz="4" w:space="0" w:color="auto"/>
            </w:tcBorders>
            <w:shd w:val="clear" w:color="auto" w:fill="auto"/>
            <w:noWrap/>
            <w:hideMark/>
          </w:tcPr>
          <w:p w14:paraId="55AB1405"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w:t>
            </w:r>
          </w:p>
        </w:tc>
        <w:tc>
          <w:tcPr>
            <w:tcW w:w="1679" w:type="dxa"/>
            <w:tcBorders>
              <w:top w:val="nil"/>
              <w:left w:val="nil"/>
              <w:bottom w:val="single" w:sz="4" w:space="0" w:color="auto"/>
              <w:right w:val="single" w:sz="4" w:space="0" w:color="auto"/>
            </w:tcBorders>
            <w:shd w:val="clear" w:color="auto" w:fill="auto"/>
            <w:noWrap/>
            <w:hideMark/>
          </w:tcPr>
          <w:p w14:paraId="1F2BF6FC"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Cohort, case-control</w:t>
            </w:r>
          </w:p>
        </w:tc>
        <w:tc>
          <w:tcPr>
            <w:tcW w:w="851" w:type="dxa"/>
            <w:tcBorders>
              <w:top w:val="nil"/>
              <w:left w:val="nil"/>
              <w:bottom w:val="single" w:sz="4" w:space="0" w:color="auto"/>
              <w:right w:val="single" w:sz="4" w:space="0" w:color="auto"/>
            </w:tcBorders>
            <w:shd w:val="clear" w:color="auto" w:fill="auto"/>
            <w:noWrap/>
            <w:hideMark/>
          </w:tcPr>
          <w:p w14:paraId="74AEDBFD"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Hedges' g</w:t>
            </w:r>
          </w:p>
        </w:tc>
        <w:tc>
          <w:tcPr>
            <w:tcW w:w="1559" w:type="dxa"/>
            <w:tcBorders>
              <w:top w:val="nil"/>
              <w:left w:val="nil"/>
              <w:bottom w:val="single" w:sz="4" w:space="0" w:color="auto"/>
              <w:right w:val="single" w:sz="4" w:space="0" w:color="auto"/>
            </w:tcBorders>
            <w:shd w:val="clear" w:color="auto" w:fill="auto"/>
            <w:noWrap/>
            <w:hideMark/>
          </w:tcPr>
          <w:p w14:paraId="733A6CD2"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-0.2 (-0.49 to 0.08)</w:t>
            </w:r>
          </w:p>
        </w:tc>
        <w:tc>
          <w:tcPr>
            <w:tcW w:w="992" w:type="dxa"/>
            <w:tcBorders>
              <w:top w:val="nil"/>
              <w:left w:val="nil"/>
              <w:bottom w:val="single" w:sz="4" w:space="0" w:color="auto"/>
              <w:right w:val="single" w:sz="4" w:space="0" w:color="auto"/>
            </w:tcBorders>
            <w:shd w:val="clear" w:color="auto" w:fill="auto"/>
            <w:noWrap/>
            <w:hideMark/>
          </w:tcPr>
          <w:p w14:paraId="236DB47E"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0.17</w:t>
            </w:r>
          </w:p>
        </w:tc>
        <w:tc>
          <w:tcPr>
            <w:tcW w:w="586" w:type="dxa"/>
            <w:tcBorders>
              <w:top w:val="nil"/>
              <w:left w:val="nil"/>
              <w:bottom w:val="single" w:sz="4" w:space="0" w:color="auto"/>
              <w:right w:val="single" w:sz="4" w:space="0" w:color="auto"/>
            </w:tcBorders>
            <w:shd w:val="clear" w:color="auto" w:fill="auto"/>
            <w:noWrap/>
            <w:hideMark/>
          </w:tcPr>
          <w:p w14:paraId="42B21785"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66%</w:t>
            </w:r>
          </w:p>
        </w:tc>
        <w:tc>
          <w:tcPr>
            <w:tcW w:w="1115" w:type="dxa"/>
            <w:tcBorders>
              <w:top w:val="nil"/>
              <w:left w:val="nil"/>
              <w:bottom w:val="single" w:sz="4" w:space="0" w:color="auto"/>
              <w:right w:val="single" w:sz="4" w:space="0" w:color="auto"/>
            </w:tcBorders>
            <w:shd w:val="clear" w:color="auto" w:fill="auto"/>
            <w:noWrap/>
            <w:hideMark/>
          </w:tcPr>
          <w:p w14:paraId="453D29AD"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-1.06 to 0.66</w:t>
            </w:r>
          </w:p>
        </w:tc>
        <w:tc>
          <w:tcPr>
            <w:tcW w:w="1985" w:type="dxa"/>
            <w:tcBorders>
              <w:top w:val="nil"/>
              <w:left w:val="nil"/>
              <w:bottom w:val="single" w:sz="4" w:space="0" w:color="auto"/>
              <w:right w:val="single" w:sz="4" w:space="0" w:color="auto"/>
            </w:tcBorders>
            <w:shd w:val="clear" w:color="auto" w:fill="auto"/>
            <w:noWrap/>
            <w:hideMark/>
          </w:tcPr>
          <w:p w14:paraId="56749BF3"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w:t>
            </w:r>
          </w:p>
        </w:tc>
        <w:tc>
          <w:tcPr>
            <w:tcW w:w="1134" w:type="dxa"/>
            <w:tcBorders>
              <w:top w:val="nil"/>
              <w:left w:val="nil"/>
              <w:bottom w:val="single" w:sz="4" w:space="0" w:color="auto"/>
              <w:right w:val="single" w:sz="4" w:space="0" w:color="auto"/>
            </w:tcBorders>
            <w:shd w:val="clear" w:color="auto" w:fill="auto"/>
            <w:noWrap/>
            <w:hideMark/>
          </w:tcPr>
          <w:p w14:paraId="528FABC4"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Critically low</w:t>
            </w:r>
          </w:p>
        </w:tc>
        <w:tc>
          <w:tcPr>
            <w:tcW w:w="902" w:type="dxa"/>
            <w:tcBorders>
              <w:top w:val="nil"/>
              <w:left w:val="nil"/>
              <w:bottom w:val="single" w:sz="4" w:space="0" w:color="auto"/>
              <w:right w:val="single" w:sz="4" w:space="0" w:color="auto"/>
            </w:tcBorders>
          </w:tcPr>
          <w:p w14:paraId="6CBD6D05"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hint="eastAsia"/>
                <w:color w:val="000000"/>
                <w:kern w:val="0"/>
                <w:sz w:val="16"/>
                <w:szCs w:val="16"/>
              </w:rPr>
              <w:t>Low</w:t>
            </w:r>
          </w:p>
        </w:tc>
      </w:tr>
      <w:tr w:rsidR="00394B52" w:rsidRPr="00394B52" w14:paraId="48B28D6C" w14:textId="77777777" w:rsidTr="00E01118">
        <w:trPr>
          <w:trHeight w:val="296"/>
        </w:trPr>
        <w:tc>
          <w:tcPr>
            <w:tcW w:w="1801" w:type="dxa"/>
            <w:tcBorders>
              <w:top w:val="nil"/>
              <w:left w:val="single" w:sz="4" w:space="0" w:color="auto"/>
              <w:bottom w:val="single" w:sz="4" w:space="0" w:color="auto"/>
              <w:right w:val="single" w:sz="4" w:space="0" w:color="auto"/>
            </w:tcBorders>
            <w:shd w:val="clear" w:color="auto" w:fill="auto"/>
            <w:noWrap/>
            <w:hideMark/>
          </w:tcPr>
          <w:p w14:paraId="04B79E0D"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Total omega-3 acid</w:t>
            </w:r>
          </w:p>
        </w:tc>
        <w:tc>
          <w:tcPr>
            <w:tcW w:w="1171" w:type="dxa"/>
            <w:tcBorders>
              <w:top w:val="nil"/>
              <w:left w:val="nil"/>
              <w:bottom w:val="single" w:sz="4" w:space="0" w:color="auto"/>
              <w:right w:val="single" w:sz="4" w:space="0" w:color="auto"/>
            </w:tcBorders>
            <w:shd w:val="clear" w:color="auto" w:fill="auto"/>
            <w:noWrap/>
            <w:hideMark/>
          </w:tcPr>
          <w:p w14:paraId="13370456"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Lin 2017</w:t>
            </w:r>
          </w:p>
        </w:tc>
        <w:tc>
          <w:tcPr>
            <w:tcW w:w="992" w:type="dxa"/>
            <w:tcBorders>
              <w:top w:val="nil"/>
              <w:left w:val="nil"/>
              <w:bottom w:val="single" w:sz="4" w:space="0" w:color="auto"/>
              <w:right w:val="single" w:sz="4" w:space="0" w:color="auto"/>
            </w:tcBorders>
            <w:shd w:val="clear" w:color="auto" w:fill="auto"/>
            <w:noWrap/>
            <w:hideMark/>
          </w:tcPr>
          <w:p w14:paraId="40ADFFC7"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215 / 1793</w:t>
            </w:r>
          </w:p>
        </w:tc>
        <w:tc>
          <w:tcPr>
            <w:tcW w:w="829" w:type="dxa"/>
            <w:tcBorders>
              <w:top w:val="nil"/>
              <w:left w:val="nil"/>
              <w:bottom w:val="single" w:sz="4" w:space="0" w:color="auto"/>
              <w:right w:val="single" w:sz="4" w:space="0" w:color="auto"/>
            </w:tcBorders>
            <w:shd w:val="clear" w:color="auto" w:fill="auto"/>
            <w:noWrap/>
            <w:hideMark/>
          </w:tcPr>
          <w:p w14:paraId="6E3A5965"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w:t>
            </w:r>
          </w:p>
        </w:tc>
        <w:tc>
          <w:tcPr>
            <w:tcW w:w="1679" w:type="dxa"/>
            <w:tcBorders>
              <w:top w:val="nil"/>
              <w:left w:val="nil"/>
              <w:bottom w:val="single" w:sz="4" w:space="0" w:color="auto"/>
              <w:right w:val="single" w:sz="4" w:space="0" w:color="auto"/>
            </w:tcBorders>
            <w:shd w:val="clear" w:color="auto" w:fill="auto"/>
            <w:noWrap/>
            <w:hideMark/>
          </w:tcPr>
          <w:p w14:paraId="4F846B4E"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Cohort, case-control</w:t>
            </w:r>
          </w:p>
        </w:tc>
        <w:tc>
          <w:tcPr>
            <w:tcW w:w="851" w:type="dxa"/>
            <w:tcBorders>
              <w:top w:val="nil"/>
              <w:left w:val="nil"/>
              <w:bottom w:val="single" w:sz="4" w:space="0" w:color="auto"/>
              <w:right w:val="single" w:sz="4" w:space="0" w:color="auto"/>
            </w:tcBorders>
            <w:shd w:val="clear" w:color="auto" w:fill="auto"/>
            <w:noWrap/>
            <w:hideMark/>
          </w:tcPr>
          <w:p w14:paraId="261573AB"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Hedges' g</w:t>
            </w:r>
          </w:p>
        </w:tc>
        <w:tc>
          <w:tcPr>
            <w:tcW w:w="1559" w:type="dxa"/>
            <w:tcBorders>
              <w:top w:val="nil"/>
              <w:left w:val="nil"/>
              <w:bottom w:val="single" w:sz="4" w:space="0" w:color="auto"/>
              <w:right w:val="single" w:sz="4" w:space="0" w:color="auto"/>
            </w:tcBorders>
            <w:shd w:val="clear" w:color="auto" w:fill="auto"/>
            <w:noWrap/>
            <w:hideMark/>
          </w:tcPr>
          <w:p w14:paraId="200322EB"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-0.24 (-0.51 to 0.03)</w:t>
            </w:r>
          </w:p>
        </w:tc>
        <w:tc>
          <w:tcPr>
            <w:tcW w:w="992" w:type="dxa"/>
            <w:tcBorders>
              <w:top w:val="nil"/>
              <w:left w:val="nil"/>
              <w:bottom w:val="single" w:sz="4" w:space="0" w:color="auto"/>
              <w:right w:val="single" w:sz="4" w:space="0" w:color="auto"/>
            </w:tcBorders>
            <w:shd w:val="clear" w:color="auto" w:fill="auto"/>
            <w:noWrap/>
            <w:hideMark/>
          </w:tcPr>
          <w:p w14:paraId="335F42E6"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0.085</w:t>
            </w:r>
          </w:p>
        </w:tc>
        <w:tc>
          <w:tcPr>
            <w:tcW w:w="586" w:type="dxa"/>
            <w:tcBorders>
              <w:top w:val="nil"/>
              <w:left w:val="nil"/>
              <w:bottom w:val="single" w:sz="4" w:space="0" w:color="auto"/>
              <w:right w:val="single" w:sz="4" w:space="0" w:color="auto"/>
            </w:tcBorders>
            <w:shd w:val="clear" w:color="auto" w:fill="auto"/>
            <w:noWrap/>
            <w:hideMark/>
          </w:tcPr>
          <w:p w14:paraId="68964DDD"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63%</w:t>
            </w:r>
          </w:p>
        </w:tc>
        <w:tc>
          <w:tcPr>
            <w:tcW w:w="1115" w:type="dxa"/>
            <w:tcBorders>
              <w:top w:val="nil"/>
              <w:left w:val="nil"/>
              <w:bottom w:val="single" w:sz="4" w:space="0" w:color="auto"/>
              <w:right w:val="single" w:sz="4" w:space="0" w:color="auto"/>
            </w:tcBorders>
            <w:shd w:val="clear" w:color="auto" w:fill="auto"/>
            <w:noWrap/>
            <w:hideMark/>
          </w:tcPr>
          <w:p w14:paraId="69360F18"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-1.04 to 0.56</w:t>
            </w:r>
          </w:p>
        </w:tc>
        <w:tc>
          <w:tcPr>
            <w:tcW w:w="1985" w:type="dxa"/>
            <w:tcBorders>
              <w:top w:val="nil"/>
              <w:left w:val="nil"/>
              <w:bottom w:val="single" w:sz="4" w:space="0" w:color="auto"/>
              <w:right w:val="single" w:sz="4" w:space="0" w:color="auto"/>
            </w:tcBorders>
            <w:shd w:val="clear" w:color="auto" w:fill="auto"/>
            <w:noWrap/>
            <w:hideMark/>
          </w:tcPr>
          <w:p w14:paraId="59EDF691"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small study effect</w:t>
            </w:r>
          </w:p>
        </w:tc>
        <w:tc>
          <w:tcPr>
            <w:tcW w:w="1134" w:type="dxa"/>
            <w:tcBorders>
              <w:top w:val="nil"/>
              <w:left w:val="nil"/>
              <w:bottom w:val="single" w:sz="4" w:space="0" w:color="auto"/>
              <w:right w:val="single" w:sz="4" w:space="0" w:color="auto"/>
            </w:tcBorders>
            <w:shd w:val="clear" w:color="auto" w:fill="auto"/>
            <w:noWrap/>
            <w:hideMark/>
          </w:tcPr>
          <w:p w14:paraId="1918F344"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Critically low</w:t>
            </w:r>
          </w:p>
        </w:tc>
        <w:tc>
          <w:tcPr>
            <w:tcW w:w="902" w:type="dxa"/>
            <w:tcBorders>
              <w:top w:val="nil"/>
              <w:left w:val="nil"/>
              <w:bottom w:val="single" w:sz="4" w:space="0" w:color="auto"/>
              <w:right w:val="single" w:sz="4" w:space="0" w:color="auto"/>
            </w:tcBorders>
          </w:tcPr>
          <w:p w14:paraId="6D394254"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hint="eastAsia"/>
                <w:color w:val="000000"/>
                <w:kern w:val="0"/>
                <w:sz w:val="16"/>
                <w:szCs w:val="16"/>
              </w:rPr>
              <w:t>Very low</w:t>
            </w:r>
          </w:p>
        </w:tc>
      </w:tr>
      <w:tr w:rsidR="00394B52" w:rsidRPr="00394B52" w14:paraId="5C10B206" w14:textId="77777777" w:rsidTr="00E01118">
        <w:trPr>
          <w:trHeight w:val="689"/>
        </w:trPr>
        <w:tc>
          <w:tcPr>
            <w:tcW w:w="15596" w:type="dxa"/>
            <w:gridSpan w:val="13"/>
            <w:tcBorders>
              <w:top w:val="single" w:sz="4" w:space="0" w:color="auto"/>
              <w:left w:val="single" w:sz="4" w:space="0" w:color="auto"/>
              <w:bottom w:val="single" w:sz="4" w:space="0" w:color="auto"/>
              <w:right w:val="single" w:sz="4" w:space="0" w:color="000000"/>
            </w:tcBorders>
          </w:tcPr>
          <w:p w14:paraId="04E83A49" w14:textId="77777777" w:rsidR="00394B52" w:rsidRPr="00394B52" w:rsidRDefault="00394B52" w:rsidP="00394B52">
            <w:pPr>
              <w:widowControl/>
              <w:wordWrap/>
              <w:autoSpaceDE/>
              <w:autoSpaceDN/>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All statistical tests are two-sided.</w:t>
            </w:r>
            <w:r w:rsidRPr="00394B52">
              <w:rPr>
                <w:rFonts w:ascii="Times New Roman" w:eastAsia="Malgun Gothic" w:hAnsi="Times New Roman" w:cs="Times New Roman"/>
                <w:color w:val="000000"/>
                <w:kern w:val="0"/>
                <w:sz w:val="16"/>
                <w:szCs w:val="16"/>
              </w:rPr>
              <w:br/>
              <w:t xml:space="preserve">Abbreviations: AMSTAR 2, A Measurement Tool to Assess Systematic Reviews 2; CI, confidence interval; GRADE, Grading of Recommendations, Assessment, Development and Evaluations; </w:t>
            </w:r>
            <w:proofErr w:type="gramStart"/>
            <w:r w:rsidRPr="00394B52">
              <w:rPr>
                <w:rFonts w:ascii="Times New Roman" w:eastAsia="Malgun Gothic" w:hAnsi="Times New Roman" w:cs="Times New Roman"/>
                <w:color w:val="000000"/>
                <w:kern w:val="0"/>
                <w:sz w:val="16"/>
                <w:szCs w:val="16"/>
              </w:rPr>
              <w:t>OR,</w:t>
            </w:r>
            <w:proofErr w:type="gramEnd"/>
            <w:r w:rsidRPr="00394B52">
              <w:rPr>
                <w:rFonts w:ascii="Times New Roman" w:eastAsia="Malgun Gothic" w:hAnsi="Times New Roman" w:cs="Times New Roman"/>
                <w:color w:val="000000"/>
                <w:kern w:val="0"/>
                <w:sz w:val="16"/>
                <w:szCs w:val="16"/>
              </w:rPr>
              <w:t xml:space="preserve"> odds ratio; RR, relative risk</w:t>
            </w:r>
          </w:p>
        </w:tc>
      </w:tr>
    </w:tbl>
    <w:p w14:paraId="078A702B" w14:textId="77777777" w:rsidR="00394B52" w:rsidRPr="00394B52" w:rsidRDefault="00394B52" w:rsidP="00394B52">
      <w:pPr>
        <w:widowControl/>
        <w:wordWrap/>
        <w:autoSpaceDE/>
        <w:autoSpaceDN/>
        <w:rPr>
          <w:rFonts w:ascii="Times New Roman" w:hAnsi="Times New Roman" w:cs="Times New Roman"/>
          <w:b/>
          <w:bCs/>
        </w:rPr>
      </w:pPr>
      <w:r w:rsidRPr="00394B52">
        <w:rPr>
          <w:rFonts w:ascii="Times New Roman" w:hAnsi="Times New Roman" w:cs="Times New Roman"/>
          <w:b/>
          <w:bCs/>
        </w:rPr>
        <w:lastRenderedPageBreak/>
        <w:t>Table S2. Sensitivity analyses of associations graded as convincing (class I) or highly suggestive (class II)</w:t>
      </w:r>
    </w:p>
    <w:tbl>
      <w:tblPr>
        <w:tblW w:w="15389" w:type="dxa"/>
        <w:tblLayout w:type="fixed"/>
        <w:tblCellMar>
          <w:left w:w="99" w:type="dxa"/>
          <w:right w:w="99" w:type="dxa"/>
        </w:tblCellMar>
        <w:tblLook w:val="04A0" w:firstRow="1" w:lastRow="0" w:firstColumn="1" w:lastColumn="0" w:noHBand="0" w:noVBand="1"/>
      </w:tblPr>
      <w:tblGrid>
        <w:gridCol w:w="2263"/>
        <w:gridCol w:w="1304"/>
        <w:gridCol w:w="1247"/>
        <w:gridCol w:w="850"/>
        <w:gridCol w:w="737"/>
        <w:gridCol w:w="1474"/>
        <w:gridCol w:w="964"/>
        <w:gridCol w:w="530"/>
        <w:gridCol w:w="1020"/>
        <w:gridCol w:w="2222"/>
        <w:gridCol w:w="2778"/>
      </w:tblGrid>
      <w:tr w:rsidR="00394B52" w:rsidRPr="00394B52" w14:paraId="42B22FD8" w14:textId="77777777" w:rsidTr="00E01118">
        <w:trPr>
          <w:trHeight w:val="612"/>
        </w:trPr>
        <w:tc>
          <w:tcPr>
            <w:tcW w:w="2263" w:type="dxa"/>
            <w:tcBorders>
              <w:top w:val="single" w:sz="4" w:space="0" w:color="auto"/>
              <w:left w:val="single" w:sz="4" w:space="0" w:color="auto"/>
              <w:bottom w:val="single" w:sz="4" w:space="0" w:color="auto"/>
              <w:right w:val="single" w:sz="4" w:space="0" w:color="auto"/>
            </w:tcBorders>
            <w:shd w:val="clear" w:color="auto" w:fill="auto"/>
            <w:hideMark/>
          </w:tcPr>
          <w:p w14:paraId="64FDC8E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Exposure</w:t>
            </w:r>
          </w:p>
        </w:tc>
        <w:tc>
          <w:tcPr>
            <w:tcW w:w="1304" w:type="dxa"/>
            <w:tcBorders>
              <w:top w:val="single" w:sz="4" w:space="0" w:color="auto"/>
              <w:left w:val="nil"/>
              <w:bottom w:val="single" w:sz="4" w:space="0" w:color="auto"/>
              <w:right w:val="single" w:sz="4" w:space="0" w:color="auto"/>
            </w:tcBorders>
            <w:shd w:val="clear" w:color="auto" w:fill="auto"/>
            <w:hideMark/>
          </w:tcPr>
          <w:p w14:paraId="771066D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Author, year</w:t>
            </w:r>
          </w:p>
        </w:tc>
        <w:tc>
          <w:tcPr>
            <w:tcW w:w="1247" w:type="dxa"/>
            <w:tcBorders>
              <w:top w:val="single" w:sz="4" w:space="0" w:color="auto"/>
              <w:left w:val="nil"/>
              <w:bottom w:val="single" w:sz="4" w:space="0" w:color="auto"/>
              <w:right w:val="single" w:sz="4" w:space="0" w:color="auto"/>
            </w:tcBorders>
            <w:shd w:val="clear" w:color="auto" w:fill="auto"/>
            <w:hideMark/>
          </w:tcPr>
          <w:p w14:paraId="4B45E65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Number of cases / total population</w:t>
            </w:r>
          </w:p>
        </w:tc>
        <w:tc>
          <w:tcPr>
            <w:tcW w:w="850" w:type="dxa"/>
            <w:tcBorders>
              <w:top w:val="single" w:sz="4" w:space="0" w:color="auto"/>
              <w:left w:val="nil"/>
              <w:bottom w:val="single" w:sz="4" w:space="0" w:color="auto"/>
              <w:right w:val="single" w:sz="4" w:space="0" w:color="auto"/>
            </w:tcBorders>
            <w:shd w:val="clear" w:color="auto" w:fill="auto"/>
            <w:hideMark/>
          </w:tcPr>
          <w:p w14:paraId="53A1DC3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Number of study estimates</w:t>
            </w:r>
          </w:p>
        </w:tc>
        <w:tc>
          <w:tcPr>
            <w:tcW w:w="737" w:type="dxa"/>
            <w:tcBorders>
              <w:top w:val="single" w:sz="4" w:space="0" w:color="auto"/>
              <w:left w:val="nil"/>
              <w:bottom w:val="single" w:sz="4" w:space="0" w:color="auto"/>
              <w:right w:val="single" w:sz="4" w:space="0" w:color="auto"/>
            </w:tcBorders>
            <w:shd w:val="clear" w:color="auto" w:fill="auto"/>
            <w:hideMark/>
          </w:tcPr>
          <w:p w14:paraId="0388F5B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Effect metrics</w:t>
            </w:r>
          </w:p>
        </w:tc>
        <w:tc>
          <w:tcPr>
            <w:tcW w:w="1474" w:type="dxa"/>
            <w:tcBorders>
              <w:top w:val="single" w:sz="4" w:space="0" w:color="auto"/>
              <w:left w:val="nil"/>
              <w:bottom w:val="single" w:sz="4" w:space="0" w:color="auto"/>
              <w:right w:val="single" w:sz="4" w:space="0" w:color="auto"/>
            </w:tcBorders>
            <w:shd w:val="clear" w:color="auto" w:fill="auto"/>
            <w:hideMark/>
          </w:tcPr>
          <w:p w14:paraId="3846D32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Random effects summary estimate (95% CI)</w:t>
            </w:r>
          </w:p>
        </w:tc>
        <w:tc>
          <w:tcPr>
            <w:tcW w:w="964" w:type="dxa"/>
            <w:tcBorders>
              <w:top w:val="single" w:sz="4" w:space="0" w:color="auto"/>
              <w:left w:val="nil"/>
              <w:bottom w:val="single" w:sz="4" w:space="0" w:color="auto"/>
              <w:right w:val="single" w:sz="4" w:space="0" w:color="auto"/>
            </w:tcBorders>
            <w:shd w:val="clear" w:color="auto" w:fill="auto"/>
            <w:hideMark/>
          </w:tcPr>
          <w:p w14:paraId="10206EE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Random effects p-value</w:t>
            </w:r>
          </w:p>
        </w:tc>
        <w:tc>
          <w:tcPr>
            <w:tcW w:w="530" w:type="dxa"/>
            <w:tcBorders>
              <w:top w:val="single" w:sz="4" w:space="0" w:color="auto"/>
              <w:left w:val="nil"/>
              <w:bottom w:val="single" w:sz="4" w:space="0" w:color="auto"/>
              <w:right w:val="single" w:sz="4" w:space="0" w:color="auto"/>
            </w:tcBorders>
            <w:shd w:val="clear" w:color="auto" w:fill="auto"/>
            <w:hideMark/>
          </w:tcPr>
          <w:p w14:paraId="474BF3B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i/>
                <w:iCs/>
                <w:color w:val="000000"/>
                <w:kern w:val="0"/>
                <w:sz w:val="16"/>
                <w:szCs w:val="16"/>
              </w:rPr>
            </w:pPr>
            <w:r w:rsidRPr="00394B52">
              <w:rPr>
                <w:rFonts w:ascii="Times New Roman" w:eastAsia="Malgun Gothic" w:hAnsi="Times New Roman" w:cs="Times New Roman"/>
                <w:b/>
                <w:bCs/>
                <w:i/>
                <w:iCs/>
                <w:color w:val="000000"/>
                <w:kern w:val="0"/>
                <w:sz w:val="16"/>
                <w:szCs w:val="16"/>
              </w:rPr>
              <w:t>I</w:t>
            </w:r>
            <w:r w:rsidRPr="00394B52">
              <w:rPr>
                <w:rFonts w:ascii="Times New Roman" w:eastAsia="Malgun Gothic" w:hAnsi="Times New Roman" w:cs="Times New Roman"/>
                <w:b/>
                <w:bCs/>
                <w:i/>
                <w:iCs/>
                <w:color w:val="000000"/>
                <w:kern w:val="0"/>
                <w:sz w:val="16"/>
                <w:szCs w:val="16"/>
                <w:vertAlign w:val="superscript"/>
              </w:rPr>
              <w:t>2</w:t>
            </w:r>
          </w:p>
        </w:tc>
        <w:tc>
          <w:tcPr>
            <w:tcW w:w="1020" w:type="dxa"/>
            <w:tcBorders>
              <w:top w:val="single" w:sz="4" w:space="0" w:color="auto"/>
              <w:left w:val="nil"/>
              <w:bottom w:val="single" w:sz="4" w:space="0" w:color="auto"/>
              <w:right w:val="single" w:sz="4" w:space="0" w:color="auto"/>
            </w:tcBorders>
            <w:shd w:val="clear" w:color="auto" w:fill="auto"/>
            <w:hideMark/>
          </w:tcPr>
          <w:p w14:paraId="47D215E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95% prediction interval</w:t>
            </w:r>
          </w:p>
        </w:tc>
        <w:tc>
          <w:tcPr>
            <w:tcW w:w="2222" w:type="dxa"/>
            <w:tcBorders>
              <w:top w:val="single" w:sz="4" w:space="0" w:color="auto"/>
              <w:left w:val="nil"/>
              <w:bottom w:val="single" w:sz="4" w:space="0" w:color="auto"/>
              <w:right w:val="single" w:sz="4" w:space="0" w:color="auto"/>
            </w:tcBorders>
            <w:shd w:val="clear" w:color="auto" w:fill="auto"/>
            <w:hideMark/>
          </w:tcPr>
          <w:p w14:paraId="619F88B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Large heterogeneity, small study effect, loss of significance under 10% credibility ceiling, or evidential value not found under p curve analysis</w:t>
            </w:r>
          </w:p>
        </w:tc>
        <w:tc>
          <w:tcPr>
            <w:tcW w:w="2778" w:type="dxa"/>
            <w:tcBorders>
              <w:top w:val="single" w:sz="4" w:space="0" w:color="auto"/>
              <w:left w:val="nil"/>
              <w:bottom w:val="single" w:sz="4" w:space="0" w:color="auto"/>
              <w:right w:val="single" w:sz="4" w:space="0" w:color="auto"/>
            </w:tcBorders>
            <w:shd w:val="clear" w:color="auto" w:fill="auto"/>
            <w:hideMark/>
          </w:tcPr>
          <w:p w14:paraId="404C1AF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Level of evidence</w:t>
            </w:r>
          </w:p>
        </w:tc>
      </w:tr>
      <w:tr w:rsidR="00394B52" w:rsidRPr="00394B52" w14:paraId="2E16745D" w14:textId="77777777" w:rsidTr="00E01118">
        <w:trPr>
          <w:trHeight w:val="276"/>
        </w:trPr>
        <w:tc>
          <w:tcPr>
            <w:tcW w:w="15389" w:type="dxa"/>
            <w:gridSpan w:val="11"/>
            <w:tcBorders>
              <w:top w:val="nil"/>
              <w:left w:val="single" w:sz="4" w:space="0" w:color="auto"/>
              <w:bottom w:val="single" w:sz="4" w:space="0" w:color="auto"/>
              <w:right w:val="single" w:sz="4" w:space="0" w:color="auto"/>
            </w:tcBorders>
            <w:shd w:val="clear" w:color="auto" w:fill="auto"/>
            <w:noWrap/>
          </w:tcPr>
          <w:p w14:paraId="48E2565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After excluding individual studies using low cut-off symptom score</w:t>
            </w:r>
          </w:p>
        </w:tc>
      </w:tr>
      <w:tr w:rsidR="00394B52" w:rsidRPr="00394B52" w14:paraId="549F6B00"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2E7ACED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Antenatal anxiety</w:t>
            </w:r>
          </w:p>
        </w:tc>
        <w:tc>
          <w:tcPr>
            <w:tcW w:w="1304" w:type="dxa"/>
            <w:tcBorders>
              <w:top w:val="nil"/>
              <w:left w:val="nil"/>
              <w:bottom w:val="single" w:sz="4" w:space="0" w:color="auto"/>
              <w:right w:val="single" w:sz="4" w:space="0" w:color="auto"/>
            </w:tcBorders>
            <w:shd w:val="clear" w:color="auto" w:fill="auto"/>
            <w:noWrap/>
            <w:hideMark/>
          </w:tcPr>
          <w:p w14:paraId="385D79F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Grigoriadis</w:t>
            </w:r>
            <w:proofErr w:type="spellEnd"/>
            <w:r w:rsidRPr="00394B52">
              <w:rPr>
                <w:rFonts w:ascii="Times New Roman" w:eastAsia="Malgun Gothic" w:hAnsi="Times New Roman" w:cs="Times New Roman"/>
                <w:color w:val="000000"/>
                <w:kern w:val="0"/>
                <w:sz w:val="16"/>
                <w:szCs w:val="16"/>
              </w:rPr>
              <w:t xml:space="preserve"> 2019</w:t>
            </w:r>
          </w:p>
        </w:tc>
        <w:tc>
          <w:tcPr>
            <w:tcW w:w="1247" w:type="dxa"/>
            <w:tcBorders>
              <w:top w:val="nil"/>
              <w:left w:val="nil"/>
              <w:bottom w:val="single" w:sz="4" w:space="0" w:color="auto"/>
              <w:right w:val="single" w:sz="4" w:space="0" w:color="auto"/>
            </w:tcBorders>
            <w:shd w:val="clear" w:color="auto" w:fill="auto"/>
            <w:noWrap/>
            <w:hideMark/>
          </w:tcPr>
          <w:p w14:paraId="751C3E6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1023 / 11 758</w:t>
            </w:r>
          </w:p>
        </w:tc>
        <w:tc>
          <w:tcPr>
            <w:tcW w:w="850" w:type="dxa"/>
            <w:tcBorders>
              <w:top w:val="nil"/>
              <w:left w:val="nil"/>
              <w:bottom w:val="single" w:sz="4" w:space="0" w:color="auto"/>
              <w:right w:val="single" w:sz="4" w:space="0" w:color="auto"/>
            </w:tcBorders>
            <w:shd w:val="clear" w:color="auto" w:fill="auto"/>
            <w:noWrap/>
            <w:hideMark/>
          </w:tcPr>
          <w:p w14:paraId="57941C6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7</w:t>
            </w:r>
          </w:p>
        </w:tc>
        <w:tc>
          <w:tcPr>
            <w:tcW w:w="737" w:type="dxa"/>
            <w:tcBorders>
              <w:top w:val="nil"/>
              <w:left w:val="nil"/>
              <w:bottom w:val="single" w:sz="4" w:space="0" w:color="auto"/>
              <w:right w:val="single" w:sz="4" w:space="0" w:color="auto"/>
            </w:tcBorders>
            <w:shd w:val="clear" w:color="auto" w:fill="auto"/>
            <w:noWrap/>
            <w:hideMark/>
          </w:tcPr>
          <w:p w14:paraId="6811E9B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1240E77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2·49 (1·91 to 3·25)</w:t>
            </w:r>
          </w:p>
        </w:tc>
        <w:tc>
          <w:tcPr>
            <w:tcW w:w="964" w:type="dxa"/>
            <w:tcBorders>
              <w:top w:val="nil"/>
              <w:left w:val="nil"/>
              <w:bottom w:val="single" w:sz="4" w:space="0" w:color="auto"/>
              <w:right w:val="single" w:sz="4" w:space="0" w:color="auto"/>
            </w:tcBorders>
            <w:shd w:val="clear" w:color="auto" w:fill="auto"/>
            <w:noWrap/>
            <w:hideMark/>
          </w:tcPr>
          <w:p w14:paraId="5EFC274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 000001</w:t>
            </w:r>
          </w:p>
        </w:tc>
        <w:tc>
          <w:tcPr>
            <w:tcW w:w="530" w:type="dxa"/>
            <w:tcBorders>
              <w:top w:val="nil"/>
              <w:left w:val="nil"/>
              <w:bottom w:val="single" w:sz="4" w:space="0" w:color="auto"/>
              <w:right w:val="single" w:sz="4" w:space="0" w:color="auto"/>
            </w:tcBorders>
            <w:shd w:val="clear" w:color="auto" w:fill="auto"/>
            <w:noWrap/>
            <w:hideMark/>
          </w:tcPr>
          <w:p w14:paraId="0A7BBC5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12%</w:t>
            </w:r>
          </w:p>
        </w:tc>
        <w:tc>
          <w:tcPr>
            <w:tcW w:w="1020" w:type="dxa"/>
            <w:tcBorders>
              <w:top w:val="nil"/>
              <w:left w:val="nil"/>
              <w:bottom w:val="single" w:sz="4" w:space="0" w:color="auto"/>
              <w:right w:val="single" w:sz="4" w:space="0" w:color="auto"/>
            </w:tcBorders>
            <w:shd w:val="clear" w:color="auto" w:fill="auto"/>
            <w:noWrap/>
            <w:hideMark/>
          </w:tcPr>
          <w:p w14:paraId="47F51E8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1·54 to 4·04</w:t>
            </w:r>
          </w:p>
        </w:tc>
        <w:tc>
          <w:tcPr>
            <w:tcW w:w="2222" w:type="dxa"/>
            <w:tcBorders>
              <w:top w:val="nil"/>
              <w:left w:val="nil"/>
              <w:bottom w:val="single" w:sz="4" w:space="0" w:color="auto"/>
              <w:right w:val="single" w:sz="4" w:space="0" w:color="auto"/>
            </w:tcBorders>
            <w:shd w:val="clear" w:color="auto" w:fill="auto"/>
            <w:noWrap/>
            <w:hideMark/>
          </w:tcPr>
          <w:p w14:paraId="21A0575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None</w:t>
            </w:r>
          </w:p>
        </w:tc>
        <w:tc>
          <w:tcPr>
            <w:tcW w:w="2778" w:type="dxa"/>
            <w:tcBorders>
              <w:top w:val="nil"/>
              <w:left w:val="nil"/>
              <w:bottom w:val="single" w:sz="4" w:space="0" w:color="auto"/>
              <w:right w:val="single" w:sz="4" w:space="0" w:color="auto"/>
            </w:tcBorders>
            <w:shd w:val="clear" w:color="auto" w:fill="auto"/>
            <w:noWrap/>
            <w:hideMark/>
          </w:tcPr>
          <w:p w14:paraId="1F427C1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Convincing retained</w:t>
            </w:r>
          </w:p>
        </w:tc>
      </w:tr>
      <w:tr w:rsidR="00394B52" w:rsidRPr="00394B52" w14:paraId="470771A5"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02D8C76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Psychological violence</w:t>
            </w:r>
          </w:p>
        </w:tc>
        <w:tc>
          <w:tcPr>
            <w:tcW w:w="1304" w:type="dxa"/>
            <w:tcBorders>
              <w:top w:val="nil"/>
              <w:left w:val="nil"/>
              <w:bottom w:val="single" w:sz="4" w:space="0" w:color="auto"/>
              <w:right w:val="single" w:sz="4" w:space="0" w:color="auto"/>
            </w:tcBorders>
            <w:shd w:val="clear" w:color="auto" w:fill="auto"/>
            <w:noWrap/>
            <w:hideMark/>
          </w:tcPr>
          <w:p w14:paraId="516588B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Zhang 2019</w:t>
            </w:r>
          </w:p>
        </w:tc>
        <w:tc>
          <w:tcPr>
            <w:tcW w:w="1247" w:type="dxa"/>
            <w:tcBorders>
              <w:top w:val="nil"/>
              <w:left w:val="nil"/>
              <w:bottom w:val="single" w:sz="4" w:space="0" w:color="auto"/>
              <w:right w:val="single" w:sz="4" w:space="0" w:color="auto"/>
            </w:tcBorders>
            <w:shd w:val="clear" w:color="auto" w:fill="auto"/>
            <w:noWrap/>
            <w:hideMark/>
          </w:tcPr>
          <w:p w14:paraId="3F39A77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1018 / 6067</w:t>
            </w:r>
          </w:p>
        </w:tc>
        <w:tc>
          <w:tcPr>
            <w:tcW w:w="850" w:type="dxa"/>
            <w:tcBorders>
              <w:top w:val="nil"/>
              <w:left w:val="nil"/>
              <w:bottom w:val="single" w:sz="4" w:space="0" w:color="auto"/>
              <w:right w:val="single" w:sz="4" w:space="0" w:color="auto"/>
            </w:tcBorders>
            <w:shd w:val="clear" w:color="auto" w:fill="auto"/>
            <w:noWrap/>
            <w:hideMark/>
          </w:tcPr>
          <w:p w14:paraId="21DAAE2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7</w:t>
            </w:r>
          </w:p>
        </w:tc>
        <w:tc>
          <w:tcPr>
            <w:tcW w:w="737" w:type="dxa"/>
            <w:tcBorders>
              <w:top w:val="nil"/>
              <w:left w:val="nil"/>
              <w:bottom w:val="single" w:sz="4" w:space="0" w:color="auto"/>
              <w:right w:val="single" w:sz="4" w:space="0" w:color="auto"/>
            </w:tcBorders>
            <w:shd w:val="clear" w:color="auto" w:fill="auto"/>
            <w:noWrap/>
            <w:hideMark/>
          </w:tcPr>
          <w:p w14:paraId="5D57651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7CCEA85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2·05 (1.51 to 2·78)</w:t>
            </w:r>
          </w:p>
        </w:tc>
        <w:tc>
          <w:tcPr>
            <w:tcW w:w="964" w:type="dxa"/>
            <w:tcBorders>
              <w:top w:val="nil"/>
              <w:left w:val="nil"/>
              <w:bottom w:val="single" w:sz="4" w:space="0" w:color="auto"/>
              <w:right w:val="single" w:sz="4" w:space="0" w:color="auto"/>
            </w:tcBorders>
            <w:shd w:val="clear" w:color="auto" w:fill="auto"/>
            <w:noWrap/>
            <w:hideMark/>
          </w:tcPr>
          <w:p w14:paraId="1F1C917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0·000004</w:t>
            </w:r>
          </w:p>
        </w:tc>
        <w:tc>
          <w:tcPr>
            <w:tcW w:w="530" w:type="dxa"/>
            <w:tcBorders>
              <w:top w:val="nil"/>
              <w:left w:val="nil"/>
              <w:bottom w:val="single" w:sz="4" w:space="0" w:color="auto"/>
              <w:right w:val="single" w:sz="4" w:space="0" w:color="auto"/>
            </w:tcBorders>
            <w:shd w:val="clear" w:color="auto" w:fill="auto"/>
            <w:noWrap/>
            <w:hideMark/>
          </w:tcPr>
          <w:p w14:paraId="2605018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43%</w:t>
            </w:r>
          </w:p>
        </w:tc>
        <w:tc>
          <w:tcPr>
            <w:tcW w:w="1020" w:type="dxa"/>
            <w:tcBorders>
              <w:top w:val="nil"/>
              <w:left w:val="nil"/>
              <w:bottom w:val="single" w:sz="4" w:space="0" w:color="auto"/>
              <w:right w:val="single" w:sz="4" w:space="0" w:color="auto"/>
            </w:tcBorders>
            <w:shd w:val="clear" w:color="auto" w:fill="auto"/>
            <w:noWrap/>
            <w:hideMark/>
          </w:tcPr>
          <w:p w14:paraId="29198C7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0·95 to 4·43</w:t>
            </w:r>
          </w:p>
        </w:tc>
        <w:tc>
          <w:tcPr>
            <w:tcW w:w="2222" w:type="dxa"/>
            <w:tcBorders>
              <w:top w:val="nil"/>
              <w:left w:val="nil"/>
              <w:bottom w:val="single" w:sz="4" w:space="0" w:color="auto"/>
              <w:right w:val="single" w:sz="4" w:space="0" w:color="auto"/>
            </w:tcBorders>
            <w:shd w:val="clear" w:color="auto" w:fill="auto"/>
            <w:noWrap/>
            <w:hideMark/>
          </w:tcPr>
          <w:p w14:paraId="542D751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None</w:t>
            </w:r>
          </w:p>
        </w:tc>
        <w:tc>
          <w:tcPr>
            <w:tcW w:w="2778" w:type="dxa"/>
            <w:tcBorders>
              <w:top w:val="nil"/>
              <w:left w:val="nil"/>
              <w:bottom w:val="single" w:sz="4" w:space="0" w:color="auto"/>
              <w:right w:val="single" w:sz="4" w:space="0" w:color="auto"/>
            </w:tcBorders>
            <w:shd w:val="clear" w:color="auto" w:fill="auto"/>
            <w:noWrap/>
            <w:hideMark/>
          </w:tcPr>
          <w:p w14:paraId="6EF1A30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Convincing to suggestive</w:t>
            </w:r>
          </w:p>
        </w:tc>
      </w:tr>
      <w:tr w:rsidR="00394B52" w:rsidRPr="00394B52" w14:paraId="6F37A466"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039FB2C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Intimate partner violence experience</w:t>
            </w:r>
          </w:p>
        </w:tc>
        <w:tc>
          <w:tcPr>
            <w:tcW w:w="1304" w:type="dxa"/>
            <w:tcBorders>
              <w:top w:val="nil"/>
              <w:left w:val="nil"/>
              <w:bottom w:val="single" w:sz="4" w:space="0" w:color="auto"/>
              <w:right w:val="single" w:sz="4" w:space="0" w:color="auto"/>
            </w:tcBorders>
            <w:shd w:val="clear" w:color="auto" w:fill="auto"/>
            <w:noWrap/>
            <w:hideMark/>
          </w:tcPr>
          <w:p w14:paraId="2099CB4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Howard 2013</w:t>
            </w:r>
          </w:p>
        </w:tc>
        <w:tc>
          <w:tcPr>
            <w:tcW w:w="1247" w:type="dxa"/>
            <w:tcBorders>
              <w:top w:val="nil"/>
              <w:left w:val="nil"/>
              <w:bottom w:val="single" w:sz="4" w:space="0" w:color="auto"/>
              <w:right w:val="single" w:sz="4" w:space="0" w:color="auto"/>
            </w:tcBorders>
            <w:shd w:val="clear" w:color="auto" w:fill="auto"/>
            <w:noWrap/>
            <w:hideMark/>
          </w:tcPr>
          <w:p w14:paraId="4718B7A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1055 / 7078</w:t>
            </w:r>
          </w:p>
        </w:tc>
        <w:tc>
          <w:tcPr>
            <w:tcW w:w="850" w:type="dxa"/>
            <w:tcBorders>
              <w:top w:val="nil"/>
              <w:left w:val="nil"/>
              <w:bottom w:val="single" w:sz="4" w:space="0" w:color="auto"/>
              <w:right w:val="single" w:sz="4" w:space="0" w:color="auto"/>
            </w:tcBorders>
            <w:shd w:val="clear" w:color="auto" w:fill="auto"/>
            <w:noWrap/>
            <w:hideMark/>
          </w:tcPr>
          <w:p w14:paraId="1A4AD02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11</w:t>
            </w:r>
          </w:p>
        </w:tc>
        <w:tc>
          <w:tcPr>
            <w:tcW w:w="737" w:type="dxa"/>
            <w:tcBorders>
              <w:top w:val="nil"/>
              <w:left w:val="nil"/>
              <w:bottom w:val="single" w:sz="4" w:space="0" w:color="auto"/>
              <w:right w:val="single" w:sz="4" w:space="0" w:color="auto"/>
            </w:tcBorders>
            <w:shd w:val="clear" w:color="auto" w:fill="auto"/>
            <w:noWrap/>
            <w:hideMark/>
          </w:tcPr>
          <w:p w14:paraId="4320F28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620567B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2·93 (2.09 to 4·12)</w:t>
            </w:r>
          </w:p>
        </w:tc>
        <w:tc>
          <w:tcPr>
            <w:tcW w:w="964" w:type="dxa"/>
            <w:tcBorders>
              <w:top w:val="nil"/>
              <w:left w:val="nil"/>
              <w:bottom w:val="single" w:sz="4" w:space="0" w:color="auto"/>
              <w:right w:val="single" w:sz="4" w:space="0" w:color="auto"/>
            </w:tcBorders>
            <w:shd w:val="clear" w:color="auto" w:fill="auto"/>
            <w:noWrap/>
            <w:hideMark/>
          </w:tcPr>
          <w:p w14:paraId="046860D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3358335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61%</w:t>
            </w:r>
          </w:p>
        </w:tc>
        <w:tc>
          <w:tcPr>
            <w:tcW w:w="1020" w:type="dxa"/>
            <w:tcBorders>
              <w:top w:val="nil"/>
              <w:left w:val="nil"/>
              <w:bottom w:val="single" w:sz="4" w:space="0" w:color="auto"/>
              <w:right w:val="single" w:sz="4" w:space="0" w:color="auto"/>
            </w:tcBorders>
            <w:shd w:val="clear" w:color="auto" w:fill="auto"/>
            <w:noWrap/>
            <w:hideMark/>
          </w:tcPr>
          <w:p w14:paraId="59B711A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1·05 to 8·16</w:t>
            </w:r>
          </w:p>
        </w:tc>
        <w:tc>
          <w:tcPr>
            <w:tcW w:w="2222" w:type="dxa"/>
            <w:tcBorders>
              <w:top w:val="nil"/>
              <w:left w:val="nil"/>
              <w:bottom w:val="single" w:sz="4" w:space="0" w:color="auto"/>
              <w:right w:val="single" w:sz="4" w:space="0" w:color="auto"/>
            </w:tcBorders>
            <w:shd w:val="clear" w:color="auto" w:fill="auto"/>
            <w:noWrap/>
            <w:hideMark/>
          </w:tcPr>
          <w:p w14:paraId="5F2E486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small study effect</w:t>
            </w:r>
          </w:p>
        </w:tc>
        <w:tc>
          <w:tcPr>
            <w:tcW w:w="2778" w:type="dxa"/>
            <w:tcBorders>
              <w:top w:val="nil"/>
              <w:left w:val="nil"/>
              <w:bottom w:val="single" w:sz="4" w:space="0" w:color="auto"/>
              <w:right w:val="single" w:sz="4" w:space="0" w:color="auto"/>
            </w:tcBorders>
            <w:shd w:val="clear" w:color="auto" w:fill="auto"/>
            <w:noWrap/>
            <w:hideMark/>
          </w:tcPr>
          <w:p w14:paraId="0D9D865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4BBDB679"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44AAD35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Intimate partner violence during pregnancy</w:t>
            </w:r>
          </w:p>
        </w:tc>
        <w:tc>
          <w:tcPr>
            <w:tcW w:w="1304" w:type="dxa"/>
            <w:tcBorders>
              <w:top w:val="nil"/>
              <w:left w:val="nil"/>
              <w:bottom w:val="single" w:sz="4" w:space="0" w:color="auto"/>
              <w:right w:val="single" w:sz="4" w:space="0" w:color="auto"/>
            </w:tcBorders>
            <w:shd w:val="clear" w:color="auto" w:fill="auto"/>
            <w:noWrap/>
            <w:hideMark/>
          </w:tcPr>
          <w:p w14:paraId="687B8FC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Beydoun</w:t>
            </w:r>
            <w:proofErr w:type="spellEnd"/>
            <w:r w:rsidRPr="00394B52">
              <w:rPr>
                <w:rFonts w:ascii="Times New Roman" w:eastAsia="Malgun Gothic" w:hAnsi="Times New Roman" w:cs="Times New Roman"/>
                <w:color w:val="000000"/>
                <w:kern w:val="0"/>
                <w:sz w:val="16"/>
                <w:szCs w:val="16"/>
              </w:rPr>
              <w:t xml:space="preserve"> 2012</w:t>
            </w:r>
          </w:p>
        </w:tc>
        <w:tc>
          <w:tcPr>
            <w:tcW w:w="1247" w:type="dxa"/>
            <w:tcBorders>
              <w:top w:val="nil"/>
              <w:left w:val="nil"/>
              <w:bottom w:val="single" w:sz="4" w:space="0" w:color="auto"/>
              <w:right w:val="single" w:sz="4" w:space="0" w:color="auto"/>
            </w:tcBorders>
            <w:shd w:val="clear" w:color="auto" w:fill="auto"/>
            <w:noWrap/>
            <w:hideMark/>
          </w:tcPr>
          <w:p w14:paraId="674845F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4024 / 19 022</w:t>
            </w:r>
          </w:p>
        </w:tc>
        <w:tc>
          <w:tcPr>
            <w:tcW w:w="850" w:type="dxa"/>
            <w:tcBorders>
              <w:top w:val="nil"/>
              <w:left w:val="nil"/>
              <w:bottom w:val="single" w:sz="4" w:space="0" w:color="auto"/>
              <w:right w:val="single" w:sz="4" w:space="0" w:color="auto"/>
            </w:tcBorders>
            <w:shd w:val="clear" w:color="auto" w:fill="auto"/>
            <w:noWrap/>
            <w:hideMark/>
          </w:tcPr>
          <w:p w14:paraId="5AB22D0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15</w:t>
            </w:r>
          </w:p>
        </w:tc>
        <w:tc>
          <w:tcPr>
            <w:tcW w:w="737" w:type="dxa"/>
            <w:tcBorders>
              <w:top w:val="nil"/>
              <w:left w:val="nil"/>
              <w:bottom w:val="single" w:sz="4" w:space="0" w:color="auto"/>
              <w:right w:val="single" w:sz="4" w:space="0" w:color="auto"/>
            </w:tcBorders>
            <w:shd w:val="clear" w:color="auto" w:fill="auto"/>
            <w:noWrap/>
            <w:hideMark/>
          </w:tcPr>
          <w:p w14:paraId="0075C31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RR</w:t>
            </w:r>
          </w:p>
        </w:tc>
        <w:tc>
          <w:tcPr>
            <w:tcW w:w="1474" w:type="dxa"/>
            <w:tcBorders>
              <w:top w:val="nil"/>
              <w:left w:val="nil"/>
              <w:bottom w:val="single" w:sz="4" w:space="0" w:color="auto"/>
              <w:right w:val="single" w:sz="4" w:space="0" w:color="auto"/>
            </w:tcBorders>
            <w:shd w:val="clear" w:color="auto" w:fill="auto"/>
            <w:noWrap/>
            <w:hideMark/>
          </w:tcPr>
          <w:p w14:paraId="40C99AD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3·12 (2.26 to 4·31)</w:t>
            </w:r>
          </w:p>
        </w:tc>
        <w:tc>
          <w:tcPr>
            <w:tcW w:w="964" w:type="dxa"/>
            <w:tcBorders>
              <w:top w:val="nil"/>
              <w:left w:val="nil"/>
              <w:bottom w:val="single" w:sz="4" w:space="0" w:color="auto"/>
              <w:right w:val="single" w:sz="4" w:space="0" w:color="auto"/>
            </w:tcBorders>
            <w:shd w:val="clear" w:color="auto" w:fill="auto"/>
            <w:noWrap/>
            <w:hideMark/>
          </w:tcPr>
          <w:p w14:paraId="1145723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303B539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88%</w:t>
            </w:r>
          </w:p>
        </w:tc>
        <w:tc>
          <w:tcPr>
            <w:tcW w:w="1020" w:type="dxa"/>
            <w:tcBorders>
              <w:top w:val="nil"/>
              <w:left w:val="nil"/>
              <w:bottom w:val="single" w:sz="4" w:space="0" w:color="auto"/>
              <w:right w:val="single" w:sz="4" w:space="0" w:color="auto"/>
            </w:tcBorders>
            <w:shd w:val="clear" w:color="auto" w:fill="auto"/>
            <w:noWrap/>
            <w:hideMark/>
          </w:tcPr>
          <w:p w14:paraId="6F0296C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0·85 to 11·4</w:t>
            </w:r>
          </w:p>
        </w:tc>
        <w:tc>
          <w:tcPr>
            <w:tcW w:w="2222" w:type="dxa"/>
            <w:tcBorders>
              <w:top w:val="nil"/>
              <w:left w:val="nil"/>
              <w:bottom w:val="single" w:sz="4" w:space="0" w:color="auto"/>
              <w:right w:val="single" w:sz="4" w:space="0" w:color="auto"/>
            </w:tcBorders>
            <w:shd w:val="clear" w:color="auto" w:fill="auto"/>
            <w:noWrap/>
            <w:hideMark/>
          </w:tcPr>
          <w:p w14:paraId="515E4E3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small study effect</w:t>
            </w:r>
          </w:p>
        </w:tc>
        <w:tc>
          <w:tcPr>
            <w:tcW w:w="2778" w:type="dxa"/>
            <w:tcBorders>
              <w:top w:val="nil"/>
              <w:left w:val="nil"/>
              <w:bottom w:val="single" w:sz="4" w:space="0" w:color="auto"/>
              <w:right w:val="single" w:sz="4" w:space="0" w:color="auto"/>
            </w:tcBorders>
            <w:shd w:val="clear" w:color="auto" w:fill="auto"/>
            <w:noWrap/>
            <w:hideMark/>
          </w:tcPr>
          <w:p w14:paraId="29EB879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41849370"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480E1B2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Smoking during pregnancy</w:t>
            </w:r>
          </w:p>
        </w:tc>
        <w:tc>
          <w:tcPr>
            <w:tcW w:w="1304" w:type="dxa"/>
            <w:tcBorders>
              <w:top w:val="nil"/>
              <w:left w:val="nil"/>
              <w:bottom w:val="single" w:sz="4" w:space="0" w:color="auto"/>
              <w:right w:val="single" w:sz="4" w:space="0" w:color="auto"/>
            </w:tcBorders>
            <w:shd w:val="clear" w:color="auto" w:fill="auto"/>
            <w:noWrap/>
            <w:hideMark/>
          </w:tcPr>
          <w:p w14:paraId="6034367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Chen 2019</w:t>
            </w:r>
          </w:p>
        </w:tc>
        <w:tc>
          <w:tcPr>
            <w:tcW w:w="1247" w:type="dxa"/>
            <w:tcBorders>
              <w:top w:val="nil"/>
              <w:left w:val="nil"/>
              <w:bottom w:val="single" w:sz="4" w:space="0" w:color="auto"/>
              <w:right w:val="single" w:sz="4" w:space="0" w:color="auto"/>
            </w:tcBorders>
            <w:shd w:val="clear" w:color="auto" w:fill="auto"/>
            <w:noWrap/>
            <w:hideMark/>
          </w:tcPr>
          <w:p w14:paraId="4E19DC1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2466 / 1 424 800</w:t>
            </w:r>
          </w:p>
        </w:tc>
        <w:tc>
          <w:tcPr>
            <w:tcW w:w="850" w:type="dxa"/>
            <w:tcBorders>
              <w:top w:val="nil"/>
              <w:left w:val="nil"/>
              <w:bottom w:val="single" w:sz="4" w:space="0" w:color="auto"/>
              <w:right w:val="single" w:sz="4" w:space="0" w:color="auto"/>
            </w:tcBorders>
            <w:shd w:val="clear" w:color="auto" w:fill="auto"/>
            <w:noWrap/>
            <w:hideMark/>
          </w:tcPr>
          <w:p w14:paraId="511CC03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11</w:t>
            </w:r>
          </w:p>
        </w:tc>
        <w:tc>
          <w:tcPr>
            <w:tcW w:w="737" w:type="dxa"/>
            <w:tcBorders>
              <w:top w:val="nil"/>
              <w:left w:val="nil"/>
              <w:bottom w:val="single" w:sz="4" w:space="0" w:color="auto"/>
              <w:right w:val="single" w:sz="4" w:space="0" w:color="auto"/>
            </w:tcBorders>
            <w:shd w:val="clear" w:color="auto" w:fill="auto"/>
            <w:noWrap/>
            <w:hideMark/>
          </w:tcPr>
          <w:p w14:paraId="570796E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59345B2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2·39 (1.78 to 3·2)</w:t>
            </w:r>
          </w:p>
        </w:tc>
        <w:tc>
          <w:tcPr>
            <w:tcW w:w="964" w:type="dxa"/>
            <w:tcBorders>
              <w:top w:val="nil"/>
              <w:left w:val="nil"/>
              <w:bottom w:val="single" w:sz="4" w:space="0" w:color="auto"/>
              <w:right w:val="single" w:sz="4" w:space="0" w:color="auto"/>
            </w:tcBorders>
            <w:shd w:val="clear" w:color="auto" w:fill="auto"/>
            <w:noWrap/>
            <w:hideMark/>
          </w:tcPr>
          <w:p w14:paraId="489ACFF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762867C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80%</w:t>
            </w:r>
          </w:p>
        </w:tc>
        <w:tc>
          <w:tcPr>
            <w:tcW w:w="1020" w:type="dxa"/>
            <w:tcBorders>
              <w:top w:val="nil"/>
              <w:left w:val="nil"/>
              <w:bottom w:val="single" w:sz="4" w:space="0" w:color="auto"/>
              <w:right w:val="single" w:sz="4" w:space="0" w:color="auto"/>
            </w:tcBorders>
            <w:shd w:val="clear" w:color="auto" w:fill="auto"/>
            <w:noWrap/>
            <w:hideMark/>
          </w:tcPr>
          <w:p w14:paraId="0721461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0·88 to 6·45</w:t>
            </w:r>
          </w:p>
        </w:tc>
        <w:tc>
          <w:tcPr>
            <w:tcW w:w="2222" w:type="dxa"/>
            <w:tcBorders>
              <w:top w:val="nil"/>
              <w:left w:val="nil"/>
              <w:bottom w:val="single" w:sz="4" w:space="0" w:color="auto"/>
              <w:right w:val="single" w:sz="4" w:space="0" w:color="auto"/>
            </w:tcBorders>
            <w:shd w:val="clear" w:color="auto" w:fill="auto"/>
            <w:noWrap/>
            <w:hideMark/>
          </w:tcPr>
          <w:p w14:paraId="228A6DE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w:t>
            </w:r>
          </w:p>
        </w:tc>
        <w:tc>
          <w:tcPr>
            <w:tcW w:w="2778" w:type="dxa"/>
            <w:tcBorders>
              <w:top w:val="nil"/>
              <w:left w:val="nil"/>
              <w:bottom w:val="single" w:sz="4" w:space="0" w:color="auto"/>
              <w:right w:val="single" w:sz="4" w:space="0" w:color="auto"/>
            </w:tcBorders>
            <w:shd w:val="clear" w:color="auto" w:fill="auto"/>
            <w:noWrap/>
            <w:hideMark/>
          </w:tcPr>
          <w:p w14:paraId="33A7A57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0DE3D435"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1619002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History of premenstrual syndrome</w:t>
            </w:r>
          </w:p>
        </w:tc>
        <w:tc>
          <w:tcPr>
            <w:tcW w:w="1304" w:type="dxa"/>
            <w:tcBorders>
              <w:top w:val="nil"/>
              <w:left w:val="nil"/>
              <w:bottom w:val="single" w:sz="4" w:space="0" w:color="auto"/>
              <w:right w:val="single" w:sz="4" w:space="0" w:color="auto"/>
            </w:tcBorders>
            <w:shd w:val="clear" w:color="auto" w:fill="auto"/>
            <w:noWrap/>
            <w:hideMark/>
          </w:tcPr>
          <w:p w14:paraId="582801E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Cao 2020</w:t>
            </w:r>
          </w:p>
        </w:tc>
        <w:tc>
          <w:tcPr>
            <w:tcW w:w="1247" w:type="dxa"/>
            <w:tcBorders>
              <w:top w:val="nil"/>
              <w:left w:val="nil"/>
              <w:bottom w:val="single" w:sz="4" w:space="0" w:color="auto"/>
              <w:right w:val="single" w:sz="4" w:space="0" w:color="auto"/>
            </w:tcBorders>
            <w:shd w:val="clear" w:color="auto" w:fill="auto"/>
            <w:noWrap/>
            <w:hideMark/>
          </w:tcPr>
          <w:p w14:paraId="11DCFE8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1400 / 7573</w:t>
            </w:r>
          </w:p>
        </w:tc>
        <w:tc>
          <w:tcPr>
            <w:tcW w:w="850" w:type="dxa"/>
            <w:tcBorders>
              <w:top w:val="nil"/>
              <w:left w:val="nil"/>
              <w:bottom w:val="single" w:sz="4" w:space="0" w:color="auto"/>
              <w:right w:val="single" w:sz="4" w:space="0" w:color="auto"/>
            </w:tcBorders>
            <w:shd w:val="clear" w:color="auto" w:fill="auto"/>
            <w:noWrap/>
            <w:hideMark/>
          </w:tcPr>
          <w:p w14:paraId="661DB9E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18</w:t>
            </w:r>
          </w:p>
        </w:tc>
        <w:tc>
          <w:tcPr>
            <w:tcW w:w="737" w:type="dxa"/>
            <w:tcBorders>
              <w:top w:val="nil"/>
              <w:left w:val="nil"/>
              <w:bottom w:val="single" w:sz="4" w:space="0" w:color="auto"/>
              <w:right w:val="single" w:sz="4" w:space="0" w:color="auto"/>
            </w:tcBorders>
            <w:shd w:val="clear" w:color="auto" w:fill="auto"/>
            <w:noWrap/>
            <w:hideMark/>
          </w:tcPr>
          <w:p w14:paraId="1D713DC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1C5C3FA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2·27 (1.84 to 2·82)</w:t>
            </w:r>
          </w:p>
        </w:tc>
        <w:tc>
          <w:tcPr>
            <w:tcW w:w="964" w:type="dxa"/>
            <w:tcBorders>
              <w:top w:val="nil"/>
              <w:left w:val="nil"/>
              <w:bottom w:val="single" w:sz="4" w:space="0" w:color="auto"/>
              <w:right w:val="single" w:sz="4" w:space="0" w:color="auto"/>
            </w:tcBorders>
            <w:shd w:val="clear" w:color="auto" w:fill="auto"/>
            <w:noWrap/>
            <w:hideMark/>
          </w:tcPr>
          <w:p w14:paraId="1A03D32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1FC72F1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44%</w:t>
            </w:r>
          </w:p>
        </w:tc>
        <w:tc>
          <w:tcPr>
            <w:tcW w:w="1020" w:type="dxa"/>
            <w:tcBorders>
              <w:top w:val="nil"/>
              <w:left w:val="nil"/>
              <w:bottom w:val="single" w:sz="4" w:space="0" w:color="auto"/>
              <w:right w:val="single" w:sz="4" w:space="0" w:color="auto"/>
            </w:tcBorders>
            <w:shd w:val="clear" w:color="auto" w:fill="auto"/>
            <w:noWrap/>
            <w:hideMark/>
          </w:tcPr>
          <w:p w14:paraId="3766759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1·19 to 4·36</w:t>
            </w:r>
          </w:p>
        </w:tc>
        <w:tc>
          <w:tcPr>
            <w:tcW w:w="2222" w:type="dxa"/>
            <w:tcBorders>
              <w:top w:val="nil"/>
              <w:left w:val="nil"/>
              <w:bottom w:val="single" w:sz="4" w:space="0" w:color="auto"/>
              <w:right w:val="single" w:sz="4" w:space="0" w:color="auto"/>
            </w:tcBorders>
            <w:shd w:val="clear" w:color="auto" w:fill="auto"/>
            <w:noWrap/>
            <w:hideMark/>
          </w:tcPr>
          <w:p w14:paraId="70BA4C2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Small study effect</w:t>
            </w:r>
          </w:p>
        </w:tc>
        <w:tc>
          <w:tcPr>
            <w:tcW w:w="2778" w:type="dxa"/>
            <w:tcBorders>
              <w:top w:val="nil"/>
              <w:left w:val="nil"/>
              <w:bottom w:val="single" w:sz="4" w:space="0" w:color="auto"/>
              <w:right w:val="single" w:sz="4" w:space="0" w:color="auto"/>
            </w:tcBorders>
            <w:shd w:val="clear" w:color="auto" w:fill="auto"/>
            <w:noWrap/>
            <w:hideMark/>
          </w:tcPr>
          <w:p w14:paraId="3608E27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433DE0BC"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7850AFD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Any type of violence experience</w:t>
            </w:r>
          </w:p>
        </w:tc>
        <w:tc>
          <w:tcPr>
            <w:tcW w:w="1304" w:type="dxa"/>
            <w:tcBorders>
              <w:top w:val="nil"/>
              <w:left w:val="nil"/>
              <w:bottom w:val="single" w:sz="4" w:space="0" w:color="auto"/>
              <w:right w:val="single" w:sz="4" w:space="0" w:color="auto"/>
            </w:tcBorders>
            <w:shd w:val="clear" w:color="auto" w:fill="auto"/>
            <w:noWrap/>
            <w:hideMark/>
          </w:tcPr>
          <w:p w14:paraId="4A76F35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Zhang 2019</w:t>
            </w:r>
          </w:p>
        </w:tc>
        <w:tc>
          <w:tcPr>
            <w:tcW w:w="1247" w:type="dxa"/>
            <w:tcBorders>
              <w:top w:val="nil"/>
              <w:left w:val="nil"/>
              <w:bottom w:val="single" w:sz="4" w:space="0" w:color="auto"/>
              <w:right w:val="single" w:sz="4" w:space="0" w:color="auto"/>
            </w:tcBorders>
            <w:shd w:val="clear" w:color="auto" w:fill="auto"/>
            <w:noWrap/>
            <w:hideMark/>
          </w:tcPr>
          <w:p w14:paraId="5061626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11 056 / 122 705</w:t>
            </w:r>
          </w:p>
        </w:tc>
        <w:tc>
          <w:tcPr>
            <w:tcW w:w="850" w:type="dxa"/>
            <w:tcBorders>
              <w:top w:val="nil"/>
              <w:left w:val="nil"/>
              <w:bottom w:val="single" w:sz="4" w:space="0" w:color="auto"/>
              <w:right w:val="single" w:sz="4" w:space="0" w:color="auto"/>
            </w:tcBorders>
            <w:shd w:val="clear" w:color="auto" w:fill="auto"/>
            <w:noWrap/>
            <w:hideMark/>
          </w:tcPr>
          <w:p w14:paraId="4308426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30</w:t>
            </w:r>
          </w:p>
        </w:tc>
        <w:tc>
          <w:tcPr>
            <w:tcW w:w="737" w:type="dxa"/>
            <w:tcBorders>
              <w:top w:val="nil"/>
              <w:left w:val="nil"/>
              <w:bottom w:val="single" w:sz="4" w:space="0" w:color="auto"/>
              <w:right w:val="single" w:sz="4" w:space="0" w:color="auto"/>
            </w:tcBorders>
            <w:shd w:val="clear" w:color="auto" w:fill="auto"/>
            <w:noWrap/>
            <w:hideMark/>
          </w:tcPr>
          <w:p w14:paraId="2EE7A25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074AA27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2·1 (1.71 to 2·58)</w:t>
            </w:r>
          </w:p>
        </w:tc>
        <w:tc>
          <w:tcPr>
            <w:tcW w:w="964" w:type="dxa"/>
            <w:tcBorders>
              <w:top w:val="nil"/>
              <w:left w:val="nil"/>
              <w:bottom w:val="single" w:sz="4" w:space="0" w:color="auto"/>
              <w:right w:val="single" w:sz="4" w:space="0" w:color="auto"/>
            </w:tcBorders>
            <w:shd w:val="clear" w:color="auto" w:fill="auto"/>
            <w:noWrap/>
            <w:hideMark/>
          </w:tcPr>
          <w:p w14:paraId="5546988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1057285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93%</w:t>
            </w:r>
          </w:p>
        </w:tc>
        <w:tc>
          <w:tcPr>
            <w:tcW w:w="1020" w:type="dxa"/>
            <w:tcBorders>
              <w:top w:val="nil"/>
              <w:left w:val="nil"/>
              <w:bottom w:val="single" w:sz="4" w:space="0" w:color="auto"/>
              <w:right w:val="single" w:sz="4" w:space="0" w:color="auto"/>
            </w:tcBorders>
            <w:shd w:val="clear" w:color="auto" w:fill="auto"/>
            <w:noWrap/>
            <w:hideMark/>
          </w:tcPr>
          <w:p w14:paraId="7AB3B0F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0·74 to 5·95</w:t>
            </w:r>
          </w:p>
        </w:tc>
        <w:tc>
          <w:tcPr>
            <w:tcW w:w="2222" w:type="dxa"/>
            <w:tcBorders>
              <w:top w:val="nil"/>
              <w:left w:val="nil"/>
              <w:bottom w:val="single" w:sz="4" w:space="0" w:color="auto"/>
              <w:right w:val="single" w:sz="4" w:space="0" w:color="auto"/>
            </w:tcBorders>
            <w:shd w:val="clear" w:color="auto" w:fill="auto"/>
            <w:noWrap/>
            <w:hideMark/>
          </w:tcPr>
          <w:p w14:paraId="5A994E1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small study effect</w:t>
            </w:r>
          </w:p>
        </w:tc>
        <w:tc>
          <w:tcPr>
            <w:tcW w:w="2778" w:type="dxa"/>
            <w:tcBorders>
              <w:top w:val="nil"/>
              <w:left w:val="nil"/>
              <w:bottom w:val="single" w:sz="4" w:space="0" w:color="auto"/>
              <w:right w:val="single" w:sz="4" w:space="0" w:color="auto"/>
            </w:tcBorders>
            <w:shd w:val="clear" w:color="auto" w:fill="auto"/>
            <w:noWrap/>
            <w:hideMark/>
          </w:tcPr>
          <w:p w14:paraId="4654EE1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457CFDE8"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37E36EF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Primiparity compared to multiparity</w:t>
            </w:r>
          </w:p>
        </w:tc>
        <w:tc>
          <w:tcPr>
            <w:tcW w:w="1304" w:type="dxa"/>
            <w:tcBorders>
              <w:top w:val="nil"/>
              <w:left w:val="nil"/>
              <w:bottom w:val="single" w:sz="4" w:space="0" w:color="auto"/>
              <w:right w:val="single" w:sz="4" w:space="0" w:color="auto"/>
            </w:tcBorders>
            <w:shd w:val="clear" w:color="auto" w:fill="auto"/>
            <w:noWrap/>
            <w:hideMark/>
          </w:tcPr>
          <w:p w14:paraId="2B254F2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Tokumitsu</w:t>
            </w:r>
            <w:proofErr w:type="spellEnd"/>
            <w:r w:rsidRPr="00394B52">
              <w:rPr>
                <w:rFonts w:ascii="Times New Roman" w:eastAsia="Malgun Gothic" w:hAnsi="Times New Roman" w:cs="Times New Roman"/>
                <w:color w:val="000000"/>
                <w:kern w:val="0"/>
                <w:sz w:val="16"/>
                <w:szCs w:val="16"/>
              </w:rPr>
              <w:t xml:space="preserve"> 2020</w:t>
            </w:r>
          </w:p>
        </w:tc>
        <w:tc>
          <w:tcPr>
            <w:tcW w:w="1247" w:type="dxa"/>
            <w:tcBorders>
              <w:top w:val="nil"/>
              <w:left w:val="nil"/>
              <w:bottom w:val="single" w:sz="4" w:space="0" w:color="auto"/>
              <w:right w:val="single" w:sz="4" w:space="0" w:color="auto"/>
            </w:tcBorders>
            <w:shd w:val="clear" w:color="auto" w:fill="auto"/>
            <w:noWrap/>
            <w:hideMark/>
          </w:tcPr>
          <w:p w14:paraId="5159647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316 / 1995</w:t>
            </w:r>
          </w:p>
        </w:tc>
        <w:tc>
          <w:tcPr>
            <w:tcW w:w="850" w:type="dxa"/>
            <w:tcBorders>
              <w:top w:val="nil"/>
              <w:left w:val="nil"/>
              <w:bottom w:val="single" w:sz="4" w:space="0" w:color="auto"/>
              <w:right w:val="single" w:sz="4" w:space="0" w:color="auto"/>
            </w:tcBorders>
            <w:shd w:val="clear" w:color="auto" w:fill="auto"/>
            <w:noWrap/>
            <w:hideMark/>
          </w:tcPr>
          <w:p w14:paraId="6D6F8A3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4</w:t>
            </w:r>
          </w:p>
        </w:tc>
        <w:tc>
          <w:tcPr>
            <w:tcW w:w="737" w:type="dxa"/>
            <w:tcBorders>
              <w:top w:val="nil"/>
              <w:left w:val="nil"/>
              <w:bottom w:val="single" w:sz="4" w:space="0" w:color="auto"/>
              <w:right w:val="single" w:sz="4" w:space="0" w:color="auto"/>
            </w:tcBorders>
            <w:shd w:val="clear" w:color="auto" w:fill="auto"/>
            <w:noWrap/>
            <w:hideMark/>
          </w:tcPr>
          <w:p w14:paraId="6B160BD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RR</w:t>
            </w:r>
          </w:p>
        </w:tc>
        <w:tc>
          <w:tcPr>
            <w:tcW w:w="1474" w:type="dxa"/>
            <w:tcBorders>
              <w:top w:val="nil"/>
              <w:left w:val="nil"/>
              <w:bottom w:val="single" w:sz="4" w:space="0" w:color="auto"/>
              <w:right w:val="single" w:sz="4" w:space="0" w:color="auto"/>
            </w:tcBorders>
            <w:shd w:val="clear" w:color="auto" w:fill="auto"/>
            <w:noWrap/>
            <w:hideMark/>
          </w:tcPr>
          <w:p w14:paraId="47D00E7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1·75 (1.17 to 2·64)</w:t>
            </w:r>
          </w:p>
        </w:tc>
        <w:tc>
          <w:tcPr>
            <w:tcW w:w="964" w:type="dxa"/>
            <w:tcBorders>
              <w:top w:val="nil"/>
              <w:left w:val="nil"/>
              <w:bottom w:val="single" w:sz="4" w:space="0" w:color="auto"/>
              <w:right w:val="single" w:sz="4" w:space="0" w:color="auto"/>
            </w:tcBorders>
            <w:shd w:val="clear" w:color="auto" w:fill="auto"/>
            <w:noWrap/>
            <w:hideMark/>
          </w:tcPr>
          <w:p w14:paraId="13C6E3D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0·0068</w:t>
            </w:r>
          </w:p>
        </w:tc>
        <w:tc>
          <w:tcPr>
            <w:tcW w:w="530" w:type="dxa"/>
            <w:tcBorders>
              <w:top w:val="nil"/>
              <w:left w:val="nil"/>
              <w:bottom w:val="single" w:sz="4" w:space="0" w:color="auto"/>
              <w:right w:val="single" w:sz="4" w:space="0" w:color="auto"/>
            </w:tcBorders>
            <w:shd w:val="clear" w:color="auto" w:fill="auto"/>
            <w:noWrap/>
            <w:hideMark/>
          </w:tcPr>
          <w:p w14:paraId="501F59F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62%</w:t>
            </w:r>
          </w:p>
        </w:tc>
        <w:tc>
          <w:tcPr>
            <w:tcW w:w="1020" w:type="dxa"/>
            <w:tcBorders>
              <w:top w:val="nil"/>
              <w:left w:val="nil"/>
              <w:bottom w:val="single" w:sz="4" w:space="0" w:color="auto"/>
              <w:right w:val="single" w:sz="4" w:space="0" w:color="auto"/>
            </w:tcBorders>
            <w:shd w:val="clear" w:color="auto" w:fill="auto"/>
            <w:noWrap/>
            <w:hideMark/>
          </w:tcPr>
          <w:p w14:paraId="5DCB2EA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0·35 to 8·76</w:t>
            </w:r>
          </w:p>
        </w:tc>
        <w:tc>
          <w:tcPr>
            <w:tcW w:w="2222" w:type="dxa"/>
            <w:tcBorders>
              <w:top w:val="nil"/>
              <w:left w:val="nil"/>
              <w:bottom w:val="single" w:sz="4" w:space="0" w:color="auto"/>
              <w:right w:val="single" w:sz="4" w:space="0" w:color="auto"/>
            </w:tcBorders>
            <w:shd w:val="clear" w:color="auto" w:fill="auto"/>
            <w:noWrap/>
            <w:hideMark/>
          </w:tcPr>
          <w:p w14:paraId="56CA636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loss of significance under 10% credibility ceiling; p curve analysis unavailable due to less than three significant studies</w:t>
            </w:r>
          </w:p>
        </w:tc>
        <w:tc>
          <w:tcPr>
            <w:tcW w:w="2778" w:type="dxa"/>
            <w:tcBorders>
              <w:top w:val="nil"/>
              <w:left w:val="nil"/>
              <w:bottom w:val="single" w:sz="4" w:space="0" w:color="auto"/>
              <w:right w:val="single" w:sz="4" w:space="0" w:color="auto"/>
            </w:tcBorders>
            <w:shd w:val="clear" w:color="auto" w:fill="auto"/>
            <w:noWrap/>
            <w:hideMark/>
          </w:tcPr>
          <w:p w14:paraId="2D55893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to weak</w:t>
            </w:r>
          </w:p>
        </w:tc>
      </w:tr>
      <w:tr w:rsidR="00394B52" w:rsidRPr="00394B52" w14:paraId="20B48124"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672596B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Unintended pregnancy</w:t>
            </w:r>
          </w:p>
        </w:tc>
        <w:tc>
          <w:tcPr>
            <w:tcW w:w="1304" w:type="dxa"/>
            <w:tcBorders>
              <w:top w:val="nil"/>
              <w:left w:val="nil"/>
              <w:bottom w:val="single" w:sz="4" w:space="0" w:color="auto"/>
              <w:right w:val="single" w:sz="4" w:space="0" w:color="auto"/>
            </w:tcBorders>
            <w:shd w:val="clear" w:color="auto" w:fill="auto"/>
            <w:noWrap/>
            <w:hideMark/>
          </w:tcPr>
          <w:p w14:paraId="2813670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Qiu</w:t>
            </w:r>
            <w:proofErr w:type="spellEnd"/>
            <w:r w:rsidRPr="00394B52">
              <w:rPr>
                <w:rFonts w:ascii="Times New Roman" w:eastAsia="Malgun Gothic" w:hAnsi="Times New Roman" w:cs="Times New Roman"/>
                <w:color w:val="000000"/>
                <w:kern w:val="0"/>
                <w:sz w:val="16"/>
                <w:szCs w:val="16"/>
              </w:rPr>
              <w:t xml:space="preserve"> 2020</w:t>
            </w:r>
          </w:p>
        </w:tc>
        <w:tc>
          <w:tcPr>
            <w:tcW w:w="1247" w:type="dxa"/>
            <w:tcBorders>
              <w:top w:val="nil"/>
              <w:left w:val="nil"/>
              <w:bottom w:val="single" w:sz="4" w:space="0" w:color="auto"/>
              <w:right w:val="single" w:sz="4" w:space="0" w:color="auto"/>
            </w:tcBorders>
            <w:shd w:val="clear" w:color="auto" w:fill="auto"/>
            <w:noWrap/>
            <w:hideMark/>
          </w:tcPr>
          <w:p w14:paraId="0B64907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3754 / 42 098</w:t>
            </w:r>
          </w:p>
        </w:tc>
        <w:tc>
          <w:tcPr>
            <w:tcW w:w="850" w:type="dxa"/>
            <w:tcBorders>
              <w:top w:val="nil"/>
              <w:left w:val="nil"/>
              <w:bottom w:val="single" w:sz="4" w:space="0" w:color="auto"/>
              <w:right w:val="single" w:sz="4" w:space="0" w:color="auto"/>
            </w:tcBorders>
            <w:shd w:val="clear" w:color="auto" w:fill="auto"/>
            <w:noWrap/>
            <w:hideMark/>
          </w:tcPr>
          <w:p w14:paraId="2C07416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27</w:t>
            </w:r>
          </w:p>
        </w:tc>
        <w:tc>
          <w:tcPr>
            <w:tcW w:w="737" w:type="dxa"/>
            <w:tcBorders>
              <w:top w:val="nil"/>
              <w:left w:val="nil"/>
              <w:bottom w:val="single" w:sz="4" w:space="0" w:color="auto"/>
              <w:right w:val="single" w:sz="4" w:space="0" w:color="auto"/>
            </w:tcBorders>
            <w:shd w:val="clear" w:color="auto" w:fill="auto"/>
            <w:noWrap/>
            <w:hideMark/>
          </w:tcPr>
          <w:p w14:paraId="2D6414C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737D2D3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1·55 (1.33 to 1·81)</w:t>
            </w:r>
          </w:p>
        </w:tc>
        <w:tc>
          <w:tcPr>
            <w:tcW w:w="964" w:type="dxa"/>
            <w:tcBorders>
              <w:top w:val="nil"/>
              <w:left w:val="nil"/>
              <w:bottom w:val="single" w:sz="4" w:space="0" w:color="auto"/>
              <w:right w:val="single" w:sz="4" w:space="0" w:color="auto"/>
            </w:tcBorders>
            <w:shd w:val="clear" w:color="auto" w:fill="auto"/>
            <w:noWrap/>
            <w:hideMark/>
          </w:tcPr>
          <w:p w14:paraId="243D8A6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67F3540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66%</w:t>
            </w:r>
          </w:p>
        </w:tc>
        <w:tc>
          <w:tcPr>
            <w:tcW w:w="1020" w:type="dxa"/>
            <w:tcBorders>
              <w:top w:val="nil"/>
              <w:left w:val="nil"/>
              <w:bottom w:val="single" w:sz="4" w:space="0" w:color="auto"/>
              <w:right w:val="single" w:sz="4" w:space="0" w:color="auto"/>
            </w:tcBorders>
            <w:shd w:val="clear" w:color="auto" w:fill="auto"/>
            <w:noWrap/>
            <w:hideMark/>
          </w:tcPr>
          <w:p w14:paraId="7CEB7CB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0·82 to 2·93</w:t>
            </w:r>
          </w:p>
        </w:tc>
        <w:tc>
          <w:tcPr>
            <w:tcW w:w="2222" w:type="dxa"/>
            <w:tcBorders>
              <w:top w:val="nil"/>
              <w:left w:val="nil"/>
              <w:bottom w:val="single" w:sz="4" w:space="0" w:color="auto"/>
              <w:right w:val="single" w:sz="4" w:space="0" w:color="auto"/>
            </w:tcBorders>
            <w:shd w:val="clear" w:color="auto" w:fill="auto"/>
            <w:noWrap/>
            <w:hideMark/>
          </w:tcPr>
          <w:p w14:paraId="711D439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small study effect</w:t>
            </w:r>
          </w:p>
        </w:tc>
        <w:tc>
          <w:tcPr>
            <w:tcW w:w="2778" w:type="dxa"/>
            <w:tcBorders>
              <w:top w:val="nil"/>
              <w:left w:val="nil"/>
              <w:bottom w:val="single" w:sz="4" w:space="0" w:color="auto"/>
              <w:right w:val="single" w:sz="4" w:space="0" w:color="auto"/>
            </w:tcBorders>
            <w:shd w:val="clear" w:color="auto" w:fill="auto"/>
            <w:noWrap/>
            <w:hideMark/>
          </w:tcPr>
          <w:p w14:paraId="0AB6C51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517A2BE7" w14:textId="77777777" w:rsidTr="00E01118">
        <w:trPr>
          <w:trHeight w:val="276"/>
        </w:trPr>
        <w:tc>
          <w:tcPr>
            <w:tcW w:w="15389" w:type="dxa"/>
            <w:gridSpan w:val="11"/>
            <w:tcBorders>
              <w:top w:val="nil"/>
              <w:left w:val="single" w:sz="4" w:space="0" w:color="auto"/>
              <w:bottom w:val="single" w:sz="4" w:space="0" w:color="auto"/>
              <w:right w:val="single" w:sz="4" w:space="0" w:color="auto"/>
            </w:tcBorders>
            <w:shd w:val="clear" w:color="auto" w:fill="auto"/>
            <w:noWrap/>
          </w:tcPr>
          <w:p w14:paraId="47CAFDD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Study estimates adjusted for at least one confounder</w:t>
            </w:r>
          </w:p>
        </w:tc>
      </w:tr>
      <w:tr w:rsidR="00394B52" w:rsidRPr="00394B52" w14:paraId="11E31DCE"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56F3193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Antenatal anxiety</w:t>
            </w:r>
          </w:p>
        </w:tc>
        <w:tc>
          <w:tcPr>
            <w:tcW w:w="1304" w:type="dxa"/>
            <w:tcBorders>
              <w:top w:val="nil"/>
              <w:left w:val="nil"/>
              <w:bottom w:val="single" w:sz="4" w:space="0" w:color="auto"/>
              <w:right w:val="single" w:sz="4" w:space="0" w:color="auto"/>
            </w:tcBorders>
            <w:shd w:val="clear" w:color="auto" w:fill="auto"/>
            <w:noWrap/>
            <w:hideMark/>
          </w:tcPr>
          <w:p w14:paraId="471BBDE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Grigoriadis</w:t>
            </w:r>
            <w:proofErr w:type="spellEnd"/>
            <w:r w:rsidRPr="00394B52">
              <w:rPr>
                <w:rFonts w:ascii="Times New Roman" w:eastAsia="Malgun Gothic" w:hAnsi="Times New Roman" w:cs="Times New Roman"/>
                <w:color w:val="000000"/>
                <w:kern w:val="0"/>
                <w:sz w:val="16"/>
                <w:szCs w:val="16"/>
              </w:rPr>
              <w:t xml:space="preserve"> 2019</w:t>
            </w:r>
          </w:p>
        </w:tc>
        <w:tc>
          <w:tcPr>
            <w:tcW w:w="1247" w:type="dxa"/>
            <w:tcBorders>
              <w:top w:val="nil"/>
              <w:left w:val="nil"/>
              <w:bottom w:val="single" w:sz="4" w:space="0" w:color="auto"/>
              <w:right w:val="single" w:sz="4" w:space="0" w:color="auto"/>
            </w:tcBorders>
            <w:shd w:val="clear" w:color="auto" w:fill="auto"/>
            <w:noWrap/>
            <w:hideMark/>
          </w:tcPr>
          <w:p w14:paraId="0E504B9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959 / 10 446</w:t>
            </w:r>
          </w:p>
        </w:tc>
        <w:tc>
          <w:tcPr>
            <w:tcW w:w="850" w:type="dxa"/>
            <w:tcBorders>
              <w:top w:val="nil"/>
              <w:left w:val="nil"/>
              <w:bottom w:val="single" w:sz="4" w:space="0" w:color="auto"/>
              <w:right w:val="single" w:sz="4" w:space="0" w:color="auto"/>
            </w:tcBorders>
            <w:shd w:val="clear" w:color="auto" w:fill="auto"/>
            <w:noWrap/>
            <w:hideMark/>
          </w:tcPr>
          <w:p w14:paraId="3970941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w:t>
            </w:r>
          </w:p>
        </w:tc>
        <w:tc>
          <w:tcPr>
            <w:tcW w:w="737" w:type="dxa"/>
            <w:tcBorders>
              <w:top w:val="nil"/>
              <w:left w:val="nil"/>
              <w:bottom w:val="single" w:sz="4" w:space="0" w:color="auto"/>
              <w:right w:val="single" w:sz="4" w:space="0" w:color="auto"/>
            </w:tcBorders>
            <w:shd w:val="clear" w:color="auto" w:fill="auto"/>
            <w:noWrap/>
            <w:hideMark/>
          </w:tcPr>
          <w:p w14:paraId="2EEDB44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70291E8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2·48 (1.8 to 3·42)</w:t>
            </w:r>
          </w:p>
        </w:tc>
        <w:tc>
          <w:tcPr>
            <w:tcW w:w="964" w:type="dxa"/>
            <w:tcBorders>
              <w:top w:val="nil"/>
              <w:left w:val="nil"/>
              <w:bottom w:val="single" w:sz="4" w:space="0" w:color="auto"/>
              <w:right w:val="single" w:sz="4" w:space="0" w:color="auto"/>
            </w:tcBorders>
            <w:shd w:val="clear" w:color="auto" w:fill="auto"/>
            <w:noWrap/>
            <w:hideMark/>
          </w:tcPr>
          <w:p w14:paraId="7484A64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1FEC33E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20%</w:t>
            </w:r>
          </w:p>
        </w:tc>
        <w:tc>
          <w:tcPr>
            <w:tcW w:w="1020" w:type="dxa"/>
            <w:tcBorders>
              <w:top w:val="nil"/>
              <w:left w:val="nil"/>
              <w:bottom w:val="single" w:sz="4" w:space="0" w:color="auto"/>
              <w:right w:val="single" w:sz="4" w:space="0" w:color="auto"/>
            </w:tcBorders>
            <w:shd w:val="clear" w:color="auto" w:fill="auto"/>
            <w:noWrap/>
            <w:hideMark/>
          </w:tcPr>
          <w:p w14:paraId="4391239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1·25 to 4·94</w:t>
            </w:r>
          </w:p>
        </w:tc>
        <w:tc>
          <w:tcPr>
            <w:tcW w:w="2222" w:type="dxa"/>
            <w:tcBorders>
              <w:top w:val="nil"/>
              <w:left w:val="nil"/>
              <w:bottom w:val="single" w:sz="4" w:space="0" w:color="auto"/>
              <w:right w:val="single" w:sz="4" w:space="0" w:color="auto"/>
            </w:tcBorders>
            <w:shd w:val="clear" w:color="auto" w:fill="auto"/>
            <w:noWrap/>
            <w:hideMark/>
          </w:tcPr>
          <w:p w14:paraId="320EB0B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None</w:t>
            </w:r>
          </w:p>
        </w:tc>
        <w:tc>
          <w:tcPr>
            <w:tcW w:w="2778" w:type="dxa"/>
            <w:tcBorders>
              <w:top w:val="nil"/>
              <w:left w:val="nil"/>
              <w:bottom w:val="single" w:sz="4" w:space="0" w:color="auto"/>
              <w:right w:val="single" w:sz="4" w:space="0" w:color="auto"/>
            </w:tcBorders>
            <w:shd w:val="clear" w:color="auto" w:fill="auto"/>
            <w:noWrap/>
            <w:hideMark/>
          </w:tcPr>
          <w:p w14:paraId="789F49E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Convincing to weak</w:t>
            </w:r>
          </w:p>
        </w:tc>
      </w:tr>
      <w:tr w:rsidR="00394B52" w:rsidRPr="00394B52" w14:paraId="323FEC39"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50FB171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Psychological violence</w:t>
            </w:r>
          </w:p>
        </w:tc>
        <w:tc>
          <w:tcPr>
            <w:tcW w:w="1304" w:type="dxa"/>
            <w:tcBorders>
              <w:top w:val="nil"/>
              <w:left w:val="nil"/>
              <w:bottom w:val="single" w:sz="4" w:space="0" w:color="auto"/>
              <w:right w:val="single" w:sz="4" w:space="0" w:color="auto"/>
            </w:tcBorders>
            <w:shd w:val="clear" w:color="auto" w:fill="auto"/>
            <w:noWrap/>
            <w:hideMark/>
          </w:tcPr>
          <w:p w14:paraId="4BB2A4F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Zhang 2019</w:t>
            </w:r>
          </w:p>
        </w:tc>
        <w:tc>
          <w:tcPr>
            <w:tcW w:w="1247" w:type="dxa"/>
            <w:tcBorders>
              <w:top w:val="nil"/>
              <w:left w:val="nil"/>
              <w:bottom w:val="single" w:sz="4" w:space="0" w:color="auto"/>
              <w:right w:val="single" w:sz="4" w:space="0" w:color="auto"/>
            </w:tcBorders>
            <w:shd w:val="clear" w:color="auto" w:fill="auto"/>
            <w:noWrap/>
            <w:hideMark/>
          </w:tcPr>
          <w:p w14:paraId="1F6FE4D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6720 / 59 060</w:t>
            </w:r>
          </w:p>
        </w:tc>
        <w:tc>
          <w:tcPr>
            <w:tcW w:w="850" w:type="dxa"/>
            <w:tcBorders>
              <w:top w:val="nil"/>
              <w:left w:val="nil"/>
              <w:bottom w:val="single" w:sz="4" w:space="0" w:color="auto"/>
              <w:right w:val="single" w:sz="4" w:space="0" w:color="auto"/>
            </w:tcBorders>
            <w:shd w:val="clear" w:color="auto" w:fill="auto"/>
            <w:noWrap/>
            <w:hideMark/>
          </w:tcPr>
          <w:p w14:paraId="22A9B8C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7</w:t>
            </w:r>
          </w:p>
        </w:tc>
        <w:tc>
          <w:tcPr>
            <w:tcW w:w="737" w:type="dxa"/>
            <w:tcBorders>
              <w:top w:val="nil"/>
              <w:left w:val="nil"/>
              <w:bottom w:val="single" w:sz="4" w:space="0" w:color="auto"/>
              <w:right w:val="single" w:sz="4" w:space="0" w:color="auto"/>
            </w:tcBorders>
            <w:shd w:val="clear" w:color="auto" w:fill="auto"/>
            <w:noWrap/>
            <w:hideMark/>
          </w:tcPr>
          <w:p w14:paraId="6423AE5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47E45B4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1·98 (1.55 to 2·52)</w:t>
            </w:r>
          </w:p>
        </w:tc>
        <w:tc>
          <w:tcPr>
            <w:tcW w:w="964" w:type="dxa"/>
            <w:tcBorders>
              <w:top w:val="nil"/>
              <w:left w:val="nil"/>
              <w:bottom w:val="single" w:sz="4" w:space="0" w:color="auto"/>
              <w:right w:val="single" w:sz="4" w:space="0" w:color="auto"/>
            </w:tcBorders>
            <w:shd w:val="clear" w:color="auto" w:fill="auto"/>
            <w:noWrap/>
            <w:hideMark/>
          </w:tcPr>
          <w:p w14:paraId="1E8FAA6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0889474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54%</w:t>
            </w:r>
          </w:p>
        </w:tc>
        <w:tc>
          <w:tcPr>
            <w:tcW w:w="1020" w:type="dxa"/>
            <w:tcBorders>
              <w:top w:val="nil"/>
              <w:left w:val="nil"/>
              <w:bottom w:val="single" w:sz="4" w:space="0" w:color="auto"/>
              <w:right w:val="single" w:sz="4" w:space="0" w:color="auto"/>
            </w:tcBorders>
            <w:shd w:val="clear" w:color="auto" w:fill="auto"/>
            <w:noWrap/>
            <w:hideMark/>
          </w:tcPr>
          <w:p w14:paraId="15802D1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1·05 to 3·74</w:t>
            </w:r>
          </w:p>
        </w:tc>
        <w:tc>
          <w:tcPr>
            <w:tcW w:w="2222" w:type="dxa"/>
            <w:tcBorders>
              <w:top w:val="nil"/>
              <w:left w:val="nil"/>
              <w:bottom w:val="single" w:sz="4" w:space="0" w:color="auto"/>
              <w:right w:val="single" w:sz="4" w:space="0" w:color="auto"/>
            </w:tcBorders>
            <w:shd w:val="clear" w:color="auto" w:fill="auto"/>
            <w:noWrap/>
            <w:hideMark/>
          </w:tcPr>
          <w:p w14:paraId="714D701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w:t>
            </w:r>
          </w:p>
        </w:tc>
        <w:tc>
          <w:tcPr>
            <w:tcW w:w="2778" w:type="dxa"/>
            <w:tcBorders>
              <w:top w:val="nil"/>
              <w:left w:val="nil"/>
              <w:bottom w:val="single" w:sz="4" w:space="0" w:color="auto"/>
              <w:right w:val="single" w:sz="4" w:space="0" w:color="auto"/>
            </w:tcBorders>
            <w:shd w:val="clear" w:color="auto" w:fill="auto"/>
            <w:noWrap/>
            <w:hideMark/>
          </w:tcPr>
          <w:p w14:paraId="42D2F64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Convincing to highly suggestive</w:t>
            </w:r>
          </w:p>
        </w:tc>
      </w:tr>
      <w:tr w:rsidR="00394B52" w:rsidRPr="00394B52" w14:paraId="4AC059A6"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5956110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Intimate partner violence during pregnancy</w:t>
            </w:r>
          </w:p>
        </w:tc>
        <w:tc>
          <w:tcPr>
            <w:tcW w:w="1304" w:type="dxa"/>
            <w:tcBorders>
              <w:top w:val="nil"/>
              <w:left w:val="nil"/>
              <w:bottom w:val="single" w:sz="4" w:space="0" w:color="auto"/>
              <w:right w:val="single" w:sz="4" w:space="0" w:color="auto"/>
            </w:tcBorders>
            <w:shd w:val="clear" w:color="auto" w:fill="auto"/>
            <w:noWrap/>
            <w:hideMark/>
          </w:tcPr>
          <w:p w14:paraId="55D8674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Beydoun</w:t>
            </w:r>
            <w:proofErr w:type="spellEnd"/>
            <w:r w:rsidRPr="00394B52">
              <w:rPr>
                <w:rFonts w:ascii="Times New Roman" w:eastAsia="Malgun Gothic" w:hAnsi="Times New Roman" w:cs="Times New Roman"/>
                <w:color w:val="000000"/>
                <w:kern w:val="0"/>
                <w:sz w:val="16"/>
                <w:szCs w:val="16"/>
              </w:rPr>
              <w:t xml:space="preserve"> 2012</w:t>
            </w:r>
          </w:p>
        </w:tc>
        <w:tc>
          <w:tcPr>
            <w:tcW w:w="1247" w:type="dxa"/>
            <w:tcBorders>
              <w:top w:val="nil"/>
              <w:left w:val="nil"/>
              <w:bottom w:val="single" w:sz="4" w:space="0" w:color="auto"/>
              <w:right w:val="single" w:sz="4" w:space="0" w:color="auto"/>
            </w:tcBorders>
            <w:shd w:val="clear" w:color="auto" w:fill="auto"/>
            <w:noWrap/>
            <w:hideMark/>
          </w:tcPr>
          <w:p w14:paraId="69FFD76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6106 / 21 339</w:t>
            </w:r>
          </w:p>
        </w:tc>
        <w:tc>
          <w:tcPr>
            <w:tcW w:w="850" w:type="dxa"/>
            <w:tcBorders>
              <w:top w:val="nil"/>
              <w:left w:val="nil"/>
              <w:bottom w:val="single" w:sz="4" w:space="0" w:color="auto"/>
              <w:right w:val="single" w:sz="4" w:space="0" w:color="auto"/>
            </w:tcBorders>
            <w:shd w:val="clear" w:color="auto" w:fill="auto"/>
            <w:noWrap/>
            <w:hideMark/>
          </w:tcPr>
          <w:p w14:paraId="16F8645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17</w:t>
            </w:r>
          </w:p>
        </w:tc>
        <w:tc>
          <w:tcPr>
            <w:tcW w:w="737" w:type="dxa"/>
            <w:tcBorders>
              <w:top w:val="nil"/>
              <w:left w:val="nil"/>
              <w:bottom w:val="single" w:sz="4" w:space="0" w:color="auto"/>
              <w:right w:val="single" w:sz="4" w:space="0" w:color="auto"/>
            </w:tcBorders>
            <w:shd w:val="clear" w:color="auto" w:fill="auto"/>
            <w:noWrap/>
            <w:hideMark/>
          </w:tcPr>
          <w:p w14:paraId="522F0F9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RR</w:t>
            </w:r>
          </w:p>
        </w:tc>
        <w:tc>
          <w:tcPr>
            <w:tcW w:w="1474" w:type="dxa"/>
            <w:tcBorders>
              <w:top w:val="nil"/>
              <w:left w:val="nil"/>
              <w:bottom w:val="single" w:sz="4" w:space="0" w:color="auto"/>
              <w:right w:val="single" w:sz="4" w:space="0" w:color="auto"/>
            </w:tcBorders>
            <w:shd w:val="clear" w:color="auto" w:fill="auto"/>
            <w:noWrap/>
            <w:hideMark/>
          </w:tcPr>
          <w:p w14:paraId="7276CCF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2·81 (2.11 to 3·74)</w:t>
            </w:r>
          </w:p>
        </w:tc>
        <w:tc>
          <w:tcPr>
            <w:tcW w:w="964" w:type="dxa"/>
            <w:tcBorders>
              <w:top w:val="nil"/>
              <w:left w:val="nil"/>
              <w:bottom w:val="single" w:sz="4" w:space="0" w:color="auto"/>
              <w:right w:val="single" w:sz="4" w:space="0" w:color="auto"/>
            </w:tcBorders>
            <w:shd w:val="clear" w:color="auto" w:fill="auto"/>
            <w:noWrap/>
            <w:hideMark/>
          </w:tcPr>
          <w:p w14:paraId="52A295F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425F39F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87%</w:t>
            </w:r>
          </w:p>
        </w:tc>
        <w:tc>
          <w:tcPr>
            <w:tcW w:w="1020" w:type="dxa"/>
            <w:tcBorders>
              <w:top w:val="nil"/>
              <w:left w:val="nil"/>
              <w:bottom w:val="single" w:sz="4" w:space="0" w:color="auto"/>
              <w:right w:val="single" w:sz="4" w:space="0" w:color="auto"/>
            </w:tcBorders>
            <w:shd w:val="clear" w:color="auto" w:fill="auto"/>
            <w:noWrap/>
            <w:hideMark/>
          </w:tcPr>
          <w:p w14:paraId="5A3F4C1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0·86 to 9·21</w:t>
            </w:r>
          </w:p>
        </w:tc>
        <w:tc>
          <w:tcPr>
            <w:tcW w:w="2222" w:type="dxa"/>
            <w:tcBorders>
              <w:top w:val="nil"/>
              <w:left w:val="nil"/>
              <w:bottom w:val="single" w:sz="4" w:space="0" w:color="auto"/>
              <w:right w:val="single" w:sz="4" w:space="0" w:color="auto"/>
            </w:tcBorders>
            <w:shd w:val="clear" w:color="auto" w:fill="auto"/>
            <w:noWrap/>
            <w:hideMark/>
          </w:tcPr>
          <w:p w14:paraId="4955D66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small study effect</w:t>
            </w:r>
          </w:p>
        </w:tc>
        <w:tc>
          <w:tcPr>
            <w:tcW w:w="2778" w:type="dxa"/>
            <w:tcBorders>
              <w:top w:val="nil"/>
              <w:left w:val="nil"/>
              <w:bottom w:val="single" w:sz="4" w:space="0" w:color="auto"/>
              <w:right w:val="single" w:sz="4" w:space="0" w:color="auto"/>
            </w:tcBorders>
            <w:shd w:val="clear" w:color="auto" w:fill="auto"/>
            <w:noWrap/>
            <w:hideMark/>
          </w:tcPr>
          <w:p w14:paraId="7D0F306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71E1AC30"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503C0FB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Smoking during pregnancy</w:t>
            </w:r>
          </w:p>
        </w:tc>
        <w:tc>
          <w:tcPr>
            <w:tcW w:w="1304" w:type="dxa"/>
            <w:tcBorders>
              <w:top w:val="nil"/>
              <w:left w:val="nil"/>
              <w:bottom w:val="single" w:sz="4" w:space="0" w:color="auto"/>
              <w:right w:val="single" w:sz="4" w:space="0" w:color="auto"/>
            </w:tcBorders>
            <w:shd w:val="clear" w:color="auto" w:fill="auto"/>
            <w:noWrap/>
            <w:hideMark/>
          </w:tcPr>
          <w:p w14:paraId="2B34CF1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Chen 2019</w:t>
            </w:r>
          </w:p>
        </w:tc>
        <w:tc>
          <w:tcPr>
            <w:tcW w:w="1247" w:type="dxa"/>
            <w:tcBorders>
              <w:top w:val="nil"/>
              <w:left w:val="nil"/>
              <w:bottom w:val="single" w:sz="4" w:space="0" w:color="auto"/>
              <w:right w:val="single" w:sz="4" w:space="0" w:color="auto"/>
            </w:tcBorders>
            <w:shd w:val="clear" w:color="auto" w:fill="auto"/>
            <w:noWrap/>
            <w:hideMark/>
          </w:tcPr>
          <w:p w14:paraId="23F9110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73 / 163</w:t>
            </w:r>
          </w:p>
        </w:tc>
        <w:tc>
          <w:tcPr>
            <w:tcW w:w="850" w:type="dxa"/>
            <w:tcBorders>
              <w:top w:val="nil"/>
              <w:left w:val="nil"/>
              <w:bottom w:val="single" w:sz="4" w:space="0" w:color="auto"/>
              <w:right w:val="single" w:sz="4" w:space="0" w:color="auto"/>
            </w:tcBorders>
            <w:shd w:val="clear" w:color="auto" w:fill="auto"/>
            <w:noWrap/>
            <w:hideMark/>
          </w:tcPr>
          <w:p w14:paraId="250FF0F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w:t>
            </w:r>
          </w:p>
        </w:tc>
        <w:tc>
          <w:tcPr>
            <w:tcW w:w="737" w:type="dxa"/>
            <w:tcBorders>
              <w:top w:val="nil"/>
              <w:left w:val="nil"/>
              <w:bottom w:val="single" w:sz="4" w:space="0" w:color="auto"/>
              <w:right w:val="single" w:sz="4" w:space="0" w:color="auto"/>
            </w:tcBorders>
            <w:shd w:val="clear" w:color="auto" w:fill="auto"/>
            <w:noWrap/>
            <w:hideMark/>
          </w:tcPr>
          <w:p w14:paraId="6F9B49D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336D3D8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1·71 (1.01 to 2·89)</w:t>
            </w:r>
          </w:p>
        </w:tc>
        <w:tc>
          <w:tcPr>
            <w:tcW w:w="964" w:type="dxa"/>
            <w:tcBorders>
              <w:top w:val="nil"/>
              <w:left w:val="nil"/>
              <w:bottom w:val="single" w:sz="4" w:space="0" w:color="auto"/>
              <w:right w:val="single" w:sz="4" w:space="0" w:color="auto"/>
            </w:tcBorders>
            <w:shd w:val="clear" w:color="auto" w:fill="auto"/>
            <w:noWrap/>
            <w:hideMark/>
          </w:tcPr>
          <w:p w14:paraId="00DD944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0·045</w:t>
            </w:r>
          </w:p>
        </w:tc>
        <w:tc>
          <w:tcPr>
            <w:tcW w:w="530" w:type="dxa"/>
            <w:tcBorders>
              <w:top w:val="nil"/>
              <w:left w:val="nil"/>
              <w:bottom w:val="single" w:sz="4" w:space="0" w:color="auto"/>
              <w:right w:val="single" w:sz="4" w:space="0" w:color="auto"/>
            </w:tcBorders>
            <w:shd w:val="clear" w:color="auto" w:fill="auto"/>
            <w:noWrap/>
            <w:hideMark/>
          </w:tcPr>
          <w:p w14:paraId="4F8CFD9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NA</w:t>
            </w:r>
          </w:p>
        </w:tc>
        <w:tc>
          <w:tcPr>
            <w:tcW w:w="1020" w:type="dxa"/>
            <w:tcBorders>
              <w:top w:val="nil"/>
              <w:left w:val="nil"/>
              <w:bottom w:val="single" w:sz="4" w:space="0" w:color="auto"/>
              <w:right w:val="single" w:sz="4" w:space="0" w:color="auto"/>
            </w:tcBorders>
            <w:shd w:val="clear" w:color="auto" w:fill="auto"/>
            <w:noWrap/>
            <w:hideMark/>
          </w:tcPr>
          <w:p w14:paraId="6EE884D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NA</w:t>
            </w:r>
          </w:p>
        </w:tc>
        <w:tc>
          <w:tcPr>
            <w:tcW w:w="2222" w:type="dxa"/>
            <w:tcBorders>
              <w:top w:val="nil"/>
              <w:left w:val="nil"/>
              <w:bottom w:val="single" w:sz="4" w:space="0" w:color="auto"/>
              <w:right w:val="single" w:sz="4" w:space="0" w:color="auto"/>
            </w:tcBorders>
            <w:shd w:val="clear" w:color="auto" w:fill="auto"/>
            <w:noWrap/>
            <w:hideMark/>
          </w:tcPr>
          <w:p w14:paraId="693DC16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None</w:t>
            </w:r>
          </w:p>
        </w:tc>
        <w:tc>
          <w:tcPr>
            <w:tcW w:w="2778" w:type="dxa"/>
            <w:tcBorders>
              <w:top w:val="nil"/>
              <w:left w:val="nil"/>
              <w:bottom w:val="single" w:sz="4" w:space="0" w:color="auto"/>
              <w:right w:val="single" w:sz="4" w:space="0" w:color="auto"/>
            </w:tcBorders>
            <w:shd w:val="clear" w:color="auto" w:fill="auto"/>
            <w:noWrap/>
            <w:hideMark/>
          </w:tcPr>
          <w:p w14:paraId="0131E31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to weak</w:t>
            </w:r>
          </w:p>
        </w:tc>
      </w:tr>
      <w:tr w:rsidR="00394B52" w:rsidRPr="00394B52" w14:paraId="22E21872"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7997AE8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History of premenstrual syndrome</w:t>
            </w:r>
          </w:p>
        </w:tc>
        <w:tc>
          <w:tcPr>
            <w:tcW w:w="1304" w:type="dxa"/>
            <w:tcBorders>
              <w:top w:val="nil"/>
              <w:left w:val="nil"/>
              <w:bottom w:val="single" w:sz="4" w:space="0" w:color="auto"/>
              <w:right w:val="single" w:sz="4" w:space="0" w:color="auto"/>
            </w:tcBorders>
            <w:shd w:val="clear" w:color="auto" w:fill="auto"/>
            <w:noWrap/>
            <w:hideMark/>
          </w:tcPr>
          <w:p w14:paraId="4B0FC85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Cao 2020</w:t>
            </w:r>
          </w:p>
        </w:tc>
        <w:tc>
          <w:tcPr>
            <w:tcW w:w="1247" w:type="dxa"/>
            <w:tcBorders>
              <w:top w:val="nil"/>
              <w:left w:val="nil"/>
              <w:bottom w:val="single" w:sz="4" w:space="0" w:color="auto"/>
              <w:right w:val="single" w:sz="4" w:space="0" w:color="auto"/>
            </w:tcBorders>
            <w:shd w:val="clear" w:color="auto" w:fill="auto"/>
            <w:noWrap/>
            <w:hideMark/>
          </w:tcPr>
          <w:p w14:paraId="3784795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660 / 4205</w:t>
            </w:r>
          </w:p>
        </w:tc>
        <w:tc>
          <w:tcPr>
            <w:tcW w:w="850" w:type="dxa"/>
            <w:tcBorders>
              <w:top w:val="nil"/>
              <w:left w:val="nil"/>
              <w:bottom w:val="single" w:sz="4" w:space="0" w:color="auto"/>
              <w:right w:val="single" w:sz="4" w:space="0" w:color="auto"/>
            </w:tcBorders>
            <w:shd w:val="clear" w:color="auto" w:fill="auto"/>
            <w:noWrap/>
            <w:hideMark/>
          </w:tcPr>
          <w:p w14:paraId="70307F2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7</w:t>
            </w:r>
          </w:p>
        </w:tc>
        <w:tc>
          <w:tcPr>
            <w:tcW w:w="737" w:type="dxa"/>
            <w:tcBorders>
              <w:top w:val="nil"/>
              <w:left w:val="nil"/>
              <w:bottom w:val="single" w:sz="4" w:space="0" w:color="auto"/>
              <w:right w:val="single" w:sz="4" w:space="0" w:color="auto"/>
            </w:tcBorders>
            <w:shd w:val="clear" w:color="auto" w:fill="auto"/>
            <w:noWrap/>
            <w:hideMark/>
          </w:tcPr>
          <w:p w14:paraId="0F8B1F5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673DFF2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2·01 (1.6 to 2·53)</w:t>
            </w:r>
          </w:p>
        </w:tc>
        <w:tc>
          <w:tcPr>
            <w:tcW w:w="964" w:type="dxa"/>
            <w:tcBorders>
              <w:top w:val="nil"/>
              <w:left w:val="nil"/>
              <w:bottom w:val="single" w:sz="4" w:space="0" w:color="auto"/>
              <w:right w:val="single" w:sz="4" w:space="0" w:color="auto"/>
            </w:tcBorders>
            <w:shd w:val="clear" w:color="auto" w:fill="auto"/>
            <w:noWrap/>
            <w:hideMark/>
          </w:tcPr>
          <w:p w14:paraId="507378D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78F027A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13%</w:t>
            </w:r>
          </w:p>
        </w:tc>
        <w:tc>
          <w:tcPr>
            <w:tcW w:w="1020" w:type="dxa"/>
            <w:tcBorders>
              <w:top w:val="nil"/>
              <w:left w:val="nil"/>
              <w:bottom w:val="single" w:sz="4" w:space="0" w:color="auto"/>
              <w:right w:val="single" w:sz="4" w:space="0" w:color="auto"/>
            </w:tcBorders>
            <w:shd w:val="clear" w:color="auto" w:fill="auto"/>
            <w:noWrap/>
            <w:hideMark/>
          </w:tcPr>
          <w:p w14:paraId="302EE19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1·33 to 3·04</w:t>
            </w:r>
          </w:p>
        </w:tc>
        <w:tc>
          <w:tcPr>
            <w:tcW w:w="2222" w:type="dxa"/>
            <w:tcBorders>
              <w:top w:val="nil"/>
              <w:left w:val="nil"/>
              <w:bottom w:val="single" w:sz="4" w:space="0" w:color="auto"/>
              <w:right w:val="single" w:sz="4" w:space="0" w:color="auto"/>
            </w:tcBorders>
            <w:shd w:val="clear" w:color="auto" w:fill="auto"/>
            <w:noWrap/>
            <w:hideMark/>
          </w:tcPr>
          <w:p w14:paraId="1190BA6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Small study effect</w:t>
            </w:r>
          </w:p>
        </w:tc>
        <w:tc>
          <w:tcPr>
            <w:tcW w:w="2778" w:type="dxa"/>
            <w:tcBorders>
              <w:top w:val="nil"/>
              <w:left w:val="nil"/>
              <w:bottom w:val="single" w:sz="4" w:space="0" w:color="auto"/>
              <w:right w:val="single" w:sz="4" w:space="0" w:color="auto"/>
            </w:tcBorders>
            <w:shd w:val="clear" w:color="auto" w:fill="auto"/>
            <w:noWrap/>
            <w:hideMark/>
          </w:tcPr>
          <w:p w14:paraId="784C519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to weak</w:t>
            </w:r>
          </w:p>
        </w:tc>
      </w:tr>
      <w:tr w:rsidR="00394B52" w:rsidRPr="00394B52" w14:paraId="4E63446C"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56D08F2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Any type of violence experience</w:t>
            </w:r>
          </w:p>
        </w:tc>
        <w:tc>
          <w:tcPr>
            <w:tcW w:w="1304" w:type="dxa"/>
            <w:tcBorders>
              <w:top w:val="nil"/>
              <w:left w:val="nil"/>
              <w:bottom w:val="single" w:sz="4" w:space="0" w:color="auto"/>
              <w:right w:val="single" w:sz="4" w:space="0" w:color="auto"/>
            </w:tcBorders>
            <w:shd w:val="clear" w:color="auto" w:fill="auto"/>
            <w:noWrap/>
            <w:hideMark/>
          </w:tcPr>
          <w:p w14:paraId="1A0FA3E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Zhang 2019</w:t>
            </w:r>
          </w:p>
        </w:tc>
        <w:tc>
          <w:tcPr>
            <w:tcW w:w="1247" w:type="dxa"/>
            <w:tcBorders>
              <w:top w:val="nil"/>
              <w:left w:val="nil"/>
              <w:bottom w:val="single" w:sz="4" w:space="0" w:color="auto"/>
              <w:right w:val="single" w:sz="4" w:space="0" w:color="auto"/>
            </w:tcBorders>
            <w:shd w:val="clear" w:color="auto" w:fill="auto"/>
            <w:noWrap/>
            <w:hideMark/>
          </w:tcPr>
          <w:p w14:paraId="6510AB1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13 556 / 153 756</w:t>
            </w:r>
          </w:p>
        </w:tc>
        <w:tc>
          <w:tcPr>
            <w:tcW w:w="850" w:type="dxa"/>
            <w:tcBorders>
              <w:top w:val="nil"/>
              <w:left w:val="nil"/>
              <w:bottom w:val="single" w:sz="4" w:space="0" w:color="auto"/>
              <w:right w:val="single" w:sz="4" w:space="0" w:color="auto"/>
            </w:tcBorders>
            <w:shd w:val="clear" w:color="auto" w:fill="auto"/>
            <w:noWrap/>
            <w:hideMark/>
          </w:tcPr>
          <w:p w14:paraId="4B81669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19</w:t>
            </w:r>
          </w:p>
        </w:tc>
        <w:tc>
          <w:tcPr>
            <w:tcW w:w="737" w:type="dxa"/>
            <w:tcBorders>
              <w:top w:val="nil"/>
              <w:left w:val="nil"/>
              <w:bottom w:val="single" w:sz="4" w:space="0" w:color="auto"/>
              <w:right w:val="single" w:sz="4" w:space="0" w:color="auto"/>
            </w:tcBorders>
            <w:shd w:val="clear" w:color="auto" w:fill="auto"/>
            <w:noWrap/>
            <w:hideMark/>
          </w:tcPr>
          <w:p w14:paraId="3E491CF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15E8604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1·79 (1.52 to 2·11)</w:t>
            </w:r>
          </w:p>
        </w:tc>
        <w:tc>
          <w:tcPr>
            <w:tcW w:w="964" w:type="dxa"/>
            <w:tcBorders>
              <w:top w:val="nil"/>
              <w:left w:val="nil"/>
              <w:bottom w:val="single" w:sz="4" w:space="0" w:color="auto"/>
              <w:right w:val="single" w:sz="4" w:space="0" w:color="auto"/>
            </w:tcBorders>
            <w:shd w:val="clear" w:color="auto" w:fill="auto"/>
            <w:noWrap/>
            <w:hideMark/>
          </w:tcPr>
          <w:p w14:paraId="0EC37BD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7C73737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72%</w:t>
            </w:r>
          </w:p>
        </w:tc>
        <w:tc>
          <w:tcPr>
            <w:tcW w:w="1020" w:type="dxa"/>
            <w:tcBorders>
              <w:top w:val="nil"/>
              <w:left w:val="nil"/>
              <w:bottom w:val="single" w:sz="4" w:space="0" w:color="auto"/>
              <w:right w:val="single" w:sz="4" w:space="0" w:color="auto"/>
            </w:tcBorders>
            <w:shd w:val="clear" w:color="auto" w:fill="auto"/>
            <w:noWrap/>
            <w:hideMark/>
          </w:tcPr>
          <w:p w14:paraId="7422C16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 to 3·2</w:t>
            </w:r>
          </w:p>
        </w:tc>
        <w:tc>
          <w:tcPr>
            <w:tcW w:w="2222" w:type="dxa"/>
            <w:tcBorders>
              <w:top w:val="nil"/>
              <w:left w:val="nil"/>
              <w:bottom w:val="single" w:sz="4" w:space="0" w:color="auto"/>
              <w:right w:val="single" w:sz="4" w:space="0" w:color="auto"/>
            </w:tcBorders>
            <w:shd w:val="clear" w:color="auto" w:fill="auto"/>
            <w:noWrap/>
            <w:hideMark/>
          </w:tcPr>
          <w:p w14:paraId="7462666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w:t>
            </w:r>
          </w:p>
        </w:tc>
        <w:tc>
          <w:tcPr>
            <w:tcW w:w="2778" w:type="dxa"/>
            <w:tcBorders>
              <w:top w:val="nil"/>
              <w:left w:val="nil"/>
              <w:bottom w:val="single" w:sz="4" w:space="0" w:color="auto"/>
              <w:right w:val="single" w:sz="4" w:space="0" w:color="auto"/>
            </w:tcBorders>
            <w:shd w:val="clear" w:color="auto" w:fill="auto"/>
            <w:noWrap/>
            <w:hideMark/>
          </w:tcPr>
          <w:p w14:paraId="7DFF837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1D30D47E"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5144B52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Primiparity compared to multiparity</w:t>
            </w:r>
          </w:p>
        </w:tc>
        <w:tc>
          <w:tcPr>
            <w:tcW w:w="1304" w:type="dxa"/>
            <w:tcBorders>
              <w:top w:val="nil"/>
              <w:left w:val="nil"/>
              <w:bottom w:val="single" w:sz="4" w:space="0" w:color="auto"/>
              <w:right w:val="single" w:sz="4" w:space="0" w:color="auto"/>
            </w:tcBorders>
            <w:shd w:val="clear" w:color="auto" w:fill="auto"/>
            <w:noWrap/>
            <w:hideMark/>
          </w:tcPr>
          <w:p w14:paraId="53E5A14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Tokumitsu</w:t>
            </w:r>
            <w:proofErr w:type="spellEnd"/>
            <w:r w:rsidRPr="00394B52">
              <w:rPr>
                <w:rFonts w:ascii="Times New Roman" w:eastAsia="Malgun Gothic" w:hAnsi="Times New Roman" w:cs="Times New Roman"/>
                <w:color w:val="000000"/>
                <w:kern w:val="0"/>
                <w:sz w:val="16"/>
                <w:szCs w:val="16"/>
              </w:rPr>
              <w:t xml:space="preserve"> 2020</w:t>
            </w:r>
          </w:p>
        </w:tc>
        <w:tc>
          <w:tcPr>
            <w:tcW w:w="1247" w:type="dxa"/>
            <w:tcBorders>
              <w:top w:val="nil"/>
              <w:left w:val="nil"/>
              <w:bottom w:val="single" w:sz="4" w:space="0" w:color="auto"/>
              <w:right w:val="single" w:sz="4" w:space="0" w:color="auto"/>
            </w:tcBorders>
            <w:shd w:val="clear" w:color="auto" w:fill="auto"/>
            <w:noWrap/>
            <w:hideMark/>
          </w:tcPr>
          <w:p w14:paraId="2B692F6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14 048 / 102 006</w:t>
            </w:r>
          </w:p>
        </w:tc>
        <w:tc>
          <w:tcPr>
            <w:tcW w:w="850" w:type="dxa"/>
            <w:tcBorders>
              <w:top w:val="nil"/>
              <w:left w:val="nil"/>
              <w:bottom w:val="single" w:sz="4" w:space="0" w:color="auto"/>
              <w:right w:val="single" w:sz="4" w:space="0" w:color="auto"/>
            </w:tcBorders>
            <w:shd w:val="clear" w:color="auto" w:fill="auto"/>
            <w:noWrap/>
            <w:hideMark/>
          </w:tcPr>
          <w:p w14:paraId="7D4B8F7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39</w:t>
            </w:r>
          </w:p>
        </w:tc>
        <w:tc>
          <w:tcPr>
            <w:tcW w:w="737" w:type="dxa"/>
            <w:tcBorders>
              <w:top w:val="nil"/>
              <w:left w:val="nil"/>
              <w:bottom w:val="single" w:sz="4" w:space="0" w:color="auto"/>
              <w:right w:val="single" w:sz="4" w:space="0" w:color="auto"/>
            </w:tcBorders>
            <w:shd w:val="clear" w:color="auto" w:fill="auto"/>
            <w:noWrap/>
            <w:hideMark/>
          </w:tcPr>
          <w:p w14:paraId="56CC231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RR</w:t>
            </w:r>
          </w:p>
        </w:tc>
        <w:tc>
          <w:tcPr>
            <w:tcW w:w="1474" w:type="dxa"/>
            <w:tcBorders>
              <w:top w:val="nil"/>
              <w:left w:val="nil"/>
              <w:bottom w:val="single" w:sz="4" w:space="0" w:color="auto"/>
              <w:right w:val="single" w:sz="4" w:space="0" w:color="auto"/>
            </w:tcBorders>
            <w:shd w:val="clear" w:color="auto" w:fill="auto"/>
            <w:noWrap/>
            <w:hideMark/>
          </w:tcPr>
          <w:p w14:paraId="706B3F9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1·76 (1.59 to 1·96)</w:t>
            </w:r>
          </w:p>
        </w:tc>
        <w:tc>
          <w:tcPr>
            <w:tcW w:w="964" w:type="dxa"/>
            <w:tcBorders>
              <w:top w:val="nil"/>
              <w:left w:val="nil"/>
              <w:bottom w:val="single" w:sz="4" w:space="0" w:color="auto"/>
              <w:right w:val="single" w:sz="4" w:space="0" w:color="auto"/>
            </w:tcBorders>
            <w:shd w:val="clear" w:color="auto" w:fill="auto"/>
            <w:noWrap/>
            <w:hideMark/>
          </w:tcPr>
          <w:p w14:paraId="5D733E9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29355D0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52%</w:t>
            </w:r>
          </w:p>
        </w:tc>
        <w:tc>
          <w:tcPr>
            <w:tcW w:w="1020" w:type="dxa"/>
            <w:tcBorders>
              <w:top w:val="nil"/>
              <w:left w:val="nil"/>
              <w:bottom w:val="single" w:sz="4" w:space="0" w:color="auto"/>
              <w:right w:val="single" w:sz="4" w:space="0" w:color="auto"/>
            </w:tcBorders>
            <w:shd w:val="clear" w:color="auto" w:fill="auto"/>
            <w:noWrap/>
            <w:hideMark/>
          </w:tcPr>
          <w:p w14:paraId="7F3DDF0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1·2 to 2·58</w:t>
            </w:r>
          </w:p>
        </w:tc>
        <w:tc>
          <w:tcPr>
            <w:tcW w:w="2222" w:type="dxa"/>
            <w:tcBorders>
              <w:top w:val="nil"/>
              <w:left w:val="nil"/>
              <w:bottom w:val="single" w:sz="4" w:space="0" w:color="auto"/>
              <w:right w:val="single" w:sz="4" w:space="0" w:color="auto"/>
            </w:tcBorders>
            <w:shd w:val="clear" w:color="auto" w:fill="auto"/>
            <w:noWrap/>
            <w:hideMark/>
          </w:tcPr>
          <w:p w14:paraId="03A11BE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small study effect</w:t>
            </w:r>
          </w:p>
        </w:tc>
        <w:tc>
          <w:tcPr>
            <w:tcW w:w="2778" w:type="dxa"/>
            <w:tcBorders>
              <w:top w:val="nil"/>
              <w:left w:val="nil"/>
              <w:bottom w:val="single" w:sz="4" w:space="0" w:color="auto"/>
              <w:right w:val="single" w:sz="4" w:space="0" w:color="auto"/>
            </w:tcBorders>
            <w:shd w:val="clear" w:color="auto" w:fill="auto"/>
            <w:noWrap/>
            <w:hideMark/>
          </w:tcPr>
          <w:p w14:paraId="56B948F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1F0AE06E"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7554B86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Unintended pregnancy</w:t>
            </w:r>
          </w:p>
        </w:tc>
        <w:tc>
          <w:tcPr>
            <w:tcW w:w="1304" w:type="dxa"/>
            <w:tcBorders>
              <w:top w:val="nil"/>
              <w:left w:val="nil"/>
              <w:bottom w:val="single" w:sz="4" w:space="0" w:color="auto"/>
              <w:right w:val="single" w:sz="4" w:space="0" w:color="auto"/>
            </w:tcBorders>
            <w:shd w:val="clear" w:color="auto" w:fill="auto"/>
            <w:noWrap/>
            <w:hideMark/>
          </w:tcPr>
          <w:p w14:paraId="4E33C81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Qiu</w:t>
            </w:r>
            <w:proofErr w:type="spellEnd"/>
            <w:r w:rsidRPr="00394B52">
              <w:rPr>
                <w:rFonts w:ascii="Times New Roman" w:eastAsia="Malgun Gothic" w:hAnsi="Times New Roman" w:cs="Times New Roman"/>
                <w:color w:val="000000"/>
                <w:kern w:val="0"/>
                <w:sz w:val="16"/>
                <w:szCs w:val="16"/>
              </w:rPr>
              <w:t xml:space="preserve"> 2020</w:t>
            </w:r>
          </w:p>
        </w:tc>
        <w:tc>
          <w:tcPr>
            <w:tcW w:w="1247" w:type="dxa"/>
            <w:tcBorders>
              <w:top w:val="nil"/>
              <w:left w:val="nil"/>
              <w:bottom w:val="single" w:sz="4" w:space="0" w:color="auto"/>
              <w:right w:val="single" w:sz="4" w:space="0" w:color="auto"/>
            </w:tcBorders>
            <w:shd w:val="clear" w:color="auto" w:fill="auto"/>
            <w:noWrap/>
            <w:hideMark/>
          </w:tcPr>
          <w:p w14:paraId="339132C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4516 / 57534</w:t>
            </w:r>
          </w:p>
        </w:tc>
        <w:tc>
          <w:tcPr>
            <w:tcW w:w="850" w:type="dxa"/>
            <w:tcBorders>
              <w:top w:val="nil"/>
              <w:left w:val="nil"/>
              <w:bottom w:val="single" w:sz="4" w:space="0" w:color="auto"/>
              <w:right w:val="single" w:sz="4" w:space="0" w:color="auto"/>
            </w:tcBorders>
            <w:shd w:val="clear" w:color="auto" w:fill="auto"/>
            <w:noWrap/>
            <w:hideMark/>
          </w:tcPr>
          <w:p w14:paraId="64564DF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17</w:t>
            </w:r>
          </w:p>
        </w:tc>
        <w:tc>
          <w:tcPr>
            <w:tcW w:w="737" w:type="dxa"/>
            <w:tcBorders>
              <w:top w:val="nil"/>
              <w:left w:val="nil"/>
              <w:bottom w:val="single" w:sz="4" w:space="0" w:color="auto"/>
              <w:right w:val="single" w:sz="4" w:space="0" w:color="auto"/>
            </w:tcBorders>
            <w:shd w:val="clear" w:color="auto" w:fill="auto"/>
            <w:noWrap/>
            <w:hideMark/>
          </w:tcPr>
          <w:p w14:paraId="5DF8F93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337E2EB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1·37 (1.21 to 1·55)</w:t>
            </w:r>
          </w:p>
        </w:tc>
        <w:tc>
          <w:tcPr>
            <w:tcW w:w="964" w:type="dxa"/>
            <w:tcBorders>
              <w:top w:val="nil"/>
              <w:left w:val="nil"/>
              <w:bottom w:val="single" w:sz="4" w:space="0" w:color="auto"/>
              <w:right w:val="single" w:sz="4" w:space="0" w:color="auto"/>
            </w:tcBorders>
            <w:shd w:val="clear" w:color="auto" w:fill="auto"/>
            <w:noWrap/>
            <w:hideMark/>
          </w:tcPr>
          <w:p w14:paraId="0AD3EE7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7F71057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71%</w:t>
            </w:r>
          </w:p>
        </w:tc>
        <w:tc>
          <w:tcPr>
            <w:tcW w:w="1020" w:type="dxa"/>
            <w:tcBorders>
              <w:top w:val="nil"/>
              <w:left w:val="nil"/>
              <w:bottom w:val="single" w:sz="4" w:space="0" w:color="auto"/>
              <w:right w:val="single" w:sz="4" w:space="0" w:color="auto"/>
            </w:tcBorders>
            <w:shd w:val="clear" w:color="auto" w:fill="auto"/>
            <w:noWrap/>
            <w:hideMark/>
          </w:tcPr>
          <w:p w14:paraId="2DEC11E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0·91 to 2·06</w:t>
            </w:r>
          </w:p>
        </w:tc>
        <w:tc>
          <w:tcPr>
            <w:tcW w:w="2222" w:type="dxa"/>
            <w:tcBorders>
              <w:top w:val="nil"/>
              <w:left w:val="nil"/>
              <w:bottom w:val="single" w:sz="4" w:space="0" w:color="auto"/>
              <w:right w:val="single" w:sz="4" w:space="0" w:color="auto"/>
            </w:tcBorders>
            <w:shd w:val="clear" w:color="auto" w:fill="auto"/>
            <w:noWrap/>
            <w:hideMark/>
          </w:tcPr>
          <w:p w14:paraId="5476C89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small study effect</w:t>
            </w:r>
          </w:p>
        </w:tc>
        <w:tc>
          <w:tcPr>
            <w:tcW w:w="2778" w:type="dxa"/>
            <w:tcBorders>
              <w:top w:val="nil"/>
              <w:left w:val="nil"/>
              <w:bottom w:val="single" w:sz="4" w:space="0" w:color="auto"/>
              <w:right w:val="single" w:sz="4" w:space="0" w:color="auto"/>
            </w:tcBorders>
            <w:shd w:val="clear" w:color="auto" w:fill="auto"/>
            <w:noWrap/>
            <w:hideMark/>
          </w:tcPr>
          <w:p w14:paraId="6BFB341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50A70CD7" w14:textId="77777777" w:rsidTr="00E01118">
        <w:trPr>
          <w:trHeight w:val="276"/>
        </w:trPr>
        <w:tc>
          <w:tcPr>
            <w:tcW w:w="15389" w:type="dxa"/>
            <w:gridSpan w:val="11"/>
            <w:tcBorders>
              <w:top w:val="nil"/>
              <w:left w:val="single" w:sz="4" w:space="0" w:color="auto"/>
              <w:bottom w:val="single" w:sz="4" w:space="0" w:color="auto"/>
              <w:right w:val="single" w:sz="4" w:space="0" w:color="auto"/>
            </w:tcBorders>
            <w:shd w:val="clear" w:color="auto" w:fill="auto"/>
            <w:noWrap/>
          </w:tcPr>
          <w:p w14:paraId="7F508FB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Prospective or retrospective cohort only</w:t>
            </w:r>
          </w:p>
        </w:tc>
      </w:tr>
      <w:tr w:rsidR="00394B52" w:rsidRPr="00394B52" w14:paraId="3624C901"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33A4838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Antenatal anxiety</w:t>
            </w:r>
          </w:p>
        </w:tc>
        <w:tc>
          <w:tcPr>
            <w:tcW w:w="1304" w:type="dxa"/>
            <w:tcBorders>
              <w:top w:val="nil"/>
              <w:left w:val="nil"/>
              <w:bottom w:val="single" w:sz="4" w:space="0" w:color="auto"/>
              <w:right w:val="single" w:sz="4" w:space="0" w:color="auto"/>
            </w:tcBorders>
            <w:shd w:val="clear" w:color="auto" w:fill="auto"/>
            <w:noWrap/>
            <w:hideMark/>
          </w:tcPr>
          <w:p w14:paraId="4956895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Grigoriadis</w:t>
            </w:r>
            <w:proofErr w:type="spellEnd"/>
            <w:r w:rsidRPr="00394B52">
              <w:rPr>
                <w:rFonts w:ascii="Times New Roman" w:eastAsia="Malgun Gothic" w:hAnsi="Times New Roman" w:cs="Times New Roman"/>
                <w:color w:val="000000"/>
                <w:kern w:val="0"/>
                <w:sz w:val="16"/>
                <w:szCs w:val="16"/>
              </w:rPr>
              <w:t xml:space="preserve"> 2019</w:t>
            </w:r>
          </w:p>
        </w:tc>
        <w:tc>
          <w:tcPr>
            <w:tcW w:w="1247" w:type="dxa"/>
            <w:tcBorders>
              <w:top w:val="nil"/>
              <w:left w:val="nil"/>
              <w:bottom w:val="single" w:sz="4" w:space="0" w:color="auto"/>
              <w:right w:val="single" w:sz="4" w:space="0" w:color="auto"/>
            </w:tcBorders>
            <w:shd w:val="clear" w:color="auto" w:fill="auto"/>
            <w:noWrap/>
            <w:hideMark/>
          </w:tcPr>
          <w:p w14:paraId="17DFAA6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1023 / 11758</w:t>
            </w:r>
          </w:p>
        </w:tc>
        <w:tc>
          <w:tcPr>
            <w:tcW w:w="850" w:type="dxa"/>
            <w:tcBorders>
              <w:top w:val="nil"/>
              <w:left w:val="nil"/>
              <w:bottom w:val="single" w:sz="4" w:space="0" w:color="auto"/>
              <w:right w:val="single" w:sz="4" w:space="0" w:color="auto"/>
            </w:tcBorders>
            <w:shd w:val="clear" w:color="auto" w:fill="auto"/>
            <w:noWrap/>
            <w:hideMark/>
          </w:tcPr>
          <w:p w14:paraId="7A98ABB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7</w:t>
            </w:r>
          </w:p>
        </w:tc>
        <w:tc>
          <w:tcPr>
            <w:tcW w:w="737" w:type="dxa"/>
            <w:tcBorders>
              <w:top w:val="nil"/>
              <w:left w:val="nil"/>
              <w:bottom w:val="single" w:sz="4" w:space="0" w:color="auto"/>
              <w:right w:val="single" w:sz="4" w:space="0" w:color="auto"/>
            </w:tcBorders>
            <w:shd w:val="clear" w:color="auto" w:fill="auto"/>
            <w:noWrap/>
            <w:hideMark/>
          </w:tcPr>
          <w:p w14:paraId="4E00B98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0CDABB2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2·49 (1.91 to 3·25)</w:t>
            </w:r>
          </w:p>
        </w:tc>
        <w:tc>
          <w:tcPr>
            <w:tcW w:w="964" w:type="dxa"/>
            <w:tcBorders>
              <w:top w:val="nil"/>
              <w:left w:val="nil"/>
              <w:bottom w:val="single" w:sz="4" w:space="0" w:color="auto"/>
              <w:right w:val="single" w:sz="4" w:space="0" w:color="auto"/>
            </w:tcBorders>
            <w:shd w:val="clear" w:color="auto" w:fill="auto"/>
            <w:noWrap/>
            <w:hideMark/>
          </w:tcPr>
          <w:p w14:paraId="3E4B713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6F43D40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12%</w:t>
            </w:r>
          </w:p>
        </w:tc>
        <w:tc>
          <w:tcPr>
            <w:tcW w:w="1020" w:type="dxa"/>
            <w:tcBorders>
              <w:top w:val="nil"/>
              <w:left w:val="nil"/>
              <w:bottom w:val="single" w:sz="4" w:space="0" w:color="auto"/>
              <w:right w:val="single" w:sz="4" w:space="0" w:color="auto"/>
            </w:tcBorders>
            <w:shd w:val="clear" w:color="auto" w:fill="auto"/>
            <w:noWrap/>
            <w:hideMark/>
          </w:tcPr>
          <w:p w14:paraId="1828EF9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1·54 to 4·04</w:t>
            </w:r>
          </w:p>
        </w:tc>
        <w:tc>
          <w:tcPr>
            <w:tcW w:w="2222" w:type="dxa"/>
            <w:tcBorders>
              <w:top w:val="nil"/>
              <w:left w:val="nil"/>
              <w:bottom w:val="single" w:sz="4" w:space="0" w:color="auto"/>
              <w:right w:val="single" w:sz="4" w:space="0" w:color="auto"/>
            </w:tcBorders>
            <w:shd w:val="clear" w:color="auto" w:fill="auto"/>
            <w:noWrap/>
            <w:hideMark/>
          </w:tcPr>
          <w:p w14:paraId="757C942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None</w:t>
            </w:r>
          </w:p>
        </w:tc>
        <w:tc>
          <w:tcPr>
            <w:tcW w:w="2778" w:type="dxa"/>
            <w:tcBorders>
              <w:top w:val="nil"/>
              <w:left w:val="nil"/>
              <w:bottom w:val="single" w:sz="4" w:space="0" w:color="auto"/>
              <w:right w:val="single" w:sz="4" w:space="0" w:color="auto"/>
            </w:tcBorders>
            <w:shd w:val="clear" w:color="auto" w:fill="auto"/>
            <w:noWrap/>
            <w:hideMark/>
          </w:tcPr>
          <w:p w14:paraId="474B7DC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Convincing retained</w:t>
            </w:r>
          </w:p>
        </w:tc>
      </w:tr>
      <w:tr w:rsidR="00394B52" w:rsidRPr="00394B52" w14:paraId="45C65B20"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3C400E6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Psychological violence</w:t>
            </w:r>
          </w:p>
        </w:tc>
        <w:tc>
          <w:tcPr>
            <w:tcW w:w="1304" w:type="dxa"/>
            <w:tcBorders>
              <w:top w:val="nil"/>
              <w:left w:val="nil"/>
              <w:bottom w:val="single" w:sz="4" w:space="0" w:color="auto"/>
              <w:right w:val="single" w:sz="4" w:space="0" w:color="auto"/>
            </w:tcBorders>
            <w:shd w:val="clear" w:color="auto" w:fill="auto"/>
            <w:noWrap/>
            <w:hideMark/>
          </w:tcPr>
          <w:p w14:paraId="0075FDA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Zhang 2019</w:t>
            </w:r>
          </w:p>
        </w:tc>
        <w:tc>
          <w:tcPr>
            <w:tcW w:w="1247" w:type="dxa"/>
            <w:tcBorders>
              <w:top w:val="nil"/>
              <w:left w:val="nil"/>
              <w:bottom w:val="single" w:sz="4" w:space="0" w:color="auto"/>
              <w:right w:val="single" w:sz="4" w:space="0" w:color="auto"/>
            </w:tcBorders>
            <w:shd w:val="clear" w:color="auto" w:fill="auto"/>
            <w:noWrap/>
            <w:hideMark/>
          </w:tcPr>
          <w:p w14:paraId="4990E74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6734 / 59 132</w:t>
            </w:r>
          </w:p>
        </w:tc>
        <w:tc>
          <w:tcPr>
            <w:tcW w:w="850" w:type="dxa"/>
            <w:tcBorders>
              <w:top w:val="nil"/>
              <w:left w:val="nil"/>
              <w:bottom w:val="single" w:sz="4" w:space="0" w:color="auto"/>
              <w:right w:val="single" w:sz="4" w:space="0" w:color="auto"/>
            </w:tcBorders>
            <w:shd w:val="clear" w:color="auto" w:fill="auto"/>
            <w:noWrap/>
            <w:hideMark/>
          </w:tcPr>
          <w:p w14:paraId="57047E8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8</w:t>
            </w:r>
          </w:p>
        </w:tc>
        <w:tc>
          <w:tcPr>
            <w:tcW w:w="737" w:type="dxa"/>
            <w:tcBorders>
              <w:top w:val="nil"/>
              <w:left w:val="nil"/>
              <w:bottom w:val="single" w:sz="4" w:space="0" w:color="auto"/>
              <w:right w:val="single" w:sz="4" w:space="0" w:color="auto"/>
            </w:tcBorders>
            <w:shd w:val="clear" w:color="auto" w:fill="auto"/>
            <w:noWrap/>
            <w:hideMark/>
          </w:tcPr>
          <w:p w14:paraId="6278000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30A4E7D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1·93 (1.54 to 2·42)</w:t>
            </w:r>
          </w:p>
        </w:tc>
        <w:tc>
          <w:tcPr>
            <w:tcW w:w="964" w:type="dxa"/>
            <w:tcBorders>
              <w:top w:val="nil"/>
              <w:left w:val="nil"/>
              <w:bottom w:val="single" w:sz="4" w:space="0" w:color="auto"/>
              <w:right w:val="single" w:sz="4" w:space="0" w:color="auto"/>
            </w:tcBorders>
            <w:shd w:val="clear" w:color="auto" w:fill="auto"/>
            <w:noWrap/>
            <w:hideMark/>
          </w:tcPr>
          <w:p w14:paraId="415F669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03EFAB3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48%</w:t>
            </w:r>
          </w:p>
        </w:tc>
        <w:tc>
          <w:tcPr>
            <w:tcW w:w="1020" w:type="dxa"/>
            <w:tcBorders>
              <w:top w:val="nil"/>
              <w:left w:val="nil"/>
              <w:bottom w:val="single" w:sz="4" w:space="0" w:color="auto"/>
              <w:right w:val="single" w:sz="4" w:space="0" w:color="auto"/>
            </w:tcBorders>
            <w:shd w:val="clear" w:color="auto" w:fill="auto"/>
            <w:noWrap/>
            <w:hideMark/>
          </w:tcPr>
          <w:p w14:paraId="1C890AB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1·1 to 3·4</w:t>
            </w:r>
          </w:p>
        </w:tc>
        <w:tc>
          <w:tcPr>
            <w:tcW w:w="2222" w:type="dxa"/>
            <w:tcBorders>
              <w:top w:val="nil"/>
              <w:left w:val="nil"/>
              <w:bottom w:val="single" w:sz="4" w:space="0" w:color="auto"/>
              <w:right w:val="single" w:sz="4" w:space="0" w:color="auto"/>
            </w:tcBorders>
            <w:shd w:val="clear" w:color="auto" w:fill="auto"/>
            <w:noWrap/>
            <w:hideMark/>
          </w:tcPr>
          <w:p w14:paraId="506CFA3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None</w:t>
            </w:r>
          </w:p>
        </w:tc>
        <w:tc>
          <w:tcPr>
            <w:tcW w:w="2778" w:type="dxa"/>
            <w:tcBorders>
              <w:top w:val="nil"/>
              <w:left w:val="nil"/>
              <w:bottom w:val="single" w:sz="4" w:space="0" w:color="auto"/>
              <w:right w:val="single" w:sz="4" w:space="0" w:color="auto"/>
            </w:tcBorders>
            <w:shd w:val="clear" w:color="auto" w:fill="auto"/>
            <w:noWrap/>
            <w:hideMark/>
          </w:tcPr>
          <w:p w14:paraId="7FC8648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Convincing retained</w:t>
            </w:r>
          </w:p>
        </w:tc>
      </w:tr>
      <w:tr w:rsidR="00394B52" w:rsidRPr="00394B52" w14:paraId="0E2E65B1"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65A2B5A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lastRenderedPageBreak/>
              <w:t>Intimate partner violence experience</w:t>
            </w:r>
          </w:p>
        </w:tc>
        <w:tc>
          <w:tcPr>
            <w:tcW w:w="1304" w:type="dxa"/>
            <w:tcBorders>
              <w:top w:val="nil"/>
              <w:left w:val="nil"/>
              <w:bottom w:val="single" w:sz="4" w:space="0" w:color="auto"/>
              <w:right w:val="single" w:sz="4" w:space="0" w:color="auto"/>
            </w:tcBorders>
            <w:shd w:val="clear" w:color="auto" w:fill="auto"/>
            <w:noWrap/>
            <w:hideMark/>
          </w:tcPr>
          <w:p w14:paraId="2E2008D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Howard 2013</w:t>
            </w:r>
          </w:p>
        </w:tc>
        <w:tc>
          <w:tcPr>
            <w:tcW w:w="1247" w:type="dxa"/>
            <w:tcBorders>
              <w:top w:val="nil"/>
              <w:left w:val="nil"/>
              <w:bottom w:val="single" w:sz="4" w:space="0" w:color="auto"/>
              <w:right w:val="single" w:sz="4" w:space="0" w:color="auto"/>
            </w:tcBorders>
            <w:shd w:val="clear" w:color="auto" w:fill="auto"/>
            <w:noWrap/>
            <w:hideMark/>
          </w:tcPr>
          <w:p w14:paraId="1DFFB78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275 / 2482</w:t>
            </w:r>
          </w:p>
        </w:tc>
        <w:tc>
          <w:tcPr>
            <w:tcW w:w="850" w:type="dxa"/>
            <w:tcBorders>
              <w:top w:val="nil"/>
              <w:left w:val="nil"/>
              <w:bottom w:val="single" w:sz="4" w:space="0" w:color="auto"/>
              <w:right w:val="single" w:sz="4" w:space="0" w:color="auto"/>
            </w:tcBorders>
            <w:shd w:val="clear" w:color="auto" w:fill="auto"/>
            <w:noWrap/>
            <w:hideMark/>
          </w:tcPr>
          <w:p w14:paraId="7631BD2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w:t>
            </w:r>
          </w:p>
        </w:tc>
        <w:tc>
          <w:tcPr>
            <w:tcW w:w="737" w:type="dxa"/>
            <w:tcBorders>
              <w:top w:val="nil"/>
              <w:left w:val="nil"/>
              <w:bottom w:val="single" w:sz="4" w:space="0" w:color="auto"/>
              <w:right w:val="single" w:sz="4" w:space="0" w:color="auto"/>
            </w:tcBorders>
            <w:shd w:val="clear" w:color="auto" w:fill="auto"/>
            <w:noWrap/>
            <w:hideMark/>
          </w:tcPr>
          <w:p w14:paraId="6D32FAC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57CA99C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2·87 (2.07 to 3·98)</w:t>
            </w:r>
          </w:p>
        </w:tc>
        <w:tc>
          <w:tcPr>
            <w:tcW w:w="964" w:type="dxa"/>
            <w:tcBorders>
              <w:top w:val="nil"/>
              <w:left w:val="nil"/>
              <w:bottom w:val="single" w:sz="4" w:space="0" w:color="auto"/>
              <w:right w:val="single" w:sz="4" w:space="0" w:color="auto"/>
            </w:tcBorders>
            <w:shd w:val="clear" w:color="auto" w:fill="auto"/>
            <w:noWrap/>
            <w:hideMark/>
          </w:tcPr>
          <w:p w14:paraId="12793A4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4FBDCCB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w:t>
            </w:r>
          </w:p>
        </w:tc>
        <w:tc>
          <w:tcPr>
            <w:tcW w:w="1020" w:type="dxa"/>
            <w:tcBorders>
              <w:top w:val="nil"/>
              <w:left w:val="nil"/>
              <w:bottom w:val="single" w:sz="4" w:space="0" w:color="auto"/>
              <w:right w:val="single" w:sz="4" w:space="0" w:color="auto"/>
            </w:tcBorders>
            <w:shd w:val="clear" w:color="auto" w:fill="auto"/>
            <w:noWrap/>
            <w:hideMark/>
          </w:tcPr>
          <w:p w14:paraId="3F62C22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1·81 to 4·56</w:t>
            </w:r>
          </w:p>
        </w:tc>
        <w:tc>
          <w:tcPr>
            <w:tcW w:w="2222" w:type="dxa"/>
            <w:tcBorders>
              <w:top w:val="nil"/>
              <w:left w:val="nil"/>
              <w:bottom w:val="single" w:sz="4" w:space="0" w:color="auto"/>
              <w:right w:val="single" w:sz="4" w:space="0" w:color="auto"/>
            </w:tcBorders>
            <w:shd w:val="clear" w:color="auto" w:fill="auto"/>
            <w:noWrap/>
            <w:hideMark/>
          </w:tcPr>
          <w:p w14:paraId="4ABE09F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None</w:t>
            </w:r>
          </w:p>
        </w:tc>
        <w:tc>
          <w:tcPr>
            <w:tcW w:w="2778" w:type="dxa"/>
            <w:tcBorders>
              <w:top w:val="nil"/>
              <w:left w:val="nil"/>
              <w:bottom w:val="single" w:sz="4" w:space="0" w:color="auto"/>
              <w:right w:val="single" w:sz="4" w:space="0" w:color="auto"/>
            </w:tcBorders>
            <w:shd w:val="clear" w:color="auto" w:fill="auto"/>
            <w:noWrap/>
            <w:hideMark/>
          </w:tcPr>
          <w:p w14:paraId="7790EF0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to weak</w:t>
            </w:r>
          </w:p>
        </w:tc>
      </w:tr>
      <w:tr w:rsidR="00394B52" w:rsidRPr="00394B52" w14:paraId="0A3569FD"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24FFE6E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Smoking during pregnancy</w:t>
            </w:r>
          </w:p>
        </w:tc>
        <w:tc>
          <w:tcPr>
            <w:tcW w:w="1304" w:type="dxa"/>
            <w:tcBorders>
              <w:top w:val="nil"/>
              <w:left w:val="nil"/>
              <w:bottom w:val="single" w:sz="4" w:space="0" w:color="auto"/>
              <w:right w:val="single" w:sz="4" w:space="0" w:color="auto"/>
            </w:tcBorders>
            <w:shd w:val="clear" w:color="auto" w:fill="auto"/>
            <w:noWrap/>
            <w:hideMark/>
          </w:tcPr>
          <w:p w14:paraId="08492CB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Chen 2019</w:t>
            </w:r>
          </w:p>
        </w:tc>
        <w:tc>
          <w:tcPr>
            <w:tcW w:w="1247" w:type="dxa"/>
            <w:tcBorders>
              <w:top w:val="nil"/>
              <w:left w:val="nil"/>
              <w:bottom w:val="single" w:sz="4" w:space="0" w:color="auto"/>
              <w:right w:val="single" w:sz="4" w:space="0" w:color="auto"/>
            </w:tcBorders>
            <w:shd w:val="clear" w:color="auto" w:fill="auto"/>
            <w:noWrap/>
            <w:hideMark/>
          </w:tcPr>
          <w:p w14:paraId="7A444BC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449 / 4451</w:t>
            </w:r>
          </w:p>
        </w:tc>
        <w:tc>
          <w:tcPr>
            <w:tcW w:w="850" w:type="dxa"/>
            <w:tcBorders>
              <w:top w:val="nil"/>
              <w:left w:val="nil"/>
              <w:bottom w:val="single" w:sz="4" w:space="0" w:color="auto"/>
              <w:right w:val="single" w:sz="4" w:space="0" w:color="auto"/>
            </w:tcBorders>
            <w:shd w:val="clear" w:color="auto" w:fill="auto"/>
            <w:noWrap/>
            <w:hideMark/>
          </w:tcPr>
          <w:p w14:paraId="291CFEF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5</w:t>
            </w:r>
          </w:p>
        </w:tc>
        <w:tc>
          <w:tcPr>
            <w:tcW w:w="737" w:type="dxa"/>
            <w:tcBorders>
              <w:top w:val="nil"/>
              <w:left w:val="nil"/>
              <w:bottom w:val="single" w:sz="4" w:space="0" w:color="auto"/>
              <w:right w:val="single" w:sz="4" w:space="0" w:color="auto"/>
            </w:tcBorders>
            <w:shd w:val="clear" w:color="auto" w:fill="auto"/>
            <w:noWrap/>
            <w:hideMark/>
          </w:tcPr>
          <w:p w14:paraId="586D4CF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742EDC1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3·15 (1.41 to 7·02)</w:t>
            </w:r>
          </w:p>
        </w:tc>
        <w:tc>
          <w:tcPr>
            <w:tcW w:w="964" w:type="dxa"/>
            <w:tcBorders>
              <w:top w:val="nil"/>
              <w:left w:val="nil"/>
              <w:bottom w:val="single" w:sz="4" w:space="0" w:color="auto"/>
              <w:right w:val="single" w:sz="4" w:space="0" w:color="auto"/>
            </w:tcBorders>
            <w:shd w:val="clear" w:color="auto" w:fill="auto"/>
            <w:noWrap/>
            <w:hideMark/>
          </w:tcPr>
          <w:p w14:paraId="44BE9DA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0·0051</w:t>
            </w:r>
          </w:p>
        </w:tc>
        <w:tc>
          <w:tcPr>
            <w:tcW w:w="530" w:type="dxa"/>
            <w:tcBorders>
              <w:top w:val="nil"/>
              <w:left w:val="nil"/>
              <w:bottom w:val="single" w:sz="4" w:space="0" w:color="auto"/>
              <w:right w:val="single" w:sz="4" w:space="0" w:color="auto"/>
            </w:tcBorders>
            <w:shd w:val="clear" w:color="auto" w:fill="auto"/>
            <w:noWrap/>
            <w:hideMark/>
          </w:tcPr>
          <w:p w14:paraId="5FB2B8C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86%</w:t>
            </w:r>
          </w:p>
        </w:tc>
        <w:tc>
          <w:tcPr>
            <w:tcW w:w="1020" w:type="dxa"/>
            <w:tcBorders>
              <w:top w:val="nil"/>
              <w:left w:val="nil"/>
              <w:bottom w:val="single" w:sz="4" w:space="0" w:color="auto"/>
              <w:right w:val="single" w:sz="4" w:space="0" w:color="auto"/>
            </w:tcBorders>
            <w:shd w:val="clear" w:color="auto" w:fill="auto"/>
            <w:noWrap/>
            <w:hideMark/>
          </w:tcPr>
          <w:p w14:paraId="666885F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0·17 to 57·75</w:t>
            </w:r>
          </w:p>
        </w:tc>
        <w:tc>
          <w:tcPr>
            <w:tcW w:w="2222" w:type="dxa"/>
            <w:tcBorders>
              <w:top w:val="nil"/>
              <w:left w:val="nil"/>
              <w:bottom w:val="single" w:sz="4" w:space="0" w:color="auto"/>
              <w:right w:val="single" w:sz="4" w:space="0" w:color="auto"/>
            </w:tcBorders>
            <w:shd w:val="clear" w:color="auto" w:fill="auto"/>
            <w:noWrap/>
            <w:hideMark/>
          </w:tcPr>
          <w:p w14:paraId="52E8010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w:t>
            </w:r>
          </w:p>
        </w:tc>
        <w:tc>
          <w:tcPr>
            <w:tcW w:w="2778" w:type="dxa"/>
            <w:tcBorders>
              <w:top w:val="nil"/>
              <w:left w:val="nil"/>
              <w:bottom w:val="single" w:sz="4" w:space="0" w:color="auto"/>
              <w:right w:val="single" w:sz="4" w:space="0" w:color="auto"/>
            </w:tcBorders>
            <w:shd w:val="clear" w:color="auto" w:fill="auto"/>
            <w:noWrap/>
            <w:hideMark/>
          </w:tcPr>
          <w:p w14:paraId="297BB75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to weak</w:t>
            </w:r>
          </w:p>
        </w:tc>
      </w:tr>
      <w:tr w:rsidR="00394B52" w:rsidRPr="00394B52" w14:paraId="154BF160"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3E2FB92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History of premenstrual syndrome</w:t>
            </w:r>
          </w:p>
        </w:tc>
        <w:tc>
          <w:tcPr>
            <w:tcW w:w="1304" w:type="dxa"/>
            <w:tcBorders>
              <w:top w:val="nil"/>
              <w:left w:val="nil"/>
              <w:bottom w:val="single" w:sz="4" w:space="0" w:color="auto"/>
              <w:right w:val="single" w:sz="4" w:space="0" w:color="auto"/>
            </w:tcBorders>
            <w:shd w:val="clear" w:color="auto" w:fill="auto"/>
            <w:noWrap/>
            <w:hideMark/>
          </w:tcPr>
          <w:p w14:paraId="47DF918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Cao 2020</w:t>
            </w:r>
          </w:p>
        </w:tc>
        <w:tc>
          <w:tcPr>
            <w:tcW w:w="1247" w:type="dxa"/>
            <w:tcBorders>
              <w:top w:val="nil"/>
              <w:left w:val="nil"/>
              <w:bottom w:val="single" w:sz="4" w:space="0" w:color="auto"/>
              <w:right w:val="single" w:sz="4" w:space="0" w:color="auto"/>
            </w:tcBorders>
            <w:shd w:val="clear" w:color="auto" w:fill="auto"/>
            <w:noWrap/>
            <w:hideMark/>
          </w:tcPr>
          <w:p w14:paraId="66DF630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452 / 4442</w:t>
            </w:r>
          </w:p>
        </w:tc>
        <w:tc>
          <w:tcPr>
            <w:tcW w:w="850" w:type="dxa"/>
            <w:tcBorders>
              <w:top w:val="nil"/>
              <w:left w:val="nil"/>
              <w:bottom w:val="single" w:sz="4" w:space="0" w:color="auto"/>
              <w:right w:val="single" w:sz="4" w:space="0" w:color="auto"/>
            </w:tcBorders>
            <w:shd w:val="clear" w:color="auto" w:fill="auto"/>
            <w:noWrap/>
            <w:hideMark/>
          </w:tcPr>
          <w:p w14:paraId="22E7D69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w:t>
            </w:r>
          </w:p>
        </w:tc>
        <w:tc>
          <w:tcPr>
            <w:tcW w:w="737" w:type="dxa"/>
            <w:tcBorders>
              <w:top w:val="nil"/>
              <w:left w:val="nil"/>
              <w:bottom w:val="single" w:sz="4" w:space="0" w:color="auto"/>
              <w:right w:val="single" w:sz="4" w:space="0" w:color="auto"/>
            </w:tcBorders>
            <w:shd w:val="clear" w:color="auto" w:fill="auto"/>
            <w:noWrap/>
            <w:hideMark/>
          </w:tcPr>
          <w:p w14:paraId="33205C2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7B7B792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2·23 (1.74 to 2·86)</w:t>
            </w:r>
          </w:p>
        </w:tc>
        <w:tc>
          <w:tcPr>
            <w:tcW w:w="964" w:type="dxa"/>
            <w:tcBorders>
              <w:top w:val="nil"/>
              <w:left w:val="nil"/>
              <w:bottom w:val="single" w:sz="4" w:space="0" w:color="auto"/>
              <w:right w:val="single" w:sz="4" w:space="0" w:color="auto"/>
            </w:tcBorders>
            <w:shd w:val="clear" w:color="auto" w:fill="auto"/>
            <w:noWrap/>
            <w:hideMark/>
          </w:tcPr>
          <w:p w14:paraId="4AE420E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2CCF972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10%</w:t>
            </w:r>
          </w:p>
        </w:tc>
        <w:tc>
          <w:tcPr>
            <w:tcW w:w="1020" w:type="dxa"/>
            <w:tcBorders>
              <w:top w:val="nil"/>
              <w:left w:val="nil"/>
              <w:bottom w:val="single" w:sz="4" w:space="0" w:color="auto"/>
              <w:right w:val="single" w:sz="4" w:space="0" w:color="auto"/>
            </w:tcBorders>
            <w:shd w:val="clear" w:color="auto" w:fill="auto"/>
            <w:noWrap/>
            <w:hideMark/>
          </w:tcPr>
          <w:p w14:paraId="32E5E34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1·42 to 3·51</w:t>
            </w:r>
          </w:p>
        </w:tc>
        <w:tc>
          <w:tcPr>
            <w:tcW w:w="2222" w:type="dxa"/>
            <w:tcBorders>
              <w:top w:val="nil"/>
              <w:left w:val="nil"/>
              <w:bottom w:val="single" w:sz="4" w:space="0" w:color="auto"/>
              <w:right w:val="single" w:sz="4" w:space="0" w:color="auto"/>
            </w:tcBorders>
            <w:shd w:val="clear" w:color="auto" w:fill="auto"/>
            <w:noWrap/>
            <w:hideMark/>
          </w:tcPr>
          <w:p w14:paraId="384D9C5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None</w:t>
            </w:r>
          </w:p>
        </w:tc>
        <w:tc>
          <w:tcPr>
            <w:tcW w:w="2778" w:type="dxa"/>
            <w:tcBorders>
              <w:top w:val="nil"/>
              <w:left w:val="nil"/>
              <w:bottom w:val="single" w:sz="4" w:space="0" w:color="auto"/>
              <w:right w:val="single" w:sz="4" w:space="0" w:color="auto"/>
            </w:tcBorders>
            <w:shd w:val="clear" w:color="auto" w:fill="auto"/>
            <w:noWrap/>
            <w:hideMark/>
          </w:tcPr>
          <w:p w14:paraId="1472DB1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to weak</w:t>
            </w:r>
          </w:p>
        </w:tc>
      </w:tr>
      <w:tr w:rsidR="00394B52" w:rsidRPr="00394B52" w14:paraId="42332225"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1D77B88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Any type of violence experience</w:t>
            </w:r>
          </w:p>
        </w:tc>
        <w:tc>
          <w:tcPr>
            <w:tcW w:w="1304" w:type="dxa"/>
            <w:tcBorders>
              <w:top w:val="nil"/>
              <w:left w:val="nil"/>
              <w:bottom w:val="single" w:sz="4" w:space="0" w:color="auto"/>
              <w:right w:val="single" w:sz="4" w:space="0" w:color="auto"/>
            </w:tcBorders>
            <w:shd w:val="clear" w:color="auto" w:fill="auto"/>
            <w:noWrap/>
            <w:hideMark/>
          </w:tcPr>
          <w:p w14:paraId="14F000C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Zhang 2019</w:t>
            </w:r>
          </w:p>
        </w:tc>
        <w:tc>
          <w:tcPr>
            <w:tcW w:w="1247" w:type="dxa"/>
            <w:tcBorders>
              <w:top w:val="nil"/>
              <w:left w:val="nil"/>
              <w:bottom w:val="single" w:sz="4" w:space="0" w:color="auto"/>
              <w:right w:val="single" w:sz="4" w:space="0" w:color="auto"/>
            </w:tcBorders>
            <w:shd w:val="clear" w:color="auto" w:fill="auto"/>
            <w:noWrap/>
            <w:hideMark/>
          </w:tcPr>
          <w:p w14:paraId="565A4F9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16 953 / 177 148</w:t>
            </w:r>
          </w:p>
        </w:tc>
        <w:tc>
          <w:tcPr>
            <w:tcW w:w="850" w:type="dxa"/>
            <w:tcBorders>
              <w:top w:val="nil"/>
              <w:left w:val="nil"/>
              <w:bottom w:val="single" w:sz="4" w:space="0" w:color="auto"/>
              <w:right w:val="single" w:sz="4" w:space="0" w:color="auto"/>
            </w:tcBorders>
            <w:shd w:val="clear" w:color="auto" w:fill="auto"/>
            <w:noWrap/>
            <w:hideMark/>
          </w:tcPr>
          <w:p w14:paraId="61AC65B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32</w:t>
            </w:r>
          </w:p>
        </w:tc>
        <w:tc>
          <w:tcPr>
            <w:tcW w:w="737" w:type="dxa"/>
            <w:tcBorders>
              <w:top w:val="nil"/>
              <w:left w:val="nil"/>
              <w:bottom w:val="single" w:sz="4" w:space="0" w:color="auto"/>
              <w:right w:val="single" w:sz="4" w:space="0" w:color="auto"/>
            </w:tcBorders>
            <w:shd w:val="clear" w:color="auto" w:fill="auto"/>
            <w:noWrap/>
            <w:hideMark/>
          </w:tcPr>
          <w:p w14:paraId="2DC7F69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6B4C3DD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2·04 (1.72 to 2·41)</w:t>
            </w:r>
          </w:p>
        </w:tc>
        <w:tc>
          <w:tcPr>
            <w:tcW w:w="964" w:type="dxa"/>
            <w:tcBorders>
              <w:top w:val="nil"/>
              <w:left w:val="nil"/>
              <w:bottom w:val="single" w:sz="4" w:space="0" w:color="auto"/>
              <w:right w:val="single" w:sz="4" w:space="0" w:color="auto"/>
            </w:tcBorders>
            <w:shd w:val="clear" w:color="auto" w:fill="auto"/>
            <w:noWrap/>
            <w:hideMark/>
          </w:tcPr>
          <w:p w14:paraId="66ED87B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417D830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94%</w:t>
            </w:r>
          </w:p>
        </w:tc>
        <w:tc>
          <w:tcPr>
            <w:tcW w:w="1020" w:type="dxa"/>
            <w:tcBorders>
              <w:top w:val="nil"/>
              <w:left w:val="nil"/>
              <w:bottom w:val="single" w:sz="4" w:space="0" w:color="auto"/>
              <w:right w:val="single" w:sz="4" w:space="0" w:color="auto"/>
            </w:tcBorders>
            <w:shd w:val="clear" w:color="auto" w:fill="auto"/>
            <w:noWrap/>
            <w:hideMark/>
          </w:tcPr>
          <w:p w14:paraId="071878D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0·88 to 4·73</w:t>
            </w:r>
          </w:p>
        </w:tc>
        <w:tc>
          <w:tcPr>
            <w:tcW w:w="2222" w:type="dxa"/>
            <w:tcBorders>
              <w:top w:val="nil"/>
              <w:left w:val="nil"/>
              <w:bottom w:val="single" w:sz="4" w:space="0" w:color="auto"/>
              <w:right w:val="single" w:sz="4" w:space="0" w:color="auto"/>
            </w:tcBorders>
            <w:shd w:val="clear" w:color="auto" w:fill="auto"/>
            <w:noWrap/>
            <w:hideMark/>
          </w:tcPr>
          <w:p w14:paraId="50DF922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small study effect</w:t>
            </w:r>
          </w:p>
        </w:tc>
        <w:tc>
          <w:tcPr>
            <w:tcW w:w="2778" w:type="dxa"/>
            <w:tcBorders>
              <w:top w:val="nil"/>
              <w:left w:val="nil"/>
              <w:bottom w:val="single" w:sz="4" w:space="0" w:color="auto"/>
              <w:right w:val="single" w:sz="4" w:space="0" w:color="auto"/>
            </w:tcBorders>
            <w:shd w:val="clear" w:color="auto" w:fill="auto"/>
            <w:noWrap/>
            <w:hideMark/>
          </w:tcPr>
          <w:p w14:paraId="2BF71D7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75A15DD1"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3EB1C83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Primiparity compared to multiparity</w:t>
            </w:r>
          </w:p>
        </w:tc>
        <w:tc>
          <w:tcPr>
            <w:tcW w:w="1304" w:type="dxa"/>
            <w:tcBorders>
              <w:top w:val="nil"/>
              <w:left w:val="nil"/>
              <w:bottom w:val="single" w:sz="4" w:space="0" w:color="auto"/>
              <w:right w:val="single" w:sz="4" w:space="0" w:color="auto"/>
            </w:tcBorders>
            <w:shd w:val="clear" w:color="auto" w:fill="auto"/>
            <w:noWrap/>
            <w:hideMark/>
          </w:tcPr>
          <w:p w14:paraId="455A0F7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Tokumitsu</w:t>
            </w:r>
            <w:proofErr w:type="spellEnd"/>
            <w:r w:rsidRPr="00394B52">
              <w:rPr>
                <w:rFonts w:ascii="Times New Roman" w:eastAsia="Malgun Gothic" w:hAnsi="Times New Roman" w:cs="Times New Roman"/>
                <w:color w:val="000000"/>
                <w:kern w:val="0"/>
                <w:sz w:val="16"/>
                <w:szCs w:val="16"/>
              </w:rPr>
              <w:t xml:space="preserve"> 2020</w:t>
            </w:r>
          </w:p>
        </w:tc>
        <w:tc>
          <w:tcPr>
            <w:tcW w:w="1247" w:type="dxa"/>
            <w:tcBorders>
              <w:top w:val="nil"/>
              <w:left w:val="nil"/>
              <w:bottom w:val="single" w:sz="4" w:space="0" w:color="auto"/>
              <w:right w:val="single" w:sz="4" w:space="0" w:color="auto"/>
            </w:tcBorders>
            <w:shd w:val="clear" w:color="auto" w:fill="auto"/>
            <w:noWrap/>
            <w:hideMark/>
          </w:tcPr>
          <w:p w14:paraId="2B0F1D6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12 109 / 88 073</w:t>
            </w:r>
          </w:p>
        </w:tc>
        <w:tc>
          <w:tcPr>
            <w:tcW w:w="850" w:type="dxa"/>
            <w:tcBorders>
              <w:top w:val="nil"/>
              <w:left w:val="nil"/>
              <w:bottom w:val="single" w:sz="4" w:space="0" w:color="auto"/>
              <w:right w:val="single" w:sz="4" w:space="0" w:color="auto"/>
            </w:tcBorders>
            <w:shd w:val="clear" w:color="auto" w:fill="auto"/>
            <w:noWrap/>
            <w:hideMark/>
          </w:tcPr>
          <w:p w14:paraId="7DE7802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9</w:t>
            </w:r>
          </w:p>
        </w:tc>
        <w:tc>
          <w:tcPr>
            <w:tcW w:w="737" w:type="dxa"/>
            <w:tcBorders>
              <w:top w:val="nil"/>
              <w:left w:val="nil"/>
              <w:bottom w:val="single" w:sz="4" w:space="0" w:color="auto"/>
              <w:right w:val="single" w:sz="4" w:space="0" w:color="auto"/>
            </w:tcBorders>
            <w:shd w:val="clear" w:color="auto" w:fill="auto"/>
            <w:noWrap/>
            <w:hideMark/>
          </w:tcPr>
          <w:p w14:paraId="352B8D6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RR</w:t>
            </w:r>
          </w:p>
        </w:tc>
        <w:tc>
          <w:tcPr>
            <w:tcW w:w="1474" w:type="dxa"/>
            <w:tcBorders>
              <w:top w:val="nil"/>
              <w:left w:val="nil"/>
              <w:bottom w:val="single" w:sz="4" w:space="0" w:color="auto"/>
              <w:right w:val="single" w:sz="4" w:space="0" w:color="auto"/>
            </w:tcBorders>
            <w:shd w:val="clear" w:color="auto" w:fill="auto"/>
            <w:noWrap/>
            <w:hideMark/>
          </w:tcPr>
          <w:p w14:paraId="62DC04A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1·59 (1.37 to 1·85)</w:t>
            </w:r>
          </w:p>
        </w:tc>
        <w:tc>
          <w:tcPr>
            <w:tcW w:w="964" w:type="dxa"/>
            <w:tcBorders>
              <w:top w:val="nil"/>
              <w:left w:val="nil"/>
              <w:bottom w:val="single" w:sz="4" w:space="0" w:color="auto"/>
              <w:right w:val="single" w:sz="4" w:space="0" w:color="auto"/>
            </w:tcBorders>
            <w:shd w:val="clear" w:color="auto" w:fill="auto"/>
            <w:noWrap/>
            <w:hideMark/>
          </w:tcPr>
          <w:p w14:paraId="2DAC486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45624BF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54%</w:t>
            </w:r>
          </w:p>
        </w:tc>
        <w:tc>
          <w:tcPr>
            <w:tcW w:w="1020" w:type="dxa"/>
            <w:tcBorders>
              <w:top w:val="nil"/>
              <w:left w:val="nil"/>
              <w:bottom w:val="single" w:sz="4" w:space="0" w:color="auto"/>
              <w:right w:val="single" w:sz="4" w:space="0" w:color="auto"/>
            </w:tcBorders>
            <w:shd w:val="clear" w:color="auto" w:fill="auto"/>
            <w:noWrap/>
            <w:hideMark/>
          </w:tcPr>
          <w:p w14:paraId="6708430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1·08 to 2·36</w:t>
            </w:r>
          </w:p>
        </w:tc>
        <w:tc>
          <w:tcPr>
            <w:tcW w:w="2222" w:type="dxa"/>
            <w:tcBorders>
              <w:top w:val="nil"/>
              <w:left w:val="nil"/>
              <w:bottom w:val="single" w:sz="4" w:space="0" w:color="auto"/>
              <w:right w:val="single" w:sz="4" w:space="0" w:color="auto"/>
            </w:tcBorders>
            <w:shd w:val="clear" w:color="auto" w:fill="auto"/>
            <w:noWrap/>
            <w:hideMark/>
          </w:tcPr>
          <w:p w14:paraId="4301362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w:t>
            </w:r>
          </w:p>
        </w:tc>
        <w:tc>
          <w:tcPr>
            <w:tcW w:w="2778" w:type="dxa"/>
            <w:tcBorders>
              <w:top w:val="nil"/>
              <w:left w:val="nil"/>
              <w:bottom w:val="single" w:sz="4" w:space="0" w:color="auto"/>
              <w:right w:val="single" w:sz="4" w:space="0" w:color="auto"/>
            </w:tcBorders>
            <w:shd w:val="clear" w:color="auto" w:fill="auto"/>
            <w:noWrap/>
            <w:hideMark/>
          </w:tcPr>
          <w:p w14:paraId="2086FCE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691C5A48"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4A991FB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Unintended pregnancy</w:t>
            </w:r>
          </w:p>
        </w:tc>
        <w:tc>
          <w:tcPr>
            <w:tcW w:w="1304" w:type="dxa"/>
            <w:tcBorders>
              <w:top w:val="nil"/>
              <w:left w:val="nil"/>
              <w:bottom w:val="single" w:sz="4" w:space="0" w:color="auto"/>
              <w:right w:val="single" w:sz="4" w:space="0" w:color="auto"/>
            </w:tcBorders>
            <w:shd w:val="clear" w:color="auto" w:fill="auto"/>
            <w:noWrap/>
            <w:hideMark/>
          </w:tcPr>
          <w:p w14:paraId="6F61EAC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Qiu</w:t>
            </w:r>
            <w:proofErr w:type="spellEnd"/>
            <w:r w:rsidRPr="00394B52">
              <w:rPr>
                <w:rFonts w:ascii="Times New Roman" w:eastAsia="Malgun Gothic" w:hAnsi="Times New Roman" w:cs="Times New Roman"/>
                <w:color w:val="000000"/>
                <w:kern w:val="0"/>
                <w:sz w:val="16"/>
                <w:szCs w:val="16"/>
              </w:rPr>
              <w:t xml:space="preserve"> 2020</w:t>
            </w:r>
          </w:p>
        </w:tc>
        <w:tc>
          <w:tcPr>
            <w:tcW w:w="1247" w:type="dxa"/>
            <w:tcBorders>
              <w:top w:val="nil"/>
              <w:left w:val="nil"/>
              <w:bottom w:val="single" w:sz="4" w:space="0" w:color="auto"/>
              <w:right w:val="single" w:sz="4" w:space="0" w:color="auto"/>
            </w:tcBorders>
            <w:shd w:val="clear" w:color="auto" w:fill="auto"/>
            <w:noWrap/>
            <w:hideMark/>
          </w:tcPr>
          <w:p w14:paraId="1A78721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5447 / 62 130</w:t>
            </w:r>
          </w:p>
        </w:tc>
        <w:tc>
          <w:tcPr>
            <w:tcW w:w="850" w:type="dxa"/>
            <w:tcBorders>
              <w:top w:val="nil"/>
              <w:left w:val="nil"/>
              <w:bottom w:val="single" w:sz="4" w:space="0" w:color="auto"/>
              <w:right w:val="single" w:sz="4" w:space="0" w:color="auto"/>
            </w:tcBorders>
            <w:shd w:val="clear" w:color="auto" w:fill="auto"/>
            <w:noWrap/>
            <w:hideMark/>
          </w:tcPr>
          <w:p w14:paraId="19BEA7C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28</w:t>
            </w:r>
          </w:p>
        </w:tc>
        <w:tc>
          <w:tcPr>
            <w:tcW w:w="737" w:type="dxa"/>
            <w:tcBorders>
              <w:top w:val="nil"/>
              <w:left w:val="nil"/>
              <w:bottom w:val="single" w:sz="4" w:space="0" w:color="auto"/>
              <w:right w:val="single" w:sz="4" w:space="0" w:color="auto"/>
            </w:tcBorders>
            <w:shd w:val="clear" w:color="auto" w:fill="auto"/>
            <w:noWrap/>
            <w:hideMark/>
          </w:tcPr>
          <w:p w14:paraId="4236CCE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4B5F13A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1·53 (1.34 to 1·74)</w:t>
            </w:r>
          </w:p>
        </w:tc>
        <w:tc>
          <w:tcPr>
            <w:tcW w:w="964" w:type="dxa"/>
            <w:tcBorders>
              <w:top w:val="nil"/>
              <w:left w:val="nil"/>
              <w:bottom w:val="single" w:sz="4" w:space="0" w:color="auto"/>
              <w:right w:val="single" w:sz="4" w:space="0" w:color="auto"/>
            </w:tcBorders>
            <w:shd w:val="clear" w:color="auto" w:fill="auto"/>
            <w:noWrap/>
            <w:hideMark/>
          </w:tcPr>
          <w:p w14:paraId="1980E84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015C792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77%</w:t>
            </w:r>
          </w:p>
        </w:tc>
        <w:tc>
          <w:tcPr>
            <w:tcW w:w="1020" w:type="dxa"/>
            <w:tcBorders>
              <w:top w:val="nil"/>
              <w:left w:val="nil"/>
              <w:bottom w:val="single" w:sz="4" w:space="0" w:color="auto"/>
              <w:right w:val="single" w:sz="4" w:space="0" w:color="auto"/>
            </w:tcBorders>
            <w:shd w:val="clear" w:color="auto" w:fill="auto"/>
            <w:noWrap/>
            <w:hideMark/>
          </w:tcPr>
          <w:p w14:paraId="53A0F3A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0·89 to 2·64</w:t>
            </w:r>
          </w:p>
        </w:tc>
        <w:tc>
          <w:tcPr>
            <w:tcW w:w="2222" w:type="dxa"/>
            <w:tcBorders>
              <w:top w:val="nil"/>
              <w:left w:val="nil"/>
              <w:bottom w:val="single" w:sz="4" w:space="0" w:color="auto"/>
              <w:right w:val="single" w:sz="4" w:space="0" w:color="auto"/>
            </w:tcBorders>
            <w:shd w:val="clear" w:color="auto" w:fill="auto"/>
            <w:noWrap/>
            <w:hideMark/>
          </w:tcPr>
          <w:p w14:paraId="60B0651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small study effect</w:t>
            </w:r>
          </w:p>
        </w:tc>
        <w:tc>
          <w:tcPr>
            <w:tcW w:w="2778" w:type="dxa"/>
            <w:tcBorders>
              <w:top w:val="nil"/>
              <w:left w:val="nil"/>
              <w:bottom w:val="single" w:sz="4" w:space="0" w:color="auto"/>
              <w:right w:val="single" w:sz="4" w:space="0" w:color="auto"/>
            </w:tcBorders>
            <w:shd w:val="clear" w:color="auto" w:fill="auto"/>
            <w:noWrap/>
            <w:hideMark/>
          </w:tcPr>
          <w:p w14:paraId="6A23590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1259562C" w14:textId="77777777" w:rsidTr="00E01118">
        <w:trPr>
          <w:trHeight w:val="276"/>
        </w:trPr>
        <w:tc>
          <w:tcPr>
            <w:tcW w:w="15389" w:type="dxa"/>
            <w:gridSpan w:val="11"/>
            <w:tcBorders>
              <w:top w:val="nil"/>
              <w:left w:val="single" w:sz="4" w:space="0" w:color="auto"/>
              <w:bottom w:val="single" w:sz="4" w:space="0" w:color="auto"/>
              <w:right w:val="single" w:sz="4" w:space="0" w:color="auto"/>
            </w:tcBorders>
            <w:shd w:val="clear" w:color="auto" w:fill="auto"/>
            <w:noWrap/>
          </w:tcPr>
          <w:p w14:paraId="7FC0611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b/>
                <w:bCs/>
                <w:color w:val="000000"/>
                <w:kern w:val="0"/>
                <w:sz w:val="16"/>
                <w:szCs w:val="16"/>
              </w:rPr>
            </w:pPr>
            <w:r w:rsidRPr="00394B52">
              <w:rPr>
                <w:rFonts w:ascii="Times New Roman" w:eastAsia="Malgun Gothic" w:hAnsi="Times New Roman" w:cs="Times New Roman"/>
                <w:b/>
                <w:bCs/>
                <w:color w:val="000000"/>
                <w:kern w:val="0"/>
                <w:sz w:val="16"/>
                <w:szCs w:val="16"/>
              </w:rPr>
              <w:t>Prospective cohort only</w:t>
            </w:r>
          </w:p>
        </w:tc>
      </w:tr>
      <w:tr w:rsidR="00394B52" w:rsidRPr="00394B52" w14:paraId="0B313071"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084B8D0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Antenatal anxiety</w:t>
            </w:r>
          </w:p>
        </w:tc>
        <w:tc>
          <w:tcPr>
            <w:tcW w:w="1304" w:type="dxa"/>
            <w:tcBorders>
              <w:top w:val="nil"/>
              <w:left w:val="nil"/>
              <w:bottom w:val="single" w:sz="4" w:space="0" w:color="auto"/>
              <w:right w:val="single" w:sz="4" w:space="0" w:color="auto"/>
            </w:tcBorders>
            <w:shd w:val="clear" w:color="auto" w:fill="auto"/>
            <w:noWrap/>
            <w:hideMark/>
          </w:tcPr>
          <w:p w14:paraId="556F3F5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Grigoriadis</w:t>
            </w:r>
            <w:proofErr w:type="spellEnd"/>
            <w:r w:rsidRPr="00394B52">
              <w:rPr>
                <w:rFonts w:ascii="Times New Roman" w:eastAsia="Malgun Gothic" w:hAnsi="Times New Roman" w:cs="Times New Roman"/>
                <w:color w:val="000000"/>
                <w:kern w:val="0"/>
                <w:sz w:val="16"/>
                <w:szCs w:val="16"/>
              </w:rPr>
              <w:t xml:space="preserve"> 2019</w:t>
            </w:r>
          </w:p>
        </w:tc>
        <w:tc>
          <w:tcPr>
            <w:tcW w:w="1247" w:type="dxa"/>
            <w:tcBorders>
              <w:top w:val="nil"/>
              <w:left w:val="nil"/>
              <w:bottom w:val="single" w:sz="4" w:space="0" w:color="auto"/>
              <w:right w:val="single" w:sz="4" w:space="0" w:color="auto"/>
            </w:tcBorders>
            <w:shd w:val="clear" w:color="auto" w:fill="auto"/>
            <w:noWrap/>
            <w:hideMark/>
          </w:tcPr>
          <w:p w14:paraId="27DD734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960 / 11 183</w:t>
            </w:r>
          </w:p>
        </w:tc>
        <w:tc>
          <w:tcPr>
            <w:tcW w:w="850" w:type="dxa"/>
            <w:tcBorders>
              <w:top w:val="nil"/>
              <w:left w:val="nil"/>
              <w:bottom w:val="single" w:sz="4" w:space="0" w:color="auto"/>
              <w:right w:val="single" w:sz="4" w:space="0" w:color="auto"/>
            </w:tcBorders>
            <w:shd w:val="clear" w:color="auto" w:fill="auto"/>
            <w:noWrap/>
            <w:hideMark/>
          </w:tcPr>
          <w:p w14:paraId="759C24A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w:t>
            </w:r>
          </w:p>
        </w:tc>
        <w:tc>
          <w:tcPr>
            <w:tcW w:w="737" w:type="dxa"/>
            <w:tcBorders>
              <w:top w:val="nil"/>
              <w:left w:val="nil"/>
              <w:bottom w:val="single" w:sz="4" w:space="0" w:color="auto"/>
              <w:right w:val="single" w:sz="4" w:space="0" w:color="auto"/>
            </w:tcBorders>
            <w:shd w:val="clear" w:color="auto" w:fill="auto"/>
            <w:noWrap/>
            <w:hideMark/>
          </w:tcPr>
          <w:p w14:paraId="023663C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7B9D6AD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2·47 (1.98 to 3·09)</w:t>
            </w:r>
          </w:p>
        </w:tc>
        <w:tc>
          <w:tcPr>
            <w:tcW w:w="964" w:type="dxa"/>
            <w:tcBorders>
              <w:top w:val="nil"/>
              <w:left w:val="nil"/>
              <w:bottom w:val="single" w:sz="4" w:space="0" w:color="auto"/>
              <w:right w:val="single" w:sz="4" w:space="0" w:color="auto"/>
            </w:tcBorders>
            <w:shd w:val="clear" w:color="auto" w:fill="auto"/>
            <w:noWrap/>
            <w:hideMark/>
          </w:tcPr>
          <w:p w14:paraId="61183C0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79C4CB5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w:t>
            </w:r>
          </w:p>
        </w:tc>
        <w:tc>
          <w:tcPr>
            <w:tcW w:w="1020" w:type="dxa"/>
            <w:tcBorders>
              <w:top w:val="nil"/>
              <w:left w:val="nil"/>
              <w:bottom w:val="single" w:sz="4" w:space="0" w:color="auto"/>
              <w:right w:val="single" w:sz="4" w:space="0" w:color="auto"/>
            </w:tcBorders>
            <w:shd w:val="clear" w:color="auto" w:fill="auto"/>
            <w:noWrap/>
            <w:hideMark/>
          </w:tcPr>
          <w:p w14:paraId="0DBA864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1·8 to 3·39</w:t>
            </w:r>
          </w:p>
        </w:tc>
        <w:tc>
          <w:tcPr>
            <w:tcW w:w="2222" w:type="dxa"/>
            <w:tcBorders>
              <w:top w:val="nil"/>
              <w:left w:val="nil"/>
              <w:bottom w:val="single" w:sz="4" w:space="0" w:color="auto"/>
              <w:right w:val="single" w:sz="4" w:space="0" w:color="auto"/>
            </w:tcBorders>
            <w:shd w:val="clear" w:color="auto" w:fill="auto"/>
            <w:noWrap/>
            <w:hideMark/>
          </w:tcPr>
          <w:p w14:paraId="47BF17C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Small study effect</w:t>
            </w:r>
          </w:p>
        </w:tc>
        <w:tc>
          <w:tcPr>
            <w:tcW w:w="2778" w:type="dxa"/>
            <w:tcBorders>
              <w:top w:val="nil"/>
              <w:left w:val="nil"/>
              <w:bottom w:val="single" w:sz="4" w:space="0" w:color="auto"/>
              <w:right w:val="single" w:sz="4" w:space="0" w:color="auto"/>
            </w:tcBorders>
            <w:shd w:val="clear" w:color="auto" w:fill="auto"/>
            <w:noWrap/>
            <w:hideMark/>
          </w:tcPr>
          <w:p w14:paraId="09011FE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Convincing to weak</w:t>
            </w:r>
          </w:p>
        </w:tc>
      </w:tr>
      <w:tr w:rsidR="00394B52" w:rsidRPr="00394B52" w14:paraId="72CD5EF5"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791C24E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Psychological violence</w:t>
            </w:r>
          </w:p>
        </w:tc>
        <w:tc>
          <w:tcPr>
            <w:tcW w:w="1304" w:type="dxa"/>
            <w:tcBorders>
              <w:top w:val="nil"/>
              <w:left w:val="nil"/>
              <w:bottom w:val="single" w:sz="4" w:space="0" w:color="auto"/>
              <w:right w:val="single" w:sz="4" w:space="0" w:color="auto"/>
            </w:tcBorders>
            <w:shd w:val="clear" w:color="auto" w:fill="auto"/>
            <w:noWrap/>
            <w:hideMark/>
          </w:tcPr>
          <w:p w14:paraId="47BFD70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Zhang 2019</w:t>
            </w:r>
          </w:p>
        </w:tc>
        <w:tc>
          <w:tcPr>
            <w:tcW w:w="1247" w:type="dxa"/>
            <w:tcBorders>
              <w:top w:val="nil"/>
              <w:left w:val="nil"/>
              <w:bottom w:val="single" w:sz="4" w:space="0" w:color="auto"/>
              <w:right w:val="single" w:sz="4" w:space="0" w:color="auto"/>
            </w:tcBorders>
            <w:shd w:val="clear" w:color="auto" w:fill="auto"/>
            <w:noWrap/>
            <w:hideMark/>
          </w:tcPr>
          <w:p w14:paraId="25A91B2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6734 / 59 132</w:t>
            </w:r>
          </w:p>
        </w:tc>
        <w:tc>
          <w:tcPr>
            <w:tcW w:w="850" w:type="dxa"/>
            <w:tcBorders>
              <w:top w:val="nil"/>
              <w:left w:val="nil"/>
              <w:bottom w:val="single" w:sz="4" w:space="0" w:color="auto"/>
              <w:right w:val="single" w:sz="4" w:space="0" w:color="auto"/>
            </w:tcBorders>
            <w:shd w:val="clear" w:color="auto" w:fill="auto"/>
            <w:noWrap/>
            <w:hideMark/>
          </w:tcPr>
          <w:p w14:paraId="6383B1C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8</w:t>
            </w:r>
          </w:p>
        </w:tc>
        <w:tc>
          <w:tcPr>
            <w:tcW w:w="737" w:type="dxa"/>
            <w:tcBorders>
              <w:top w:val="nil"/>
              <w:left w:val="nil"/>
              <w:bottom w:val="single" w:sz="4" w:space="0" w:color="auto"/>
              <w:right w:val="single" w:sz="4" w:space="0" w:color="auto"/>
            </w:tcBorders>
            <w:shd w:val="clear" w:color="auto" w:fill="auto"/>
            <w:noWrap/>
            <w:hideMark/>
          </w:tcPr>
          <w:p w14:paraId="4E48473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45E0984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1·93 (1.54 to 2·42)</w:t>
            </w:r>
          </w:p>
        </w:tc>
        <w:tc>
          <w:tcPr>
            <w:tcW w:w="964" w:type="dxa"/>
            <w:tcBorders>
              <w:top w:val="nil"/>
              <w:left w:val="nil"/>
              <w:bottom w:val="single" w:sz="4" w:space="0" w:color="auto"/>
              <w:right w:val="single" w:sz="4" w:space="0" w:color="auto"/>
            </w:tcBorders>
            <w:shd w:val="clear" w:color="auto" w:fill="auto"/>
            <w:noWrap/>
            <w:hideMark/>
          </w:tcPr>
          <w:p w14:paraId="543E44A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73DC1C8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48%</w:t>
            </w:r>
          </w:p>
        </w:tc>
        <w:tc>
          <w:tcPr>
            <w:tcW w:w="1020" w:type="dxa"/>
            <w:tcBorders>
              <w:top w:val="nil"/>
              <w:left w:val="nil"/>
              <w:bottom w:val="single" w:sz="4" w:space="0" w:color="auto"/>
              <w:right w:val="single" w:sz="4" w:space="0" w:color="auto"/>
            </w:tcBorders>
            <w:shd w:val="clear" w:color="auto" w:fill="auto"/>
            <w:noWrap/>
            <w:hideMark/>
          </w:tcPr>
          <w:p w14:paraId="5E3FFFF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1·1 to 3·4</w:t>
            </w:r>
          </w:p>
        </w:tc>
        <w:tc>
          <w:tcPr>
            <w:tcW w:w="2222" w:type="dxa"/>
            <w:tcBorders>
              <w:top w:val="nil"/>
              <w:left w:val="nil"/>
              <w:bottom w:val="single" w:sz="4" w:space="0" w:color="auto"/>
              <w:right w:val="single" w:sz="4" w:space="0" w:color="auto"/>
            </w:tcBorders>
            <w:shd w:val="clear" w:color="auto" w:fill="auto"/>
            <w:noWrap/>
            <w:hideMark/>
          </w:tcPr>
          <w:p w14:paraId="584AE61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None</w:t>
            </w:r>
          </w:p>
        </w:tc>
        <w:tc>
          <w:tcPr>
            <w:tcW w:w="2778" w:type="dxa"/>
            <w:tcBorders>
              <w:top w:val="nil"/>
              <w:left w:val="nil"/>
              <w:bottom w:val="single" w:sz="4" w:space="0" w:color="auto"/>
              <w:right w:val="single" w:sz="4" w:space="0" w:color="auto"/>
            </w:tcBorders>
            <w:shd w:val="clear" w:color="auto" w:fill="auto"/>
            <w:noWrap/>
            <w:hideMark/>
          </w:tcPr>
          <w:p w14:paraId="4C68FD6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Convincing retained</w:t>
            </w:r>
          </w:p>
        </w:tc>
      </w:tr>
      <w:tr w:rsidR="00394B52" w:rsidRPr="00394B52" w14:paraId="19DCA78C"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4BC0CC5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Intimate partner violence experience</w:t>
            </w:r>
          </w:p>
        </w:tc>
        <w:tc>
          <w:tcPr>
            <w:tcW w:w="1304" w:type="dxa"/>
            <w:tcBorders>
              <w:top w:val="nil"/>
              <w:left w:val="nil"/>
              <w:bottom w:val="single" w:sz="4" w:space="0" w:color="auto"/>
              <w:right w:val="single" w:sz="4" w:space="0" w:color="auto"/>
            </w:tcBorders>
            <w:shd w:val="clear" w:color="auto" w:fill="auto"/>
            <w:noWrap/>
            <w:hideMark/>
          </w:tcPr>
          <w:p w14:paraId="3E6C492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Howard 2013</w:t>
            </w:r>
          </w:p>
        </w:tc>
        <w:tc>
          <w:tcPr>
            <w:tcW w:w="1247" w:type="dxa"/>
            <w:tcBorders>
              <w:top w:val="nil"/>
              <w:left w:val="nil"/>
              <w:bottom w:val="single" w:sz="4" w:space="0" w:color="auto"/>
              <w:right w:val="single" w:sz="4" w:space="0" w:color="auto"/>
            </w:tcBorders>
            <w:shd w:val="clear" w:color="auto" w:fill="auto"/>
            <w:noWrap/>
            <w:hideMark/>
          </w:tcPr>
          <w:p w14:paraId="5B400AD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275 / 2482</w:t>
            </w:r>
          </w:p>
        </w:tc>
        <w:tc>
          <w:tcPr>
            <w:tcW w:w="850" w:type="dxa"/>
            <w:tcBorders>
              <w:top w:val="nil"/>
              <w:left w:val="nil"/>
              <w:bottom w:val="single" w:sz="4" w:space="0" w:color="auto"/>
              <w:right w:val="single" w:sz="4" w:space="0" w:color="auto"/>
            </w:tcBorders>
            <w:shd w:val="clear" w:color="auto" w:fill="auto"/>
            <w:noWrap/>
            <w:hideMark/>
          </w:tcPr>
          <w:p w14:paraId="42EC4BC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6</w:t>
            </w:r>
          </w:p>
        </w:tc>
        <w:tc>
          <w:tcPr>
            <w:tcW w:w="737" w:type="dxa"/>
            <w:tcBorders>
              <w:top w:val="nil"/>
              <w:left w:val="nil"/>
              <w:bottom w:val="single" w:sz="4" w:space="0" w:color="auto"/>
              <w:right w:val="single" w:sz="4" w:space="0" w:color="auto"/>
            </w:tcBorders>
            <w:shd w:val="clear" w:color="auto" w:fill="auto"/>
            <w:noWrap/>
            <w:hideMark/>
          </w:tcPr>
          <w:p w14:paraId="7E24905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5BC28BD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2·87 (2.07 to 3·98)</w:t>
            </w:r>
          </w:p>
        </w:tc>
        <w:tc>
          <w:tcPr>
            <w:tcW w:w="964" w:type="dxa"/>
            <w:tcBorders>
              <w:top w:val="nil"/>
              <w:left w:val="nil"/>
              <w:bottom w:val="single" w:sz="4" w:space="0" w:color="auto"/>
              <w:right w:val="single" w:sz="4" w:space="0" w:color="auto"/>
            </w:tcBorders>
            <w:shd w:val="clear" w:color="auto" w:fill="auto"/>
            <w:noWrap/>
            <w:hideMark/>
          </w:tcPr>
          <w:p w14:paraId="517C558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29EB123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w:t>
            </w:r>
          </w:p>
        </w:tc>
        <w:tc>
          <w:tcPr>
            <w:tcW w:w="1020" w:type="dxa"/>
            <w:tcBorders>
              <w:top w:val="nil"/>
              <w:left w:val="nil"/>
              <w:bottom w:val="single" w:sz="4" w:space="0" w:color="auto"/>
              <w:right w:val="single" w:sz="4" w:space="0" w:color="auto"/>
            </w:tcBorders>
            <w:shd w:val="clear" w:color="auto" w:fill="auto"/>
            <w:noWrap/>
            <w:hideMark/>
          </w:tcPr>
          <w:p w14:paraId="3A2765F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1·81 to 4·56</w:t>
            </w:r>
          </w:p>
        </w:tc>
        <w:tc>
          <w:tcPr>
            <w:tcW w:w="2222" w:type="dxa"/>
            <w:tcBorders>
              <w:top w:val="nil"/>
              <w:left w:val="nil"/>
              <w:bottom w:val="single" w:sz="4" w:space="0" w:color="auto"/>
              <w:right w:val="single" w:sz="4" w:space="0" w:color="auto"/>
            </w:tcBorders>
            <w:shd w:val="clear" w:color="auto" w:fill="auto"/>
            <w:noWrap/>
            <w:hideMark/>
          </w:tcPr>
          <w:p w14:paraId="1480346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None</w:t>
            </w:r>
          </w:p>
        </w:tc>
        <w:tc>
          <w:tcPr>
            <w:tcW w:w="2778" w:type="dxa"/>
            <w:tcBorders>
              <w:top w:val="nil"/>
              <w:left w:val="nil"/>
              <w:bottom w:val="single" w:sz="4" w:space="0" w:color="auto"/>
              <w:right w:val="single" w:sz="4" w:space="0" w:color="auto"/>
            </w:tcBorders>
            <w:shd w:val="clear" w:color="auto" w:fill="auto"/>
            <w:noWrap/>
            <w:hideMark/>
          </w:tcPr>
          <w:p w14:paraId="15668A8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to weak</w:t>
            </w:r>
          </w:p>
        </w:tc>
      </w:tr>
      <w:tr w:rsidR="00394B52" w:rsidRPr="00394B52" w14:paraId="5D9C0F50"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4114652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Smoking during pregnancy</w:t>
            </w:r>
          </w:p>
        </w:tc>
        <w:tc>
          <w:tcPr>
            <w:tcW w:w="1304" w:type="dxa"/>
            <w:tcBorders>
              <w:top w:val="nil"/>
              <w:left w:val="nil"/>
              <w:bottom w:val="single" w:sz="4" w:space="0" w:color="auto"/>
              <w:right w:val="single" w:sz="4" w:space="0" w:color="auto"/>
            </w:tcBorders>
            <w:shd w:val="clear" w:color="auto" w:fill="auto"/>
            <w:noWrap/>
            <w:hideMark/>
          </w:tcPr>
          <w:p w14:paraId="467A357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Chen 2019</w:t>
            </w:r>
          </w:p>
        </w:tc>
        <w:tc>
          <w:tcPr>
            <w:tcW w:w="1247" w:type="dxa"/>
            <w:tcBorders>
              <w:top w:val="nil"/>
              <w:left w:val="nil"/>
              <w:bottom w:val="single" w:sz="4" w:space="0" w:color="auto"/>
              <w:right w:val="single" w:sz="4" w:space="0" w:color="auto"/>
            </w:tcBorders>
            <w:shd w:val="clear" w:color="auto" w:fill="auto"/>
            <w:noWrap/>
            <w:hideMark/>
          </w:tcPr>
          <w:p w14:paraId="59628A1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449 / 4451</w:t>
            </w:r>
          </w:p>
        </w:tc>
        <w:tc>
          <w:tcPr>
            <w:tcW w:w="850" w:type="dxa"/>
            <w:tcBorders>
              <w:top w:val="nil"/>
              <w:left w:val="nil"/>
              <w:bottom w:val="single" w:sz="4" w:space="0" w:color="auto"/>
              <w:right w:val="single" w:sz="4" w:space="0" w:color="auto"/>
            </w:tcBorders>
            <w:shd w:val="clear" w:color="auto" w:fill="auto"/>
            <w:noWrap/>
            <w:hideMark/>
          </w:tcPr>
          <w:p w14:paraId="3459AA5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5</w:t>
            </w:r>
          </w:p>
        </w:tc>
        <w:tc>
          <w:tcPr>
            <w:tcW w:w="737" w:type="dxa"/>
            <w:tcBorders>
              <w:top w:val="nil"/>
              <w:left w:val="nil"/>
              <w:bottom w:val="single" w:sz="4" w:space="0" w:color="auto"/>
              <w:right w:val="single" w:sz="4" w:space="0" w:color="auto"/>
            </w:tcBorders>
            <w:shd w:val="clear" w:color="auto" w:fill="auto"/>
            <w:noWrap/>
            <w:hideMark/>
          </w:tcPr>
          <w:p w14:paraId="6EE7C43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4C5F1CD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3·15 (1.41 to 7·02)</w:t>
            </w:r>
          </w:p>
        </w:tc>
        <w:tc>
          <w:tcPr>
            <w:tcW w:w="964" w:type="dxa"/>
            <w:tcBorders>
              <w:top w:val="nil"/>
              <w:left w:val="nil"/>
              <w:bottom w:val="single" w:sz="4" w:space="0" w:color="auto"/>
              <w:right w:val="single" w:sz="4" w:space="0" w:color="auto"/>
            </w:tcBorders>
            <w:shd w:val="clear" w:color="auto" w:fill="auto"/>
            <w:noWrap/>
            <w:hideMark/>
          </w:tcPr>
          <w:p w14:paraId="77E23A0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0·0051</w:t>
            </w:r>
          </w:p>
        </w:tc>
        <w:tc>
          <w:tcPr>
            <w:tcW w:w="530" w:type="dxa"/>
            <w:tcBorders>
              <w:top w:val="nil"/>
              <w:left w:val="nil"/>
              <w:bottom w:val="single" w:sz="4" w:space="0" w:color="auto"/>
              <w:right w:val="single" w:sz="4" w:space="0" w:color="auto"/>
            </w:tcBorders>
            <w:shd w:val="clear" w:color="auto" w:fill="auto"/>
            <w:noWrap/>
            <w:hideMark/>
          </w:tcPr>
          <w:p w14:paraId="3CD9C55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86%</w:t>
            </w:r>
          </w:p>
        </w:tc>
        <w:tc>
          <w:tcPr>
            <w:tcW w:w="1020" w:type="dxa"/>
            <w:tcBorders>
              <w:top w:val="nil"/>
              <w:left w:val="nil"/>
              <w:bottom w:val="single" w:sz="4" w:space="0" w:color="auto"/>
              <w:right w:val="single" w:sz="4" w:space="0" w:color="auto"/>
            </w:tcBorders>
            <w:shd w:val="clear" w:color="auto" w:fill="auto"/>
            <w:noWrap/>
            <w:hideMark/>
          </w:tcPr>
          <w:p w14:paraId="097357B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0·17 to 57·75</w:t>
            </w:r>
          </w:p>
        </w:tc>
        <w:tc>
          <w:tcPr>
            <w:tcW w:w="2222" w:type="dxa"/>
            <w:tcBorders>
              <w:top w:val="nil"/>
              <w:left w:val="nil"/>
              <w:bottom w:val="single" w:sz="4" w:space="0" w:color="auto"/>
              <w:right w:val="single" w:sz="4" w:space="0" w:color="auto"/>
            </w:tcBorders>
            <w:shd w:val="clear" w:color="auto" w:fill="auto"/>
            <w:noWrap/>
            <w:hideMark/>
          </w:tcPr>
          <w:p w14:paraId="28F8F68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w:t>
            </w:r>
          </w:p>
        </w:tc>
        <w:tc>
          <w:tcPr>
            <w:tcW w:w="2778" w:type="dxa"/>
            <w:tcBorders>
              <w:top w:val="nil"/>
              <w:left w:val="nil"/>
              <w:bottom w:val="single" w:sz="4" w:space="0" w:color="auto"/>
              <w:right w:val="single" w:sz="4" w:space="0" w:color="auto"/>
            </w:tcBorders>
            <w:shd w:val="clear" w:color="auto" w:fill="auto"/>
            <w:noWrap/>
            <w:hideMark/>
          </w:tcPr>
          <w:p w14:paraId="721653D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to weak</w:t>
            </w:r>
          </w:p>
        </w:tc>
      </w:tr>
      <w:tr w:rsidR="00394B52" w:rsidRPr="00394B52" w14:paraId="58D72DB0"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47045B9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History of premenstrual syndrome</w:t>
            </w:r>
          </w:p>
        </w:tc>
        <w:tc>
          <w:tcPr>
            <w:tcW w:w="1304" w:type="dxa"/>
            <w:tcBorders>
              <w:top w:val="nil"/>
              <w:left w:val="nil"/>
              <w:bottom w:val="single" w:sz="4" w:space="0" w:color="auto"/>
              <w:right w:val="single" w:sz="4" w:space="0" w:color="auto"/>
            </w:tcBorders>
            <w:shd w:val="clear" w:color="auto" w:fill="auto"/>
            <w:noWrap/>
            <w:hideMark/>
          </w:tcPr>
          <w:p w14:paraId="0D3A561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Cao 2020</w:t>
            </w:r>
          </w:p>
        </w:tc>
        <w:tc>
          <w:tcPr>
            <w:tcW w:w="1247" w:type="dxa"/>
            <w:tcBorders>
              <w:top w:val="nil"/>
              <w:left w:val="nil"/>
              <w:bottom w:val="single" w:sz="4" w:space="0" w:color="auto"/>
              <w:right w:val="single" w:sz="4" w:space="0" w:color="auto"/>
            </w:tcBorders>
            <w:shd w:val="clear" w:color="auto" w:fill="auto"/>
            <w:noWrap/>
            <w:hideMark/>
          </w:tcPr>
          <w:p w14:paraId="1204BC7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195 / 1371</w:t>
            </w:r>
          </w:p>
        </w:tc>
        <w:tc>
          <w:tcPr>
            <w:tcW w:w="850" w:type="dxa"/>
            <w:tcBorders>
              <w:top w:val="nil"/>
              <w:left w:val="nil"/>
              <w:bottom w:val="single" w:sz="4" w:space="0" w:color="auto"/>
              <w:right w:val="single" w:sz="4" w:space="0" w:color="auto"/>
            </w:tcBorders>
            <w:shd w:val="clear" w:color="auto" w:fill="auto"/>
            <w:noWrap/>
            <w:hideMark/>
          </w:tcPr>
          <w:p w14:paraId="5ABE14F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3</w:t>
            </w:r>
          </w:p>
        </w:tc>
        <w:tc>
          <w:tcPr>
            <w:tcW w:w="737" w:type="dxa"/>
            <w:tcBorders>
              <w:top w:val="nil"/>
              <w:left w:val="nil"/>
              <w:bottom w:val="single" w:sz="4" w:space="0" w:color="auto"/>
              <w:right w:val="single" w:sz="4" w:space="0" w:color="auto"/>
            </w:tcBorders>
            <w:shd w:val="clear" w:color="auto" w:fill="auto"/>
            <w:noWrap/>
            <w:hideMark/>
          </w:tcPr>
          <w:p w14:paraId="4937205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62E1B1C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2·13 (1.52 to 2·97)</w:t>
            </w:r>
          </w:p>
        </w:tc>
        <w:tc>
          <w:tcPr>
            <w:tcW w:w="964" w:type="dxa"/>
            <w:tcBorders>
              <w:top w:val="nil"/>
              <w:left w:val="nil"/>
              <w:bottom w:val="single" w:sz="4" w:space="0" w:color="auto"/>
              <w:right w:val="single" w:sz="4" w:space="0" w:color="auto"/>
            </w:tcBorders>
            <w:shd w:val="clear" w:color="auto" w:fill="auto"/>
            <w:noWrap/>
            <w:hideMark/>
          </w:tcPr>
          <w:p w14:paraId="076E144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0·00001</w:t>
            </w:r>
          </w:p>
        </w:tc>
        <w:tc>
          <w:tcPr>
            <w:tcW w:w="530" w:type="dxa"/>
            <w:tcBorders>
              <w:top w:val="nil"/>
              <w:left w:val="nil"/>
              <w:bottom w:val="single" w:sz="4" w:space="0" w:color="auto"/>
              <w:right w:val="single" w:sz="4" w:space="0" w:color="auto"/>
            </w:tcBorders>
            <w:shd w:val="clear" w:color="auto" w:fill="auto"/>
            <w:noWrap/>
            <w:hideMark/>
          </w:tcPr>
          <w:p w14:paraId="250BF03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w:t>
            </w:r>
          </w:p>
        </w:tc>
        <w:tc>
          <w:tcPr>
            <w:tcW w:w="1020" w:type="dxa"/>
            <w:tcBorders>
              <w:top w:val="nil"/>
              <w:left w:val="nil"/>
              <w:bottom w:val="single" w:sz="4" w:space="0" w:color="auto"/>
              <w:right w:val="single" w:sz="4" w:space="0" w:color="auto"/>
            </w:tcBorders>
            <w:shd w:val="clear" w:color="auto" w:fill="auto"/>
            <w:noWrap/>
            <w:hideMark/>
          </w:tcPr>
          <w:p w14:paraId="560AFEF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0·24 to 18·62</w:t>
            </w:r>
          </w:p>
        </w:tc>
        <w:tc>
          <w:tcPr>
            <w:tcW w:w="2222" w:type="dxa"/>
            <w:tcBorders>
              <w:top w:val="nil"/>
              <w:left w:val="nil"/>
              <w:bottom w:val="single" w:sz="4" w:space="0" w:color="auto"/>
              <w:right w:val="single" w:sz="4" w:space="0" w:color="auto"/>
            </w:tcBorders>
            <w:shd w:val="clear" w:color="auto" w:fill="auto"/>
            <w:noWrap/>
            <w:hideMark/>
          </w:tcPr>
          <w:p w14:paraId="7EE512AA"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P curve analysis unavailable due to less than three significant studies</w:t>
            </w:r>
          </w:p>
        </w:tc>
        <w:tc>
          <w:tcPr>
            <w:tcW w:w="2778" w:type="dxa"/>
            <w:tcBorders>
              <w:top w:val="nil"/>
              <w:left w:val="nil"/>
              <w:bottom w:val="single" w:sz="4" w:space="0" w:color="auto"/>
              <w:right w:val="single" w:sz="4" w:space="0" w:color="auto"/>
            </w:tcBorders>
            <w:shd w:val="clear" w:color="auto" w:fill="auto"/>
            <w:noWrap/>
            <w:hideMark/>
          </w:tcPr>
          <w:p w14:paraId="3509ED0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to weak</w:t>
            </w:r>
          </w:p>
        </w:tc>
      </w:tr>
      <w:tr w:rsidR="00394B52" w:rsidRPr="00394B52" w14:paraId="78B696AD"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52009459"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Any type of violence experience</w:t>
            </w:r>
          </w:p>
        </w:tc>
        <w:tc>
          <w:tcPr>
            <w:tcW w:w="1304" w:type="dxa"/>
            <w:tcBorders>
              <w:top w:val="nil"/>
              <w:left w:val="nil"/>
              <w:bottom w:val="single" w:sz="4" w:space="0" w:color="auto"/>
              <w:right w:val="single" w:sz="4" w:space="0" w:color="auto"/>
            </w:tcBorders>
            <w:shd w:val="clear" w:color="auto" w:fill="auto"/>
            <w:noWrap/>
            <w:hideMark/>
          </w:tcPr>
          <w:p w14:paraId="7B480B3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Zhang 2019</w:t>
            </w:r>
          </w:p>
        </w:tc>
        <w:tc>
          <w:tcPr>
            <w:tcW w:w="1247" w:type="dxa"/>
            <w:tcBorders>
              <w:top w:val="nil"/>
              <w:left w:val="nil"/>
              <w:bottom w:val="single" w:sz="4" w:space="0" w:color="auto"/>
              <w:right w:val="single" w:sz="4" w:space="0" w:color="auto"/>
            </w:tcBorders>
            <w:shd w:val="clear" w:color="auto" w:fill="auto"/>
            <w:noWrap/>
            <w:hideMark/>
          </w:tcPr>
          <w:p w14:paraId="15E465D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16 953 / 177 148</w:t>
            </w:r>
          </w:p>
        </w:tc>
        <w:tc>
          <w:tcPr>
            <w:tcW w:w="850" w:type="dxa"/>
            <w:tcBorders>
              <w:top w:val="nil"/>
              <w:left w:val="nil"/>
              <w:bottom w:val="single" w:sz="4" w:space="0" w:color="auto"/>
              <w:right w:val="single" w:sz="4" w:space="0" w:color="auto"/>
            </w:tcBorders>
            <w:shd w:val="clear" w:color="auto" w:fill="auto"/>
            <w:noWrap/>
            <w:hideMark/>
          </w:tcPr>
          <w:p w14:paraId="762325E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32</w:t>
            </w:r>
          </w:p>
        </w:tc>
        <w:tc>
          <w:tcPr>
            <w:tcW w:w="737" w:type="dxa"/>
            <w:tcBorders>
              <w:top w:val="nil"/>
              <w:left w:val="nil"/>
              <w:bottom w:val="single" w:sz="4" w:space="0" w:color="auto"/>
              <w:right w:val="single" w:sz="4" w:space="0" w:color="auto"/>
            </w:tcBorders>
            <w:shd w:val="clear" w:color="auto" w:fill="auto"/>
            <w:noWrap/>
            <w:hideMark/>
          </w:tcPr>
          <w:p w14:paraId="3D719EA7"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4AE04C3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2·04 (1.72 to 2·41)</w:t>
            </w:r>
          </w:p>
        </w:tc>
        <w:tc>
          <w:tcPr>
            <w:tcW w:w="964" w:type="dxa"/>
            <w:tcBorders>
              <w:top w:val="nil"/>
              <w:left w:val="nil"/>
              <w:bottom w:val="single" w:sz="4" w:space="0" w:color="auto"/>
              <w:right w:val="single" w:sz="4" w:space="0" w:color="auto"/>
            </w:tcBorders>
            <w:shd w:val="clear" w:color="auto" w:fill="auto"/>
            <w:noWrap/>
            <w:hideMark/>
          </w:tcPr>
          <w:p w14:paraId="19D8311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15DF52A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94%</w:t>
            </w:r>
          </w:p>
        </w:tc>
        <w:tc>
          <w:tcPr>
            <w:tcW w:w="1020" w:type="dxa"/>
            <w:tcBorders>
              <w:top w:val="nil"/>
              <w:left w:val="nil"/>
              <w:bottom w:val="single" w:sz="4" w:space="0" w:color="auto"/>
              <w:right w:val="single" w:sz="4" w:space="0" w:color="auto"/>
            </w:tcBorders>
            <w:shd w:val="clear" w:color="auto" w:fill="auto"/>
            <w:noWrap/>
            <w:hideMark/>
          </w:tcPr>
          <w:p w14:paraId="3371FB8D"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0·88 to 4·73</w:t>
            </w:r>
          </w:p>
        </w:tc>
        <w:tc>
          <w:tcPr>
            <w:tcW w:w="2222" w:type="dxa"/>
            <w:tcBorders>
              <w:top w:val="nil"/>
              <w:left w:val="nil"/>
              <w:bottom w:val="single" w:sz="4" w:space="0" w:color="auto"/>
              <w:right w:val="single" w:sz="4" w:space="0" w:color="auto"/>
            </w:tcBorders>
            <w:shd w:val="clear" w:color="auto" w:fill="auto"/>
            <w:noWrap/>
            <w:hideMark/>
          </w:tcPr>
          <w:p w14:paraId="36CC1CE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small study effect</w:t>
            </w:r>
          </w:p>
        </w:tc>
        <w:tc>
          <w:tcPr>
            <w:tcW w:w="2778" w:type="dxa"/>
            <w:tcBorders>
              <w:top w:val="nil"/>
              <w:left w:val="nil"/>
              <w:bottom w:val="single" w:sz="4" w:space="0" w:color="auto"/>
              <w:right w:val="single" w:sz="4" w:space="0" w:color="auto"/>
            </w:tcBorders>
            <w:shd w:val="clear" w:color="auto" w:fill="auto"/>
            <w:noWrap/>
            <w:hideMark/>
          </w:tcPr>
          <w:p w14:paraId="4F7C903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347933AE"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0FBF6A3B"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Primiparity compared to multiparity</w:t>
            </w:r>
          </w:p>
        </w:tc>
        <w:tc>
          <w:tcPr>
            <w:tcW w:w="1304" w:type="dxa"/>
            <w:tcBorders>
              <w:top w:val="nil"/>
              <w:left w:val="nil"/>
              <w:bottom w:val="single" w:sz="4" w:space="0" w:color="auto"/>
              <w:right w:val="single" w:sz="4" w:space="0" w:color="auto"/>
            </w:tcBorders>
            <w:shd w:val="clear" w:color="auto" w:fill="auto"/>
            <w:noWrap/>
            <w:hideMark/>
          </w:tcPr>
          <w:p w14:paraId="3D5B04D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Tokumitsu</w:t>
            </w:r>
            <w:proofErr w:type="spellEnd"/>
            <w:r w:rsidRPr="00394B52">
              <w:rPr>
                <w:rFonts w:ascii="Times New Roman" w:eastAsia="Malgun Gothic" w:hAnsi="Times New Roman" w:cs="Times New Roman"/>
                <w:color w:val="000000"/>
                <w:kern w:val="0"/>
                <w:sz w:val="16"/>
                <w:szCs w:val="16"/>
              </w:rPr>
              <w:t xml:space="preserve"> 2020</w:t>
            </w:r>
          </w:p>
        </w:tc>
        <w:tc>
          <w:tcPr>
            <w:tcW w:w="1247" w:type="dxa"/>
            <w:tcBorders>
              <w:top w:val="nil"/>
              <w:left w:val="nil"/>
              <w:bottom w:val="single" w:sz="4" w:space="0" w:color="auto"/>
              <w:right w:val="single" w:sz="4" w:space="0" w:color="auto"/>
            </w:tcBorders>
            <w:shd w:val="clear" w:color="auto" w:fill="auto"/>
            <w:noWrap/>
            <w:hideMark/>
          </w:tcPr>
          <w:p w14:paraId="67D4A64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12 109 / 88 073</w:t>
            </w:r>
          </w:p>
        </w:tc>
        <w:tc>
          <w:tcPr>
            <w:tcW w:w="850" w:type="dxa"/>
            <w:tcBorders>
              <w:top w:val="nil"/>
              <w:left w:val="nil"/>
              <w:bottom w:val="single" w:sz="4" w:space="0" w:color="auto"/>
              <w:right w:val="single" w:sz="4" w:space="0" w:color="auto"/>
            </w:tcBorders>
            <w:shd w:val="clear" w:color="auto" w:fill="auto"/>
            <w:noWrap/>
            <w:hideMark/>
          </w:tcPr>
          <w:p w14:paraId="63FC089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9</w:t>
            </w:r>
          </w:p>
        </w:tc>
        <w:tc>
          <w:tcPr>
            <w:tcW w:w="737" w:type="dxa"/>
            <w:tcBorders>
              <w:top w:val="nil"/>
              <w:left w:val="nil"/>
              <w:bottom w:val="single" w:sz="4" w:space="0" w:color="auto"/>
              <w:right w:val="single" w:sz="4" w:space="0" w:color="auto"/>
            </w:tcBorders>
            <w:shd w:val="clear" w:color="auto" w:fill="auto"/>
            <w:noWrap/>
            <w:hideMark/>
          </w:tcPr>
          <w:p w14:paraId="56E3AE4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RR</w:t>
            </w:r>
          </w:p>
        </w:tc>
        <w:tc>
          <w:tcPr>
            <w:tcW w:w="1474" w:type="dxa"/>
            <w:tcBorders>
              <w:top w:val="nil"/>
              <w:left w:val="nil"/>
              <w:bottom w:val="single" w:sz="4" w:space="0" w:color="auto"/>
              <w:right w:val="single" w:sz="4" w:space="0" w:color="auto"/>
            </w:tcBorders>
            <w:shd w:val="clear" w:color="auto" w:fill="auto"/>
            <w:noWrap/>
            <w:hideMark/>
          </w:tcPr>
          <w:p w14:paraId="77A0BC11"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1·59 (1.37 to 1·85)</w:t>
            </w:r>
          </w:p>
        </w:tc>
        <w:tc>
          <w:tcPr>
            <w:tcW w:w="964" w:type="dxa"/>
            <w:tcBorders>
              <w:top w:val="nil"/>
              <w:left w:val="nil"/>
              <w:bottom w:val="single" w:sz="4" w:space="0" w:color="auto"/>
              <w:right w:val="single" w:sz="4" w:space="0" w:color="auto"/>
            </w:tcBorders>
            <w:shd w:val="clear" w:color="auto" w:fill="auto"/>
            <w:noWrap/>
            <w:hideMark/>
          </w:tcPr>
          <w:p w14:paraId="6C5BCAD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18808A78"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54%</w:t>
            </w:r>
          </w:p>
        </w:tc>
        <w:tc>
          <w:tcPr>
            <w:tcW w:w="1020" w:type="dxa"/>
            <w:tcBorders>
              <w:top w:val="nil"/>
              <w:left w:val="nil"/>
              <w:bottom w:val="single" w:sz="4" w:space="0" w:color="auto"/>
              <w:right w:val="single" w:sz="4" w:space="0" w:color="auto"/>
            </w:tcBorders>
            <w:shd w:val="clear" w:color="auto" w:fill="auto"/>
            <w:noWrap/>
            <w:hideMark/>
          </w:tcPr>
          <w:p w14:paraId="164CEFA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1·08 to 2·36</w:t>
            </w:r>
          </w:p>
        </w:tc>
        <w:tc>
          <w:tcPr>
            <w:tcW w:w="2222" w:type="dxa"/>
            <w:tcBorders>
              <w:top w:val="nil"/>
              <w:left w:val="nil"/>
              <w:bottom w:val="single" w:sz="4" w:space="0" w:color="auto"/>
              <w:right w:val="single" w:sz="4" w:space="0" w:color="auto"/>
            </w:tcBorders>
            <w:shd w:val="clear" w:color="auto" w:fill="auto"/>
            <w:noWrap/>
            <w:hideMark/>
          </w:tcPr>
          <w:p w14:paraId="20923C7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w:t>
            </w:r>
          </w:p>
        </w:tc>
        <w:tc>
          <w:tcPr>
            <w:tcW w:w="2778" w:type="dxa"/>
            <w:tcBorders>
              <w:top w:val="nil"/>
              <w:left w:val="nil"/>
              <w:bottom w:val="single" w:sz="4" w:space="0" w:color="auto"/>
              <w:right w:val="single" w:sz="4" w:space="0" w:color="auto"/>
            </w:tcBorders>
            <w:shd w:val="clear" w:color="auto" w:fill="auto"/>
            <w:noWrap/>
            <w:hideMark/>
          </w:tcPr>
          <w:p w14:paraId="2525C16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4415221F" w14:textId="77777777" w:rsidTr="00E01118">
        <w:trPr>
          <w:trHeight w:val="276"/>
        </w:trPr>
        <w:tc>
          <w:tcPr>
            <w:tcW w:w="2263" w:type="dxa"/>
            <w:tcBorders>
              <w:top w:val="nil"/>
              <w:left w:val="single" w:sz="4" w:space="0" w:color="auto"/>
              <w:bottom w:val="single" w:sz="4" w:space="0" w:color="auto"/>
              <w:right w:val="single" w:sz="4" w:space="0" w:color="auto"/>
            </w:tcBorders>
            <w:shd w:val="clear" w:color="auto" w:fill="auto"/>
            <w:noWrap/>
            <w:hideMark/>
          </w:tcPr>
          <w:p w14:paraId="28C07AF2"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Unintended pregnancy</w:t>
            </w:r>
          </w:p>
        </w:tc>
        <w:tc>
          <w:tcPr>
            <w:tcW w:w="1304" w:type="dxa"/>
            <w:tcBorders>
              <w:top w:val="nil"/>
              <w:left w:val="nil"/>
              <w:bottom w:val="single" w:sz="4" w:space="0" w:color="auto"/>
              <w:right w:val="single" w:sz="4" w:space="0" w:color="auto"/>
            </w:tcBorders>
            <w:shd w:val="clear" w:color="auto" w:fill="auto"/>
            <w:noWrap/>
            <w:hideMark/>
          </w:tcPr>
          <w:p w14:paraId="7B395C7E"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proofErr w:type="spellStart"/>
            <w:r w:rsidRPr="00394B52">
              <w:rPr>
                <w:rFonts w:ascii="Times New Roman" w:eastAsia="Malgun Gothic" w:hAnsi="Times New Roman" w:cs="Times New Roman"/>
                <w:color w:val="000000"/>
                <w:kern w:val="0"/>
                <w:sz w:val="16"/>
                <w:szCs w:val="16"/>
              </w:rPr>
              <w:t>Qiu</w:t>
            </w:r>
            <w:proofErr w:type="spellEnd"/>
            <w:r w:rsidRPr="00394B52">
              <w:rPr>
                <w:rFonts w:ascii="Times New Roman" w:eastAsia="Malgun Gothic" w:hAnsi="Times New Roman" w:cs="Times New Roman"/>
                <w:color w:val="000000"/>
                <w:kern w:val="0"/>
                <w:sz w:val="16"/>
                <w:szCs w:val="16"/>
              </w:rPr>
              <w:t xml:space="preserve"> 2020</w:t>
            </w:r>
          </w:p>
        </w:tc>
        <w:tc>
          <w:tcPr>
            <w:tcW w:w="1247" w:type="dxa"/>
            <w:tcBorders>
              <w:top w:val="nil"/>
              <w:left w:val="nil"/>
              <w:bottom w:val="single" w:sz="4" w:space="0" w:color="auto"/>
              <w:right w:val="single" w:sz="4" w:space="0" w:color="auto"/>
            </w:tcBorders>
            <w:shd w:val="clear" w:color="auto" w:fill="auto"/>
            <w:noWrap/>
            <w:hideMark/>
          </w:tcPr>
          <w:p w14:paraId="629E520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3662 / 33 348</w:t>
            </w:r>
          </w:p>
        </w:tc>
        <w:tc>
          <w:tcPr>
            <w:tcW w:w="850" w:type="dxa"/>
            <w:tcBorders>
              <w:top w:val="nil"/>
              <w:left w:val="nil"/>
              <w:bottom w:val="single" w:sz="4" w:space="0" w:color="auto"/>
              <w:right w:val="single" w:sz="4" w:space="0" w:color="auto"/>
            </w:tcBorders>
            <w:shd w:val="clear" w:color="auto" w:fill="auto"/>
            <w:noWrap/>
            <w:hideMark/>
          </w:tcPr>
          <w:p w14:paraId="6EBD7A9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25</w:t>
            </w:r>
          </w:p>
        </w:tc>
        <w:tc>
          <w:tcPr>
            <w:tcW w:w="737" w:type="dxa"/>
            <w:tcBorders>
              <w:top w:val="nil"/>
              <w:left w:val="nil"/>
              <w:bottom w:val="single" w:sz="4" w:space="0" w:color="auto"/>
              <w:right w:val="single" w:sz="4" w:space="0" w:color="auto"/>
            </w:tcBorders>
            <w:shd w:val="clear" w:color="auto" w:fill="auto"/>
            <w:noWrap/>
            <w:hideMark/>
          </w:tcPr>
          <w:p w14:paraId="76148E2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OR</w:t>
            </w:r>
          </w:p>
        </w:tc>
        <w:tc>
          <w:tcPr>
            <w:tcW w:w="1474" w:type="dxa"/>
            <w:tcBorders>
              <w:top w:val="nil"/>
              <w:left w:val="nil"/>
              <w:bottom w:val="single" w:sz="4" w:space="0" w:color="auto"/>
              <w:right w:val="single" w:sz="4" w:space="0" w:color="auto"/>
            </w:tcBorders>
            <w:shd w:val="clear" w:color="auto" w:fill="auto"/>
            <w:noWrap/>
            <w:hideMark/>
          </w:tcPr>
          <w:p w14:paraId="0D9D6654"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1·63 (1.38 to 1·93)</w:t>
            </w:r>
          </w:p>
        </w:tc>
        <w:tc>
          <w:tcPr>
            <w:tcW w:w="964" w:type="dxa"/>
            <w:tcBorders>
              <w:top w:val="nil"/>
              <w:left w:val="nil"/>
              <w:bottom w:val="single" w:sz="4" w:space="0" w:color="auto"/>
              <w:right w:val="single" w:sz="4" w:space="0" w:color="auto"/>
            </w:tcBorders>
            <w:shd w:val="clear" w:color="auto" w:fill="auto"/>
            <w:noWrap/>
            <w:hideMark/>
          </w:tcPr>
          <w:p w14:paraId="6A6B4C00"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&lt; 0·000001</w:t>
            </w:r>
          </w:p>
        </w:tc>
        <w:tc>
          <w:tcPr>
            <w:tcW w:w="530" w:type="dxa"/>
            <w:tcBorders>
              <w:top w:val="nil"/>
              <w:left w:val="nil"/>
              <w:bottom w:val="single" w:sz="4" w:space="0" w:color="auto"/>
              <w:right w:val="single" w:sz="4" w:space="0" w:color="auto"/>
            </w:tcBorders>
            <w:shd w:val="clear" w:color="auto" w:fill="auto"/>
            <w:noWrap/>
            <w:hideMark/>
          </w:tcPr>
          <w:p w14:paraId="314F91A3"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79%</w:t>
            </w:r>
          </w:p>
        </w:tc>
        <w:tc>
          <w:tcPr>
            <w:tcW w:w="1020" w:type="dxa"/>
            <w:tcBorders>
              <w:top w:val="nil"/>
              <w:left w:val="nil"/>
              <w:bottom w:val="single" w:sz="4" w:space="0" w:color="auto"/>
              <w:right w:val="single" w:sz="4" w:space="0" w:color="auto"/>
            </w:tcBorders>
            <w:shd w:val="clear" w:color="auto" w:fill="auto"/>
            <w:noWrap/>
            <w:hideMark/>
          </w:tcPr>
          <w:p w14:paraId="5492FACC"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0·8 to 3·31</w:t>
            </w:r>
          </w:p>
        </w:tc>
        <w:tc>
          <w:tcPr>
            <w:tcW w:w="2222" w:type="dxa"/>
            <w:tcBorders>
              <w:top w:val="nil"/>
              <w:left w:val="nil"/>
              <w:bottom w:val="single" w:sz="4" w:space="0" w:color="auto"/>
              <w:right w:val="single" w:sz="4" w:space="0" w:color="auto"/>
            </w:tcBorders>
            <w:shd w:val="clear" w:color="auto" w:fill="auto"/>
            <w:noWrap/>
            <w:hideMark/>
          </w:tcPr>
          <w:p w14:paraId="25AC431F"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Large heterogeneity; small study effect</w:t>
            </w:r>
          </w:p>
        </w:tc>
        <w:tc>
          <w:tcPr>
            <w:tcW w:w="2778" w:type="dxa"/>
            <w:tcBorders>
              <w:top w:val="nil"/>
              <w:left w:val="nil"/>
              <w:bottom w:val="single" w:sz="4" w:space="0" w:color="auto"/>
              <w:right w:val="single" w:sz="4" w:space="0" w:color="auto"/>
            </w:tcBorders>
            <w:shd w:val="clear" w:color="auto" w:fill="auto"/>
            <w:noWrap/>
            <w:hideMark/>
          </w:tcPr>
          <w:p w14:paraId="5C97BC06"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Highly suggestive retained</w:t>
            </w:r>
          </w:p>
        </w:tc>
      </w:tr>
      <w:tr w:rsidR="00394B52" w:rsidRPr="00394B52" w14:paraId="7819B38B" w14:textId="77777777" w:rsidTr="00E01118">
        <w:trPr>
          <w:trHeight w:val="276"/>
        </w:trPr>
        <w:tc>
          <w:tcPr>
            <w:tcW w:w="15389" w:type="dxa"/>
            <w:gridSpan w:val="11"/>
            <w:tcBorders>
              <w:top w:val="nil"/>
              <w:left w:val="single" w:sz="4" w:space="0" w:color="auto"/>
              <w:bottom w:val="single" w:sz="4" w:space="0" w:color="auto"/>
              <w:right w:val="single" w:sz="4" w:space="0" w:color="auto"/>
            </w:tcBorders>
            <w:shd w:val="clear" w:color="auto" w:fill="auto"/>
            <w:noWrap/>
          </w:tcPr>
          <w:p w14:paraId="79CAE755" w14:textId="77777777" w:rsidR="00394B52" w:rsidRPr="00394B52" w:rsidRDefault="00394B52" w:rsidP="00394B52">
            <w:pPr>
              <w:widowControl/>
              <w:wordWrap/>
              <w:autoSpaceDE/>
              <w:autoSpaceDN/>
              <w:spacing w:after="0" w:line="240" w:lineRule="auto"/>
              <w:jc w:val="left"/>
              <w:rPr>
                <w:rFonts w:ascii="Times New Roman" w:eastAsia="Malgun Gothic" w:hAnsi="Times New Roman" w:cs="Times New Roman"/>
                <w:color w:val="000000"/>
                <w:kern w:val="0"/>
                <w:sz w:val="16"/>
                <w:szCs w:val="16"/>
              </w:rPr>
            </w:pPr>
            <w:r w:rsidRPr="00394B52">
              <w:rPr>
                <w:rFonts w:ascii="Times New Roman" w:eastAsia="Malgun Gothic" w:hAnsi="Times New Roman" w:cs="Times New Roman"/>
                <w:color w:val="000000"/>
                <w:kern w:val="0"/>
                <w:sz w:val="16"/>
                <w:szCs w:val="16"/>
              </w:rPr>
              <w:t>All statistical tests are two-sided.</w:t>
            </w:r>
            <w:r w:rsidRPr="00394B52">
              <w:rPr>
                <w:rFonts w:ascii="Times New Roman" w:eastAsia="Malgun Gothic" w:hAnsi="Times New Roman" w:cs="Times New Roman"/>
                <w:color w:val="000000"/>
                <w:kern w:val="0"/>
                <w:sz w:val="16"/>
                <w:szCs w:val="16"/>
              </w:rPr>
              <w:br/>
              <w:t xml:space="preserve">Abbreviations: CI, confidence interval; </w:t>
            </w:r>
            <w:proofErr w:type="gramStart"/>
            <w:r w:rsidRPr="00394B52">
              <w:rPr>
                <w:rFonts w:ascii="Times New Roman" w:eastAsia="Malgun Gothic" w:hAnsi="Times New Roman" w:cs="Times New Roman"/>
                <w:color w:val="000000"/>
                <w:kern w:val="0"/>
                <w:sz w:val="16"/>
                <w:szCs w:val="16"/>
              </w:rPr>
              <w:t>OR,</w:t>
            </w:r>
            <w:proofErr w:type="gramEnd"/>
            <w:r w:rsidRPr="00394B52">
              <w:rPr>
                <w:rFonts w:ascii="Times New Roman" w:eastAsia="Malgun Gothic" w:hAnsi="Times New Roman" w:cs="Times New Roman"/>
                <w:color w:val="000000"/>
                <w:kern w:val="0"/>
                <w:sz w:val="16"/>
                <w:szCs w:val="16"/>
              </w:rPr>
              <w:t xml:space="preserve"> odds ratio; RR, relative risk</w:t>
            </w:r>
          </w:p>
        </w:tc>
      </w:tr>
    </w:tbl>
    <w:p w14:paraId="0D09CB84" w14:textId="77777777" w:rsidR="00394B52" w:rsidRPr="00394B52" w:rsidRDefault="00394B52" w:rsidP="00394B52">
      <w:pPr>
        <w:widowControl/>
        <w:wordWrap/>
        <w:autoSpaceDE/>
        <w:rPr>
          <w:rFonts w:ascii="Times New Roman" w:hAnsi="Times New Roman" w:cs="Times New Roman"/>
          <w:sz w:val="22"/>
        </w:rPr>
      </w:pPr>
      <w:r w:rsidRPr="00394B52">
        <w:rPr>
          <w:rFonts w:ascii="Times New Roman" w:hAnsi="Times New Roman" w:cs="Times New Roman"/>
        </w:rPr>
        <w:br w:type="page"/>
      </w:r>
    </w:p>
    <w:p w14:paraId="4BD14FB5" w14:textId="77777777" w:rsidR="00394B52" w:rsidRPr="00394B52" w:rsidRDefault="00394B52" w:rsidP="00394B52">
      <w:pPr>
        <w:widowControl/>
        <w:wordWrap/>
        <w:autoSpaceDE/>
        <w:rPr>
          <w:rFonts w:ascii="Times New Roman" w:hAnsi="Times New Roman" w:cs="Times New Roman"/>
          <w:b/>
          <w:bCs/>
        </w:rPr>
      </w:pPr>
      <w:r w:rsidRPr="00394B52">
        <w:rPr>
          <w:rFonts w:ascii="Times New Roman" w:hAnsi="Times New Roman" w:cs="Times New Roman"/>
          <w:b/>
          <w:bCs/>
        </w:rPr>
        <w:lastRenderedPageBreak/>
        <w:t>Table S3. Supplementary analyses result of environmental risk and protective factors</w:t>
      </w:r>
    </w:p>
    <w:tbl>
      <w:tblPr>
        <w:tblW w:w="15388" w:type="dxa"/>
        <w:tblCellMar>
          <w:left w:w="0" w:type="dxa"/>
          <w:right w:w="0" w:type="dxa"/>
        </w:tblCellMar>
        <w:tblLook w:val="04A0" w:firstRow="1" w:lastRow="0" w:firstColumn="1" w:lastColumn="0" w:noHBand="0" w:noVBand="1"/>
      </w:tblPr>
      <w:tblGrid>
        <w:gridCol w:w="2830"/>
        <w:gridCol w:w="1134"/>
        <w:gridCol w:w="709"/>
        <w:gridCol w:w="567"/>
        <w:gridCol w:w="1418"/>
        <w:gridCol w:w="992"/>
        <w:gridCol w:w="1276"/>
        <w:gridCol w:w="567"/>
        <w:gridCol w:w="3233"/>
        <w:gridCol w:w="1121"/>
        <w:gridCol w:w="1541"/>
      </w:tblGrid>
      <w:tr w:rsidR="00394B52" w:rsidRPr="00394B52" w14:paraId="328FF8EB" w14:textId="77777777" w:rsidTr="00E01118">
        <w:trPr>
          <w:trHeight w:val="697"/>
        </w:trPr>
        <w:tc>
          <w:tcPr>
            <w:tcW w:w="2830"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hideMark/>
          </w:tcPr>
          <w:p w14:paraId="37EBBAE8" w14:textId="77777777" w:rsidR="00394B52" w:rsidRPr="00394B52" w:rsidRDefault="00394B52" w:rsidP="00394B52">
            <w:pPr>
              <w:widowControl/>
              <w:wordWrap/>
              <w:autoSpaceDE/>
              <w:autoSpaceDN/>
              <w:rPr>
                <w:rFonts w:ascii="Times New Roman" w:eastAsia="Malgun Gothic" w:hAnsi="Times New Roman" w:cs="Times New Roman"/>
                <w:b/>
                <w:bCs/>
                <w:color w:val="000000"/>
                <w:sz w:val="16"/>
                <w:szCs w:val="16"/>
              </w:rPr>
            </w:pPr>
            <w:r w:rsidRPr="00394B52">
              <w:rPr>
                <w:rFonts w:ascii="Times New Roman" w:eastAsia="Malgun Gothic" w:hAnsi="Times New Roman" w:cs="Times New Roman"/>
                <w:b/>
                <w:bCs/>
                <w:color w:val="000000"/>
                <w:sz w:val="16"/>
                <w:szCs w:val="16"/>
              </w:rPr>
              <w:t>Exposure</w:t>
            </w:r>
          </w:p>
        </w:tc>
        <w:tc>
          <w:tcPr>
            <w:tcW w:w="1134"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696E1C30" w14:textId="77777777" w:rsidR="00394B52" w:rsidRPr="00394B52" w:rsidRDefault="00394B52" w:rsidP="00394B52">
            <w:pPr>
              <w:rPr>
                <w:rFonts w:ascii="Times New Roman" w:eastAsia="Malgun Gothic" w:hAnsi="Times New Roman" w:cs="Times New Roman"/>
                <w:b/>
                <w:bCs/>
                <w:color w:val="000000"/>
                <w:sz w:val="16"/>
                <w:szCs w:val="16"/>
              </w:rPr>
            </w:pPr>
            <w:r w:rsidRPr="00394B52">
              <w:rPr>
                <w:rFonts w:ascii="Times New Roman" w:eastAsia="Malgun Gothic" w:hAnsi="Times New Roman" w:cs="Times New Roman"/>
                <w:b/>
                <w:bCs/>
                <w:color w:val="000000"/>
                <w:sz w:val="16"/>
                <w:szCs w:val="16"/>
              </w:rPr>
              <w:t>Author, year</w:t>
            </w:r>
          </w:p>
        </w:tc>
        <w:tc>
          <w:tcPr>
            <w:tcW w:w="709"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403C4956" w14:textId="77777777" w:rsidR="00394B52" w:rsidRPr="00394B52" w:rsidRDefault="00394B52" w:rsidP="00394B52">
            <w:pPr>
              <w:rPr>
                <w:rFonts w:ascii="Times New Roman" w:eastAsia="Malgun Gothic" w:hAnsi="Times New Roman" w:cs="Times New Roman"/>
                <w:b/>
                <w:bCs/>
                <w:color w:val="000000"/>
                <w:sz w:val="16"/>
                <w:szCs w:val="16"/>
              </w:rPr>
            </w:pPr>
            <w:r w:rsidRPr="00394B52">
              <w:rPr>
                <w:rFonts w:ascii="Times New Roman" w:eastAsia="Malgun Gothic" w:hAnsi="Times New Roman" w:cs="Times New Roman"/>
                <w:b/>
                <w:bCs/>
                <w:color w:val="000000"/>
                <w:sz w:val="16"/>
                <w:szCs w:val="16"/>
              </w:rPr>
              <w:t>Number of study estimates</w:t>
            </w:r>
          </w:p>
        </w:tc>
        <w:tc>
          <w:tcPr>
            <w:tcW w:w="567"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63D6314C" w14:textId="77777777" w:rsidR="00394B52" w:rsidRPr="00394B52" w:rsidRDefault="00394B52" w:rsidP="00394B52">
            <w:pPr>
              <w:rPr>
                <w:rFonts w:ascii="Times New Roman" w:eastAsia="Malgun Gothic" w:hAnsi="Times New Roman" w:cs="Times New Roman"/>
                <w:b/>
                <w:bCs/>
                <w:color w:val="000000"/>
                <w:sz w:val="16"/>
                <w:szCs w:val="16"/>
              </w:rPr>
            </w:pPr>
            <w:r w:rsidRPr="00394B52">
              <w:rPr>
                <w:rFonts w:ascii="Times New Roman" w:eastAsia="Malgun Gothic" w:hAnsi="Times New Roman" w:cs="Times New Roman"/>
                <w:b/>
                <w:bCs/>
                <w:color w:val="000000"/>
                <w:sz w:val="16"/>
                <w:szCs w:val="16"/>
              </w:rPr>
              <w:t>Effect metrics</w:t>
            </w:r>
          </w:p>
        </w:tc>
        <w:tc>
          <w:tcPr>
            <w:tcW w:w="1418"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2B2E0E45" w14:textId="77777777" w:rsidR="00394B52" w:rsidRPr="00394B52" w:rsidRDefault="00394B52" w:rsidP="00394B52">
            <w:pPr>
              <w:rPr>
                <w:rFonts w:ascii="Times New Roman" w:eastAsia="Malgun Gothic" w:hAnsi="Times New Roman" w:cs="Times New Roman"/>
                <w:b/>
                <w:bCs/>
                <w:color w:val="000000"/>
                <w:sz w:val="16"/>
                <w:szCs w:val="16"/>
              </w:rPr>
            </w:pPr>
            <w:r w:rsidRPr="00394B52">
              <w:rPr>
                <w:rFonts w:ascii="Times New Roman" w:eastAsia="Malgun Gothic" w:hAnsi="Times New Roman" w:cs="Times New Roman"/>
                <w:b/>
                <w:bCs/>
                <w:color w:val="000000"/>
                <w:sz w:val="16"/>
                <w:szCs w:val="16"/>
              </w:rPr>
              <w:t>Fixed effects summary estimate (95% CI)</w:t>
            </w:r>
          </w:p>
        </w:tc>
        <w:tc>
          <w:tcPr>
            <w:tcW w:w="992"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20E648DB" w14:textId="77777777" w:rsidR="00394B52" w:rsidRPr="00394B52" w:rsidRDefault="00394B52" w:rsidP="00394B52">
            <w:pPr>
              <w:rPr>
                <w:rFonts w:ascii="Times New Roman" w:eastAsia="Malgun Gothic" w:hAnsi="Times New Roman" w:cs="Times New Roman"/>
                <w:b/>
                <w:bCs/>
                <w:color w:val="000000"/>
                <w:sz w:val="16"/>
                <w:szCs w:val="16"/>
              </w:rPr>
            </w:pPr>
            <w:r w:rsidRPr="00394B52">
              <w:rPr>
                <w:rFonts w:ascii="Times New Roman" w:eastAsia="Malgun Gothic" w:hAnsi="Times New Roman" w:cs="Times New Roman"/>
                <w:b/>
                <w:bCs/>
                <w:color w:val="000000"/>
                <w:sz w:val="16"/>
                <w:szCs w:val="16"/>
              </w:rPr>
              <w:t>Fixed effects p-value</w:t>
            </w:r>
          </w:p>
        </w:tc>
        <w:tc>
          <w:tcPr>
            <w:tcW w:w="1276"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3D85C097" w14:textId="77777777" w:rsidR="00394B52" w:rsidRPr="00394B52" w:rsidRDefault="00394B52" w:rsidP="00394B52">
            <w:pPr>
              <w:rPr>
                <w:rFonts w:ascii="Times New Roman" w:eastAsia="Malgun Gothic" w:hAnsi="Times New Roman" w:cs="Times New Roman"/>
                <w:b/>
                <w:bCs/>
                <w:color w:val="000000"/>
                <w:sz w:val="16"/>
                <w:szCs w:val="16"/>
              </w:rPr>
            </w:pPr>
            <w:r w:rsidRPr="00394B52">
              <w:rPr>
                <w:rFonts w:ascii="Times New Roman" w:eastAsia="Malgun Gothic" w:hAnsi="Times New Roman" w:cs="Times New Roman"/>
                <w:b/>
                <w:bCs/>
                <w:color w:val="000000"/>
                <w:sz w:val="16"/>
                <w:szCs w:val="16"/>
              </w:rPr>
              <w:t xml:space="preserve">Effect </w:t>
            </w:r>
            <w:proofErr w:type="gramStart"/>
            <w:r w:rsidRPr="00394B52">
              <w:rPr>
                <w:rFonts w:ascii="Times New Roman" w:eastAsia="Malgun Gothic" w:hAnsi="Times New Roman" w:cs="Times New Roman"/>
                <w:b/>
                <w:bCs/>
                <w:color w:val="000000"/>
                <w:sz w:val="16"/>
                <w:szCs w:val="16"/>
              </w:rPr>
              <w:t>estimate</w:t>
            </w:r>
            <w:proofErr w:type="gramEnd"/>
            <w:r w:rsidRPr="00394B52">
              <w:rPr>
                <w:rFonts w:ascii="Times New Roman" w:eastAsia="Malgun Gothic" w:hAnsi="Times New Roman" w:cs="Times New Roman"/>
                <w:b/>
                <w:bCs/>
                <w:color w:val="000000"/>
                <w:sz w:val="16"/>
                <w:szCs w:val="16"/>
              </w:rPr>
              <w:t xml:space="preserve"> of the largest study (95% CI)</w:t>
            </w:r>
          </w:p>
        </w:tc>
        <w:tc>
          <w:tcPr>
            <w:tcW w:w="567"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4F3A4230" w14:textId="77777777" w:rsidR="00394B52" w:rsidRPr="00394B52" w:rsidRDefault="00394B52" w:rsidP="00394B52">
            <w:pPr>
              <w:rPr>
                <w:rFonts w:ascii="Times New Roman" w:eastAsia="Malgun Gothic" w:hAnsi="Times New Roman" w:cs="Times New Roman"/>
                <w:b/>
                <w:bCs/>
                <w:color w:val="000000"/>
                <w:sz w:val="16"/>
                <w:szCs w:val="16"/>
              </w:rPr>
            </w:pPr>
            <w:r w:rsidRPr="00394B52">
              <w:rPr>
                <w:rFonts w:ascii="Times New Roman" w:eastAsia="Malgun Gothic" w:hAnsi="Times New Roman" w:cs="Times New Roman"/>
                <w:b/>
                <w:bCs/>
                <w:color w:val="000000"/>
                <w:sz w:val="16"/>
                <w:szCs w:val="16"/>
              </w:rPr>
              <w:t>Egger p value</w:t>
            </w:r>
          </w:p>
        </w:tc>
        <w:tc>
          <w:tcPr>
            <w:tcW w:w="3233"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090A0368" w14:textId="77777777" w:rsidR="00394B52" w:rsidRPr="00394B52" w:rsidRDefault="00394B52" w:rsidP="00394B52">
            <w:pPr>
              <w:rPr>
                <w:rFonts w:ascii="Times New Roman" w:eastAsia="Malgun Gothic" w:hAnsi="Times New Roman" w:cs="Times New Roman"/>
                <w:b/>
                <w:bCs/>
                <w:color w:val="000000"/>
                <w:sz w:val="16"/>
                <w:szCs w:val="16"/>
              </w:rPr>
            </w:pPr>
            <w:r w:rsidRPr="00394B52">
              <w:rPr>
                <w:rFonts w:ascii="Times New Roman" w:eastAsia="Malgun Gothic" w:hAnsi="Times New Roman" w:cs="Times New Roman"/>
                <w:b/>
                <w:bCs/>
                <w:color w:val="000000"/>
                <w:sz w:val="16"/>
                <w:szCs w:val="16"/>
              </w:rPr>
              <w:t>Summary estimate (95% CI) under 5/10/15/20% credibility ceilings</w:t>
            </w:r>
          </w:p>
        </w:tc>
        <w:tc>
          <w:tcPr>
            <w:tcW w:w="1121"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603169B2" w14:textId="77777777" w:rsidR="00394B52" w:rsidRPr="00394B52" w:rsidRDefault="00394B52" w:rsidP="00394B52">
            <w:pPr>
              <w:rPr>
                <w:rFonts w:ascii="Times New Roman" w:eastAsia="Malgun Gothic" w:hAnsi="Times New Roman" w:cs="Times New Roman"/>
                <w:b/>
                <w:bCs/>
                <w:color w:val="000000"/>
                <w:sz w:val="16"/>
                <w:szCs w:val="16"/>
              </w:rPr>
            </w:pPr>
            <w:r w:rsidRPr="00394B52">
              <w:rPr>
                <w:rFonts w:ascii="Times New Roman" w:eastAsia="Malgun Gothic" w:hAnsi="Times New Roman" w:cs="Times New Roman"/>
                <w:b/>
                <w:bCs/>
                <w:i/>
                <w:iCs/>
                <w:color w:val="000000"/>
                <w:sz w:val="16"/>
                <w:szCs w:val="16"/>
              </w:rPr>
              <w:t>I</w:t>
            </w:r>
            <w:r w:rsidRPr="00394B52">
              <w:rPr>
                <w:rFonts w:ascii="Times New Roman" w:eastAsia="Malgun Gothic" w:hAnsi="Times New Roman" w:cs="Times New Roman"/>
                <w:b/>
                <w:bCs/>
                <w:i/>
                <w:iCs/>
                <w:color w:val="000000"/>
                <w:sz w:val="16"/>
                <w:szCs w:val="16"/>
                <w:vertAlign w:val="superscript"/>
              </w:rPr>
              <w:t>2</w:t>
            </w:r>
            <w:r w:rsidRPr="00394B52">
              <w:rPr>
                <w:rFonts w:ascii="Times New Roman" w:eastAsia="Malgun Gothic" w:hAnsi="Times New Roman" w:cs="Times New Roman"/>
                <w:b/>
                <w:bCs/>
                <w:color w:val="000000"/>
                <w:sz w:val="16"/>
                <w:szCs w:val="16"/>
              </w:rPr>
              <w:t xml:space="preserve"> under 0/5/10/15/20% credibility ceilings</w:t>
            </w:r>
          </w:p>
        </w:tc>
        <w:tc>
          <w:tcPr>
            <w:tcW w:w="1541"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62B0C55A" w14:textId="77777777" w:rsidR="00394B52" w:rsidRPr="00394B52" w:rsidRDefault="00394B52" w:rsidP="00394B52">
            <w:pPr>
              <w:rPr>
                <w:rFonts w:ascii="Times New Roman" w:eastAsia="Malgun Gothic" w:hAnsi="Times New Roman" w:cs="Times New Roman"/>
                <w:b/>
                <w:bCs/>
                <w:color w:val="000000"/>
                <w:sz w:val="16"/>
                <w:szCs w:val="16"/>
              </w:rPr>
            </w:pPr>
            <w:r w:rsidRPr="00394B52">
              <w:rPr>
                <w:rFonts w:ascii="Times New Roman" w:eastAsia="Malgun Gothic" w:hAnsi="Times New Roman" w:cs="Times New Roman"/>
                <w:b/>
                <w:bCs/>
                <w:color w:val="000000"/>
                <w:sz w:val="16"/>
                <w:szCs w:val="16"/>
              </w:rPr>
              <w:t xml:space="preserve">Right-skewness test of p curve analysis, p value for half curve </w:t>
            </w:r>
            <w:proofErr w:type="gramStart"/>
            <w:r w:rsidRPr="00394B52">
              <w:rPr>
                <w:rFonts w:ascii="Times New Roman" w:eastAsia="Malgun Gothic" w:hAnsi="Times New Roman" w:cs="Times New Roman"/>
                <w:b/>
                <w:bCs/>
                <w:color w:val="000000"/>
                <w:sz w:val="16"/>
                <w:szCs w:val="16"/>
              </w:rPr>
              <w:t>/  p</w:t>
            </w:r>
            <w:proofErr w:type="gramEnd"/>
            <w:r w:rsidRPr="00394B52">
              <w:rPr>
                <w:rFonts w:ascii="Times New Roman" w:eastAsia="Malgun Gothic" w:hAnsi="Times New Roman" w:cs="Times New Roman"/>
                <w:b/>
                <w:bCs/>
                <w:color w:val="000000"/>
                <w:sz w:val="16"/>
                <w:szCs w:val="16"/>
              </w:rPr>
              <w:t xml:space="preserve"> value for full curve</w:t>
            </w:r>
          </w:p>
        </w:tc>
      </w:tr>
      <w:tr w:rsidR="00394B52" w:rsidRPr="00394B52" w14:paraId="34B8D615" w14:textId="77777777" w:rsidTr="00E01118">
        <w:trPr>
          <w:trHeight w:val="29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584D267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Antenatal anxiety</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2C87314"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Grigoriadis</w:t>
            </w:r>
            <w:proofErr w:type="spellEnd"/>
            <w:r w:rsidRPr="00394B52">
              <w:rPr>
                <w:rFonts w:ascii="Times New Roman" w:eastAsia="Malgun Gothic" w:hAnsi="Times New Roman" w:cs="Times New Roman"/>
                <w:color w:val="000000"/>
                <w:sz w:val="16"/>
                <w:szCs w:val="16"/>
              </w:rPr>
              <w:t xml:space="preserve">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EF3785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D5BA22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F688D3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92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96)</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8FDF85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22C92B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3048AE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21</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050E03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48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25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72)/1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83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92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64)</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9B7395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12/0/0/0/0%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520571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37AEE1FF" w14:textId="77777777" w:rsidTr="00E01118">
        <w:trPr>
          <w:trHeight w:val="298"/>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31F9B23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Psychological violence</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33749A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Zhang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B11DC7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8</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744B08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135145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89)</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C59492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85771C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DB56DC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38</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441873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26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17)/1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16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27)/1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37)/1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98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47)</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0ED490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48/0/0/0/0%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A17A20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5DA64AA2" w14:textId="77777777" w:rsidTr="00E01118">
        <w:trPr>
          <w:trHeight w:val="298"/>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4B20C11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Intimate partner violence experience</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29D485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Howard 2013</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6ECB3B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1B6DD8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F5D556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43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04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AA2A76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CFC5FA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44 (1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8EF3A1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021</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C94D18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52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69)/2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91)/2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15)/2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18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47)</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4364EC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58/0/0/0/0%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27A01D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2EF9D7FE" w14:textId="77777777" w:rsidTr="00E01118">
        <w:trPr>
          <w:trHeight w:val="298"/>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4F8A106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Intimate partner violence during pregnancy</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EA41A4D"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Beydoun</w:t>
            </w:r>
            <w:proofErr w:type="spellEnd"/>
            <w:r w:rsidRPr="00394B52">
              <w:rPr>
                <w:rFonts w:ascii="Times New Roman" w:eastAsia="Malgun Gothic" w:hAnsi="Times New Roman" w:cs="Times New Roman"/>
                <w:color w:val="000000"/>
                <w:sz w:val="16"/>
                <w:szCs w:val="16"/>
              </w:rPr>
              <w:t xml:space="preserve"> 2012</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89208D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569E62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RR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AAFACC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84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21)</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085229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E8DE1A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417F20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5ADEA1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04)/1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35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28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26)/1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19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BFB2B0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87/0/0/0/0%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DADC8B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542F00BF" w14:textId="77777777" w:rsidTr="00E01118">
        <w:trPr>
          <w:trHeight w:val="298"/>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41DFF80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Smoking during pregnancy</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839F1D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Chen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1FF96C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54829A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C73ECD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653202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E0606E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75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842F03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33</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B05EE8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77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26)/1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29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12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58)</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D9BAF1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80/0/0/0/0%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899ED3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0585E0D4" w14:textId="77777777" w:rsidTr="00E01118">
        <w:trPr>
          <w:trHeight w:val="298"/>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2A3C731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History of premenstrual syndrome</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C17C25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Cao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687A26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C6D392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53780A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76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31)</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D4FC36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808823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09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9774C9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0C339C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52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28)/1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32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33)/1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23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C8CE5E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42/0/0/0/0%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45CC1D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567EF55A"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7C0ED89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Any type of violence experience</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0970B5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Zhang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D99F7C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6C3162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53500D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49)</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D6D7CC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C58241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C6CC19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013</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34AE19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43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25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64)/1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37)/1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23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09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ABE539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94/31/0/0/0%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299EF5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677C4CBB" w14:textId="77777777" w:rsidTr="00E01118">
        <w:trPr>
          <w:trHeight w:val="298"/>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5F97725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Primiparity compared to multiparity</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00B0624"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Tokumitsu</w:t>
            </w:r>
            <w:proofErr w:type="spellEnd"/>
            <w:r w:rsidRPr="00394B52">
              <w:rPr>
                <w:rFonts w:ascii="Times New Roman" w:eastAsia="Malgun Gothic" w:hAnsi="Times New Roman" w:cs="Times New Roman"/>
                <w:color w:val="000000"/>
                <w:sz w:val="16"/>
                <w:szCs w:val="16"/>
              </w:rPr>
              <w:t xml:space="preserve">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1F7814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F2821D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RR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1A812A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56)</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7E02B5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DEB9BE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2C9751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002</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59EC53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78)/1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53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34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75)/1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48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72)/1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43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7005CC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52/0/0/0/0%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3F3B53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5E4D5D25"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26989A0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Unintended pregnancy</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75A785B"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Qiu</w:t>
            </w:r>
            <w:proofErr w:type="spellEnd"/>
            <w:r w:rsidRPr="00394B52">
              <w:rPr>
                <w:rFonts w:ascii="Times New Roman" w:eastAsia="Malgun Gothic" w:hAnsi="Times New Roman" w:cs="Times New Roman"/>
                <w:color w:val="000000"/>
                <w:sz w:val="16"/>
                <w:szCs w:val="16"/>
              </w:rPr>
              <w:t xml:space="preserve">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4C8052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87AE86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E31E66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26)</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B61898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7E53CF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061539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0D0524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15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33)/1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23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13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34)/1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35)/1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36)</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2F1046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77/0/0/0/0%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343778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0E1241F7" w14:textId="77777777" w:rsidTr="00E01118">
        <w:trPr>
          <w:trHeight w:val="298"/>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58FB2BE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Intimate partner violence in the past year</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6CF55F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Bacchus 2018</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B21CEE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B0B5C8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DE923A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47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06)</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40A50B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AC7E83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223FDA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17</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9C7367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06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94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79)</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A80D5D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80/41/17/0/0%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B992AF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27D32A07" w14:textId="77777777" w:rsidTr="00E01118">
        <w:trPr>
          <w:trHeight w:val="298"/>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6D795A5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Preterm birth</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38BFC5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de Paula Eduardo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C5BB68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575F94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9E85D3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44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23)</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24D446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945DE1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29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865D47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21</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5940D2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05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76)/1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32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77)/1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78)</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BCA698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66/1/0/0/0%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F3FA61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3E5B3E60" w14:textId="77777777" w:rsidTr="00E01118">
        <w:trPr>
          <w:trHeight w:val="330"/>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6B00236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Perinatal anemia</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F5C51C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Kang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3BB4F0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3D3E83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RR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3800E3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76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37)</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2AE79C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A835FD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38)</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CFFFDE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87</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3BBDE4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88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22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89)/1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06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64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89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64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77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48)</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94C454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44/7/0/0/0%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E0B9B8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398555DA"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4D74ADA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Domestic violence</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036FC7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Zhang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8814E4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3A4F83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AD2806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92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8952BB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DBAD0C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2E8AFE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83</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3B0CE3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09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69)/1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68)/1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94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67)</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0E3EEA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85/31/0/0/0%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347188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50800849" w14:textId="77777777" w:rsidTr="00E01118">
        <w:trPr>
          <w:trHeight w:val="298"/>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4B3B5F5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Physical violence</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FC6647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Zhang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9087EA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8</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5F05FB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1955B3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47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08)</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9D8C4A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BFD816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09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75934F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65</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452A41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58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08)/1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16)/1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23)/1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29)</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16D68C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59/0/0/0/0%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D58BE0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004 /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03998EE4" w14:textId="77777777" w:rsidTr="00E01118">
        <w:trPr>
          <w:trHeight w:val="298"/>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5ACAB34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lastRenderedPageBreak/>
              <w:t>Immigration</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D4BC38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Falah-</w:t>
            </w:r>
            <w:proofErr w:type="spellStart"/>
            <w:r w:rsidRPr="00394B52">
              <w:rPr>
                <w:rFonts w:ascii="Times New Roman" w:eastAsia="Malgun Gothic" w:hAnsi="Times New Roman" w:cs="Times New Roman"/>
                <w:color w:val="000000"/>
                <w:sz w:val="16"/>
                <w:szCs w:val="16"/>
              </w:rPr>
              <w:t>Hassani</w:t>
            </w:r>
            <w:proofErr w:type="spellEnd"/>
            <w:r w:rsidRPr="00394B52">
              <w:rPr>
                <w:rFonts w:ascii="Times New Roman" w:eastAsia="Malgun Gothic" w:hAnsi="Times New Roman" w:cs="Times New Roman"/>
                <w:color w:val="000000"/>
                <w:sz w:val="16"/>
                <w:szCs w:val="16"/>
              </w:rPr>
              <w:t xml:space="preserve"> 2015</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E9979C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0E259D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69D083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56)</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151C72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95114F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69DB7E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016</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BA5A62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16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09)/1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08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13)/1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99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54)</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CE3588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71/5/0/0/0%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8C89F7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0A19E032"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350B765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Sexual violence</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3C7428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Zhang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E4F9F2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F99E69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E305B5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35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81)</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02CF7B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827080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34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C6C06B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74AF60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09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82)/1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78)/1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29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74)/1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27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89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82)</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1CCFF9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17/0/0/0/0%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0766BF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006</w:t>
            </w:r>
          </w:p>
        </w:tc>
      </w:tr>
      <w:tr w:rsidR="00394B52" w:rsidRPr="00394B52" w14:paraId="417998FB"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1DBA877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Cesarean section</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7EB23D7"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Moameri</w:t>
            </w:r>
            <w:proofErr w:type="spellEnd"/>
            <w:r w:rsidRPr="00394B52">
              <w:rPr>
                <w:rFonts w:ascii="Times New Roman" w:eastAsia="Malgun Gothic" w:hAnsi="Times New Roman" w:cs="Times New Roman"/>
                <w:color w:val="000000"/>
                <w:sz w:val="16"/>
                <w:szCs w:val="16"/>
              </w:rPr>
              <w:t xml:space="preserve">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2CAB98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38</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63B983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74BC76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27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19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36)</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12DAE8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08E6C4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2DBDE5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19</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7ECA81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17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27)/1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04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24)/1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22)/1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09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21)</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CF8311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54/0/0/0/0%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8806A4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1170D632"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70EEACB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Pre-pregnancy obesity</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F642ED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Molyneaux 2014</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166940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14</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74A804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028F20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DDA9BA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692926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43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007B54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79</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2C1B39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46)/1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36)</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C128EA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48/7/0/0/0%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EF67EF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46B68F39"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30D5EC3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Elective cesarean section</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9D2FE34"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Moameri</w:t>
            </w:r>
            <w:proofErr w:type="spellEnd"/>
            <w:r w:rsidRPr="00394B52">
              <w:rPr>
                <w:rFonts w:ascii="Times New Roman" w:eastAsia="Malgun Gothic" w:hAnsi="Times New Roman" w:cs="Times New Roman"/>
                <w:color w:val="000000"/>
                <w:sz w:val="16"/>
                <w:szCs w:val="16"/>
              </w:rPr>
              <w:t xml:space="preserve">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E6EC1A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28</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A08A07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8013C9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36)</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27F3A2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5E6282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99F5F6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75</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21B8FD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18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99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24)/1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05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19)</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66AF9F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48/3/0/0/0%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10422C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06 /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002</w:t>
            </w:r>
          </w:p>
        </w:tc>
      </w:tr>
      <w:tr w:rsidR="00394B52" w:rsidRPr="00394B52" w14:paraId="0E115D54"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64A1454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Poor social support</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9EB0717"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Tolossa</w:t>
            </w:r>
            <w:proofErr w:type="spellEnd"/>
            <w:r w:rsidRPr="00394B52">
              <w:rPr>
                <w:rFonts w:ascii="Times New Roman" w:eastAsia="Malgun Gothic" w:hAnsi="Times New Roman" w:cs="Times New Roman"/>
                <w:color w:val="000000"/>
                <w:sz w:val="16"/>
                <w:szCs w:val="16"/>
              </w:rPr>
              <w:t xml:space="preserve">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87BB87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D60DFD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878D5F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97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33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72)</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EB50C8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2AE0F1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83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43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34)</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A86288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043</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7CE3D0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 to 5</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88)/2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63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18 to 5</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84)/2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63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98 to 7</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05)/2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63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78 to 8</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86)</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E07276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96/6/0/0/0%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37F84A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6F86B3A1"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4B3624C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History of depression</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72CAD4B"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Tolossa</w:t>
            </w:r>
            <w:proofErr w:type="spellEnd"/>
            <w:r w:rsidRPr="00394B52">
              <w:rPr>
                <w:rFonts w:ascii="Times New Roman" w:eastAsia="Malgun Gothic" w:hAnsi="Times New Roman" w:cs="Times New Roman"/>
                <w:color w:val="000000"/>
                <w:sz w:val="16"/>
                <w:szCs w:val="16"/>
              </w:rPr>
              <w:t xml:space="preserve">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801046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A124AC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ACB244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99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95 to 6</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31)</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E3AD6C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24DC81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6</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32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96 to 10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D00E3C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62E4A1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86)/2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23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95)/2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54)/2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 to 5</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37)</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8DC37D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79/0/0/0/0%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356AF0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1A7889FD"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1DA617E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History of postpartum depression</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7EEFE4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Desta 2021</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69D1CE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46B2F4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F016A6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82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35 to 6</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45C6A7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86DC1D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7</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81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47 to 13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5B1D75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22</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29F82C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 to 8</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05)/3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 to 10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31)/3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84 to 13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45)/3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61 to 18</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53)</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C6888B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65/0/0/0/0%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150F94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6EC03117"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1D527D4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Poor sleep quality</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09D3EB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Yang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B7B9E8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4</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07C768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1DC9E9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04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04 to 5</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37)</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7BDF15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CE127B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34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04 to 5</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4BDB1C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95</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C58DD4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35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 to 5</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08)/2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96 to 6</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05)/2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77 to 7</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82D58F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87/0/0/0/0%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EBB33D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2796578D"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5E2840E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History of substance abuse</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94EE05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Desta 2021</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202590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F1F3EE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CBE305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57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64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84)</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7523BF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8D29CC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5</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35 to 8</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2D5BE1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72</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CEB120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22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66)/2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 to 5</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64)/2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82 to 6</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91)/2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64 to 8</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84)</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11ECED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82/0/0/0/0%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5F1C81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6B298DCB"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4DA9885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History of infant death</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BE0AD26"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Tolossa</w:t>
            </w:r>
            <w:proofErr w:type="spellEnd"/>
            <w:r w:rsidRPr="00394B52">
              <w:rPr>
                <w:rFonts w:ascii="Times New Roman" w:eastAsia="Malgun Gothic" w:hAnsi="Times New Roman" w:cs="Times New Roman"/>
                <w:color w:val="000000"/>
                <w:sz w:val="16"/>
                <w:szCs w:val="16"/>
              </w:rPr>
              <w:t xml:space="preserve">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55F7D7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B5C54F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0340D0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63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75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79)</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7E581A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AAC3DB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45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CC838C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84</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836CC9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36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13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51)/2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97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55)/1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95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84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56)</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9545E0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83/0/0/0/0%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4A7245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1B4956DE"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3431987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Poor marital relationship</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DB1C58B"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Necho</w:t>
            </w:r>
            <w:proofErr w:type="spellEnd"/>
            <w:r w:rsidRPr="00394B52">
              <w:rPr>
                <w:rFonts w:ascii="Times New Roman" w:eastAsia="Malgun Gothic" w:hAnsi="Times New Roman" w:cs="Times New Roman"/>
                <w:color w:val="000000"/>
                <w:sz w:val="16"/>
                <w:szCs w:val="16"/>
              </w:rPr>
              <w:t xml:space="preserve">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7F462E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583FAA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332FF3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84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76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92)</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6754C6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CFFDA9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6 (5</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79 to 6</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E7192E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25</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61E26D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72 to 5</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09)/2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48 to 5</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94)/2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25 to 7)/2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03 to 8</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54)</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DC4446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100/0/0/0/0%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D80A51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54E333D2"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6796466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History of stressful life event</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B16FF3D"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Necho</w:t>
            </w:r>
            <w:proofErr w:type="spellEnd"/>
            <w:r w:rsidRPr="00394B52">
              <w:rPr>
                <w:rFonts w:ascii="Times New Roman" w:eastAsia="Malgun Gothic" w:hAnsi="Times New Roman" w:cs="Times New Roman"/>
                <w:color w:val="000000"/>
                <w:sz w:val="16"/>
                <w:szCs w:val="16"/>
              </w:rPr>
              <w:t xml:space="preserve">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C4A6E4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E75463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413EDE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72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15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43)</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B9A475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8AF32E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85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440125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NA</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90C98A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 to 6</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88 to 8</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95)/2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67 to 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77)/2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48 to 16</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34A157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77/0/0/0/0%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C26504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NA / NA</w:t>
            </w:r>
          </w:p>
        </w:tc>
      </w:tr>
      <w:tr w:rsidR="00394B52" w:rsidRPr="00394B52" w14:paraId="7F160E83"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2B47F2A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Exposure to different types of intimate partner violence</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235CC9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Dadi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4F5718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710166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F37D17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91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51)</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B6BCBF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17BFDB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CC170E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4145D4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72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49)/2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55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85)/2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29)/2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23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89)</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C4C2C9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17/0/0/0/0%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15759A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579239B5"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0C37AB0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History of mental disorders</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EAA0E7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Dadi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CFA48B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8C491F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82153F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95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19F791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DF4FD9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67 to 5</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AB2217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EBB993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03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09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89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43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74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77)/1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63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DF1C6E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85/25/4/0/0%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F6818F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59A4235A"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1FBCB25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Low income</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512886D"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Necho</w:t>
            </w:r>
            <w:proofErr w:type="spellEnd"/>
            <w:r w:rsidRPr="00394B52">
              <w:rPr>
                <w:rFonts w:ascii="Times New Roman" w:eastAsia="Malgun Gothic" w:hAnsi="Times New Roman" w:cs="Times New Roman"/>
                <w:color w:val="000000"/>
                <w:sz w:val="16"/>
                <w:szCs w:val="16"/>
              </w:rPr>
              <w:t xml:space="preserve">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30888C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9730EB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E08113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75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59)</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68A490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2211CC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31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B5B2E0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401B40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38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29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38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08 to 5</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25)/2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 to 6</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32)/2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71 to 7</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065847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4/0/0/0/0%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198453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028 /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004</w:t>
            </w:r>
          </w:p>
        </w:tc>
      </w:tr>
      <w:tr w:rsidR="00394B52" w:rsidRPr="00394B52" w14:paraId="6CE20149"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08ED09C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Adverse birth and infant health conditions</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89D58E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Dadi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768A3E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464DD2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C846A1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EE7078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01822E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04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88)</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8FFCA7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25</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807FDB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22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35)/1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58)/1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 xml:space="preserve">01 </w:t>
            </w:r>
            <w:r w:rsidRPr="00394B52">
              <w:rPr>
                <w:rFonts w:ascii="Times New Roman" w:eastAsia="Malgun Gothic" w:hAnsi="Times New Roman" w:cs="Times New Roman"/>
                <w:color w:val="000000"/>
                <w:sz w:val="16"/>
                <w:szCs w:val="16"/>
              </w:rPr>
              <w:lastRenderedPageBreak/>
              <w:t>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84)/1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69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89 to 3</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21)</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59C58C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lastRenderedPageBreak/>
              <w:t>75/0/0/0/0%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A0780B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0A056275"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355843A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Postpartum anemia</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6295549"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Azami</w:t>
            </w:r>
            <w:proofErr w:type="spellEnd"/>
            <w:r w:rsidRPr="00394B52">
              <w:rPr>
                <w:rFonts w:ascii="Times New Roman" w:eastAsia="Malgun Gothic" w:hAnsi="Times New Roman" w:cs="Times New Roman"/>
                <w:color w:val="000000"/>
                <w:sz w:val="16"/>
                <w:szCs w:val="16"/>
              </w:rPr>
              <w:t xml:space="preserve">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AB99AA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D6EB6E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RR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B6CC67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87)</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707972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000008</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93F9D8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65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88AE10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048</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2E821C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96)/1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22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E64FE1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75/39/15/0/0%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374FC7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007 /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003</w:t>
            </w:r>
          </w:p>
        </w:tc>
      </w:tr>
      <w:tr w:rsidR="00394B52" w:rsidRPr="00394B52" w14:paraId="6F9A0F0E"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0B9EC91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Poor obstetric conditions</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595661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Dadi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F7AB8C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8</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20E9EA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5E84A2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35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66)</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B716E7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9A7C33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3F8013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064</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C53BA0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37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37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69)/1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37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77)/1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37 (1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88)</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315767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71/0/0/0/0%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96E82B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024 /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002</w:t>
            </w:r>
          </w:p>
        </w:tc>
      </w:tr>
      <w:tr w:rsidR="00394B52" w:rsidRPr="00394B52" w14:paraId="66BF18DD"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0440851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Pre-pregnancy underweight</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A3ED10C"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Dachew</w:t>
            </w:r>
            <w:proofErr w:type="spellEnd"/>
            <w:r w:rsidRPr="00394B52">
              <w:rPr>
                <w:rFonts w:ascii="Times New Roman" w:eastAsia="Malgun Gothic" w:hAnsi="Times New Roman" w:cs="Times New Roman"/>
                <w:color w:val="000000"/>
                <w:sz w:val="16"/>
                <w:szCs w:val="16"/>
              </w:rPr>
              <w:t xml:space="preserve"> 2021</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6E67F5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3B01F7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6B429E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58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82)</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8B7EDD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32D0F8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78)</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2BA6D0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54</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4F4EF4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12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95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26)/1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88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38D140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45/0/0/0/0%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646D75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1E562700"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4C29B95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Gestational diabetes</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7B81D63"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Azami</w:t>
            </w:r>
            <w:proofErr w:type="spellEnd"/>
            <w:r w:rsidRPr="00394B52">
              <w:rPr>
                <w:rFonts w:ascii="Times New Roman" w:eastAsia="Malgun Gothic" w:hAnsi="Times New Roman" w:cs="Times New Roman"/>
                <w:color w:val="000000"/>
                <w:sz w:val="16"/>
                <w:szCs w:val="16"/>
              </w:rPr>
              <w:t xml:space="preserve">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D4C568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14</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4A1352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RR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781734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67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53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81)</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C3087F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CDDF84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44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A89E5C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87</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740C90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03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52)/1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23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53)/1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54)</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B6DD5A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89/26/0/0/0%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FAB6BD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4EEDFBD2"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6A22EE8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Emergency cesarean section</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924E451"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Moameri</w:t>
            </w:r>
            <w:proofErr w:type="spellEnd"/>
            <w:r w:rsidRPr="00394B52">
              <w:rPr>
                <w:rFonts w:ascii="Times New Roman" w:eastAsia="Malgun Gothic" w:hAnsi="Times New Roman" w:cs="Times New Roman"/>
                <w:color w:val="000000"/>
                <w:sz w:val="16"/>
                <w:szCs w:val="16"/>
              </w:rPr>
              <w:t xml:space="preserve">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757D14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F03EF5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5030F6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46)</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17331B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000039</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B4836D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13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C6DAB6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083</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65576A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05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35)/1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18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37)/1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99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43)</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7B564D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68/0/0/0/0%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4E98DB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06393056"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1AE2816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Childhood abuse</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E8C202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Zhang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0B9F45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8DFCA2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C5A3EF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34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88)</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D2F321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6A0C54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0BD7F2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65</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0C4AC4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46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15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85)/1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88)/1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95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95)</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411EBD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44/0/0/0/0%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E91B0D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 /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002</w:t>
            </w:r>
          </w:p>
        </w:tc>
      </w:tr>
      <w:tr w:rsidR="00394B52" w:rsidRPr="00394B52" w14:paraId="337E4456"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5B000C6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HIV infection</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BE798C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Zhu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EDBE60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515549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E5A226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37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68)</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2E6C08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0034</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975DA1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63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93C30F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52E922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72)/1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85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38)/1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03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33)</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6AA8F2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65/28/8/0/0%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842BDF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067 /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007</w:t>
            </w:r>
          </w:p>
        </w:tc>
      </w:tr>
      <w:tr w:rsidR="00394B52" w:rsidRPr="00394B52" w14:paraId="7B2620D2"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0E10531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Anemia during pregnancy</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3513808"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Azami</w:t>
            </w:r>
            <w:proofErr w:type="spellEnd"/>
            <w:r w:rsidRPr="00394B52">
              <w:rPr>
                <w:rFonts w:ascii="Times New Roman" w:eastAsia="Malgun Gothic" w:hAnsi="Times New Roman" w:cs="Times New Roman"/>
                <w:color w:val="000000"/>
                <w:sz w:val="16"/>
                <w:szCs w:val="16"/>
              </w:rPr>
              <w:t xml:space="preserve"> 2019</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DDF631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8</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DE987E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RR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30F904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25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47)</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71D86F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0063</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2CEC56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35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1773EC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6AFF80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19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45)/1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94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38)/1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13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12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43)</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7CAE85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39/19/1/0/0%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E3F3D7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NA / NA</w:t>
            </w:r>
          </w:p>
        </w:tc>
      </w:tr>
      <w:tr w:rsidR="00394B52" w:rsidRPr="00394B52" w14:paraId="5E241015"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00C61EA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Female infant compared to male infant</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B9220E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Ye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00598B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1C04C0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932183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04)</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1D8B89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99</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22F8B2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97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4F9ED0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068</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307C0B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08)/0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94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02)/0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03)/0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93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04)</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B786D9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75/19/0/0/0%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612110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0B13139C"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2889EDF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Pre-pregnancy overweight</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E7AEBA1"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Dachew</w:t>
            </w:r>
            <w:proofErr w:type="spellEnd"/>
            <w:r w:rsidRPr="00394B52">
              <w:rPr>
                <w:rFonts w:ascii="Times New Roman" w:eastAsia="Malgun Gothic" w:hAnsi="Times New Roman" w:cs="Times New Roman"/>
                <w:color w:val="000000"/>
                <w:sz w:val="16"/>
                <w:szCs w:val="16"/>
              </w:rPr>
              <w:t xml:space="preserve"> 2021</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CAE639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92F8B7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0065ED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08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15)</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F71860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018</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12F49D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05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E3025F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19</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82CD69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 (1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99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16)/1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96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18)</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B31F7E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27/0/0/0/0%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7008C4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NA / NA</w:t>
            </w:r>
          </w:p>
        </w:tc>
      </w:tr>
      <w:tr w:rsidR="00394B52" w:rsidRPr="00394B52" w14:paraId="57104402"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75E3EC8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Active husband participation in maternal healthcare/services during pregnancy</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3F62BB2"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Yargawa</w:t>
            </w:r>
            <w:proofErr w:type="spellEnd"/>
            <w:r w:rsidRPr="00394B52">
              <w:rPr>
                <w:rFonts w:ascii="Times New Roman" w:eastAsia="Malgun Gothic" w:hAnsi="Times New Roman" w:cs="Times New Roman"/>
                <w:color w:val="000000"/>
                <w:sz w:val="16"/>
                <w:szCs w:val="16"/>
              </w:rPr>
              <w:t xml:space="preserve"> 2015</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5F7231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50A9BA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302FFA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23 to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56)</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516B8A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000005</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3B5E835"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27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15 to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49A236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NA</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84DF54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45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22 to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91)/0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45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12)/0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45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14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39)/0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45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1C74EC0"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48/0/0/0/0%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625112B"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NA / NA</w:t>
            </w:r>
          </w:p>
        </w:tc>
      </w:tr>
      <w:tr w:rsidR="00394B52" w:rsidRPr="00394B52" w14:paraId="1B09B033"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260DF31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Active husband participation in maternal healthcare/services postpartum</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032B410"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Yargawa</w:t>
            </w:r>
            <w:proofErr w:type="spellEnd"/>
            <w:r w:rsidRPr="00394B52">
              <w:rPr>
                <w:rFonts w:ascii="Times New Roman" w:eastAsia="Malgun Gothic" w:hAnsi="Times New Roman" w:cs="Times New Roman"/>
                <w:color w:val="000000"/>
                <w:sz w:val="16"/>
                <w:szCs w:val="16"/>
              </w:rPr>
              <w:t xml:space="preserve"> 2015</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43277F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F313AB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EA73E1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27 to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52)</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10726D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&lt;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000001</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A690DF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53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34 to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B4AC2F6"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49</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E260A3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43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24 to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75)/0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42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21 to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84)/0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08)/0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48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463D32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57/0/0/0/0%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4A9395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 /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002</w:t>
            </w:r>
          </w:p>
        </w:tc>
      </w:tr>
      <w:tr w:rsidR="00394B52" w:rsidRPr="00394B52" w14:paraId="62AADD4F"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5DB9561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Family history of mental illness</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A2887B9"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Necho</w:t>
            </w:r>
            <w:proofErr w:type="spellEnd"/>
            <w:r w:rsidRPr="00394B52">
              <w:rPr>
                <w:rFonts w:ascii="Times New Roman" w:eastAsia="Malgun Gothic" w:hAnsi="Times New Roman" w:cs="Times New Roman"/>
                <w:color w:val="000000"/>
                <w:sz w:val="16"/>
                <w:szCs w:val="16"/>
              </w:rPr>
              <w:t xml:space="preserve">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FEB961A"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BEA51B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74EA7E3"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55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99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43)</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F8B7C58"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057</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52DFD61"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72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05E620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NA</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FE3A70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63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62 to 4</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27)/1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69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76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08)/1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24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75 to 2</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06)</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B8C3E8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75/44/12/0/0%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E4831C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NA / NA</w:t>
            </w:r>
          </w:p>
        </w:tc>
      </w:tr>
      <w:tr w:rsidR="00394B52" w:rsidRPr="00394B52" w14:paraId="0406382D" w14:textId="77777777" w:rsidTr="00E01118">
        <w:trPr>
          <w:trHeight w:val="236"/>
        </w:trPr>
        <w:tc>
          <w:tcPr>
            <w:tcW w:w="283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4FF9121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Labor epidural analgesia</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138CA63" w14:textId="77777777" w:rsidR="00394B52" w:rsidRPr="00394B52" w:rsidRDefault="00394B52" w:rsidP="00394B52">
            <w:pPr>
              <w:rPr>
                <w:rFonts w:ascii="Times New Roman" w:eastAsia="Malgun Gothic" w:hAnsi="Times New Roman" w:cs="Times New Roman"/>
                <w:color w:val="000000"/>
                <w:sz w:val="16"/>
                <w:szCs w:val="16"/>
              </w:rPr>
            </w:pPr>
            <w:proofErr w:type="spellStart"/>
            <w:r w:rsidRPr="00394B52">
              <w:rPr>
                <w:rFonts w:ascii="Times New Roman" w:eastAsia="Malgun Gothic" w:hAnsi="Times New Roman" w:cs="Times New Roman"/>
                <w:color w:val="000000"/>
                <w:sz w:val="16"/>
                <w:szCs w:val="16"/>
              </w:rPr>
              <w:t>Kountanis</w:t>
            </w:r>
            <w:proofErr w:type="spellEnd"/>
            <w:r w:rsidRPr="00394B52">
              <w:rPr>
                <w:rFonts w:ascii="Times New Roman" w:eastAsia="Malgun Gothic" w:hAnsi="Times New Roman" w:cs="Times New Roman"/>
                <w:color w:val="000000"/>
                <w:sz w:val="16"/>
                <w:szCs w:val="16"/>
              </w:rPr>
              <w:t xml:space="preserve"> 2020</w:t>
            </w:r>
          </w:p>
        </w:tc>
        <w:tc>
          <w:tcPr>
            <w:tcW w:w="7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AB9085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782ADCD"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OR</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B527F6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03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89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19)</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6EE0B14"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73</w:t>
            </w:r>
          </w:p>
        </w:tc>
        <w:tc>
          <w:tcPr>
            <w:tcW w:w="12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52BB989"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86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69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9798A3F"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85</w:t>
            </w:r>
          </w:p>
        </w:tc>
        <w:tc>
          <w:tcPr>
            <w:tcW w:w="32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6B965AE"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51)/1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09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81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45)/0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99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8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24)/1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77 to 1</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31)</w:t>
            </w:r>
          </w:p>
        </w:tc>
        <w:tc>
          <w:tcPr>
            <w:tcW w:w="112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17EB967"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79/48/26/0/0%</w:t>
            </w:r>
          </w:p>
        </w:tc>
        <w:tc>
          <w:tcPr>
            <w:tcW w:w="154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59B5B32"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011 / 0</w:t>
            </w:r>
            <w:r w:rsidRPr="00394B52">
              <w:rPr>
                <w:rFonts w:ascii="Times New Roman" w:eastAsia="Malgun Gothic" w:hAnsi="Times New Roman" w:cs="Times New Roman"/>
                <w:b/>
                <w:bCs/>
                <w:color w:val="000000"/>
                <w:sz w:val="16"/>
                <w:szCs w:val="16"/>
              </w:rPr>
              <w:t>·</w:t>
            </w:r>
            <w:r w:rsidRPr="00394B52">
              <w:rPr>
                <w:rFonts w:ascii="Times New Roman" w:eastAsia="Malgun Gothic" w:hAnsi="Times New Roman" w:cs="Times New Roman"/>
                <w:color w:val="000000"/>
                <w:sz w:val="16"/>
                <w:szCs w:val="16"/>
              </w:rPr>
              <w:t>001</w:t>
            </w:r>
          </w:p>
        </w:tc>
      </w:tr>
      <w:tr w:rsidR="00394B52" w:rsidRPr="00394B52" w14:paraId="5DBDA3FE" w14:textId="77777777" w:rsidTr="00E01118">
        <w:trPr>
          <w:trHeight w:val="236"/>
        </w:trPr>
        <w:tc>
          <w:tcPr>
            <w:tcW w:w="15388" w:type="dxa"/>
            <w:gridSpan w:val="11"/>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tcPr>
          <w:p w14:paraId="7DA5D3DC" w14:textId="77777777" w:rsidR="00394B52" w:rsidRPr="00394B52" w:rsidRDefault="00394B52" w:rsidP="00394B52">
            <w:pPr>
              <w:rPr>
                <w:rFonts w:ascii="Times New Roman" w:eastAsia="Malgun Gothic" w:hAnsi="Times New Roman" w:cs="Times New Roman"/>
                <w:color w:val="000000"/>
                <w:sz w:val="16"/>
                <w:szCs w:val="16"/>
              </w:rPr>
            </w:pPr>
            <w:r w:rsidRPr="00394B52">
              <w:rPr>
                <w:rFonts w:ascii="Times New Roman" w:eastAsia="Malgun Gothic" w:hAnsi="Times New Roman" w:cs="Times New Roman"/>
                <w:color w:val="000000"/>
                <w:sz w:val="16"/>
                <w:szCs w:val="16"/>
              </w:rPr>
              <w:t>All statistical tests are two-sided.</w:t>
            </w:r>
            <w:r w:rsidRPr="00394B52">
              <w:rPr>
                <w:rFonts w:ascii="Times New Roman" w:eastAsia="Malgun Gothic" w:hAnsi="Times New Roman" w:cs="Times New Roman"/>
                <w:color w:val="000000"/>
                <w:sz w:val="16"/>
                <w:szCs w:val="16"/>
              </w:rPr>
              <w:br/>
              <w:t xml:space="preserve">Abbreviations: CI, confidence interval; HIV, human immunodeficiency virus; NA, not available; </w:t>
            </w:r>
            <w:proofErr w:type="spellStart"/>
            <w:proofErr w:type="gramStart"/>
            <w:r w:rsidRPr="00394B52">
              <w:rPr>
                <w:rFonts w:ascii="Times New Roman" w:eastAsia="Malgun Gothic" w:hAnsi="Times New Roman" w:cs="Times New Roman"/>
                <w:color w:val="000000"/>
                <w:sz w:val="16"/>
                <w:szCs w:val="16"/>
              </w:rPr>
              <w:t>OR,odds</w:t>
            </w:r>
            <w:proofErr w:type="spellEnd"/>
            <w:proofErr w:type="gramEnd"/>
            <w:r w:rsidRPr="00394B52">
              <w:rPr>
                <w:rFonts w:ascii="Times New Roman" w:eastAsia="Malgun Gothic" w:hAnsi="Times New Roman" w:cs="Times New Roman"/>
                <w:color w:val="000000"/>
                <w:sz w:val="16"/>
                <w:szCs w:val="16"/>
              </w:rPr>
              <w:t xml:space="preserve"> ratio; RR, relative risk</w:t>
            </w:r>
          </w:p>
        </w:tc>
      </w:tr>
    </w:tbl>
    <w:p w14:paraId="4F4937E4" w14:textId="77777777" w:rsidR="00394B52" w:rsidRPr="00394B52" w:rsidRDefault="00394B52" w:rsidP="00394B52">
      <w:pPr>
        <w:widowControl/>
        <w:wordWrap/>
        <w:autoSpaceDE/>
        <w:autoSpaceDN/>
        <w:rPr>
          <w:rFonts w:ascii="Times" w:hAnsi="Times" w:cs="Times"/>
        </w:rPr>
      </w:pPr>
      <w:r w:rsidRPr="00394B52">
        <w:rPr>
          <w:rFonts w:ascii="Times" w:hAnsi="Times" w:cs="Times"/>
        </w:rPr>
        <w:t xml:space="preserve"> </w:t>
      </w:r>
      <w:r w:rsidRPr="00394B52">
        <w:rPr>
          <w:rFonts w:ascii="Times" w:hAnsi="Times" w:cs="Times"/>
        </w:rPr>
        <w:br w:type="page"/>
      </w:r>
    </w:p>
    <w:p w14:paraId="46F1FFE4" w14:textId="77777777" w:rsidR="00394B52" w:rsidRPr="00394B52" w:rsidRDefault="00394B52" w:rsidP="00394B52">
      <w:pPr>
        <w:widowControl/>
        <w:wordWrap/>
        <w:autoSpaceDE/>
        <w:autoSpaceDN/>
        <w:rPr>
          <w:rFonts w:ascii="Times" w:hAnsi="Times" w:cs="Times"/>
        </w:rPr>
      </w:pPr>
      <w:r w:rsidRPr="00394B52">
        <w:rPr>
          <w:rFonts w:ascii="Times" w:hAnsi="Times" w:cs="Times"/>
        </w:rPr>
        <w:lastRenderedPageBreak/>
        <w:t xml:space="preserve">Table S4. Grading of Recommendations, Assessment, Development and Evaluations appraisal for environmental risk and protective factors </w:t>
      </w:r>
    </w:p>
    <w:tbl>
      <w:tblPr>
        <w:tblStyle w:val="TableGrid1"/>
        <w:tblW w:w="15534" w:type="dxa"/>
        <w:tblLook w:val="04A0" w:firstRow="1" w:lastRow="0" w:firstColumn="1" w:lastColumn="0" w:noHBand="0" w:noVBand="1"/>
      </w:tblPr>
      <w:tblGrid>
        <w:gridCol w:w="2036"/>
        <w:gridCol w:w="1342"/>
        <w:gridCol w:w="534"/>
        <w:gridCol w:w="1688"/>
        <w:gridCol w:w="988"/>
        <w:gridCol w:w="1620"/>
        <w:gridCol w:w="1489"/>
        <w:gridCol w:w="1464"/>
        <w:gridCol w:w="1418"/>
        <w:gridCol w:w="1708"/>
        <w:gridCol w:w="1241"/>
        <w:gridCol w:w="6"/>
      </w:tblGrid>
      <w:tr w:rsidR="00394B52" w:rsidRPr="00394B52" w14:paraId="5F253068" w14:textId="77777777" w:rsidTr="00E01118">
        <w:trPr>
          <w:trHeight w:val="198"/>
        </w:trPr>
        <w:tc>
          <w:tcPr>
            <w:tcW w:w="2036" w:type="dxa"/>
            <w:noWrap/>
            <w:hideMark/>
          </w:tcPr>
          <w:p w14:paraId="4CF2B468"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Environmental risk/protective factor</w:t>
            </w:r>
          </w:p>
        </w:tc>
        <w:tc>
          <w:tcPr>
            <w:tcW w:w="1342" w:type="dxa"/>
            <w:noWrap/>
            <w:hideMark/>
          </w:tcPr>
          <w:p w14:paraId="15FFC6CF"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Author, year</w:t>
            </w:r>
          </w:p>
        </w:tc>
        <w:tc>
          <w:tcPr>
            <w:tcW w:w="534" w:type="dxa"/>
            <w:noWrap/>
            <w:hideMark/>
          </w:tcPr>
          <w:p w14:paraId="107AC28D"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k</w:t>
            </w:r>
          </w:p>
        </w:tc>
        <w:tc>
          <w:tcPr>
            <w:tcW w:w="1688" w:type="dxa"/>
            <w:noWrap/>
            <w:hideMark/>
          </w:tcPr>
          <w:p w14:paraId="50865C69" w14:textId="77777777" w:rsidR="00394B52" w:rsidRPr="00394B52" w:rsidRDefault="00394B52" w:rsidP="00394B52">
            <w:pPr>
              <w:spacing w:after="0" w:line="240" w:lineRule="auto"/>
              <w:jc w:val="left"/>
              <w:rPr>
                <w:rFonts w:ascii="Times" w:hAnsi="Times" w:cs="Times"/>
                <w:b/>
                <w:sz w:val="16"/>
                <w:szCs w:val="16"/>
              </w:rPr>
            </w:pPr>
            <w:r w:rsidRPr="00394B52">
              <w:rPr>
                <w:rFonts w:ascii="Times" w:hAnsi="Times" w:cs="Times"/>
                <w:b/>
                <w:sz w:val="16"/>
                <w:szCs w:val="16"/>
              </w:rPr>
              <w:t>Study design</w:t>
            </w:r>
          </w:p>
        </w:tc>
        <w:tc>
          <w:tcPr>
            <w:tcW w:w="988" w:type="dxa"/>
            <w:noWrap/>
            <w:hideMark/>
          </w:tcPr>
          <w:p w14:paraId="4D940308"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Risk of bias</w:t>
            </w:r>
          </w:p>
        </w:tc>
        <w:tc>
          <w:tcPr>
            <w:tcW w:w="1620" w:type="dxa"/>
            <w:noWrap/>
            <w:hideMark/>
          </w:tcPr>
          <w:p w14:paraId="42453069"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Inconsistency</w:t>
            </w:r>
          </w:p>
        </w:tc>
        <w:tc>
          <w:tcPr>
            <w:tcW w:w="1489" w:type="dxa"/>
            <w:noWrap/>
            <w:hideMark/>
          </w:tcPr>
          <w:p w14:paraId="735EF233"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Indirectness</w:t>
            </w:r>
          </w:p>
        </w:tc>
        <w:tc>
          <w:tcPr>
            <w:tcW w:w="1464" w:type="dxa"/>
            <w:noWrap/>
            <w:hideMark/>
          </w:tcPr>
          <w:p w14:paraId="1C7E885D"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Imprecision</w:t>
            </w:r>
          </w:p>
        </w:tc>
        <w:tc>
          <w:tcPr>
            <w:tcW w:w="1418" w:type="dxa"/>
            <w:noWrap/>
            <w:hideMark/>
          </w:tcPr>
          <w:p w14:paraId="3D4218C0"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Publication bias</w:t>
            </w:r>
          </w:p>
        </w:tc>
        <w:tc>
          <w:tcPr>
            <w:tcW w:w="1708" w:type="dxa"/>
            <w:noWrap/>
            <w:hideMark/>
          </w:tcPr>
          <w:p w14:paraId="2BBC43BC"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Other considerations</w:t>
            </w:r>
          </w:p>
        </w:tc>
        <w:tc>
          <w:tcPr>
            <w:tcW w:w="1241" w:type="dxa"/>
            <w:gridSpan w:val="2"/>
            <w:noWrap/>
            <w:hideMark/>
          </w:tcPr>
          <w:p w14:paraId="707F4FCC"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Certainty</w:t>
            </w:r>
          </w:p>
        </w:tc>
      </w:tr>
      <w:tr w:rsidR="00394B52" w:rsidRPr="00394B52" w14:paraId="5CFF15DC" w14:textId="77777777" w:rsidTr="00E01118">
        <w:trPr>
          <w:gridAfter w:val="1"/>
          <w:wAfter w:w="6" w:type="dxa"/>
          <w:trHeight w:val="198"/>
        </w:trPr>
        <w:tc>
          <w:tcPr>
            <w:tcW w:w="2036" w:type="dxa"/>
            <w:noWrap/>
            <w:hideMark/>
          </w:tcPr>
          <w:p w14:paraId="30BEE3D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Antenatal anxiety</w:t>
            </w:r>
          </w:p>
        </w:tc>
        <w:tc>
          <w:tcPr>
            <w:tcW w:w="1342" w:type="dxa"/>
            <w:noWrap/>
            <w:hideMark/>
          </w:tcPr>
          <w:p w14:paraId="2636A131"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Grigoriadis</w:t>
            </w:r>
            <w:proofErr w:type="spellEnd"/>
            <w:r w:rsidRPr="00394B52">
              <w:rPr>
                <w:rFonts w:ascii="Times" w:hAnsi="Times" w:cs="Times"/>
                <w:color w:val="000000"/>
                <w:sz w:val="16"/>
                <w:szCs w:val="16"/>
              </w:rPr>
              <w:t xml:space="preserve"> 2019</w:t>
            </w:r>
          </w:p>
        </w:tc>
        <w:tc>
          <w:tcPr>
            <w:tcW w:w="534" w:type="dxa"/>
            <w:noWrap/>
            <w:hideMark/>
          </w:tcPr>
          <w:p w14:paraId="18D2AD9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7</w:t>
            </w:r>
          </w:p>
        </w:tc>
        <w:tc>
          <w:tcPr>
            <w:tcW w:w="1688" w:type="dxa"/>
            <w:noWrap/>
            <w:hideMark/>
          </w:tcPr>
          <w:p w14:paraId="655A5D0F"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w:t>
            </w:r>
          </w:p>
        </w:tc>
        <w:tc>
          <w:tcPr>
            <w:tcW w:w="988" w:type="dxa"/>
            <w:noWrap/>
            <w:hideMark/>
          </w:tcPr>
          <w:p w14:paraId="56B0F52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5DBA61F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89" w:type="dxa"/>
            <w:noWrap/>
            <w:hideMark/>
          </w:tcPr>
          <w:p w14:paraId="524D176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72886A2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765CD41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6241A80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0BD7485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Moderate</w:t>
            </w:r>
          </w:p>
        </w:tc>
      </w:tr>
      <w:tr w:rsidR="00394B52" w:rsidRPr="00394B52" w14:paraId="61BB4F8E" w14:textId="77777777" w:rsidTr="00E01118">
        <w:trPr>
          <w:gridAfter w:val="1"/>
          <w:wAfter w:w="6" w:type="dxa"/>
          <w:trHeight w:val="198"/>
        </w:trPr>
        <w:tc>
          <w:tcPr>
            <w:tcW w:w="2036" w:type="dxa"/>
            <w:noWrap/>
            <w:hideMark/>
          </w:tcPr>
          <w:p w14:paraId="40F6741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Psychological violence</w:t>
            </w:r>
          </w:p>
        </w:tc>
        <w:tc>
          <w:tcPr>
            <w:tcW w:w="1342" w:type="dxa"/>
            <w:noWrap/>
            <w:hideMark/>
          </w:tcPr>
          <w:p w14:paraId="49D1322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Zhang 2019</w:t>
            </w:r>
          </w:p>
        </w:tc>
        <w:tc>
          <w:tcPr>
            <w:tcW w:w="534" w:type="dxa"/>
            <w:noWrap/>
            <w:hideMark/>
          </w:tcPr>
          <w:p w14:paraId="797F110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8</w:t>
            </w:r>
          </w:p>
        </w:tc>
        <w:tc>
          <w:tcPr>
            <w:tcW w:w="1688" w:type="dxa"/>
            <w:noWrap/>
            <w:hideMark/>
          </w:tcPr>
          <w:p w14:paraId="1ABC7510"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w:t>
            </w:r>
          </w:p>
        </w:tc>
        <w:tc>
          <w:tcPr>
            <w:tcW w:w="988" w:type="dxa"/>
            <w:noWrap/>
            <w:hideMark/>
          </w:tcPr>
          <w:p w14:paraId="4AE399B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188BDB9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89" w:type="dxa"/>
            <w:noWrap/>
            <w:hideMark/>
          </w:tcPr>
          <w:p w14:paraId="487403D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25C48D6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0072502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3C7A0C43"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3135383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w:t>
            </w:r>
          </w:p>
        </w:tc>
      </w:tr>
      <w:tr w:rsidR="00394B52" w:rsidRPr="00394B52" w14:paraId="30DB29DF" w14:textId="77777777" w:rsidTr="00E01118">
        <w:trPr>
          <w:gridAfter w:val="1"/>
          <w:wAfter w:w="6" w:type="dxa"/>
          <w:trHeight w:val="198"/>
        </w:trPr>
        <w:tc>
          <w:tcPr>
            <w:tcW w:w="2036" w:type="dxa"/>
            <w:noWrap/>
            <w:hideMark/>
          </w:tcPr>
          <w:p w14:paraId="69E7DAC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Intimate partner violence experience</w:t>
            </w:r>
          </w:p>
        </w:tc>
        <w:tc>
          <w:tcPr>
            <w:tcW w:w="1342" w:type="dxa"/>
            <w:noWrap/>
            <w:hideMark/>
          </w:tcPr>
          <w:p w14:paraId="7EC1804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Howard 2013</w:t>
            </w:r>
          </w:p>
        </w:tc>
        <w:tc>
          <w:tcPr>
            <w:tcW w:w="534" w:type="dxa"/>
            <w:noWrap/>
            <w:hideMark/>
          </w:tcPr>
          <w:p w14:paraId="6062F82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12</w:t>
            </w:r>
          </w:p>
        </w:tc>
        <w:tc>
          <w:tcPr>
            <w:tcW w:w="1688" w:type="dxa"/>
            <w:noWrap/>
            <w:hideMark/>
          </w:tcPr>
          <w:p w14:paraId="4FD72B1D"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cross-sectional</w:t>
            </w:r>
          </w:p>
        </w:tc>
        <w:tc>
          <w:tcPr>
            <w:tcW w:w="988" w:type="dxa"/>
            <w:noWrap/>
            <w:hideMark/>
          </w:tcPr>
          <w:p w14:paraId="0C9DD8C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1E92B4B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7D2CC46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3978568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589D27A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Likely</w:t>
            </w:r>
          </w:p>
        </w:tc>
        <w:tc>
          <w:tcPr>
            <w:tcW w:w="1708" w:type="dxa"/>
            <w:noWrap/>
            <w:hideMark/>
          </w:tcPr>
          <w:p w14:paraId="20080A7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6F8733C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5719BE41" w14:textId="77777777" w:rsidTr="00E01118">
        <w:trPr>
          <w:gridAfter w:val="1"/>
          <w:wAfter w:w="6" w:type="dxa"/>
          <w:trHeight w:val="198"/>
        </w:trPr>
        <w:tc>
          <w:tcPr>
            <w:tcW w:w="2036" w:type="dxa"/>
            <w:noWrap/>
            <w:hideMark/>
          </w:tcPr>
          <w:p w14:paraId="62E2272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Intimate partner violence during pregnancy</w:t>
            </w:r>
          </w:p>
        </w:tc>
        <w:tc>
          <w:tcPr>
            <w:tcW w:w="1342" w:type="dxa"/>
            <w:noWrap/>
            <w:hideMark/>
          </w:tcPr>
          <w:p w14:paraId="1904E687"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Beydoun</w:t>
            </w:r>
            <w:proofErr w:type="spellEnd"/>
            <w:r w:rsidRPr="00394B52">
              <w:rPr>
                <w:rFonts w:ascii="Times" w:hAnsi="Times" w:cs="Times"/>
                <w:color w:val="000000"/>
                <w:sz w:val="16"/>
                <w:szCs w:val="16"/>
              </w:rPr>
              <w:t xml:space="preserve"> 2012</w:t>
            </w:r>
          </w:p>
        </w:tc>
        <w:tc>
          <w:tcPr>
            <w:tcW w:w="534" w:type="dxa"/>
            <w:noWrap/>
            <w:hideMark/>
          </w:tcPr>
          <w:p w14:paraId="6C0C76F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17</w:t>
            </w:r>
          </w:p>
        </w:tc>
        <w:tc>
          <w:tcPr>
            <w:tcW w:w="1688" w:type="dxa"/>
            <w:noWrap/>
            <w:hideMark/>
          </w:tcPr>
          <w:p w14:paraId="353D158F"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Cross-sectional</w:t>
            </w:r>
          </w:p>
        </w:tc>
        <w:tc>
          <w:tcPr>
            <w:tcW w:w="988" w:type="dxa"/>
            <w:noWrap/>
            <w:hideMark/>
          </w:tcPr>
          <w:p w14:paraId="0370E66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620" w:type="dxa"/>
            <w:noWrap/>
            <w:hideMark/>
          </w:tcPr>
          <w:p w14:paraId="1D43633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3D4138F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0A33910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7750B5C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6E5B730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4557DF2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15E556CF" w14:textId="77777777" w:rsidTr="00E01118">
        <w:trPr>
          <w:gridAfter w:val="1"/>
          <w:wAfter w:w="6" w:type="dxa"/>
          <w:trHeight w:val="198"/>
        </w:trPr>
        <w:tc>
          <w:tcPr>
            <w:tcW w:w="2036" w:type="dxa"/>
            <w:noWrap/>
            <w:hideMark/>
          </w:tcPr>
          <w:p w14:paraId="11A4959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Smoking during pregnancy</w:t>
            </w:r>
          </w:p>
        </w:tc>
        <w:tc>
          <w:tcPr>
            <w:tcW w:w="1342" w:type="dxa"/>
            <w:noWrap/>
            <w:hideMark/>
          </w:tcPr>
          <w:p w14:paraId="720B6A6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Chen 2019</w:t>
            </w:r>
          </w:p>
        </w:tc>
        <w:tc>
          <w:tcPr>
            <w:tcW w:w="534" w:type="dxa"/>
            <w:noWrap/>
            <w:hideMark/>
          </w:tcPr>
          <w:p w14:paraId="3AFD626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11</w:t>
            </w:r>
          </w:p>
        </w:tc>
        <w:tc>
          <w:tcPr>
            <w:tcW w:w="1688" w:type="dxa"/>
            <w:noWrap/>
            <w:hideMark/>
          </w:tcPr>
          <w:p w14:paraId="25B60994"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case-control, cross-sectional</w:t>
            </w:r>
          </w:p>
        </w:tc>
        <w:tc>
          <w:tcPr>
            <w:tcW w:w="988" w:type="dxa"/>
            <w:noWrap/>
            <w:hideMark/>
          </w:tcPr>
          <w:p w14:paraId="539A30A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620" w:type="dxa"/>
            <w:noWrap/>
            <w:hideMark/>
          </w:tcPr>
          <w:p w14:paraId="5D49783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6695D85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1D99F6F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36A5699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02D1386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2F6D79C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7D2F67B6" w14:textId="77777777" w:rsidTr="00E01118">
        <w:trPr>
          <w:gridAfter w:val="1"/>
          <w:wAfter w:w="6" w:type="dxa"/>
          <w:trHeight w:val="198"/>
        </w:trPr>
        <w:tc>
          <w:tcPr>
            <w:tcW w:w="2036" w:type="dxa"/>
            <w:noWrap/>
            <w:hideMark/>
          </w:tcPr>
          <w:p w14:paraId="1A3FFE5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History of premenstrual syndrome</w:t>
            </w:r>
          </w:p>
        </w:tc>
        <w:tc>
          <w:tcPr>
            <w:tcW w:w="1342" w:type="dxa"/>
            <w:noWrap/>
            <w:hideMark/>
          </w:tcPr>
          <w:p w14:paraId="240C4F5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Cao 2020</w:t>
            </w:r>
          </w:p>
        </w:tc>
        <w:tc>
          <w:tcPr>
            <w:tcW w:w="534" w:type="dxa"/>
            <w:noWrap/>
            <w:hideMark/>
          </w:tcPr>
          <w:p w14:paraId="074C248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19</w:t>
            </w:r>
          </w:p>
        </w:tc>
        <w:tc>
          <w:tcPr>
            <w:tcW w:w="1688" w:type="dxa"/>
            <w:noWrap/>
            <w:hideMark/>
          </w:tcPr>
          <w:p w14:paraId="0F2329AA"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case-control, cross-sectional</w:t>
            </w:r>
          </w:p>
        </w:tc>
        <w:tc>
          <w:tcPr>
            <w:tcW w:w="988" w:type="dxa"/>
            <w:noWrap/>
            <w:hideMark/>
          </w:tcPr>
          <w:p w14:paraId="53021C9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620" w:type="dxa"/>
            <w:noWrap/>
            <w:hideMark/>
          </w:tcPr>
          <w:p w14:paraId="130F07A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89" w:type="dxa"/>
            <w:noWrap/>
            <w:hideMark/>
          </w:tcPr>
          <w:p w14:paraId="42A43EE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320DB2C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528F6E9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6392F7A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1833256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02CEAEFF" w14:textId="77777777" w:rsidTr="00E01118">
        <w:trPr>
          <w:gridAfter w:val="1"/>
          <w:wAfter w:w="6" w:type="dxa"/>
          <w:trHeight w:val="198"/>
        </w:trPr>
        <w:tc>
          <w:tcPr>
            <w:tcW w:w="2036" w:type="dxa"/>
            <w:noWrap/>
            <w:hideMark/>
          </w:tcPr>
          <w:p w14:paraId="1EAABC4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Any type of violence experience</w:t>
            </w:r>
          </w:p>
        </w:tc>
        <w:tc>
          <w:tcPr>
            <w:tcW w:w="1342" w:type="dxa"/>
            <w:noWrap/>
            <w:hideMark/>
          </w:tcPr>
          <w:p w14:paraId="170515A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Zhang 2019</w:t>
            </w:r>
          </w:p>
        </w:tc>
        <w:tc>
          <w:tcPr>
            <w:tcW w:w="534" w:type="dxa"/>
            <w:noWrap/>
            <w:hideMark/>
          </w:tcPr>
          <w:p w14:paraId="391C942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32</w:t>
            </w:r>
          </w:p>
        </w:tc>
        <w:tc>
          <w:tcPr>
            <w:tcW w:w="1688" w:type="dxa"/>
            <w:noWrap/>
            <w:hideMark/>
          </w:tcPr>
          <w:p w14:paraId="186CE9B3"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w:t>
            </w:r>
          </w:p>
        </w:tc>
        <w:tc>
          <w:tcPr>
            <w:tcW w:w="988" w:type="dxa"/>
            <w:noWrap/>
            <w:hideMark/>
          </w:tcPr>
          <w:p w14:paraId="254E34B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444955A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4C66D2B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1FAE661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008E346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Likely</w:t>
            </w:r>
          </w:p>
        </w:tc>
        <w:tc>
          <w:tcPr>
            <w:tcW w:w="1708" w:type="dxa"/>
            <w:noWrap/>
            <w:hideMark/>
          </w:tcPr>
          <w:p w14:paraId="6A7D1CE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5CCB6AD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60BE043A" w14:textId="77777777" w:rsidTr="00E01118">
        <w:trPr>
          <w:gridAfter w:val="1"/>
          <w:wAfter w:w="6" w:type="dxa"/>
          <w:trHeight w:val="198"/>
        </w:trPr>
        <w:tc>
          <w:tcPr>
            <w:tcW w:w="2036" w:type="dxa"/>
            <w:noWrap/>
            <w:hideMark/>
          </w:tcPr>
          <w:p w14:paraId="4E1C2DE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Primiparity compared to multiparity</w:t>
            </w:r>
          </w:p>
        </w:tc>
        <w:tc>
          <w:tcPr>
            <w:tcW w:w="1342" w:type="dxa"/>
            <w:noWrap/>
            <w:hideMark/>
          </w:tcPr>
          <w:p w14:paraId="2A19B26A"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Tokumitsu</w:t>
            </w:r>
            <w:proofErr w:type="spellEnd"/>
            <w:r w:rsidRPr="00394B52">
              <w:rPr>
                <w:rFonts w:ascii="Times" w:hAnsi="Times" w:cs="Times"/>
                <w:color w:val="000000"/>
                <w:sz w:val="16"/>
                <w:szCs w:val="16"/>
              </w:rPr>
              <w:t xml:space="preserve"> 2020</w:t>
            </w:r>
          </w:p>
        </w:tc>
        <w:tc>
          <w:tcPr>
            <w:tcW w:w="534" w:type="dxa"/>
            <w:noWrap/>
            <w:hideMark/>
          </w:tcPr>
          <w:p w14:paraId="36DE5F8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39</w:t>
            </w:r>
          </w:p>
        </w:tc>
        <w:tc>
          <w:tcPr>
            <w:tcW w:w="1688" w:type="dxa"/>
            <w:noWrap/>
            <w:hideMark/>
          </w:tcPr>
          <w:p w14:paraId="0C03A1C7"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case-control, cross-sectional</w:t>
            </w:r>
          </w:p>
        </w:tc>
        <w:tc>
          <w:tcPr>
            <w:tcW w:w="988" w:type="dxa"/>
            <w:noWrap/>
            <w:hideMark/>
          </w:tcPr>
          <w:p w14:paraId="0261F9B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620" w:type="dxa"/>
            <w:noWrap/>
            <w:hideMark/>
          </w:tcPr>
          <w:p w14:paraId="03B540E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5B871DC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698E5FE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1602252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Likely</w:t>
            </w:r>
          </w:p>
        </w:tc>
        <w:tc>
          <w:tcPr>
            <w:tcW w:w="1708" w:type="dxa"/>
            <w:noWrap/>
            <w:hideMark/>
          </w:tcPr>
          <w:p w14:paraId="6B58ACF3"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43EFC74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747264DB" w14:textId="77777777" w:rsidTr="00E01118">
        <w:trPr>
          <w:gridAfter w:val="1"/>
          <w:wAfter w:w="6" w:type="dxa"/>
          <w:trHeight w:val="198"/>
        </w:trPr>
        <w:tc>
          <w:tcPr>
            <w:tcW w:w="2036" w:type="dxa"/>
            <w:noWrap/>
            <w:hideMark/>
          </w:tcPr>
          <w:p w14:paraId="74B51FC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Unintended pregnancy</w:t>
            </w:r>
          </w:p>
        </w:tc>
        <w:tc>
          <w:tcPr>
            <w:tcW w:w="1342" w:type="dxa"/>
            <w:noWrap/>
            <w:hideMark/>
          </w:tcPr>
          <w:p w14:paraId="6391E98A"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Qiu</w:t>
            </w:r>
            <w:proofErr w:type="spellEnd"/>
            <w:r w:rsidRPr="00394B52">
              <w:rPr>
                <w:rFonts w:ascii="Times" w:hAnsi="Times" w:cs="Times"/>
                <w:color w:val="000000"/>
                <w:sz w:val="16"/>
                <w:szCs w:val="16"/>
              </w:rPr>
              <w:t xml:space="preserve"> 2020</w:t>
            </w:r>
          </w:p>
        </w:tc>
        <w:tc>
          <w:tcPr>
            <w:tcW w:w="534" w:type="dxa"/>
            <w:noWrap/>
            <w:hideMark/>
          </w:tcPr>
          <w:p w14:paraId="6FB94CE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30</w:t>
            </w:r>
          </w:p>
        </w:tc>
        <w:tc>
          <w:tcPr>
            <w:tcW w:w="1688" w:type="dxa"/>
            <w:noWrap/>
            <w:hideMark/>
          </w:tcPr>
          <w:p w14:paraId="32C7A70A"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case-control</w:t>
            </w:r>
          </w:p>
        </w:tc>
        <w:tc>
          <w:tcPr>
            <w:tcW w:w="988" w:type="dxa"/>
            <w:noWrap/>
            <w:hideMark/>
          </w:tcPr>
          <w:p w14:paraId="305FE6C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6A261AD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52E0982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0D3AC9A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23577E5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6E977612"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43998AE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1063B428" w14:textId="77777777" w:rsidTr="00E01118">
        <w:trPr>
          <w:gridAfter w:val="1"/>
          <w:wAfter w:w="6" w:type="dxa"/>
          <w:trHeight w:val="198"/>
        </w:trPr>
        <w:tc>
          <w:tcPr>
            <w:tcW w:w="2036" w:type="dxa"/>
            <w:noWrap/>
            <w:hideMark/>
          </w:tcPr>
          <w:p w14:paraId="6394147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History of mental disorders</w:t>
            </w:r>
          </w:p>
        </w:tc>
        <w:tc>
          <w:tcPr>
            <w:tcW w:w="1342" w:type="dxa"/>
            <w:noWrap/>
            <w:hideMark/>
          </w:tcPr>
          <w:p w14:paraId="42E1796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Dadi 2020</w:t>
            </w:r>
          </w:p>
        </w:tc>
        <w:tc>
          <w:tcPr>
            <w:tcW w:w="534" w:type="dxa"/>
            <w:noWrap/>
            <w:hideMark/>
          </w:tcPr>
          <w:p w14:paraId="5EFA9D3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5</w:t>
            </w:r>
          </w:p>
        </w:tc>
        <w:tc>
          <w:tcPr>
            <w:tcW w:w="1688" w:type="dxa"/>
            <w:noWrap/>
            <w:hideMark/>
          </w:tcPr>
          <w:p w14:paraId="4F6EF192"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cross-sectional</w:t>
            </w:r>
          </w:p>
        </w:tc>
        <w:tc>
          <w:tcPr>
            <w:tcW w:w="988" w:type="dxa"/>
            <w:noWrap/>
            <w:hideMark/>
          </w:tcPr>
          <w:p w14:paraId="6E3641A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3281BF2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368EC4A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1E1C4A0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3E511AA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48785B4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4C5267C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13070E59" w14:textId="77777777" w:rsidTr="00E01118">
        <w:trPr>
          <w:gridAfter w:val="1"/>
          <w:wAfter w:w="6" w:type="dxa"/>
          <w:trHeight w:val="198"/>
        </w:trPr>
        <w:tc>
          <w:tcPr>
            <w:tcW w:w="2036" w:type="dxa"/>
            <w:noWrap/>
            <w:hideMark/>
          </w:tcPr>
          <w:p w14:paraId="5C030FD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Intimate partner violence in the past year</w:t>
            </w:r>
          </w:p>
        </w:tc>
        <w:tc>
          <w:tcPr>
            <w:tcW w:w="1342" w:type="dxa"/>
            <w:noWrap/>
            <w:hideMark/>
          </w:tcPr>
          <w:p w14:paraId="7C84670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Bacchus 2018</w:t>
            </w:r>
          </w:p>
        </w:tc>
        <w:tc>
          <w:tcPr>
            <w:tcW w:w="534" w:type="dxa"/>
            <w:noWrap/>
            <w:hideMark/>
          </w:tcPr>
          <w:p w14:paraId="7E70636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7</w:t>
            </w:r>
          </w:p>
        </w:tc>
        <w:tc>
          <w:tcPr>
            <w:tcW w:w="1688" w:type="dxa"/>
            <w:noWrap/>
            <w:hideMark/>
          </w:tcPr>
          <w:p w14:paraId="38A28917"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w:t>
            </w:r>
          </w:p>
        </w:tc>
        <w:tc>
          <w:tcPr>
            <w:tcW w:w="988" w:type="dxa"/>
            <w:noWrap/>
            <w:hideMark/>
          </w:tcPr>
          <w:p w14:paraId="4E71F80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620" w:type="dxa"/>
            <w:noWrap/>
            <w:hideMark/>
          </w:tcPr>
          <w:p w14:paraId="0544A84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35F8FBD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2BE35D7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4C84CA8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1D5AC7B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3EAD223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4524B715" w14:textId="77777777" w:rsidTr="00E01118">
        <w:trPr>
          <w:gridAfter w:val="1"/>
          <w:wAfter w:w="6" w:type="dxa"/>
          <w:trHeight w:val="198"/>
        </w:trPr>
        <w:tc>
          <w:tcPr>
            <w:tcW w:w="2036" w:type="dxa"/>
            <w:noWrap/>
            <w:hideMark/>
          </w:tcPr>
          <w:p w14:paraId="10BE28C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Preterm birth</w:t>
            </w:r>
          </w:p>
        </w:tc>
        <w:tc>
          <w:tcPr>
            <w:tcW w:w="1342" w:type="dxa"/>
            <w:noWrap/>
            <w:hideMark/>
          </w:tcPr>
          <w:p w14:paraId="6A300A5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de Paula Eduardo 2019</w:t>
            </w:r>
          </w:p>
        </w:tc>
        <w:tc>
          <w:tcPr>
            <w:tcW w:w="534" w:type="dxa"/>
            <w:noWrap/>
            <w:hideMark/>
          </w:tcPr>
          <w:p w14:paraId="5009FC4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12</w:t>
            </w:r>
          </w:p>
        </w:tc>
        <w:tc>
          <w:tcPr>
            <w:tcW w:w="1688" w:type="dxa"/>
            <w:noWrap/>
            <w:hideMark/>
          </w:tcPr>
          <w:p w14:paraId="2A202AFA"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case-control, cross-sectional</w:t>
            </w:r>
          </w:p>
        </w:tc>
        <w:tc>
          <w:tcPr>
            <w:tcW w:w="988" w:type="dxa"/>
            <w:noWrap/>
            <w:hideMark/>
          </w:tcPr>
          <w:p w14:paraId="2F1D83F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1A5CC86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748165F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2332B92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6BF6255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5D039DC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6EC98CA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w:t>
            </w:r>
          </w:p>
        </w:tc>
      </w:tr>
      <w:tr w:rsidR="00394B52" w:rsidRPr="00394B52" w14:paraId="4C88C6D6" w14:textId="77777777" w:rsidTr="00E01118">
        <w:trPr>
          <w:gridAfter w:val="1"/>
          <w:wAfter w:w="6" w:type="dxa"/>
          <w:trHeight w:val="198"/>
        </w:trPr>
        <w:tc>
          <w:tcPr>
            <w:tcW w:w="2036" w:type="dxa"/>
            <w:noWrap/>
            <w:hideMark/>
          </w:tcPr>
          <w:p w14:paraId="2C907C4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Perinatal anemia</w:t>
            </w:r>
          </w:p>
        </w:tc>
        <w:tc>
          <w:tcPr>
            <w:tcW w:w="1342" w:type="dxa"/>
            <w:noWrap/>
            <w:hideMark/>
          </w:tcPr>
          <w:p w14:paraId="3DFC1C2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Kang 2020</w:t>
            </w:r>
          </w:p>
        </w:tc>
        <w:tc>
          <w:tcPr>
            <w:tcW w:w="534" w:type="dxa"/>
            <w:noWrap/>
            <w:hideMark/>
          </w:tcPr>
          <w:p w14:paraId="0BD13A7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6</w:t>
            </w:r>
          </w:p>
        </w:tc>
        <w:tc>
          <w:tcPr>
            <w:tcW w:w="1688" w:type="dxa"/>
            <w:noWrap/>
            <w:hideMark/>
          </w:tcPr>
          <w:p w14:paraId="74BCE4CF"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case-control</w:t>
            </w:r>
          </w:p>
        </w:tc>
        <w:tc>
          <w:tcPr>
            <w:tcW w:w="988" w:type="dxa"/>
            <w:noWrap/>
            <w:hideMark/>
          </w:tcPr>
          <w:p w14:paraId="0DA2C38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620" w:type="dxa"/>
            <w:noWrap/>
            <w:hideMark/>
          </w:tcPr>
          <w:p w14:paraId="3833BBE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89" w:type="dxa"/>
            <w:noWrap/>
            <w:hideMark/>
          </w:tcPr>
          <w:p w14:paraId="33BD618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0353E14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43F6E53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71C5640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3C9C201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w:t>
            </w:r>
          </w:p>
        </w:tc>
      </w:tr>
      <w:tr w:rsidR="00394B52" w:rsidRPr="00394B52" w14:paraId="7507E0DC" w14:textId="77777777" w:rsidTr="00E01118">
        <w:trPr>
          <w:gridAfter w:val="1"/>
          <w:wAfter w:w="6" w:type="dxa"/>
          <w:trHeight w:val="198"/>
        </w:trPr>
        <w:tc>
          <w:tcPr>
            <w:tcW w:w="2036" w:type="dxa"/>
            <w:noWrap/>
            <w:hideMark/>
          </w:tcPr>
          <w:p w14:paraId="3640D27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Domestic violence</w:t>
            </w:r>
          </w:p>
        </w:tc>
        <w:tc>
          <w:tcPr>
            <w:tcW w:w="1342" w:type="dxa"/>
            <w:noWrap/>
            <w:hideMark/>
          </w:tcPr>
          <w:p w14:paraId="6FD6E71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Zhang 2019</w:t>
            </w:r>
          </w:p>
        </w:tc>
        <w:tc>
          <w:tcPr>
            <w:tcW w:w="534" w:type="dxa"/>
            <w:noWrap/>
            <w:hideMark/>
          </w:tcPr>
          <w:p w14:paraId="226C184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16</w:t>
            </w:r>
          </w:p>
        </w:tc>
        <w:tc>
          <w:tcPr>
            <w:tcW w:w="1688" w:type="dxa"/>
            <w:noWrap/>
            <w:hideMark/>
          </w:tcPr>
          <w:p w14:paraId="27EB2066"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w:t>
            </w:r>
          </w:p>
        </w:tc>
        <w:tc>
          <w:tcPr>
            <w:tcW w:w="988" w:type="dxa"/>
            <w:noWrap/>
            <w:hideMark/>
          </w:tcPr>
          <w:p w14:paraId="0246B80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6E0ECF9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493FA98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2A579BC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7DFEEA5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37700FE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611EC8B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558BBEF3" w14:textId="77777777" w:rsidTr="00E01118">
        <w:trPr>
          <w:gridAfter w:val="1"/>
          <w:wAfter w:w="6" w:type="dxa"/>
          <w:trHeight w:val="198"/>
        </w:trPr>
        <w:tc>
          <w:tcPr>
            <w:tcW w:w="2036" w:type="dxa"/>
            <w:noWrap/>
            <w:hideMark/>
          </w:tcPr>
          <w:p w14:paraId="4A4A4ED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Physical violence</w:t>
            </w:r>
          </w:p>
        </w:tc>
        <w:tc>
          <w:tcPr>
            <w:tcW w:w="1342" w:type="dxa"/>
            <w:noWrap/>
            <w:hideMark/>
          </w:tcPr>
          <w:p w14:paraId="1FBF256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Zhang 2019</w:t>
            </w:r>
          </w:p>
        </w:tc>
        <w:tc>
          <w:tcPr>
            <w:tcW w:w="534" w:type="dxa"/>
            <w:noWrap/>
            <w:hideMark/>
          </w:tcPr>
          <w:p w14:paraId="030AF36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8</w:t>
            </w:r>
          </w:p>
        </w:tc>
        <w:tc>
          <w:tcPr>
            <w:tcW w:w="1688" w:type="dxa"/>
            <w:noWrap/>
            <w:hideMark/>
          </w:tcPr>
          <w:p w14:paraId="562984F9"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w:t>
            </w:r>
          </w:p>
        </w:tc>
        <w:tc>
          <w:tcPr>
            <w:tcW w:w="988" w:type="dxa"/>
            <w:noWrap/>
            <w:hideMark/>
          </w:tcPr>
          <w:p w14:paraId="11DF1F4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37BF909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4B1B4B6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7129422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56DBBCC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Likely</w:t>
            </w:r>
          </w:p>
        </w:tc>
        <w:tc>
          <w:tcPr>
            <w:tcW w:w="1708" w:type="dxa"/>
            <w:noWrap/>
            <w:hideMark/>
          </w:tcPr>
          <w:p w14:paraId="46E67D81"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13699BD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4284F63F" w14:textId="77777777" w:rsidTr="00E01118">
        <w:trPr>
          <w:gridAfter w:val="1"/>
          <w:wAfter w:w="6" w:type="dxa"/>
          <w:trHeight w:val="198"/>
        </w:trPr>
        <w:tc>
          <w:tcPr>
            <w:tcW w:w="2036" w:type="dxa"/>
            <w:noWrap/>
            <w:hideMark/>
          </w:tcPr>
          <w:p w14:paraId="6D294D3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Immigration</w:t>
            </w:r>
          </w:p>
        </w:tc>
        <w:tc>
          <w:tcPr>
            <w:tcW w:w="1342" w:type="dxa"/>
            <w:noWrap/>
            <w:hideMark/>
          </w:tcPr>
          <w:p w14:paraId="64830D4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Falah-</w:t>
            </w:r>
            <w:proofErr w:type="spellStart"/>
            <w:r w:rsidRPr="00394B52">
              <w:rPr>
                <w:rFonts w:ascii="Times" w:hAnsi="Times" w:cs="Times"/>
                <w:color w:val="000000"/>
                <w:sz w:val="16"/>
                <w:szCs w:val="16"/>
              </w:rPr>
              <w:t>Hassani</w:t>
            </w:r>
            <w:proofErr w:type="spellEnd"/>
            <w:r w:rsidRPr="00394B52">
              <w:rPr>
                <w:rFonts w:ascii="Times" w:hAnsi="Times" w:cs="Times"/>
                <w:color w:val="000000"/>
                <w:sz w:val="16"/>
                <w:szCs w:val="16"/>
              </w:rPr>
              <w:t xml:space="preserve"> 2015</w:t>
            </w:r>
          </w:p>
        </w:tc>
        <w:tc>
          <w:tcPr>
            <w:tcW w:w="534" w:type="dxa"/>
            <w:noWrap/>
            <w:hideMark/>
          </w:tcPr>
          <w:p w14:paraId="12A0DA0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5</w:t>
            </w:r>
          </w:p>
        </w:tc>
        <w:tc>
          <w:tcPr>
            <w:tcW w:w="1688" w:type="dxa"/>
            <w:noWrap/>
            <w:hideMark/>
          </w:tcPr>
          <w:p w14:paraId="3FD8D65F"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cross-sectional</w:t>
            </w:r>
          </w:p>
        </w:tc>
        <w:tc>
          <w:tcPr>
            <w:tcW w:w="988" w:type="dxa"/>
            <w:noWrap/>
            <w:hideMark/>
          </w:tcPr>
          <w:p w14:paraId="7CA4CB3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5914A22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079D42E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371B789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33EF3F2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7C56C1BC"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2753523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14B663E6" w14:textId="77777777" w:rsidTr="00E01118">
        <w:trPr>
          <w:gridAfter w:val="1"/>
          <w:wAfter w:w="6" w:type="dxa"/>
          <w:trHeight w:val="198"/>
        </w:trPr>
        <w:tc>
          <w:tcPr>
            <w:tcW w:w="2036" w:type="dxa"/>
            <w:noWrap/>
            <w:hideMark/>
          </w:tcPr>
          <w:p w14:paraId="01E79D9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Pre-pregnancy underweight</w:t>
            </w:r>
          </w:p>
        </w:tc>
        <w:tc>
          <w:tcPr>
            <w:tcW w:w="1342" w:type="dxa"/>
            <w:noWrap/>
            <w:hideMark/>
          </w:tcPr>
          <w:p w14:paraId="2D946C83"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Dachew</w:t>
            </w:r>
            <w:proofErr w:type="spellEnd"/>
            <w:r w:rsidRPr="00394B52">
              <w:rPr>
                <w:rFonts w:ascii="Times" w:hAnsi="Times" w:cs="Times"/>
                <w:color w:val="000000"/>
                <w:sz w:val="16"/>
                <w:szCs w:val="16"/>
              </w:rPr>
              <w:t xml:space="preserve"> 2021</w:t>
            </w:r>
          </w:p>
        </w:tc>
        <w:tc>
          <w:tcPr>
            <w:tcW w:w="534" w:type="dxa"/>
            <w:noWrap/>
            <w:hideMark/>
          </w:tcPr>
          <w:p w14:paraId="3213B73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5</w:t>
            </w:r>
          </w:p>
        </w:tc>
        <w:tc>
          <w:tcPr>
            <w:tcW w:w="1688" w:type="dxa"/>
            <w:noWrap/>
            <w:hideMark/>
          </w:tcPr>
          <w:p w14:paraId="39684006"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w:t>
            </w:r>
          </w:p>
        </w:tc>
        <w:tc>
          <w:tcPr>
            <w:tcW w:w="988" w:type="dxa"/>
            <w:noWrap/>
            <w:hideMark/>
          </w:tcPr>
          <w:p w14:paraId="6F6D02D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4413CC9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89" w:type="dxa"/>
            <w:noWrap/>
            <w:hideMark/>
          </w:tcPr>
          <w:p w14:paraId="469BF9A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68C50B6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6A534DC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18DC9415"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61299E9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w:t>
            </w:r>
          </w:p>
        </w:tc>
      </w:tr>
      <w:tr w:rsidR="00394B52" w:rsidRPr="00394B52" w14:paraId="22ABA457" w14:textId="77777777" w:rsidTr="00E01118">
        <w:trPr>
          <w:gridAfter w:val="1"/>
          <w:wAfter w:w="6" w:type="dxa"/>
          <w:trHeight w:val="198"/>
        </w:trPr>
        <w:tc>
          <w:tcPr>
            <w:tcW w:w="2036" w:type="dxa"/>
            <w:noWrap/>
            <w:hideMark/>
          </w:tcPr>
          <w:p w14:paraId="34231BE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Sexual violence</w:t>
            </w:r>
          </w:p>
        </w:tc>
        <w:tc>
          <w:tcPr>
            <w:tcW w:w="1342" w:type="dxa"/>
            <w:noWrap/>
            <w:hideMark/>
          </w:tcPr>
          <w:p w14:paraId="41F1A92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Zhang 2019</w:t>
            </w:r>
          </w:p>
        </w:tc>
        <w:tc>
          <w:tcPr>
            <w:tcW w:w="534" w:type="dxa"/>
            <w:noWrap/>
            <w:hideMark/>
          </w:tcPr>
          <w:p w14:paraId="6EF4421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6</w:t>
            </w:r>
          </w:p>
        </w:tc>
        <w:tc>
          <w:tcPr>
            <w:tcW w:w="1688" w:type="dxa"/>
            <w:noWrap/>
            <w:hideMark/>
          </w:tcPr>
          <w:p w14:paraId="2B997522"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w:t>
            </w:r>
          </w:p>
        </w:tc>
        <w:tc>
          <w:tcPr>
            <w:tcW w:w="988" w:type="dxa"/>
            <w:noWrap/>
            <w:hideMark/>
          </w:tcPr>
          <w:p w14:paraId="392F531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6794A7D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89" w:type="dxa"/>
            <w:noWrap/>
            <w:hideMark/>
          </w:tcPr>
          <w:p w14:paraId="4CF7222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3FE5ACC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6921FEC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5837B969"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6CD0D5E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w:t>
            </w:r>
          </w:p>
        </w:tc>
      </w:tr>
      <w:tr w:rsidR="00394B52" w:rsidRPr="00394B52" w14:paraId="17055451" w14:textId="77777777" w:rsidTr="00E01118">
        <w:trPr>
          <w:gridAfter w:val="1"/>
          <w:wAfter w:w="6" w:type="dxa"/>
          <w:trHeight w:val="198"/>
        </w:trPr>
        <w:tc>
          <w:tcPr>
            <w:tcW w:w="2036" w:type="dxa"/>
            <w:noWrap/>
            <w:hideMark/>
          </w:tcPr>
          <w:p w14:paraId="2DCC5CC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Cesarean section</w:t>
            </w:r>
          </w:p>
        </w:tc>
        <w:tc>
          <w:tcPr>
            <w:tcW w:w="1342" w:type="dxa"/>
            <w:noWrap/>
            <w:hideMark/>
          </w:tcPr>
          <w:p w14:paraId="140FD021"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Moameri</w:t>
            </w:r>
            <w:proofErr w:type="spellEnd"/>
            <w:r w:rsidRPr="00394B52">
              <w:rPr>
                <w:rFonts w:ascii="Times" w:hAnsi="Times" w:cs="Times"/>
                <w:color w:val="000000"/>
                <w:sz w:val="16"/>
                <w:szCs w:val="16"/>
              </w:rPr>
              <w:t xml:space="preserve"> 2019</w:t>
            </w:r>
          </w:p>
        </w:tc>
        <w:tc>
          <w:tcPr>
            <w:tcW w:w="534" w:type="dxa"/>
            <w:noWrap/>
            <w:hideMark/>
          </w:tcPr>
          <w:p w14:paraId="3DB03E4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38</w:t>
            </w:r>
          </w:p>
        </w:tc>
        <w:tc>
          <w:tcPr>
            <w:tcW w:w="1688" w:type="dxa"/>
            <w:noWrap/>
            <w:hideMark/>
          </w:tcPr>
          <w:p w14:paraId="2D5318A5"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case-control</w:t>
            </w:r>
          </w:p>
        </w:tc>
        <w:tc>
          <w:tcPr>
            <w:tcW w:w="988" w:type="dxa"/>
            <w:noWrap/>
            <w:hideMark/>
          </w:tcPr>
          <w:p w14:paraId="67E5316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5EA536D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03361B6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4DC5AF2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33DC831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2D9E1519"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249C30B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2F088399" w14:textId="77777777" w:rsidTr="00E01118">
        <w:trPr>
          <w:gridAfter w:val="1"/>
          <w:wAfter w:w="6" w:type="dxa"/>
          <w:trHeight w:val="198"/>
        </w:trPr>
        <w:tc>
          <w:tcPr>
            <w:tcW w:w="2036" w:type="dxa"/>
            <w:noWrap/>
            <w:hideMark/>
          </w:tcPr>
          <w:p w14:paraId="4280629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Pre-pregnancy obesity</w:t>
            </w:r>
          </w:p>
        </w:tc>
        <w:tc>
          <w:tcPr>
            <w:tcW w:w="1342" w:type="dxa"/>
            <w:noWrap/>
            <w:hideMark/>
          </w:tcPr>
          <w:p w14:paraId="5254344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Molyneaux 2014</w:t>
            </w:r>
          </w:p>
        </w:tc>
        <w:tc>
          <w:tcPr>
            <w:tcW w:w="534" w:type="dxa"/>
            <w:noWrap/>
            <w:hideMark/>
          </w:tcPr>
          <w:p w14:paraId="036611F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14</w:t>
            </w:r>
          </w:p>
        </w:tc>
        <w:tc>
          <w:tcPr>
            <w:tcW w:w="1688" w:type="dxa"/>
            <w:noWrap/>
            <w:hideMark/>
          </w:tcPr>
          <w:p w14:paraId="7DCCBEFE"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cross-sectional</w:t>
            </w:r>
          </w:p>
        </w:tc>
        <w:tc>
          <w:tcPr>
            <w:tcW w:w="988" w:type="dxa"/>
            <w:noWrap/>
            <w:hideMark/>
          </w:tcPr>
          <w:p w14:paraId="32C81D4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4218AC6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89" w:type="dxa"/>
            <w:noWrap/>
            <w:hideMark/>
          </w:tcPr>
          <w:p w14:paraId="4799A87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6CE0523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74BEED4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Likely</w:t>
            </w:r>
          </w:p>
        </w:tc>
        <w:tc>
          <w:tcPr>
            <w:tcW w:w="1708" w:type="dxa"/>
            <w:noWrap/>
            <w:hideMark/>
          </w:tcPr>
          <w:p w14:paraId="5BA1D32C"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6A2F2E1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03CA2876" w14:textId="77777777" w:rsidTr="00E01118">
        <w:trPr>
          <w:gridAfter w:val="1"/>
          <w:wAfter w:w="6" w:type="dxa"/>
          <w:trHeight w:val="198"/>
        </w:trPr>
        <w:tc>
          <w:tcPr>
            <w:tcW w:w="2036" w:type="dxa"/>
            <w:noWrap/>
            <w:hideMark/>
          </w:tcPr>
          <w:p w14:paraId="74AD4A7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Elective cesarean section</w:t>
            </w:r>
          </w:p>
        </w:tc>
        <w:tc>
          <w:tcPr>
            <w:tcW w:w="1342" w:type="dxa"/>
            <w:noWrap/>
            <w:hideMark/>
          </w:tcPr>
          <w:p w14:paraId="370F894F"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Moameri</w:t>
            </w:r>
            <w:proofErr w:type="spellEnd"/>
            <w:r w:rsidRPr="00394B52">
              <w:rPr>
                <w:rFonts w:ascii="Times" w:hAnsi="Times" w:cs="Times"/>
                <w:color w:val="000000"/>
                <w:sz w:val="16"/>
                <w:szCs w:val="16"/>
              </w:rPr>
              <w:t xml:space="preserve"> 2019</w:t>
            </w:r>
          </w:p>
        </w:tc>
        <w:tc>
          <w:tcPr>
            <w:tcW w:w="534" w:type="dxa"/>
            <w:noWrap/>
            <w:hideMark/>
          </w:tcPr>
          <w:p w14:paraId="6A1364C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28</w:t>
            </w:r>
          </w:p>
        </w:tc>
        <w:tc>
          <w:tcPr>
            <w:tcW w:w="1688" w:type="dxa"/>
            <w:noWrap/>
            <w:hideMark/>
          </w:tcPr>
          <w:p w14:paraId="050D1DC7"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case-control</w:t>
            </w:r>
          </w:p>
        </w:tc>
        <w:tc>
          <w:tcPr>
            <w:tcW w:w="988" w:type="dxa"/>
            <w:noWrap/>
            <w:hideMark/>
          </w:tcPr>
          <w:p w14:paraId="633C10B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125A29E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89" w:type="dxa"/>
            <w:noWrap/>
            <w:hideMark/>
          </w:tcPr>
          <w:p w14:paraId="280557B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700292B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2DC3802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40171907"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5127ED5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w:t>
            </w:r>
          </w:p>
        </w:tc>
      </w:tr>
      <w:tr w:rsidR="00394B52" w:rsidRPr="00394B52" w14:paraId="6A5EA9FE" w14:textId="77777777" w:rsidTr="00E01118">
        <w:trPr>
          <w:gridAfter w:val="1"/>
          <w:wAfter w:w="6" w:type="dxa"/>
          <w:trHeight w:val="198"/>
        </w:trPr>
        <w:tc>
          <w:tcPr>
            <w:tcW w:w="2036" w:type="dxa"/>
            <w:noWrap/>
            <w:hideMark/>
          </w:tcPr>
          <w:p w14:paraId="7D7EED4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Poor social support</w:t>
            </w:r>
          </w:p>
        </w:tc>
        <w:tc>
          <w:tcPr>
            <w:tcW w:w="1342" w:type="dxa"/>
            <w:noWrap/>
            <w:hideMark/>
          </w:tcPr>
          <w:p w14:paraId="09611E9A"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Tolossa</w:t>
            </w:r>
            <w:proofErr w:type="spellEnd"/>
            <w:r w:rsidRPr="00394B52">
              <w:rPr>
                <w:rFonts w:ascii="Times" w:hAnsi="Times" w:cs="Times"/>
                <w:color w:val="000000"/>
                <w:sz w:val="16"/>
                <w:szCs w:val="16"/>
              </w:rPr>
              <w:t xml:space="preserve"> 2020</w:t>
            </w:r>
          </w:p>
        </w:tc>
        <w:tc>
          <w:tcPr>
            <w:tcW w:w="534" w:type="dxa"/>
            <w:noWrap/>
            <w:hideMark/>
          </w:tcPr>
          <w:p w14:paraId="6DDFA5C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5</w:t>
            </w:r>
          </w:p>
        </w:tc>
        <w:tc>
          <w:tcPr>
            <w:tcW w:w="1688" w:type="dxa"/>
            <w:noWrap/>
            <w:hideMark/>
          </w:tcPr>
          <w:p w14:paraId="37E7A719"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Cross-sectional</w:t>
            </w:r>
          </w:p>
        </w:tc>
        <w:tc>
          <w:tcPr>
            <w:tcW w:w="988" w:type="dxa"/>
            <w:noWrap/>
            <w:hideMark/>
          </w:tcPr>
          <w:p w14:paraId="4D0241D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6AA40A0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3221883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4B74298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426A280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7D8ED51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large effect</w:t>
            </w:r>
          </w:p>
        </w:tc>
        <w:tc>
          <w:tcPr>
            <w:tcW w:w="1241" w:type="dxa"/>
            <w:noWrap/>
            <w:hideMark/>
          </w:tcPr>
          <w:p w14:paraId="6B9265F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w:t>
            </w:r>
          </w:p>
        </w:tc>
      </w:tr>
      <w:tr w:rsidR="00394B52" w:rsidRPr="00394B52" w14:paraId="27305938" w14:textId="77777777" w:rsidTr="00E01118">
        <w:trPr>
          <w:gridAfter w:val="1"/>
          <w:wAfter w:w="6" w:type="dxa"/>
          <w:trHeight w:val="198"/>
        </w:trPr>
        <w:tc>
          <w:tcPr>
            <w:tcW w:w="2036" w:type="dxa"/>
            <w:noWrap/>
            <w:hideMark/>
          </w:tcPr>
          <w:p w14:paraId="4CAC597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History of depression</w:t>
            </w:r>
          </w:p>
        </w:tc>
        <w:tc>
          <w:tcPr>
            <w:tcW w:w="1342" w:type="dxa"/>
            <w:noWrap/>
            <w:hideMark/>
          </w:tcPr>
          <w:p w14:paraId="0AF08B5D"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Tolossa</w:t>
            </w:r>
            <w:proofErr w:type="spellEnd"/>
            <w:r w:rsidRPr="00394B52">
              <w:rPr>
                <w:rFonts w:ascii="Times" w:hAnsi="Times" w:cs="Times"/>
                <w:color w:val="000000"/>
                <w:sz w:val="16"/>
                <w:szCs w:val="16"/>
              </w:rPr>
              <w:t xml:space="preserve"> 2020</w:t>
            </w:r>
          </w:p>
        </w:tc>
        <w:tc>
          <w:tcPr>
            <w:tcW w:w="534" w:type="dxa"/>
            <w:noWrap/>
            <w:hideMark/>
          </w:tcPr>
          <w:p w14:paraId="491F288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6</w:t>
            </w:r>
          </w:p>
        </w:tc>
        <w:tc>
          <w:tcPr>
            <w:tcW w:w="1688" w:type="dxa"/>
            <w:noWrap/>
            <w:hideMark/>
          </w:tcPr>
          <w:p w14:paraId="4B63AB26"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Cross-sectional</w:t>
            </w:r>
          </w:p>
        </w:tc>
        <w:tc>
          <w:tcPr>
            <w:tcW w:w="988" w:type="dxa"/>
            <w:noWrap/>
            <w:hideMark/>
          </w:tcPr>
          <w:p w14:paraId="49A9A94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0CD08FF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382EE76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7A6FD52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2F51DDC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72B5678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34511F7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001542F5" w14:textId="77777777" w:rsidTr="00E01118">
        <w:trPr>
          <w:gridAfter w:val="1"/>
          <w:wAfter w:w="6" w:type="dxa"/>
          <w:trHeight w:val="198"/>
        </w:trPr>
        <w:tc>
          <w:tcPr>
            <w:tcW w:w="2036" w:type="dxa"/>
            <w:noWrap/>
            <w:hideMark/>
          </w:tcPr>
          <w:p w14:paraId="04DB760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History of postpartum depression</w:t>
            </w:r>
          </w:p>
        </w:tc>
        <w:tc>
          <w:tcPr>
            <w:tcW w:w="1342" w:type="dxa"/>
            <w:noWrap/>
            <w:hideMark/>
          </w:tcPr>
          <w:p w14:paraId="724C160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Desta 2021</w:t>
            </w:r>
          </w:p>
        </w:tc>
        <w:tc>
          <w:tcPr>
            <w:tcW w:w="534" w:type="dxa"/>
            <w:noWrap/>
            <w:hideMark/>
          </w:tcPr>
          <w:p w14:paraId="6BF6E84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3</w:t>
            </w:r>
          </w:p>
        </w:tc>
        <w:tc>
          <w:tcPr>
            <w:tcW w:w="1688" w:type="dxa"/>
            <w:noWrap/>
            <w:hideMark/>
          </w:tcPr>
          <w:p w14:paraId="7A3AF4A4"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Cross-sectional</w:t>
            </w:r>
          </w:p>
        </w:tc>
        <w:tc>
          <w:tcPr>
            <w:tcW w:w="988" w:type="dxa"/>
            <w:noWrap/>
            <w:hideMark/>
          </w:tcPr>
          <w:p w14:paraId="42C81E9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124AF0D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6006E58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039FB84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216CF53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6C077FF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76C509C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w:t>
            </w:r>
          </w:p>
        </w:tc>
      </w:tr>
      <w:tr w:rsidR="00394B52" w:rsidRPr="00394B52" w14:paraId="6B1F0792" w14:textId="77777777" w:rsidTr="00E01118">
        <w:trPr>
          <w:gridAfter w:val="1"/>
          <w:wAfter w:w="6" w:type="dxa"/>
          <w:trHeight w:val="198"/>
        </w:trPr>
        <w:tc>
          <w:tcPr>
            <w:tcW w:w="2036" w:type="dxa"/>
            <w:noWrap/>
            <w:hideMark/>
          </w:tcPr>
          <w:p w14:paraId="4AB669E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Poor sleep quality</w:t>
            </w:r>
          </w:p>
        </w:tc>
        <w:tc>
          <w:tcPr>
            <w:tcW w:w="1342" w:type="dxa"/>
            <w:noWrap/>
            <w:hideMark/>
          </w:tcPr>
          <w:p w14:paraId="53088B0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Yang 2020</w:t>
            </w:r>
          </w:p>
        </w:tc>
        <w:tc>
          <w:tcPr>
            <w:tcW w:w="534" w:type="dxa"/>
            <w:noWrap/>
            <w:hideMark/>
          </w:tcPr>
          <w:p w14:paraId="09CB163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4</w:t>
            </w:r>
          </w:p>
        </w:tc>
        <w:tc>
          <w:tcPr>
            <w:tcW w:w="1688" w:type="dxa"/>
            <w:noWrap/>
            <w:hideMark/>
          </w:tcPr>
          <w:p w14:paraId="4F200110"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Cross-sectional</w:t>
            </w:r>
          </w:p>
        </w:tc>
        <w:tc>
          <w:tcPr>
            <w:tcW w:w="988" w:type="dxa"/>
            <w:noWrap/>
            <w:hideMark/>
          </w:tcPr>
          <w:p w14:paraId="19D5AEC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359F250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355CF08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498493E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7E2BFB5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7855DEF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1157A9F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20F5A47D" w14:textId="77777777" w:rsidTr="00E01118">
        <w:trPr>
          <w:gridAfter w:val="1"/>
          <w:wAfter w:w="6" w:type="dxa"/>
          <w:trHeight w:val="198"/>
        </w:trPr>
        <w:tc>
          <w:tcPr>
            <w:tcW w:w="2036" w:type="dxa"/>
            <w:noWrap/>
            <w:hideMark/>
          </w:tcPr>
          <w:p w14:paraId="20724C6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History of substance abuse</w:t>
            </w:r>
          </w:p>
        </w:tc>
        <w:tc>
          <w:tcPr>
            <w:tcW w:w="1342" w:type="dxa"/>
            <w:noWrap/>
            <w:hideMark/>
          </w:tcPr>
          <w:p w14:paraId="5BE9AF4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Desta 2021</w:t>
            </w:r>
          </w:p>
        </w:tc>
        <w:tc>
          <w:tcPr>
            <w:tcW w:w="534" w:type="dxa"/>
            <w:noWrap/>
            <w:hideMark/>
          </w:tcPr>
          <w:p w14:paraId="2EF743C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3</w:t>
            </w:r>
          </w:p>
        </w:tc>
        <w:tc>
          <w:tcPr>
            <w:tcW w:w="1688" w:type="dxa"/>
            <w:noWrap/>
            <w:hideMark/>
          </w:tcPr>
          <w:p w14:paraId="5EEF766A"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Cross-sectional</w:t>
            </w:r>
          </w:p>
        </w:tc>
        <w:tc>
          <w:tcPr>
            <w:tcW w:w="988" w:type="dxa"/>
            <w:noWrap/>
            <w:hideMark/>
          </w:tcPr>
          <w:p w14:paraId="239EB3E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1A684DE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2E817E7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38DD9C7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28C9013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423F547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12995F9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0F0B6235" w14:textId="77777777" w:rsidTr="00E01118">
        <w:trPr>
          <w:gridAfter w:val="1"/>
          <w:wAfter w:w="6" w:type="dxa"/>
          <w:trHeight w:val="198"/>
        </w:trPr>
        <w:tc>
          <w:tcPr>
            <w:tcW w:w="2036" w:type="dxa"/>
            <w:noWrap/>
            <w:hideMark/>
          </w:tcPr>
          <w:p w14:paraId="0AB4077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History of infant death</w:t>
            </w:r>
          </w:p>
        </w:tc>
        <w:tc>
          <w:tcPr>
            <w:tcW w:w="1342" w:type="dxa"/>
            <w:noWrap/>
            <w:hideMark/>
          </w:tcPr>
          <w:p w14:paraId="378EE840"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Tolossa</w:t>
            </w:r>
            <w:proofErr w:type="spellEnd"/>
            <w:r w:rsidRPr="00394B52">
              <w:rPr>
                <w:rFonts w:ascii="Times" w:hAnsi="Times" w:cs="Times"/>
                <w:color w:val="000000"/>
                <w:sz w:val="16"/>
                <w:szCs w:val="16"/>
              </w:rPr>
              <w:t xml:space="preserve"> 2020</w:t>
            </w:r>
          </w:p>
        </w:tc>
        <w:tc>
          <w:tcPr>
            <w:tcW w:w="534" w:type="dxa"/>
            <w:noWrap/>
            <w:hideMark/>
          </w:tcPr>
          <w:p w14:paraId="0070A37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5</w:t>
            </w:r>
          </w:p>
        </w:tc>
        <w:tc>
          <w:tcPr>
            <w:tcW w:w="1688" w:type="dxa"/>
            <w:noWrap/>
            <w:hideMark/>
          </w:tcPr>
          <w:p w14:paraId="7C3ABE66"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Cross-sectional</w:t>
            </w:r>
          </w:p>
        </w:tc>
        <w:tc>
          <w:tcPr>
            <w:tcW w:w="988" w:type="dxa"/>
            <w:noWrap/>
            <w:hideMark/>
          </w:tcPr>
          <w:p w14:paraId="74A7508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51C951F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335B35F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4D333E5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41EC87F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2A291D8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065F3F4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4A0DAAD6" w14:textId="77777777" w:rsidTr="00E01118">
        <w:trPr>
          <w:gridAfter w:val="1"/>
          <w:wAfter w:w="6" w:type="dxa"/>
          <w:trHeight w:val="198"/>
        </w:trPr>
        <w:tc>
          <w:tcPr>
            <w:tcW w:w="2036" w:type="dxa"/>
            <w:noWrap/>
            <w:hideMark/>
          </w:tcPr>
          <w:p w14:paraId="42C355C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Poor marital relationship</w:t>
            </w:r>
          </w:p>
        </w:tc>
        <w:tc>
          <w:tcPr>
            <w:tcW w:w="1342" w:type="dxa"/>
            <w:noWrap/>
            <w:hideMark/>
          </w:tcPr>
          <w:p w14:paraId="5ABFB5C6"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Necho</w:t>
            </w:r>
            <w:proofErr w:type="spellEnd"/>
            <w:r w:rsidRPr="00394B52">
              <w:rPr>
                <w:rFonts w:ascii="Times" w:hAnsi="Times" w:cs="Times"/>
                <w:color w:val="000000"/>
                <w:sz w:val="16"/>
                <w:szCs w:val="16"/>
              </w:rPr>
              <w:t xml:space="preserve"> 2020</w:t>
            </w:r>
          </w:p>
        </w:tc>
        <w:tc>
          <w:tcPr>
            <w:tcW w:w="534" w:type="dxa"/>
            <w:noWrap/>
            <w:hideMark/>
          </w:tcPr>
          <w:p w14:paraId="07AD430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6</w:t>
            </w:r>
          </w:p>
        </w:tc>
        <w:tc>
          <w:tcPr>
            <w:tcW w:w="1688" w:type="dxa"/>
            <w:noWrap/>
            <w:hideMark/>
          </w:tcPr>
          <w:p w14:paraId="1CF10BB5"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Cross-sectional</w:t>
            </w:r>
          </w:p>
        </w:tc>
        <w:tc>
          <w:tcPr>
            <w:tcW w:w="988" w:type="dxa"/>
            <w:noWrap/>
            <w:hideMark/>
          </w:tcPr>
          <w:p w14:paraId="665AE00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4750DB4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03FA481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33AC141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6B8A79C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3A6E006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29129C9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74AFD238" w14:textId="77777777" w:rsidTr="00E01118">
        <w:trPr>
          <w:gridAfter w:val="1"/>
          <w:wAfter w:w="6" w:type="dxa"/>
          <w:trHeight w:val="198"/>
        </w:trPr>
        <w:tc>
          <w:tcPr>
            <w:tcW w:w="2036" w:type="dxa"/>
            <w:noWrap/>
            <w:hideMark/>
          </w:tcPr>
          <w:p w14:paraId="095FC21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History of stressful life event</w:t>
            </w:r>
          </w:p>
        </w:tc>
        <w:tc>
          <w:tcPr>
            <w:tcW w:w="1342" w:type="dxa"/>
            <w:noWrap/>
            <w:hideMark/>
          </w:tcPr>
          <w:p w14:paraId="39A69B5E"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Necho</w:t>
            </w:r>
            <w:proofErr w:type="spellEnd"/>
            <w:r w:rsidRPr="00394B52">
              <w:rPr>
                <w:rFonts w:ascii="Times" w:hAnsi="Times" w:cs="Times"/>
                <w:color w:val="000000"/>
                <w:sz w:val="16"/>
                <w:szCs w:val="16"/>
              </w:rPr>
              <w:t xml:space="preserve"> 2020</w:t>
            </w:r>
          </w:p>
        </w:tc>
        <w:tc>
          <w:tcPr>
            <w:tcW w:w="534" w:type="dxa"/>
            <w:noWrap/>
            <w:hideMark/>
          </w:tcPr>
          <w:p w14:paraId="47A32DE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2</w:t>
            </w:r>
          </w:p>
        </w:tc>
        <w:tc>
          <w:tcPr>
            <w:tcW w:w="1688" w:type="dxa"/>
            <w:noWrap/>
            <w:hideMark/>
          </w:tcPr>
          <w:p w14:paraId="5A24DF11"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Cross-sectional</w:t>
            </w:r>
          </w:p>
        </w:tc>
        <w:tc>
          <w:tcPr>
            <w:tcW w:w="988" w:type="dxa"/>
            <w:noWrap/>
            <w:hideMark/>
          </w:tcPr>
          <w:p w14:paraId="538E7B7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1C22B05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79D2B61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23A17A9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04E79BE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4454286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6BA0036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45519D93" w14:textId="77777777" w:rsidTr="00E01118">
        <w:trPr>
          <w:gridAfter w:val="1"/>
          <w:wAfter w:w="6" w:type="dxa"/>
          <w:trHeight w:val="198"/>
        </w:trPr>
        <w:tc>
          <w:tcPr>
            <w:tcW w:w="2036" w:type="dxa"/>
            <w:noWrap/>
            <w:hideMark/>
          </w:tcPr>
          <w:p w14:paraId="1820B0F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Exposure to different types of intimate partner violence</w:t>
            </w:r>
          </w:p>
        </w:tc>
        <w:tc>
          <w:tcPr>
            <w:tcW w:w="1342" w:type="dxa"/>
            <w:noWrap/>
            <w:hideMark/>
          </w:tcPr>
          <w:p w14:paraId="3930FE7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Dadi 2020</w:t>
            </w:r>
          </w:p>
        </w:tc>
        <w:tc>
          <w:tcPr>
            <w:tcW w:w="534" w:type="dxa"/>
            <w:noWrap/>
            <w:hideMark/>
          </w:tcPr>
          <w:p w14:paraId="279F112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10</w:t>
            </w:r>
          </w:p>
        </w:tc>
        <w:tc>
          <w:tcPr>
            <w:tcW w:w="1688" w:type="dxa"/>
            <w:noWrap/>
            <w:hideMark/>
          </w:tcPr>
          <w:p w14:paraId="1C6274B7"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cross-sectional</w:t>
            </w:r>
          </w:p>
        </w:tc>
        <w:tc>
          <w:tcPr>
            <w:tcW w:w="988" w:type="dxa"/>
            <w:noWrap/>
            <w:hideMark/>
          </w:tcPr>
          <w:p w14:paraId="08245F0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765D90F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89" w:type="dxa"/>
            <w:noWrap/>
            <w:hideMark/>
          </w:tcPr>
          <w:p w14:paraId="7E901BC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798610B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273CD0B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6320D7C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7E029D1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Moderate</w:t>
            </w:r>
          </w:p>
        </w:tc>
      </w:tr>
      <w:tr w:rsidR="00394B52" w:rsidRPr="00394B52" w14:paraId="01D26990" w14:textId="77777777" w:rsidTr="00E01118">
        <w:trPr>
          <w:gridAfter w:val="1"/>
          <w:wAfter w:w="6" w:type="dxa"/>
          <w:trHeight w:val="198"/>
        </w:trPr>
        <w:tc>
          <w:tcPr>
            <w:tcW w:w="2036" w:type="dxa"/>
            <w:noWrap/>
            <w:hideMark/>
          </w:tcPr>
          <w:p w14:paraId="6716F3F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 income</w:t>
            </w:r>
          </w:p>
        </w:tc>
        <w:tc>
          <w:tcPr>
            <w:tcW w:w="1342" w:type="dxa"/>
            <w:noWrap/>
            <w:hideMark/>
          </w:tcPr>
          <w:p w14:paraId="769ACD61"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Necho</w:t>
            </w:r>
            <w:proofErr w:type="spellEnd"/>
            <w:r w:rsidRPr="00394B52">
              <w:rPr>
                <w:rFonts w:ascii="Times" w:hAnsi="Times" w:cs="Times"/>
                <w:color w:val="000000"/>
                <w:sz w:val="16"/>
                <w:szCs w:val="16"/>
              </w:rPr>
              <w:t xml:space="preserve"> 2020</w:t>
            </w:r>
          </w:p>
        </w:tc>
        <w:tc>
          <w:tcPr>
            <w:tcW w:w="534" w:type="dxa"/>
            <w:noWrap/>
            <w:hideMark/>
          </w:tcPr>
          <w:p w14:paraId="2BC6035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3</w:t>
            </w:r>
          </w:p>
        </w:tc>
        <w:tc>
          <w:tcPr>
            <w:tcW w:w="1688" w:type="dxa"/>
            <w:noWrap/>
            <w:hideMark/>
          </w:tcPr>
          <w:p w14:paraId="667AF93E"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Cross-sectional</w:t>
            </w:r>
          </w:p>
        </w:tc>
        <w:tc>
          <w:tcPr>
            <w:tcW w:w="988" w:type="dxa"/>
            <w:noWrap/>
            <w:hideMark/>
          </w:tcPr>
          <w:p w14:paraId="16B8BB2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47F0BC2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89" w:type="dxa"/>
            <w:noWrap/>
            <w:hideMark/>
          </w:tcPr>
          <w:p w14:paraId="796E2C9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12B12DD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32395A1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5D42FAC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6D9B81E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Moderate</w:t>
            </w:r>
          </w:p>
        </w:tc>
      </w:tr>
      <w:tr w:rsidR="00394B52" w:rsidRPr="00394B52" w14:paraId="4235ACE9" w14:textId="77777777" w:rsidTr="00E01118">
        <w:trPr>
          <w:gridAfter w:val="1"/>
          <w:wAfter w:w="6" w:type="dxa"/>
          <w:trHeight w:val="198"/>
        </w:trPr>
        <w:tc>
          <w:tcPr>
            <w:tcW w:w="2036" w:type="dxa"/>
            <w:noWrap/>
            <w:hideMark/>
          </w:tcPr>
          <w:p w14:paraId="00285E1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lastRenderedPageBreak/>
              <w:t>Adverse birth and infant health conditions</w:t>
            </w:r>
          </w:p>
        </w:tc>
        <w:tc>
          <w:tcPr>
            <w:tcW w:w="1342" w:type="dxa"/>
            <w:noWrap/>
            <w:hideMark/>
          </w:tcPr>
          <w:p w14:paraId="27AEEC6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Dadi 2020</w:t>
            </w:r>
          </w:p>
        </w:tc>
        <w:tc>
          <w:tcPr>
            <w:tcW w:w="534" w:type="dxa"/>
            <w:noWrap/>
            <w:hideMark/>
          </w:tcPr>
          <w:p w14:paraId="7CB01DE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5</w:t>
            </w:r>
          </w:p>
        </w:tc>
        <w:tc>
          <w:tcPr>
            <w:tcW w:w="1688" w:type="dxa"/>
            <w:noWrap/>
            <w:hideMark/>
          </w:tcPr>
          <w:p w14:paraId="0B78057B"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cross-sectional</w:t>
            </w:r>
          </w:p>
        </w:tc>
        <w:tc>
          <w:tcPr>
            <w:tcW w:w="988" w:type="dxa"/>
            <w:noWrap/>
            <w:hideMark/>
          </w:tcPr>
          <w:p w14:paraId="1676FC2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6DB42E0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34575FF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17089BD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404E265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Likely</w:t>
            </w:r>
          </w:p>
        </w:tc>
        <w:tc>
          <w:tcPr>
            <w:tcW w:w="1708" w:type="dxa"/>
            <w:noWrap/>
            <w:hideMark/>
          </w:tcPr>
          <w:p w14:paraId="1120F4A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385579F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623543AF" w14:textId="77777777" w:rsidTr="00E01118">
        <w:trPr>
          <w:gridAfter w:val="1"/>
          <w:wAfter w:w="6" w:type="dxa"/>
          <w:trHeight w:val="198"/>
        </w:trPr>
        <w:tc>
          <w:tcPr>
            <w:tcW w:w="2036" w:type="dxa"/>
            <w:noWrap/>
            <w:hideMark/>
          </w:tcPr>
          <w:p w14:paraId="203743D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Postpartum anemia</w:t>
            </w:r>
          </w:p>
        </w:tc>
        <w:tc>
          <w:tcPr>
            <w:tcW w:w="1342" w:type="dxa"/>
            <w:noWrap/>
            <w:hideMark/>
          </w:tcPr>
          <w:p w14:paraId="033300E7"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Azami</w:t>
            </w:r>
            <w:proofErr w:type="spellEnd"/>
            <w:r w:rsidRPr="00394B52">
              <w:rPr>
                <w:rFonts w:ascii="Times" w:hAnsi="Times" w:cs="Times"/>
                <w:color w:val="000000"/>
                <w:sz w:val="16"/>
                <w:szCs w:val="16"/>
              </w:rPr>
              <w:t xml:space="preserve"> 2019</w:t>
            </w:r>
          </w:p>
        </w:tc>
        <w:tc>
          <w:tcPr>
            <w:tcW w:w="534" w:type="dxa"/>
            <w:noWrap/>
            <w:hideMark/>
          </w:tcPr>
          <w:p w14:paraId="56B6575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10</w:t>
            </w:r>
          </w:p>
        </w:tc>
        <w:tc>
          <w:tcPr>
            <w:tcW w:w="1688" w:type="dxa"/>
            <w:noWrap/>
            <w:hideMark/>
          </w:tcPr>
          <w:p w14:paraId="2C407726"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cross-sectional</w:t>
            </w:r>
          </w:p>
        </w:tc>
        <w:tc>
          <w:tcPr>
            <w:tcW w:w="988" w:type="dxa"/>
            <w:noWrap/>
            <w:hideMark/>
          </w:tcPr>
          <w:p w14:paraId="4027CA8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5191F2E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671FD7B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4BA44F5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79859D9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15FB9EE5"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710B868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56C72E4B" w14:textId="77777777" w:rsidTr="00E01118">
        <w:trPr>
          <w:gridAfter w:val="1"/>
          <w:wAfter w:w="6" w:type="dxa"/>
          <w:trHeight w:val="198"/>
        </w:trPr>
        <w:tc>
          <w:tcPr>
            <w:tcW w:w="2036" w:type="dxa"/>
            <w:noWrap/>
            <w:hideMark/>
          </w:tcPr>
          <w:p w14:paraId="30726B9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Poor obstetric conditions</w:t>
            </w:r>
          </w:p>
        </w:tc>
        <w:tc>
          <w:tcPr>
            <w:tcW w:w="1342" w:type="dxa"/>
            <w:noWrap/>
            <w:hideMark/>
          </w:tcPr>
          <w:p w14:paraId="3097341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Dadi 2020</w:t>
            </w:r>
          </w:p>
        </w:tc>
        <w:tc>
          <w:tcPr>
            <w:tcW w:w="534" w:type="dxa"/>
            <w:noWrap/>
            <w:hideMark/>
          </w:tcPr>
          <w:p w14:paraId="33B6FA5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8</w:t>
            </w:r>
          </w:p>
        </w:tc>
        <w:tc>
          <w:tcPr>
            <w:tcW w:w="1688" w:type="dxa"/>
            <w:noWrap/>
            <w:hideMark/>
          </w:tcPr>
          <w:p w14:paraId="0DAF22EB"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cross-sectional</w:t>
            </w:r>
          </w:p>
        </w:tc>
        <w:tc>
          <w:tcPr>
            <w:tcW w:w="988" w:type="dxa"/>
            <w:noWrap/>
            <w:hideMark/>
          </w:tcPr>
          <w:p w14:paraId="12DB4B2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01DE7FA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4FD38F1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02246CE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4A7194D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02687A58"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7D2A31D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0B2D90BB" w14:textId="77777777" w:rsidTr="00E01118">
        <w:trPr>
          <w:gridAfter w:val="1"/>
          <w:wAfter w:w="6" w:type="dxa"/>
          <w:trHeight w:val="198"/>
        </w:trPr>
        <w:tc>
          <w:tcPr>
            <w:tcW w:w="2036" w:type="dxa"/>
            <w:noWrap/>
            <w:hideMark/>
          </w:tcPr>
          <w:p w14:paraId="3247E9B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Gestational diabetes</w:t>
            </w:r>
          </w:p>
        </w:tc>
        <w:tc>
          <w:tcPr>
            <w:tcW w:w="1342" w:type="dxa"/>
            <w:noWrap/>
            <w:hideMark/>
          </w:tcPr>
          <w:p w14:paraId="0BDDA544"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Azami</w:t>
            </w:r>
            <w:proofErr w:type="spellEnd"/>
            <w:r w:rsidRPr="00394B52">
              <w:rPr>
                <w:rFonts w:ascii="Times" w:hAnsi="Times" w:cs="Times"/>
                <w:color w:val="000000"/>
                <w:sz w:val="16"/>
                <w:szCs w:val="16"/>
              </w:rPr>
              <w:t xml:space="preserve"> 2019</w:t>
            </w:r>
          </w:p>
        </w:tc>
        <w:tc>
          <w:tcPr>
            <w:tcW w:w="534" w:type="dxa"/>
            <w:noWrap/>
            <w:hideMark/>
          </w:tcPr>
          <w:p w14:paraId="5119D36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14</w:t>
            </w:r>
          </w:p>
        </w:tc>
        <w:tc>
          <w:tcPr>
            <w:tcW w:w="1688" w:type="dxa"/>
            <w:noWrap/>
            <w:hideMark/>
          </w:tcPr>
          <w:p w14:paraId="66CF1A7C"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case-control, cross-sectional</w:t>
            </w:r>
          </w:p>
        </w:tc>
        <w:tc>
          <w:tcPr>
            <w:tcW w:w="988" w:type="dxa"/>
            <w:noWrap/>
            <w:hideMark/>
          </w:tcPr>
          <w:p w14:paraId="3237F69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27FCD0A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28DCAA6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3481D2D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7382360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655FA606"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21711B3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1FC3D5CA" w14:textId="77777777" w:rsidTr="00E01118">
        <w:trPr>
          <w:gridAfter w:val="1"/>
          <w:wAfter w:w="6" w:type="dxa"/>
          <w:trHeight w:val="198"/>
        </w:trPr>
        <w:tc>
          <w:tcPr>
            <w:tcW w:w="2036" w:type="dxa"/>
            <w:noWrap/>
            <w:hideMark/>
          </w:tcPr>
          <w:p w14:paraId="6E160C8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Emergency cesarean section</w:t>
            </w:r>
          </w:p>
        </w:tc>
        <w:tc>
          <w:tcPr>
            <w:tcW w:w="1342" w:type="dxa"/>
            <w:noWrap/>
            <w:hideMark/>
          </w:tcPr>
          <w:p w14:paraId="5EEC8D62"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Moameri</w:t>
            </w:r>
            <w:proofErr w:type="spellEnd"/>
            <w:r w:rsidRPr="00394B52">
              <w:rPr>
                <w:rFonts w:ascii="Times" w:hAnsi="Times" w:cs="Times"/>
                <w:color w:val="000000"/>
                <w:sz w:val="16"/>
                <w:szCs w:val="16"/>
              </w:rPr>
              <w:t xml:space="preserve"> 2019</w:t>
            </w:r>
          </w:p>
        </w:tc>
        <w:tc>
          <w:tcPr>
            <w:tcW w:w="534" w:type="dxa"/>
            <w:noWrap/>
            <w:hideMark/>
          </w:tcPr>
          <w:p w14:paraId="33F8D4B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10</w:t>
            </w:r>
          </w:p>
        </w:tc>
        <w:tc>
          <w:tcPr>
            <w:tcW w:w="1688" w:type="dxa"/>
            <w:noWrap/>
            <w:hideMark/>
          </w:tcPr>
          <w:p w14:paraId="6C059B2A"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case-control</w:t>
            </w:r>
          </w:p>
        </w:tc>
        <w:tc>
          <w:tcPr>
            <w:tcW w:w="988" w:type="dxa"/>
            <w:noWrap/>
            <w:hideMark/>
          </w:tcPr>
          <w:p w14:paraId="2E1E91E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65D0C15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1496A9D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72FF22A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40E24B2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446AA86E"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4ACC6EC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758B1B75" w14:textId="77777777" w:rsidTr="00E01118">
        <w:trPr>
          <w:gridAfter w:val="1"/>
          <w:wAfter w:w="6" w:type="dxa"/>
          <w:trHeight w:val="198"/>
        </w:trPr>
        <w:tc>
          <w:tcPr>
            <w:tcW w:w="2036" w:type="dxa"/>
            <w:noWrap/>
            <w:hideMark/>
          </w:tcPr>
          <w:p w14:paraId="36ED710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Childhood abuse</w:t>
            </w:r>
          </w:p>
        </w:tc>
        <w:tc>
          <w:tcPr>
            <w:tcW w:w="1342" w:type="dxa"/>
            <w:noWrap/>
            <w:hideMark/>
          </w:tcPr>
          <w:p w14:paraId="4E1556A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Zhang 2019</w:t>
            </w:r>
          </w:p>
        </w:tc>
        <w:tc>
          <w:tcPr>
            <w:tcW w:w="534" w:type="dxa"/>
            <w:noWrap/>
            <w:hideMark/>
          </w:tcPr>
          <w:p w14:paraId="23A956D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5</w:t>
            </w:r>
          </w:p>
        </w:tc>
        <w:tc>
          <w:tcPr>
            <w:tcW w:w="1688" w:type="dxa"/>
            <w:noWrap/>
            <w:hideMark/>
          </w:tcPr>
          <w:p w14:paraId="3274AB8E"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w:t>
            </w:r>
          </w:p>
        </w:tc>
        <w:tc>
          <w:tcPr>
            <w:tcW w:w="988" w:type="dxa"/>
            <w:noWrap/>
            <w:hideMark/>
          </w:tcPr>
          <w:p w14:paraId="40E6245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580C77C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89" w:type="dxa"/>
            <w:noWrap/>
            <w:hideMark/>
          </w:tcPr>
          <w:p w14:paraId="715B7E7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5E0F29B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06BF476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732283DE"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0E29D2D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w:t>
            </w:r>
          </w:p>
        </w:tc>
      </w:tr>
      <w:tr w:rsidR="00394B52" w:rsidRPr="00394B52" w14:paraId="214DC731" w14:textId="77777777" w:rsidTr="00E01118">
        <w:trPr>
          <w:gridAfter w:val="1"/>
          <w:wAfter w:w="6" w:type="dxa"/>
          <w:trHeight w:val="198"/>
        </w:trPr>
        <w:tc>
          <w:tcPr>
            <w:tcW w:w="2036" w:type="dxa"/>
            <w:noWrap/>
            <w:hideMark/>
          </w:tcPr>
          <w:p w14:paraId="74A95A0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HIV infection</w:t>
            </w:r>
          </w:p>
        </w:tc>
        <w:tc>
          <w:tcPr>
            <w:tcW w:w="1342" w:type="dxa"/>
            <w:noWrap/>
            <w:hideMark/>
          </w:tcPr>
          <w:p w14:paraId="1FEFA89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Zhu 2019</w:t>
            </w:r>
          </w:p>
        </w:tc>
        <w:tc>
          <w:tcPr>
            <w:tcW w:w="534" w:type="dxa"/>
            <w:noWrap/>
            <w:hideMark/>
          </w:tcPr>
          <w:p w14:paraId="48229D6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10</w:t>
            </w:r>
          </w:p>
        </w:tc>
        <w:tc>
          <w:tcPr>
            <w:tcW w:w="1688" w:type="dxa"/>
            <w:noWrap/>
            <w:hideMark/>
          </w:tcPr>
          <w:p w14:paraId="72FDC412"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case-control, cross-sectional</w:t>
            </w:r>
          </w:p>
        </w:tc>
        <w:tc>
          <w:tcPr>
            <w:tcW w:w="988" w:type="dxa"/>
            <w:noWrap/>
            <w:hideMark/>
          </w:tcPr>
          <w:p w14:paraId="0C57DB3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21812CB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739C2AC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492157F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1F38E34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6473928D"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40CA05D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0AD23D81" w14:textId="77777777" w:rsidTr="00E01118">
        <w:trPr>
          <w:gridAfter w:val="1"/>
          <w:wAfter w:w="6" w:type="dxa"/>
          <w:trHeight w:val="198"/>
        </w:trPr>
        <w:tc>
          <w:tcPr>
            <w:tcW w:w="2036" w:type="dxa"/>
            <w:noWrap/>
            <w:hideMark/>
          </w:tcPr>
          <w:p w14:paraId="3FDF795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Anemia during pregnancy</w:t>
            </w:r>
          </w:p>
        </w:tc>
        <w:tc>
          <w:tcPr>
            <w:tcW w:w="1342" w:type="dxa"/>
            <w:noWrap/>
            <w:hideMark/>
          </w:tcPr>
          <w:p w14:paraId="7B3EF6F0"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Azami</w:t>
            </w:r>
            <w:proofErr w:type="spellEnd"/>
            <w:r w:rsidRPr="00394B52">
              <w:rPr>
                <w:rFonts w:ascii="Times" w:hAnsi="Times" w:cs="Times"/>
                <w:color w:val="000000"/>
                <w:sz w:val="16"/>
                <w:szCs w:val="16"/>
              </w:rPr>
              <w:t xml:space="preserve"> 2019</w:t>
            </w:r>
          </w:p>
        </w:tc>
        <w:tc>
          <w:tcPr>
            <w:tcW w:w="534" w:type="dxa"/>
            <w:noWrap/>
            <w:hideMark/>
          </w:tcPr>
          <w:p w14:paraId="39944A7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8</w:t>
            </w:r>
          </w:p>
        </w:tc>
        <w:tc>
          <w:tcPr>
            <w:tcW w:w="1688" w:type="dxa"/>
            <w:noWrap/>
            <w:hideMark/>
          </w:tcPr>
          <w:p w14:paraId="08F901F6"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w:t>
            </w:r>
          </w:p>
        </w:tc>
        <w:tc>
          <w:tcPr>
            <w:tcW w:w="988" w:type="dxa"/>
            <w:noWrap/>
            <w:hideMark/>
          </w:tcPr>
          <w:p w14:paraId="53CCE83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76F5B2D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89" w:type="dxa"/>
            <w:noWrap/>
            <w:hideMark/>
          </w:tcPr>
          <w:p w14:paraId="4ADABDA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44AB21C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743B0B1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1825FFC6"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04D2173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w:t>
            </w:r>
          </w:p>
        </w:tc>
      </w:tr>
      <w:tr w:rsidR="00394B52" w:rsidRPr="00394B52" w14:paraId="18E58A9E" w14:textId="77777777" w:rsidTr="00E01118">
        <w:trPr>
          <w:gridAfter w:val="1"/>
          <w:wAfter w:w="6" w:type="dxa"/>
          <w:trHeight w:val="198"/>
        </w:trPr>
        <w:tc>
          <w:tcPr>
            <w:tcW w:w="2036" w:type="dxa"/>
            <w:noWrap/>
            <w:hideMark/>
          </w:tcPr>
          <w:p w14:paraId="3E8E362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Female infant compared to male infant</w:t>
            </w:r>
          </w:p>
        </w:tc>
        <w:tc>
          <w:tcPr>
            <w:tcW w:w="1342" w:type="dxa"/>
            <w:noWrap/>
            <w:hideMark/>
          </w:tcPr>
          <w:p w14:paraId="70BF9FF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Ye 2020</w:t>
            </w:r>
          </w:p>
        </w:tc>
        <w:tc>
          <w:tcPr>
            <w:tcW w:w="534" w:type="dxa"/>
            <w:noWrap/>
            <w:hideMark/>
          </w:tcPr>
          <w:p w14:paraId="0269FE3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29</w:t>
            </w:r>
          </w:p>
        </w:tc>
        <w:tc>
          <w:tcPr>
            <w:tcW w:w="1688" w:type="dxa"/>
            <w:noWrap/>
            <w:hideMark/>
          </w:tcPr>
          <w:p w14:paraId="3749375A"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case-control</w:t>
            </w:r>
          </w:p>
        </w:tc>
        <w:tc>
          <w:tcPr>
            <w:tcW w:w="988" w:type="dxa"/>
            <w:noWrap/>
            <w:hideMark/>
          </w:tcPr>
          <w:p w14:paraId="0EDD4F3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5B34C17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11EE5C2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0051216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437C185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0ABF3906"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64FB547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461AFE9A" w14:textId="77777777" w:rsidTr="00E01118">
        <w:trPr>
          <w:gridAfter w:val="1"/>
          <w:wAfter w:w="6" w:type="dxa"/>
          <w:trHeight w:val="198"/>
        </w:trPr>
        <w:tc>
          <w:tcPr>
            <w:tcW w:w="2036" w:type="dxa"/>
            <w:noWrap/>
            <w:hideMark/>
          </w:tcPr>
          <w:p w14:paraId="39039A4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Pre-pregnancy overweight</w:t>
            </w:r>
          </w:p>
        </w:tc>
        <w:tc>
          <w:tcPr>
            <w:tcW w:w="1342" w:type="dxa"/>
            <w:noWrap/>
            <w:hideMark/>
          </w:tcPr>
          <w:p w14:paraId="5A4174B2"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Dachew</w:t>
            </w:r>
            <w:proofErr w:type="spellEnd"/>
            <w:r w:rsidRPr="00394B52">
              <w:rPr>
                <w:rFonts w:ascii="Times" w:hAnsi="Times" w:cs="Times"/>
                <w:color w:val="000000"/>
                <w:sz w:val="16"/>
                <w:szCs w:val="16"/>
              </w:rPr>
              <w:t xml:space="preserve"> 2021</w:t>
            </w:r>
          </w:p>
        </w:tc>
        <w:tc>
          <w:tcPr>
            <w:tcW w:w="534" w:type="dxa"/>
            <w:noWrap/>
            <w:hideMark/>
          </w:tcPr>
          <w:p w14:paraId="1C26BCA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6</w:t>
            </w:r>
          </w:p>
        </w:tc>
        <w:tc>
          <w:tcPr>
            <w:tcW w:w="1688" w:type="dxa"/>
            <w:noWrap/>
            <w:hideMark/>
          </w:tcPr>
          <w:p w14:paraId="151F893E"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w:t>
            </w:r>
          </w:p>
        </w:tc>
        <w:tc>
          <w:tcPr>
            <w:tcW w:w="988" w:type="dxa"/>
            <w:noWrap/>
            <w:hideMark/>
          </w:tcPr>
          <w:p w14:paraId="75E0C2B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4A9A293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89" w:type="dxa"/>
            <w:noWrap/>
            <w:hideMark/>
          </w:tcPr>
          <w:p w14:paraId="172B007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67BD898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6D51F80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7CA410C8"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3D24C15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w:t>
            </w:r>
          </w:p>
        </w:tc>
      </w:tr>
      <w:tr w:rsidR="00394B52" w:rsidRPr="00394B52" w14:paraId="7DFACC0B" w14:textId="77777777" w:rsidTr="00E01118">
        <w:trPr>
          <w:gridAfter w:val="1"/>
          <w:wAfter w:w="6" w:type="dxa"/>
          <w:trHeight w:val="198"/>
        </w:trPr>
        <w:tc>
          <w:tcPr>
            <w:tcW w:w="2036" w:type="dxa"/>
            <w:noWrap/>
            <w:hideMark/>
          </w:tcPr>
          <w:p w14:paraId="14A6306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Active husband participation in maternal healthcare/services during pregnancy</w:t>
            </w:r>
          </w:p>
        </w:tc>
        <w:tc>
          <w:tcPr>
            <w:tcW w:w="1342" w:type="dxa"/>
            <w:noWrap/>
            <w:hideMark/>
          </w:tcPr>
          <w:p w14:paraId="469C1D83"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Yargawa</w:t>
            </w:r>
            <w:proofErr w:type="spellEnd"/>
            <w:r w:rsidRPr="00394B52">
              <w:rPr>
                <w:rFonts w:ascii="Times" w:hAnsi="Times" w:cs="Times"/>
                <w:color w:val="000000"/>
                <w:sz w:val="16"/>
                <w:szCs w:val="16"/>
              </w:rPr>
              <w:t xml:space="preserve"> 2015</w:t>
            </w:r>
          </w:p>
        </w:tc>
        <w:tc>
          <w:tcPr>
            <w:tcW w:w="534" w:type="dxa"/>
            <w:noWrap/>
            <w:hideMark/>
          </w:tcPr>
          <w:p w14:paraId="6E24FD9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2</w:t>
            </w:r>
          </w:p>
        </w:tc>
        <w:tc>
          <w:tcPr>
            <w:tcW w:w="1688" w:type="dxa"/>
            <w:noWrap/>
            <w:hideMark/>
          </w:tcPr>
          <w:p w14:paraId="1C222D67"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cross-sectional</w:t>
            </w:r>
          </w:p>
        </w:tc>
        <w:tc>
          <w:tcPr>
            <w:tcW w:w="988" w:type="dxa"/>
            <w:noWrap/>
            <w:hideMark/>
          </w:tcPr>
          <w:p w14:paraId="6634994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0AE89F2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89" w:type="dxa"/>
            <w:noWrap/>
            <w:hideMark/>
          </w:tcPr>
          <w:p w14:paraId="192F09D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3C985E8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3C70604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Likely</w:t>
            </w:r>
          </w:p>
        </w:tc>
        <w:tc>
          <w:tcPr>
            <w:tcW w:w="1708" w:type="dxa"/>
            <w:noWrap/>
            <w:hideMark/>
          </w:tcPr>
          <w:p w14:paraId="3E2B475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1D5C6E2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w:t>
            </w:r>
          </w:p>
        </w:tc>
      </w:tr>
      <w:tr w:rsidR="00394B52" w:rsidRPr="00394B52" w14:paraId="0B3E401D" w14:textId="77777777" w:rsidTr="00E01118">
        <w:trPr>
          <w:gridAfter w:val="1"/>
          <w:wAfter w:w="6" w:type="dxa"/>
          <w:trHeight w:val="198"/>
        </w:trPr>
        <w:tc>
          <w:tcPr>
            <w:tcW w:w="2036" w:type="dxa"/>
            <w:noWrap/>
            <w:hideMark/>
          </w:tcPr>
          <w:p w14:paraId="1972C83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Active husband participation in maternal healthcare/services postpartum</w:t>
            </w:r>
          </w:p>
        </w:tc>
        <w:tc>
          <w:tcPr>
            <w:tcW w:w="1342" w:type="dxa"/>
            <w:noWrap/>
            <w:hideMark/>
          </w:tcPr>
          <w:p w14:paraId="6376E5ED"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Yargawa</w:t>
            </w:r>
            <w:proofErr w:type="spellEnd"/>
            <w:r w:rsidRPr="00394B52">
              <w:rPr>
                <w:rFonts w:ascii="Times" w:hAnsi="Times" w:cs="Times"/>
                <w:color w:val="000000"/>
                <w:sz w:val="16"/>
                <w:szCs w:val="16"/>
              </w:rPr>
              <w:t xml:space="preserve"> 2015</w:t>
            </w:r>
          </w:p>
        </w:tc>
        <w:tc>
          <w:tcPr>
            <w:tcW w:w="534" w:type="dxa"/>
            <w:noWrap/>
            <w:hideMark/>
          </w:tcPr>
          <w:p w14:paraId="635FA50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5</w:t>
            </w:r>
          </w:p>
        </w:tc>
        <w:tc>
          <w:tcPr>
            <w:tcW w:w="1688" w:type="dxa"/>
            <w:noWrap/>
            <w:hideMark/>
          </w:tcPr>
          <w:p w14:paraId="674B58B5"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case-control, cross-sectional</w:t>
            </w:r>
          </w:p>
        </w:tc>
        <w:tc>
          <w:tcPr>
            <w:tcW w:w="988" w:type="dxa"/>
            <w:noWrap/>
            <w:hideMark/>
          </w:tcPr>
          <w:p w14:paraId="5096FD0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4B76F21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2D32BE7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0EC2A29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8" w:type="dxa"/>
            <w:noWrap/>
            <w:hideMark/>
          </w:tcPr>
          <w:p w14:paraId="5BE46B3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64F33B6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1241" w:type="dxa"/>
            <w:noWrap/>
            <w:hideMark/>
          </w:tcPr>
          <w:p w14:paraId="623AF7B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w:t>
            </w:r>
          </w:p>
        </w:tc>
      </w:tr>
      <w:tr w:rsidR="00394B52" w:rsidRPr="00394B52" w14:paraId="1ECD5308" w14:textId="77777777" w:rsidTr="00E01118">
        <w:trPr>
          <w:gridAfter w:val="1"/>
          <w:wAfter w:w="6" w:type="dxa"/>
          <w:trHeight w:val="198"/>
        </w:trPr>
        <w:tc>
          <w:tcPr>
            <w:tcW w:w="2036" w:type="dxa"/>
            <w:noWrap/>
            <w:hideMark/>
          </w:tcPr>
          <w:p w14:paraId="6E2E4C1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Family history of mental illness</w:t>
            </w:r>
          </w:p>
        </w:tc>
        <w:tc>
          <w:tcPr>
            <w:tcW w:w="1342" w:type="dxa"/>
            <w:noWrap/>
            <w:hideMark/>
          </w:tcPr>
          <w:p w14:paraId="0129C0A3"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Necho</w:t>
            </w:r>
            <w:proofErr w:type="spellEnd"/>
            <w:r w:rsidRPr="00394B52">
              <w:rPr>
                <w:rFonts w:ascii="Times" w:hAnsi="Times" w:cs="Times"/>
                <w:color w:val="000000"/>
                <w:sz w:val="16"/>
                <w:szCs w:val="16"/>
              </w:rPr>
              <w:t xml:space="preserve"> 2020</w:t>
            </w:r>
          </w:p>
        </w:tc>
        <w:tc>
          <w:tcPr>
            <w:tcW w:w="534" w:type="dxa"/>
            <w:noWrap/>
            <w:hideMark/>
          </w:tcPr>
          <w:p w14:paraId="39CFDC3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2</w:t>
            </w:r>
          </w:p>
        </w:tc>
        <w:tc>
          <w:tcPr>
            <w:tcW w:w="1688" w:type="dxa"/>
            <w:noWrap/>
            <w:hideMark/>
          </w:tcPr>
          <w:p w14:paraId="763F3FBB"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Cross-sectional</w:t>
            </w:r>
          </w:p>
        </w:tc>
        <w:tc>
          <w:tcPr>
            <w:tcW w:w="988" w:type="dxa"/>
            <w:noWrap/>
            <w:hideMark/>
          </w:tcPr>
          <w:p w14:paraId="737CDED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620" w:type="dxa"/>
            <w:noWrap/>
            <w:hideMark/>
          </w:tcPr>
          <w:p w14:paraId="187EE74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89" w:type="dxa"/>
            <w:noWrap/>
            <w:hideMark/>
          </w:tcPr>
          <w:p w14:paraId="577A852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1252E92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18" w:type="dxa"/>
            <w:noWrap/>
            <w:hideMark/>
          </w:tcPr>
          <w:p w14:paraId="11C7820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2DD3AF2B"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2CF3C4B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3D05A3CD" w14:textId="77777777" w:rsidTr="00E01118">
        <w:trPr>
          <w:gridAfter w:val="1"/>
          <w:wAfter w:w="6" w:type="dxa"/>
          <w:trHeight w:val="198"/>
        </w:trPr>
        <w:tc>
          <w:tcPr>
            <w:tcW w:w="2036" w:type="dxa"/>
            <w:noWrap/>
            <w:hideMark/>
          </w:tcPr>
          <w:p w14:paraId="45F70B2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Labor epidural analgesia</w:t>
            </w:r>
          </w:p>
        </w:tc>
        <w:tc>
          <w:tcPr>
            <w:tcW w:w="1342" w:type="dxa"/>
            <w:noWrap/>
            <w:hideMark/>
          </w:tcPr>
          <w:p w14:paraId="3172FE28"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Kountanis</w:t>
            </w:r>
            <w:proofErr w:type="spellEnd"/>
            <w:r w:rsidRPr="00394B52">
              <w:rPr>
                <w:rFonts w:ascii="Times" w:hAnsi="Times" w:cs="Times"/>
                <w:color w:val="000000"/>
                <w:sz w:val="16"/>
                <w:szCs w:val="16"/>
              </w:rPr>
              <w:t xml:space="preserve"> 2020</w:t>
            </w:r>
          </w:p>
        </w:tc>
        <w:tc>
          <w:tcPr>
            <w:tcW w:w="534" w:type="dxa"/>
            <w:noWrap/>
            <w:hideMark/>
          </w:tcPr>
          <w:p w14:paraId="238D001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10</w:t>
            </w:r>
          </w:p>
        </w:tc>
        <w:tc>
          <w:tcPr>
            <w:tcW w:w="1688" w:type="dxa"/>
            <w:noWrap/>
            <w:hideMark/>
          </w:tcPr>
          <w:p w14:paraId="7349A86E" w14:textId="77777777" w:rsidR="00394B52" w:rsidRPr="00394B52" w:rsidRDefault="00394B52" w:rsidP="00394B52">
            <w:pPr>
              <w:spacing w:after="0" w:line="240" w:lineRule="auto"/>
              <w:jc w:val="left"/>
              <w:rPr>
                <w:rFonts w:ascii="Times" w:hAnsi="Times" w:cs="Times"/>
                <w:color w:val="000000"/>
                <w:sz w:val="16"/>
                <w:szCs w:val="16"/>
              </w:rPr>
            </w:pPr>
            <w:r w:rsidRPr="00394B52">
              <w:rPr>
                <w:rFonts w:ascii="Times" w:hAnsi="Times" w:cs="Times"/>
                <w:color w:val="000000"/>
                <w:sz w:val="16"/>
                <w:szCs w:val="16"/>
              </w:rPr>
              <w:t>Cohort, case-control</w:t>
            </w:r>
          </w:p>
        </w:tc>
        <w:tc>
          <w:tcPr>
            <w:tcW w:w="988" w:type="dxa"/>
            <w:noWrap/>
            <w:hideMark/>
          </w:tcPr>
          <w:p w14:paraId="6BCF6CA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620" w:type="dxa"/>
            <w:noWrap/>
            <w:hideMark/>
          </w:tcPr>
          <w:p w14:paraId="0F87799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489" w:type="dxa"/>
            <w:noWrap/>
            <w:hideMark/>
          </w:tcPr>
          <w:p w14:paraId="5B51522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64" w:type="dxa"/>
            <w:noWrap/>
            <w:hideMark/>
          </w:tcPr>
          <w:p w14:paraId="59C88A8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18" w:type="dxa"/>
            <w:noWrap/>
            <w:hideMark/>
          </w:tcPr>
          <w:p w14:paraId="7D76AB3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8" w:type="dxa"/>
            <w:noWrap/>
            <w:hideMark/>
          </w:tcPr>
          <w:p w14:paraId="4C933ED6" w14:textId="77777777" w:rsidR="00394B52" w:rsidRPr="00394B52" w:rsidRDefault="00394B52" w:rsidP="00394B52">
            <w:pPr>
              <w:spacing w:after="0" w:line="240" w:lineRule="auto"/>
              <w:rPr>
                <w:rFonts w:ascii="Times" w:hAnsi="Times" w:cs="Times"/>
                <w:color w:val="000000"/>
                <w:sz w:val="16"/>
                <w:szCs w:val="16"/>
              </w:rPr>
            </w:pPr>
          </w:p>
        </w:tc>
        <w:tc>
          <w:tcPr>
            <w:tcW w:w="1241" w:type="dxa"/>
            <w:noWrap/>
            <w:hideMark/>
          </w:tcPr>
          <w:p w14:paraId="47DE7A4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1EA53309" w14:textId="77777777" w:rsidTr="00E01118">
        <w:trPr>
          <w:trHeight w:val="198"/>
        </w:trPr>
        <w:tc>
          <w:tcPr>
            <w:tcW w:w="15534" w:type="dxa"/>
            <w:gridSpan w:val="12"/>
            <w:noWrap/>
          </w:tcPr>
          <w:p w14:paraId="1C69B72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hint="eastAsia"/>
                <w:color w:val="000000"/>
                <w:sz w:val="16"/>
                <w:szCs w:val="16"/>
              </w:rPr>
              <w:t>Abbreviations:</w:t>
            </w:r>
            <w:r w:rsidRPr="00394B52">
              <w:rPr>
                <w:rFonts w:ascii="Times New Roman" w:eastAsia="Malgun Gothic" w:hAnsi="Times New Roman" w:cs="Times New Roman"/>
                <w:color w:val="000000"/>
                <w:kern w:val="0"/>
                <w:sz w:val="16"/>
                <w:szCs w:val="16"/>
              </w:rPr>
              <w:t xml:space="preserve"> HIV, human immunodeficiency virus;</w:t>
            </w:r>
            <w:r w:rsidRPr="00394B52">
              <w:rPr>
                <w:rFonts w:ascii="Times" w:hAnsi="Times" w:cs="Times" w:hint="eastAsia"/>
                <w:color w:val="000000"/>
                <w:sz w:val="16"/>
                <w:szCs w:val="16"/>
              </w:rPr>
              <w:t xml:space="preserve"> </w:t>
            </w:r>
            <w:r w:rsidRPr="00394B52">
              <w:rPr>
                <w:rFonts w:ascii="Times New Roman" w:eastAsia="Malgun Gothic" w:hAnsi="Times New Roman" w:cs="Times New Roman"/>
                <w:color w:val="000000"/>
                <w:kern w:val="0"/>
                <w:sz w:val="16"/>
                <w:szCs w:val="16"/>
              </w:rPr>
              <w:t>k, number of study estimates</w:t>
            </w:r>
          </w:p>
        </w:tc>
      </w:tr>
    </w:tbl>
    <w:p w14:paraId="42A39325" w14:textId="77777777" w:rsidR="00394B52" w:rsidRPr="00394B52" w:rsidRDefault="00394B52" w:rsidP="00394B52">
      <w:pPr>
        <w:widowControl/>
        <w:wordWrap/>
        <w:autoSpaceDE/>
        <w:autoSpaceDN/>
        <w:rPr>
          <w:rFonts w:ascii="Times" w:hAnsi="Times" w:cs="Times"/>
        </w:rPr>
      </w:pPr>
    </w:p>
    <w:p w14:paraId="1850D919" w14:textId="77777777" w:rsidR="00394B52" w:rsidRPr="00394B52" w:rsidRDefault="00394B52" w:rsidP="00394B52">
      <w:pPr>
        <w:widowControl/>
        <w:wordWrap/>
        <w:autoSpaceDE/>
        <w:autoSpaceDN/>
        <w:rPr>
          <w:rFonts w:ascii="Times" w:hAnsi="Times" w:cs="Times"/>
        </w:rPr>
      </w:pPr>
    </w:p>
    <w:p w14:paraId="70A541B6" w14:textId="77777777" w:rsidR="00394B52" w:rsidRPr="00394B52" w:rsidRDefault="00394B52" w:rsidP="00394B52">
      <w:pPr>
        <w:widowControl/>
        <w:wordWrap/>
        <w:autoSpaceDE/>
        <w:autoSpaceDN/>
        <w:rPr>
          <w:rFonts w:ascii="Times" w:hAnsi="Times" w:cs="Times"/>
        </w:rPr>
      </w:pPr>
      <w:r w:rsidRPr="00394B52">
        <w:rPr>
          <w:rFonts w:ascii="Times" w:hAnsi="Times" w:cs="Times"/>
        </w:rPr>
        <w:br w:type="page"/>
      </w:r>
    </w:p>
    <w:p w14:paraId="0ED6D4B6" w14:textId="77777777" w:rsidR="00394B52" w:rsidRPr="00394B52" w:rsidRDefault="00394B52" w:rsidP="00394B52">
      <w:pPr>
        <w:widowControl/>
        <w:wordWrap/>
        <w:autoSpaceDE/>
        <w:autoSpaceDN/>
        <w:rPr>
          <w:rFonts w:ascii="Times" w:hAnsi="Times" w:cs="Times"/>
        </w:rPr>
      </w:pPr>
      <w:r w:rsidRPr="00394B52">
        <w:rPr>
          <w:rFonts w:ascii="Times" w:hAnsi="Times" w:cs="Times"/>
        </w:rPr>
        <w:lastRenderedPageBreak/>
        <w:t>Table S5. Grading of Recommendations, Assessment, Development and Evaluations appraisal for biomarkers s</w:t>
      </w:r>
    </w:p>
    <w:tbl>
      <w:tblPr>
        <w:tblStyle w:val="TableGrid1"/>
        <w:tblpPr w:leftFromText="142" w:rightFromText="142" w:vertAnchor="page" w:horzAnchor="margin" w:tblpY="1074"/>
        <w:tblW w:w="15388" w:type="dxa"/>
        <w:tblLook w:val="04A0" w:firstRow="1" w:lastRow="0" w:firstColumn="1" w:lastColumn="0" w:noHBand="0" w:noVBand="1"/>
      </w:tblPr>
      <w:tblGrid>
        <w:gridCol w:w="3114"/>
        <w:gridCol w:w="1134"/>
        <w:gridCol w:w="850"/>
        <w:gridCol w:w="1560"/>
        <w:gridCol w:w="1130"/>
        <w:gridCol w:w="1141"/>
        <w:gridCol w:w="1274"/>
        <w:gridCol w:w="1134"/>
        <w:gridCol w:w="1417"/>
        <w:gridCol w:w="1700"/>
        <w:gridCol w:w="934"/>
      </w:tblGrid>
      <w:tr w:rsidR="00394B52" w:rsidRPr="00394B52" w14:paraId="47D763DB" w14:textId="77777777" w:rsidTr="00E01118">
        <w:trPr>
          <w:trHeight w:val="422"/>
        </w:trPr>
        <w:tc>
          <w:tcPr>
            <w:tcW w:w="3114" w:type="dxa"/>
            <w:noWrap/>
            <w:hideMark/>
          </w:tcPr>
          <w:p w14:paraId="62AB0BAD"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Biomarkers</w:t>
            </w:r>
          </w:p>
        </w:tc>
        <w:tc>
          <w:tcPr>
            <w:tcW w:w="1134" w:type="dxa"/>
            <w:noWrap/>
            <w:hideMark/>
          </w:tcPr>
          <w:p w14:paraId="56EBE994"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Author, year</w:t>
            </w:r>
          </w:p>
        </w:tc>
        <w:tc>
          <w:tcPr>
            <w:tcW w:w="850" w:type="dxa"/>
            <w:noWrap/>
            <w:hideMark/>
          </w:tcPr>
          <w:p w14:paraId="336CA4AA"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k</w:t>
            </w:r>
          </w:p>
        </w:tc>
        <w:tc>
          <w:tcPr>
            <w:tcW w:w="1560" w:type="dxa"/>
            <w:noWrap/>
            <w:hideMark/>
          </w:tcPr>
          <w:p w14:paraId="69F5D5B0"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Study design</w:t>
            </w:r>
          </w:p>
        </w:tc>
        <w:tc>
          <w:tcPr>
            <w:tcW w:w="1130" w:type="dxa"/>
            <w:noWrap/>
            <w:hideMark/>
          </w:tcPr>
          <w:p w14:paraId="1713A92A"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Risk of bias</w:t>
            </w:r>
          </w:p>
        </w:tc>
        <w:tc>
          <w:tcPr>
            <w:tcW w:w="1141" w:type="dxa"/>
            <w:noWrap/>
            <w:hideMark/>
          </w:tcPr>
          <w:p w14:paraId="684D7D22"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Inconsistency</w:t>
            </w:r>
          </w:p>
        </w:tc>
        <w:tc>
          <w:tcPr>
            <w:tcW w:w="1274" w:type="dxa"/>
            <w:noWrap/>
            <w:hideMark/>
          </w:tcPr>
          <w:p w14:paraId="7FC66920"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Indirectness</w:t>
            </w:r>
          </w:p>
        </w:tc>
        <w:tc>
          <w:tcPr>
            <w:tcW w:w="1134" w:type="dxa"/>
            <w:noWrap/>
            <w:hideMark/>
          </w:tcPr>
          <w:p w14:paraId="79BBE06A"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Imprecision</w:t>
            </w:r>
          </w:p>
        </w:tc>
        <w:tc>
          <w:tcPr>
            <w:tcW w:w="1417" w:type="dxa"/>
            <w:noWrap/>
            <w:hideMark/>
          </w:tcPr>
          <w:p w14:paraId="379D4303"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Publication bias</w:t>
            </w:r>
          </w:p>
        </w:tc>
        <w:tc>
          <w:tcPr>
            <w:tcW w:w="1700" w:type="dxa"/>
            <w:noWrap/>
            <w:hideMark/>
          </w:tcPr>
          <w:p w14:paraId="27209159"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Other considerations</w:t>
            </w:r>
          </w:p>
        </w:tc>
        <w:tc>
          <w:tcPr>
            <w:tcW w:w="934" w:type="dxa"/>
            <w:noWrap/>
            <w:hideMark/>
          </w:tcPr>
          <w:p w14:paraId="2774D335" w14:textId="77777777" w:rsidR="00394B52" w:rsidRPr="00394B52" w:rsidRDefault="00394B52" w:rsidP="00394B52">
            <w:pPr>
              <w:spacing w:after="0" w:line="240" w:lineRule="auto"/>
              <w:rPr>
                <w:rFonts w:ascii="Times" w:hAnsi="Times" w:cs="Times"/>
                <w:b/>
                <w:sz w:val="16"/>
                <w:szCs w:val="16"/>
              </w:rPr>
            </w:pPr>
            <w:r w:rsidRPr="00394B52">
              <w:rPr>
                <w:rFonts w:ascii="Times" w:hAnsi="Times" w:cs="Times"/>
                <w:b/>
                <w:sz w:val="16"/>
                <w:szCs w:val="16"/>
              </w:rPr>
              <w:t>Certainty</w:t>
            </w:r>
          </w:p>
        </w:tc>
      </w:tr>
      <w:tr w:rsidR="00394B52" w:rsidRPr="00394B52" w14:paraId="60002B17" w14:textId="77777777" w:rsidTr="00E01118">
        <w:trPr>
          <w:trHeight w:val="422"/>
        </w:trPr>
        <w:tc>
          <w:tcPr>
            <w:tcW w:w="3114" w:type="dxa"/>
            <w:noWrap/>
            <w:hideMark/>
          </w:tcPr>
          <w:p w14:paraId="2D1EACF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Serum 25(OH)D level &lt; 50 nmol/l</w:t>
            </w:r>
          </w:p>
        </w:tc>
        <w:tc>
          <w:tcPr>
            <w:tcW w:w="1134" w:type="dxa"/>
            <w:noWrap/>
            <w:hideMark/>
          </w:tcPr>
          <w:p w14:paraId="0CDE427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Wang 2018</w:t>
            </w:r>
          </w:p>
        </w:tc>
        <w:tc>
          <w:tcPr>
            <w:tcW w:w="850" w:type="dxa"/>
            <w:noWrap/>
            <w:hideMark/>
          </w:tcPr>
          <w:p w14:paraId="45A9AF8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3</w:t>
            </w:r>
          </w:p>
        </w:tc>
        <w:tc>
          <w:tcPr>
            <w:tcW w:w="1560" w:type="dxa"/>
            <w:noWrap/>
            <w:hideMark/>
          </w:tcPr>
          <w:p w14:paraId="19C0442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Cohort</w:t>
            </w:r>
          </w:p>
        </w:tc>
        <w:tc>
          <w:tcPr>
            <w:tcW w:w="1130" w:type="dxa"/>
            <w:noWrap/>
            <w:hideMark/>
          </w:tcPr>
          <w:p w14:paraId="00048D0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41" w:type="dxa"/>
            <w:noWrap/>
            <w:hideMark/>
          </w:tcPr>
          <w:p w14:paraId="49A20F3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274" w:type="dxa"/>
            <w:noWrap/>
            <w:hideMark/>
          </w:tcPr>
          <w:p w14:paraId="692F99F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34" w:type="dxa"/>
            <w:noWrap/>
            <w:hideMark/>
          </w:tcPr>
          <w:p w14:paraId="623345C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7" w:type="dxa"/>
            <w:noWrap/>
            <w:hideMark/>
          </w:tcPr>
          <w:p w14:paraId="6409502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0" w:type="dxa"/>
            <w:noWrap/>
            <w:hideMark/>
          </w:tcPr>
          <w:p w14:paraId="5454554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934" w:type="dxa"/>
            <w:noWrap/>
            <w:hideMark/>
          </w:tcPr>
          <w:p w14:paraId="4258B40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63B5CDE7" w14:textId="77777777" w:rsidTr="00E01118">
        <w:trPr>
          <w:trHeight w:val="422"/>
        </w:trPr>
        <w:tc>
          <w:tcPr>
            <w:tcW w:w="3114" w:type="dxa"/>
            <w:noWrap/>
            <w:hideMark/>
          </w:tcPr>
          <w:p w14:paraId="0181FF6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High concentration of serum 25(OH)D</w:t>
            </w:r>
          </w:p>
        </w:tc>
        <w:tc>
          <w:tcPr>
            <w:tcW w:w="1134" w:type="dxa"/>
            <w:noWrap/>
            <w:hideMark/>
          </w:tcPr>
          <w:p w14:paraId="7330CBE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Tan 2020</w:t>
            </w:r>
          </w:p>
        </w:tc>
        <w:tc>
          <w:tcPr>
            <w:tcW w:w="850" w:type="dxa"/>
            <w:noWrap/>
            <w:hideMark/>
          </w:tcPr>
          <w:p w14:paraId="320BCF9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7</w:t>
            </w:r>
          </w:p>
        </w:tc>
        <w:tc>
          <w:tcPr>
            <w:tcW w:w="1560" w:type="dxa"/>
            <w:noWrap/>
            <w:hideMark/>
          </w:tcPr>
          <w:p w14:paraId="0A2885F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Cohort, case-control, cross-sectional</w:t>
            </w:r>
          </w:p>
        </w:tc>
        <w:tc>
          <w:tcPr>
            <w:tcW w:w="1130" w:type="dxa"/>
            <w:noWrap/>
            <w:hideMark/>
          </w:tcPr>
          <w:p w14:paraId="4FA7221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41" w:type="dxa"/>
            <w:noWrap/>
            <w:hideMark/>
          </w:tcPr>
          <w:p w14:paraId="59D4181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serious</w:t>
            </w:r>
          </w:p>
        </w:tc>
        <w:tc>
          <w:tcPr>
            <w:tcW w:w="1274" w:type="dxa"/>
            <w:noWrap/>
            <w:hideMark/>
          </w:tcPr>
          <w:p w14:paraId="38ACD94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34" w:type="dxa"/>
            <w:noWrap/>
            <w:hideMark/>
          </w:tcPr>
          <w:p w14:paraId="5A17ADF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7" w:type="dxa"/>
            <w:noWrap/>
            <w:hideMark/>
          </w:tcPr>
          <w:p w14:paraId="5978BEC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0" w:type="dxa"/>
            <w:noWrap/>
            <w:hideMark/>
          </w:tcPr>
          <w:p w14:paraId="083BDC65" w14:textId="77777777" w:rsidR="00394B52" w:rsidRPr="00394B52" w:rsidRDefault="00394B52" w:rsidP="00394B52">
            <w:pPr>
              <w:spacing w:after="0" w:line="240" w:lineRule="auto"/>
              <w:rPr>
                <w:rFonts w:ascii="Times" w:hAnsi="Times" w:cs="Times"/>
                <w:color w:val="000000"/>
                <w:sz w:val="16"/>
                <w:szCs w:val="16"/>
              </w:rPr>
            </w:pPr>
          </w:p>
        </w:tc>
        <w:tc>
          <w:tcPr>
            <w:tcW w:w="934" w:type="dxa"/>
            <w:noWrap/>
            <w:hideMark/>
          </w:tcPr>
          <w:p w14:paraId="7B82CB1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2CC6A3BE" w14:textId="77777777" w:rsidTr="00E01118">
        <w:trPr>
          <w:trHeight w:val="422"/>
        </w:trPr>
        <w:tc>
          <w:tcPr>
            <w:tcW w:w="3114" w:type="dxa"/>
            <w:noWrap/>
            <w:hideMark/>
          </w:tcPr>
          <w:p w14:paraId="50A8F8B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Omega-6/omega-3 ratio</w:t>
            </w:r>
          </w:p>
        </w:tc>
        <w:tc>
          <w:tcPr>
            <w:tcW w:w="1134" w:type="dxa"/>
            <w:noWrap/>
            <w:hideMark/>
          </w:tcPr>
          <w:p w14:paraId="7D59C67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Lin 2017</w:t>
            </w:r>
          </w:p>
        </w:tc>
        <w:tc>
          <w:tcPr>
            <w:tcW w:w="850" w:type="dxa"/>
            <w:noWrap/>
            <w:hideMark/>
          </w:tcPr>
          <w:p w14:paraId="781EA79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5</w:t>
            </w:r>
          </w:p>
        </w:tc>
        <w:tc>
          <w:tcPr>
            <w:tcW w:w="1560" w:type="dxa"/>
            <w:noWrap/>
            <w:hideMark/>
          </w:tcPr>
          <w:p w14:paraId="4B10B4F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Cohort</w:t>
            </w:r>
          </w:p>
        </w:tc>
        <w:tc>
          <w:tcPr>
            <w:tcW w:w="1130" w:type="dxa"/>
            <w:noWrap/>
            <w:hideMark/>
          </w:tcPr>
          <w:p w14:paraId="5AFAF82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41" w:type="dxa"/>
            <w:noWrap/>
            <w:hideMark/>
          </w:tcPr>
          <w:p w14:paraId="690E4E7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274" w:type="dxa"/>
            <w:noWrap/>
            <w:hideMark/>
          </w:tcPr>
          <w:p w14:paraId="64E475A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34" w:type="dxa"/>
            <w:noWrap/>
            <w:hideMark/>
          </w:tcPr>
          <w:p w14:paraId="2B828CB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417" w:type="dxa"/>
            <w:noWrap/>
            <w:hideMark/>
          </w:tcPr>
          <w:p w14:paraId="4A5E1F4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0" w:type="dxa"/>
            <w:noWrap/>
            <w:hideMark/>
          </w:tcPr>
          <w:p w14:paraId="17E2C0DC" w14:textId="77777777" w:rsidR="00394B52" w:rsidRPr="00394B52" w:rsidRDefault="00394B52" w:rsidP="00394B52">
            <w:pPr>
              <w:spacing w:after="0" w:line="240" w:lineRule="auto"/>
              <w:rPr>
                <w:rFonts w:ascii="Times" w:hAnsi="Times" w:cs="Times"/>
                <w:color w:val="000000"/>
                <w:sz w:val="16"/>
                <w:szCs w:val="16"/>
              </w:rPr>
            </w:pPr>
          </w:p>
        </w:tc>
        <w:tc>
          <w:tcPr>
            <w:tcW w:w="934" w:type="dxa"/>
            <w:noWrap/>
            <w:hideMark/>
          </w:tcPr>
          <w:p w14:paraId="710D782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788B64AF" w14:textId="77777777" w:rsidTr="00E01118">
        <w:trPr>
          <w:trHeight w:val="422"/>
        </w:trPr>
        <w:tc>
          <w:tcPr>
            <w:tcW w:w="3114" w:type="dxa"/>
            <w:noWrap/>
            <w:hideMark/>
          </w:tcPr>
          <w:p w14:paraId="5B847F5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Positive anti-</w:t>
            </w:r>
            <w:proofErr w:type="spellStart"/>
            <w:r w:rsidRPr="00394B52">
              <w:rPr>
                <w:rFonts w:ascii="Times" w:hAnsi="Times" w:cs="Times"/>
                <w:color w:val="000000"/>
                <w:sz w:val="16"/>
                <w:szCs w:val="16"/>
              </w:rPr>
              <w:t>thyroperoxidase</w:t>
            </w:r>
            <w:proofErr w:type="spellEnd"/>
            <w:r w:rsidRPr="00394B52">
              <w:rPr>
                <w:rFonts w:ascii="Times" w:hAnsi="Times" w:cs="Times"/>
                <w:color w:val="000000"/>
                <w:sz w:val="16"/>
                <w:szCs w:val="16"/>
              </w:rPr>
              <w:t xml:space="preserve"> antibodies</w:t>
            </w:r>
          </w:p>
        </w:tc>
        <w:tc>
          <w:tcPr>
            <w:tcW w:w="1134" w:type="dxa"/>
            <w:noWrap/>
            <w:hideMark/>
          </w:tcPr>
          <w:p w14:paraId="05174711"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Minaldi</w:t>
            </w:r>
            <w:proofErr w:type="spellEnd"/>
            <w:r w:rsidRPr="00394B52">
              <w:rPr>
                <w:rFonts w:ascii="Times" w:hAnsi="Times" w:cs="Times"/>
                <w:color w:val="000000"/>
                <w:sz w:val="16"/>
                <w:szCs w:val="16"/>
              </w:rPr>
              <w:t xml:space="preserve"> 2020</w:t>
            </w:r>
          </w:p>
        </w:tc>
        <w:tc>
          <w:tcPr>
            <w:tcW w:w="850" w:type="dxa"/>
            <w:noWrap/>
            <w:hideMark/>
          </w:tcPr>
          <w:p w14:paraId="690E0BB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3</w:t>
            </w:r>
          </w:p>
        </w:tc>
        <w:tc>
          <w:tcPr>
            <w:tcW w:w="1560" w:type="dxa"/>
            <w:noWrap/>
            <w:hideMark/>
          </w:tcPr>
          <w:p w14:paraId="5AE3B88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Cohort</w:t>
            </w:r>
          </w:p>
        </w:tc>
        <w:tc>
          <w:tcPr>
            <w:tcW w:w="1130" w:type="dxa"/>
            <w:noWrap/>
            <w:hideMark/>
          </w:tcPr>
          <w:p w14:paraId="6D2AFF7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41" w:type="dxa"/>
            <w:noWrap/>
            <w:hideMark/>
          </w:tcPr>
          <w:p w14:paraId="25974BB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274" w:type="dxa"/>
            <w:noWrap/>
            <w:hideMark/>
          </w:tcPr>
          <w:p w14:paraId="383FF95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34" w:type="dxa"/>
            <w:noWrap/>
            <w:hideMark/>
          </w:tcPr>
          <w:p w14:paraId="094DDE0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17" w:type="dxa"/>
            <w:noWrap/>
            <w:hideMark/>
          </w:tcPr>
          <w:p w14:paraId="0B4C188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0" w:type="dxa"/>
            <w:noWrap/>
            <w:hideMark/>
          </w:tcPr>
          <w:p w14:paraId="0154AB70" w14:textId="77777777" w:rsidR="00394B52" w:rsidRPr="00394B52" w:rsidRDefault="00394B52" w:rsidP="00394B52">
            <w:pPr>
              <w:spacing w:after="0" w:line="240" w:lineRule="auto"/>
              <w:rPr>
                <w:rFonts w:ascii="Times" w:hAnsi="Times" w:cs="Times"/>
                <w:color w:val="000000"/>
                <w:sz w:val="16"/>
                <w:szCs w:val="16"/>
              </w:rPr>
            </w:pPr>
          </w:p>
        </w:tc>
        <w:tc>
          <w:tcPr>
            <w:tcW w:w="934" w:type="dxa"/>
            <w:noWrap/>
            <w:hideMark/>
          </w:tcPr>
          <w:p w14:paraId="28419F5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2243977E" w14:textId="77777777" w:rsidTr="00E01118">
        <w:trPr>
          <w:trHeight w:val="422"/>
        </w:trPr>
        <w:tc>
          <w:tcPr>
            <w:tcW w:w="3114" w:type="dxa"/>
            <w:noWrap/>
            <w:hideMark/>
          </w:tcPr>
          <w:p w14:paraId="16A2983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Total omega-6 acid</w:t>
            </w:r>
          </w:p>
        </w:tc>
        <w:tc>
          <w:tcPr>
            <w:tcW w:w="1134" w:type="dxa"/>
            <w:noWrap/>
            <w:hideMark/>
          </w:tcPr>
          <w:p w14:paraId="76B6DB0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Lin 2017</w:t>
            </w:r>
          </w:p>
        </w:tc>
        <w:tc>
          <w:tcPr>
            <w:tcW w:w="850" w:type="dxa"/>
            <w:noWrap/>
            <w:hideMark/>
          </w:tcPr>
          <w:p w14:paraId="5FFDCCA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5</w:t>
            </w:r>
          </w:p>
        </w:tc>
        <w:tc>
          <w:tcPr>
            <w:tcW w:w="1560" w:type="dxa"/>
            <w:noWrap/>
            <w:hideMark/>
          </w:tcPr>
          <w:p w14:paraId="26A1CB9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Cohort</w:t>
            </w:r>
          </w:p>
        </w:tc>
        <w:tc>
          <w:tcPr>
            <w:tcW w:w="1130" w:type="dxa"/>
            <w:noWrap/>
            <w:hideMark/>
          </w:tcPr>
          <w:p w14:paraId="280CF37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41" w:type="dxa"/>
            <w:noWrap/>
            <w:hideMark/>
          </w:tcPr>
          <w:p w14:paraId="13E412B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274" w:type="dxa"/>
            <w:noWrap/>
            <w:hideMark/>
          </w:tcPr>
          <w:p w14:paraId="2FAFAA96"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34" w:type="dxa"/>
            <w:noWrap/>
            <w:hideMark/>
          </w:tcPr>
          <w:p w14:paraId="013012B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17" w:type="dxa"/>
            <w:noWrap/>
            <w:hideMark/>
          </w:tcPr>
          <w:p w14:paraId="2C4B92C3"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0" w:type="dxa"/>
            <w:noWrap/>
            <w:hideMark/>
          </w:tcPr>
          <w:p w14:paraId="6A49FBDC" w14:textId="77777777" w:rsidR="00394B52" w:rsidRPr="00394B52" w:rsidRDefault="00394B52" w:rsidP="00394B52">
            <w:pPr>
              <w:spacing w:after="0" w:line="240" w:lineRule="auto"/>
              <w:rPr>
                <w:rFonts w:ascii="Times" w:hAnsi="Times" w:cs="Times"/>
                <w:color w:val="000000"/>
                <w:sz w:val="16"/>
                <w:szCs w:val="16"/>
              </w:rPr>
            </w:pPr>
          </w:p>
        </w:tc>
        <w:tc>
          <w:tcPr>
            <w:tcW w:w="934" w:type="dxa"/>
            <w:noWrap/>
            <w:hideMark/>
          </w:tcPr>
          <w:p w14:paraId="3350150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0671836F" w14:textId="77777777" w:rsidTr="00E01118">
        <w:trPr>
          <w:trHeight w:val="422"/>
        </w:trPr>
        <w:tc>
          <w:tcPr>
            <w:tcW w:w="3114" w:type="dxa"/>
            <w:noWrap/>
            <w:hideMark/>
          </w:tcPr>
          <w:p w14:paraId="1617907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Arachidonic acid</w:t>
            </w:r>
          </w:p>
        </w:tc>
        <w:tc>
          <w:tcPr>
            <w:tcW w:w="1134" w:type="dxa"/>
            <w:noWrap/>
            <w:hideMark/>
          </w:tcPr>
          <w:p w14:paraId="210E215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Lin 2017</w:t>
            </w:r>
          </w:p>
        </w:tc>
        <w:tc>
          <w:tcPr>
            <w:tcW w:w="850" w:type="dxa"/>
            <w:noWrap/>
            <w:hideMark/>
          </w:tcPr>
          <w:p w14:paraId="3620CC1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5</w:t>
            </w:r>
          </w:p>
        </w:tc>
        <w:tc>
          <w:tcPr>
            <w:tcW w:w="1560" w:type="dxa"/>
            <w:noWrap/>
            <w:hideMark/>
          </w:tcPr>
          <w:p w14:paraId="2343240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Cohort</w:t>
            </w:r>
          </w:p>
        </w:tc>
        <w:tc>
          <w:tcPr>
            <w:tcW w:w="1130" w:type="dxa"/>
            <w:noWrap/>
            <w:hideMark/>
          </w:tcPr>
          <w:p w14:paraId="61CA739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41" w:type="dxa"/>
            <w:noWrap/>
            <w:hideMark/>
          </w:tcPr>
          <w:p w14:paraId="2EC2420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274" w:type="dxa"/>
            <w:noWrap/>
            <w:hideMark/>
          </w:tcPr>
          <w:p w14:paraId="6D6BC0E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34" w:type="dxa"/>
            <w:noWrap/>
            <w:hideMark/>
          </w:tcPr>
          <w:p w14:paraId="59D4979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17" w:type="dxa"/>
            <w:noWrap/>
            <w:hideMark/>
          </w:tcPr>
          <w:p w14:paraId="4BC859E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0" w:type="dxa"/>
            <w:noWrap/>
            <w:hideMark/>
          </w:tcPr>
          <w:p w14:paraId="602D5818" w14:textId="77777777" w:rsidR="00394B52" w:rsidRPr="00394B52" w:rsidRDefault="00394B52" w:rsidP="00394B52">
            <w:pPr>
              <w:spacing w:after="0" w:line="240" w:lineRule="auto"/>
              <w:rPr>
                <w:rFonts w:ascii="Times" w:hAnsi="Times" w:cs="Times"/>
                <w:color w:val="000000"/>
                <w:sz w:val="16"/>
                <w:szCs w:val="16"/>
              </w:rPr>
            </w:pPr>
          </w:p>
        </w:tc>
        <w:tc>
          <w:tcPr>
            <w:tcW w:w="934" w:type="dxa"/>
            <w:noWrap/>
            <w:hideMark/>
          </w:tcPr>
          <w:p w14:paraId="46996982"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3BFE1478" w14:textId="77777777" w:rsidTr="00E01118">
        <w:trPr>
          <w:trHeight w:val="422"/>
        </w:trPr>
        <w:tc>
          <w:tcPr>
            <w:tcW w:w="3114" w:type="dxa"/>
            <w:noWrap/>
            <w:hideMark/>
          </w:tcPr>
          <w:p w14:paraId="4BCBFFAE" w14:textId="77777777" w:rsidR="00394B52" w:rsidRPr="00394B52" w:rsidRDefault="00394B52" w:rsidP="00394B52">
            <w:pPr>
              <w:spacing w:after="0" w:line="240" w:lineRule="auto"/>
              <w:rPr>
                <w:rFonts w:ascii="Times" w:hAnsi="Times" w:cs="Times"/>
                <w:color w:val="000000"/>
                <w:sz w:val="16"/>
                <w:szCs w:val="16"/>
              </w:rPr>
            </w:pPr>
            <w:proofErr w:type="spellStart"/>
            <w:r w:rsidRPr="00394B52">
              <w:rPr>
                <w:rFonts w:ascii="Times" w:hAnsi="Times" w:cs="Times"/>
                <w:color w:val="000000"/>
                <w:sz w:val="16"/>
                <w:szCs w:val="16"/>
              </w:rPr>
              <w:t>Eicosapentaenoic</w:t>
            </w:r>
            <w:proofErr w:type="spellEnd"/>
            <w:r w:rsidRPr="00394B52">
              <w:rPr>
                <w:rFonts w:ascii="Times" w:hAnsi="Times" w:cs="Times"/>
                <w:color w:val="000000"/>
                <w:sz w:val="16"/>
                <w:szCs w:val="16"/>
              </w:rPr>
              <w:t xml:space="preserve"> acid</w:t>
            </w:r>
          </w:p>
        </w:tc>
        <w:tc>
          <w:tcPr>
            <w:tcW w:w="1134" w:type="dxa"/>
            <w:noWrap/>
            <w:hideMark/>
          </w:tcPr>
          <w:p w14:paraId="6C1CA58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Lin 2017</w:t>
            </w:r>
          </w:p>
        </w:tc>
        <w:tc>
          <w:tcPr>
            <w:tcW w:w="850" w:type="dxa"/>
            <w:noWrap/>
            <w:hideMark/>
          </w:tcPr>
          <w:p w14:paraId="22080F4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6</w:t>
            </w:r>
          </w:p>
        </w:tc>
        <w:tc>
          <w:tcPr>
            <w:tcW w:w="1560" w:type="dxa"/>
            <w:noWrap/>
            <w:hideMark/>
          </w:tcPr>
          <w:p w14:paraId="2A3EF6C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Cohort, case-control</w:t>
            </w:r>
          </w:p>
        </w:tc>
        <w:tc>
          <w:tcPr>
            <w:tcW w:w="1130" w:type="dxa"/>
            <w:noWrap/>
            <w:hideMark/>
          </w:tcPr>
          <w:p w14:paraId="4C8DFDE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41" w:type="dxa"/>
            <w:noWrap/>
            <w:hideMark/>
          </w:tcPr>
          <w:p w14:paraId="7E53011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274" w:type="dxa"/>
            <w:noWrap/>
            <w:hideMark/>
          </w:tcPr>
          <w:p w14:paraId="515E2F6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34" w:type="dxa"/>
            <w:noWrap/>
            <w:hideMark/>
          </w:tcPr>
          <w:p w14:paraId="254CED5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17" w:type="dxa"/>
            <w:noWrap/>
            <w:hideMark/>
          </w:tcPr>
          <w:p w14:paraId="133AE10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Likely</w:t>
            </w:r>
          </w:p>
        </w:tc>
        <w:tc>
          <w:tcPr>
            <w:tcW w:w="1700" w:type="dxa"/>
            <w:noWrap/>
            <w:hideMark/>
          </w:tcPr>
          <w:p w14:paraId="54D88883" w14:textId="77777777" w:rsidR="00394B52" w:rsidRPr="00394B52" w:rsidRDefault="00394B52" w:rsidP="00394B52">
            <w:pPr>
              <w:spacing w:after="0" w:line="240" w:lineRule="auto"/>
              <w:rPr>
                <w:rFonts w:ascii="Times" w:hAnsi="Times" w:cs="Times"/>
                <w:color w:val="000000"/>
                <w:sz w:val="16"/>
                <w:szCs w:val="16"/>
              </w:rPr>
            </w:pPr>
          </w:p>
        </w:tc>
        <w:tc>
          <w:tcPr>
            <w:tcW w:w="934" w:type="dxa"/>
            <w:noWrap/>
            <w:hideMark/>
          </w:tcPr>
          <w:p w14:paraId="11F9ECCC"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35B01502" w14:textId="77777777" w:rsidTr="00E01118">
        <w:trPr>
          <w:trHeight w:val="422"/>
        </w:trPr>
        <w:tc>
          <w:tcPr>
            <w:tcW w:w="3114" w:type="dxa"/>
            <w:noWrap/>
            <w:hideMark/>
          </w:tcPr>
          <w:p w14:paraId="1D640894"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Docosahexaenoic acid</w:t>
            </w:r>
          </w:p>
        </w:tc>
        <w:tc>
          <w:tcPr>
            <w:tcW w:w="1134" w:type="dxa"/>
            <w:noWrap/>
            <w:hideMark/>
          </w:tcPr>
          <w:p w14:paraId="21A9C61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Lin 2017</w:t>
            </w:r>
          </w:p>
        </w:tc>
        <w:tc>
          <w:tcPr>
            <w:tcW w:w="850" w:type="dxa"/>
            <w:noWrap/>
            <w:hideMark/>
          </w:tcPr>
          <w:p w14:paraId="092166A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6</w:t>
            </w:r>
          </w:p>
        </w:tc>
        <w:tc>
          <w:tcPr>
            <w:tcW w:w="1560" w:type="dxa"/>
            <w:noWrap/>
            <w:hideMark/>
          </w:tcPr>
          <w:p w14:paraId="616AF52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Cohort, case-control</w:t>
            </w:r>
          </w:p>
        </w:tc>
        <w:tc>
          <w:tcPr>
            <w:tcW w:w="1130" w:type="dxa"/>
            <w:noWrap/>
            <w:hideMark/>
          </w:tcPr>
          <w:p w14:paraId="5F4B714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41" w:type="dxa"/>
            <w:noWrap/>
            <w:hideMark/>
          </w:tcPr>
          <w:p w14:paraId="6C4636D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274" w:type="dxa"/>
            <w:noWrap/>
            <w:hideMark/>
          </w:tcPr>
          <w:p w14:paraId="5CB1D155"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34" w:type="dxa"/>
            <w:noWrap/>
            <w:hideMark/>
          </w:tcPr>
          <w:p w14:paraId="2CB888D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17" w:type="dxa"/>
            <w:noWrap/>
            <w:hideMark/>
          </w:tcPr>
          <w:p w14:paraId="3E6572B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likely</w:t>
            </w:r>
          </w:p>
        </w:tc>
        <w:tc>
          <w:tcPr>
            <w:tcW w:w="1700" w:type="dxa"/>
            <w:noWrap/>
            <w:hideMark/>
          </w:tcPr>
          <w:p w14:paraId="54EEF0E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934" w:type="dxa"/>
            <w:noWrap/>
            <w:hideMark/>
          </w:tcPr>
          <w:p w14:paraId="6D9CDBFB"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Low</w:t>
            </w:r>
          </w:p>
        </w:tc>
      </w:tr>
      <w:tr w:rsidR="00394B52" w:rsidRPr="00394B52" w14:paraId="54986D58" w14:textId="77777777" w:rsidTr="00E01118">
        <w:trPr>
          <w:trHeight w:val="422"/>
        </w:trPr>
        <w:tc>
          <w:tcPr>
            <w:tcW w:w="3114" w:type="dxa"/>
            <w:noWrap/>
            <w:hideMark/>
          </w:tcPr>
          <w:p w14:paraId="3F22CC10"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Total omega-3 acid</w:t>
            </w:r>
          </w:p>
        </w:tc>
        <w:tc>
          <w:tcPr>
            <w:tcW w:w="1134" w:type="dxa"/>
            <w:noWrap/>
            <w:hideMark/>
          </w:tcPr>
          <w:p w14:paraId="34FB4F9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Lin 2017</w:t>
            </w:r>
          </w:p>
        </w:tc>
        <w:tc>
          <w:tcPr>
            <w:tcW w:w="850" w:type="dxa"/>
            <w:noWrap/>
            <w:hideMark/>
          </w:tcPr>
          <w:p w14:paraId="28291C2A"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6</w:t>
            </w:r>
          </w:p>
        </w:tc>
        <w:tc>
          <w:tcPr>
            <w:tcW w:w="1560" w:type="dxa"/>
            <w:noWrap/>
            <w:hideMark/>
          </w:tcPr>
          <w:p w14:paraId="4C2A3599"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Cohort, case-control</w:t>
            </w:r>
          </w:p>
        </w:tc>
        <w:tc>
          <w:tcPr>
            <w:tcW w:w="1130" w:type="dxa"/>
            <w:noWrap/>
            <w:hideMark/>
          </w:tcPr>
          <w:p w14:paraId="0A570D38"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41" w:type="dxa"/>
            <w:noWrap/>
            <w:hideMark/>
          </w:tcPr>
          <w:p w14:paraId="48A2E0A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274" w:type="dxa"/>
            <w:noWrap/>
            <w:hideMark/>
          </w:tcPr>
          <w:p w14:paraId="2B905EA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Not serious</w:t>
            </w:r>
          </w:p>
        </w:tc>
        <w:tc>
          <w:tcPr>
            <w:tcW w:w="1134" w:type="dxa"/>
            <w:noWrap/>
            <w:hideMark/>
          </w:tcPr>
          <w:p w14:paraId="5C8CD2AF"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Serious</w:t>
            </w:r>
          </w:p>
        </w:tc>
        <w:tc>
          <w:tcPr>
            <w:tcW w:w="1417" w:type="dxa"/>
            <w:noWrap/>
            <w:hideMark/>
          </w:tcPr>
          <w:p w14:paraId="217B7A7D"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Likely</w:t>
            </w:r>
          </w:p>
        </w:tc>
        <w:tc>
          <w:tcPr>
            <w:tcW w:w="1700" w:type="dxa"/>
            <w:noWrap/>
            <w:hideMark/>
          </w:tcPr>
          <w:p w14:paraId="1916CB01"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Large effect</w:t>
            </w:r>
          </w:p>
        </w:tc>
        <w:tc>
          <w:tcPr>
            <w:tcW w:w="934" w:type="dxa"/>
            <w:noWrap/>
            <w:hideMark/>
          </w:tcPr>
          <w:p w14:paraId="1A76A4AE"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color w:val="000000"/>
                <w:sz w:val="16"/>
                <w:szCs w:val="16"/>
              </w:rPr>
              <w:t>Very low</w:t>
            </w:r>
          </w:p>
        </w:tc>
      </w:tr>
      <w:tr w:rsidR="00394B52" w:rsidRPr="00394B52" w14:paraId="1834AFD7" w14:textId="77777777" w:rsidTr="00E01118">
        <w:trPr>
          <w:trHeight w:val="422"/>
        </w:trPr>
        <w:tc>
          <w:tcPr>
            <w:tcW w:w="15388" w:type="dxa"/>
            <w:gridSpan w:val="11"/>
            <w:noWrap/>
          </w:tcPr>
          <w:p w14:paraId="76A7A367" w14:textId="77777777" w:rsidR="00394B52" w:rsidRPr="00394B52" w:rsidRDefault="00394B52" w:rsidP="00394B52">
            <w:pPr>
              <w:spacing w:after="0" w:line="240" w:lineRule="auto"/>
              <w:rPr>
                <w:rFonts w:ascii="Times" w:hAnsi="Times" w:cs="Times"/>
                <w:color w:val="000000"/>
                <w:sz w:val="16"/>
                <w:szCs w:val="16"/>
              </w:rPr>
            </w:pPr>
            <w:r w:rsidRPr="00394B52">
              <w:rPr>
                <w:rFonts w:ascii="Times" w:hAnsi="Times" w:cs="Times" w:hint="eastAsia"/>
                <w:color w:val="000000"/>
                <w:sz w:val="16"/>
                <w:szCs w:val="16"/>
              </w:rPr>
              <w:t xml:space="preserve">Abbreviations: </w:t>
            </w:r>
            <w:r w:rsidRPr="00394B52">
              <w:rPr>
                <w:rFonts w:ascii="Times New Roman" w:eastAsia="Malgun Gothic" w:hAnsi="Times New Roman" w:cs="Times New Roman"/>
                <w:color w:val="000000"/>
                <w:kern w:val="0"/>
                <w:sz w:val="16"/>
                <w:szCs w:val="16"/>
              </w:rPr>
              <w:t>k, number of study estimates</w:t>
            </w:r>
          </w:p>
        </w:tc>
      </w:tr>
    </w:tbl>
    <w:p w14:paraId="384A83AD" w14:textId="77777777" w:rsidR="00394B52" w:rsidRPr="00394B52" w:rsidRDefault="00394B52" w:rsidP="00394B52">
      <w:pPr>
        <w:widowControl/>
        <w:wordWrap/>
        <w:autoSpaceDE/>
        <w:autoSpaceDN/>
        <w:rPr>
          <w:rFonts w:ascii="Times" w:hAnsi="Times" w:cs="Times"/>
        </w:rPr>
      </w:pPr>
    </w:p>
    <w:p w14:paraId="1DAA6302" w14:textId="77777777" w:rsidR="00394B52" w:rsidRPr="00394B52" w:rsidRDefault="00394B52" w:rsidP="00394B52">
      <w:pPr>
        <w:widowControl/>
        <w:wordWrap/>
        <w:autoSpaceDE/>
        <w:autoSpaceDN/>
        <w:rPr>
          <w:rFonts w:ascii="Times" w:hAnsi="Times" w:cs="Times"/>
        </w:rPr>
      </w:pPr>
    </w:p>
    <w:p w14:paraId="2CA5116E" w14:textId="77777777" w:rsidR="00394B52" w:rsidRPr="00394B52" w:rsidRDefault="00394B52" w:rsidP="00394B52">
      <w:pPr>
        <w:widowControl/>
        <w:wordWrap/>
        <w:autoSpaceDE/>
        <w:autoSpaceDN/>
        <w:rPr>
          <w:rFonts w:ascii="Times" w:hAnsi="Times" w:cs="Times"/>
        </w:rPr>
      </w:pPr>
    </w:p>
    <w:p w14:paraId="539A6A4C" w14:textId="77777777" w:rsidR="00394B52" w:rsidRPr="00394B52" w:rsidRDefault="00394B52" w:rsidP="00394B52">
      <w:pPr>
        <w:widowControl/>
        <w:wordWrap/>
        <w:autoSpaceDE/>
        <w:autoSpaceDN/>
        <w:rPr>
          <w:rFonts w:ascii="Times" w:hAnsi="Times" w:cs="Times"/>
        </w:rPr>
      </w:pPr>
      <w:r w:rsidRPr="00394B52">
        <w:rPr>
          <w:rFonts w:ascii="Times" w:hAnsi="Times" w:cs="Times"/>
        </w:rPr>
        <w:br w:type="page"/>
      </w:r>
    </w:p>
    <w:p w14:paraId="65ECCE6F" w14:textId="77777777" w:rsidR="00394B52" w:rsidRPr="00394B52" w:rsidRDefault="00394B52" w:rsidP="00394B52">
      <w:pPr>
        <w:widowControl/>
        <w:wordWrap/>
        <w:autoSpaceDE/>
        <w:autoSpaceDN/>
        <w:rPr>
          <w:rFonts w:ascii="Times" w:hAnsi="Times" w:cs="Times"/>
        </w:rPr>
        <w:sectPr w:rsidR="00394B52" w:rsidRPr="00394B52" w:rsidSect="00BD18CC">
          <w:pgSz w:w="16838" w:h="11906" w:orient="landscape"/>
          <w:pgMar w:top="720" w:right="720" w:bottom="720" w:left="720" w:header="851" w:footer="992" w:gutter="0"/>
          <w:cols w:space="425"/>
          <w:docGrid w:linePitch="360"/>
        </w:sectPr>
      </w:pPr>
    </w:p>
    <w:p w14:paraId="48B85695" w14:textId="77777777" w:rsidR="00394B52" w:rsidRPr="00394B52" w:rsidRDefault="00394B52" w:rsidP="00394B52">
      <w:pPr>
        <w:rPr>
          <w:rFonts w:ascii="Times New Roman" w:hAnsi="Times New Roman" w:cs="Times New Roman"/>
          <w:b/>
          <w:bCs/>
          <w:szCs w:val="20"/>
        </w:rPr>
      </w:pPr>
      <w:r w:rsidRPr="00394B52">
        <w:rPr>
          <w:rFonts w:ascii="Times New Roman" w:hAnsi="Times New Roman" w:cs="Times New Roman"/>
          <w:b/>
          <w:bCs/>
          <w:szCs w:val="20"/>
        </w:rPr>
        <w:lastRenderedPageBreak/>
        <w:t>Figure S1. Antenatal anxiety (Forest plot, funnel plot, p curve analysis plot)</w:t>
      </w:r>
    </w:p>
    <w:p w14:paraId="62DE7F4C" w14:textId="77777777" w:rsidR="00394B52" w:rsidRPr="00394B52" w:rsidRDefault="00394B52" w:rsidP="00394B52">
      <w:pPr>
        <w:rPr>
          <w:rFonts w:ascii="Times New Roman" w:hAnsi="Times New Roman" w:cs="Times New Roman"/>
          <w:szCs w:val="20"/>
        </w:rPr>
      </w:pPr>
      <w:r w:rsidRPr="00394B52">
        <w:rPr>
          <w:rFonts w:ascii="Times New Roman" w:hAnsi="Times New Roman" w:cs="Times New Roman"/>
          <w:szCs w:val="20"/>
        </w:rPr>
        <w:t>1) Forest plot</w:t>
      </w:r>
    </w:p>
    <w:p w14:paraId="0CC67967" w14:textId="77777777" w:rsidR="00394B52" w:rsidRPr="00394B52" w:rsidRDefault="00394B52" w:rsidP="00394B52">
      <w:pPr>
        <w:jc w:val="center"/>
        <w:rPr>
          <w:rFonts w:ascii="Times New Roman" w:hAnsi="Times New Roman" w:cs="Times New Roman"/>
          <w:sz w:val="16"/>
          <w:szCs w:val="16"/>
        </w:rPr>
      </w:pPr>
      <w:r w:rsidRPr="00394B52">
        <w:rPr>
          <w:rFonts w:ascii="Times New Roman" w:hAnsi="Times New Roman" w:cs="Times New Roman"/>
          <w:noProof/>
          <w:sz w:val="16"/>
          <w:szCs w:val="16"/>
        </w:rPr>
        <w:drawing>
          <wp:inline distT="0" distB="0" distL="0" distR="0" wp14:anchorId="1B64C840" wp14:editId="0462EEFC">
            <wp:extent cx="6219646" cy="3674853"/>
            <wp:effectExtent l="0" t="0" r="0" b="1905"/>
            <wp:docPr id="354" name="그림 354" descr="A picture containing chart&#10;&#10;Description automatically generated"/>
            <wp:cNvGraphicFramePr/>
            <a:graphic xmlns:a="http://schemas.openxmlformats.org/drawingml/2006/main">
              <a:graphicData uri="http://schemas.openxmlformats.org/drawingml/2006/picture">
                <pic:pic xmlns:pic="http://schemas.openxmlformats.org/drawingml/2006/picture">
                  <pic:nvPicPr>
                    <pic:cNvPr id="354" name="그림 354" descr="A picture containing char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6221386" cy="3675881"/>
                    </a:xfrm>
                    <a:prstGeom prst="rect">
                      <a:avLst/>
                    </a:prstGeom>
                  </pic:spPr>
                </pic:pic>
              </a:graphicData>
            </a:graphic>
          </wp:inline>
        </w:drawing>
      </w:r>
    </w:p>
    <w:p w14:paraId="352C2262" w14:textId="77777777" w:rsidR="00394B52" w:rsidRPr="00394B52" w:rsidRDefault="00394B52" w:rsidP="00394B52">
      <w:pPr>
        <w:rPr>
          <w:rFonts w:ascii="Times New Roman" w:hAnsi="Times New Roman" w:cs="Times New Roman"/>
          <w:szCs w:val="20"/>
        </w:rPr>
      </w:pPr>
      <w:r w:rsidRPr="00394B52">
        <w:rPr>
          <w:rFonts w:ascii="Times New Roman" w:hAnsi="Times New Roman" w:cs="Times New Roman"/>
          <w:szCs w:val="20"/>
        </w:rPr>
        <w:t>2) Funnel plot</w:t>
      </w:r>
    </w:p>
    <w:p w14:paraId="792FEBC1" w14:textId="77777777" w:rsidR="00394B52" w:rsidRPr="00394B52" w:rsidRDefault="00394B52" w:rsidP="00394B52">
      <w:pPr>
        <w:rPr>
          <w:rFonts w:ascii="Times New Roman" w:hAnsi="Times New Roman" w:cs="Times New Roman"/>
          <w:sz w:val="16"/>
          <w:szCs w:val="16"/>
        </w:rPr>
      </w:pPr>
      <w:r w:rsidRPr="00394B52">
        <w:rPr>
          <w:rFonts w:ascii="Times New Roman" w:hAnsi="Times New Roman" w:cs="Times New Roman"/>
          <w:noProof/>
          <w:sz w:val="16"/>
          <w:szCs w:val="16"/>
        </w:rPr>
        <w:lastRenderedPageBreak/>
        <w:drawing>
          <wp:inline distT="0" distB="0" distL="0" distR="0" wp14:anchorId="6276E1B5" wp14:editId="05BDC462">
            <wp:extent cx="6523990" cy="4152900"/>
            <wp:effectExtent l="0" t="0" r="0" b="0"/>
            <wp:docPr id="355" name="그림 355"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55" name="그림 355" descr="Chart&#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6523990" cy="4152900"/>
                    </a:xfrm>
                    <a:prstGeom prst="rect">
                      <a:avLst/>
                    </a:prstGeom>
                  </pic:spPr>
                </pic:pic>
              </a:graphicData>
            </a:graphic>
          </wp:inline>
        </w:drawing>
      </w:r>
    </w:p>
    <w:p w14:paraId="3E74495E" w14:textId="77777777" w:rsidR="00394B52" w:rsidRPr="00394B52" w:rsidRDefault="00394B52" w:rsidP="00394B52">
      <w:pPr>
        <w:widowControl/>
        <w:wordWrap/>
        <w:autoSpaceDE/>
        <w:autoSpaceDN/>
        <w:rPr>
          <w:rFonts w:ascii="Times New Roman" w:hAnsi="Times New Roman" w:cs="Times New Roman"/>
          <w:sz w:val="16"/>
          <w:szCs w:val="16"/>
        </w:rPr>
      </w:pPr>
      <w:r w:rsidRPr="00394B52">
        <w:rPr>
          <w:rFonts w:ascii="Times New Roman" w:hAnsi="Times New Roman" w:cs="Times New Roman"/>
          <w:sz w:val="16"/>
          <w:szCs w:val="16"/>
        </w:rPr>
        <w:br w:type="page"/>
      </w:r>
    </w:p>
    <w:p w14:paraId="0E2F778A" w14:textId="77777777" w:rsidR="00394B52" w:rsidRPr="00394B52" w:rsidRDefault="00394B52" w:rsidP="00394B52">
      <w:pPr>
        <w:rPr>
          <w:rFonts w:ascii="Times New Roman" w:hAnsi="Times New Roman" w:cs="Times New Roman"/>
          <w:szCs w:val="20"/>
        </w:rPr>
      </w:pPr>
      <w:r w:rsidRPr="00394B52">
        <w:rPr>
          <w:rFonts w:ascii="Times New Roman" w:hAnsi="Times New Roman" w:cs="Times New Roman"/>
          <w:szCs w:val="20"/>
        </w:rPr>
        <w:lastRenderedPageBreak/>
        <w:t>3) P curve analysis plot</w:t>
      </w:r>
    </w:p>
    <w:p w14:paraId="4E099B2F" w14:textId="77777777" w:rsidR="00394B52" w:rsidRPr="00394B52" w:rsidRDefault="00394B52" w:rsidP="00394B52">
      <w:pPr>
        <w:rPr>
          <w:rFonts w:ascii="Times New Roman" w:hAnsi="Times New Roman" w:cs="Times New Roman"/>
          <w:sz w:val="16"/>
          <w:szCs w:val="16"/>
        </w:rPr>
      </w:pPr>
      <w:r w:rsidRPr="00394B52">
        <w:rPr>
          <w:rFonts w:ascii="Times New Roman" w:hAnsi="Times New Roman" w:cs="Times New Roman"/>
          <w:noProof/>
          <w:sz w:val="16"/>
          <w:szCs w:val="16"/>
        </w:rPr>
        <w:drawing>
          <wp:inline distT="0" distB="0" distL="0" distR="0" wp14:anchorId="5C239F18" wp14:editId="5D9B3E19">
            <wp:extent cx="6840220" cy="4559935"/>
            <wp:effectExtent l="0" t="0" r="0" b="0"/>
            <wp:docPr id="356" name="그림 356"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356" name="그림 356" descr="Chart, line char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r w:rsidRPr="00394B52">
        <w:rPr>
          <w:rFonts w:ascii="Times New Roman" w:hAnsi="Times New Roman" w:cs="Times New Roman" w:hint="eastAsia"/>
          <w:sz w:val="16"/>
          <w:szCs w:val="16"/>
        </w:rPr>
        <w:t>s</w:t>
      </w:r>
    </w:p>
    <w:p w14:paraId="619340CD" w14:textId="77777777" w:rsidR="00394B52" w:rsidRPr="00394B52" w:rsidRDefault="00394B52" w:rsidP="00394B52">
      <w:pPr>
        <w:widowControl/>
        <w:wordWrap/>
        <w:autoSpaceDE/>
        <w:autoSpaceDN/>
        <w:rPr>
          <w:rFonts w:ascii="Times New Roman" w:hAnsi="Times New Roman" w:cs="Times New Roman"/>
          <w:sz w:val="16"/>
          <w:szCs w:val="16"/>
        </w:rPr>
      </w:pPr>
      <w:r w:rsidRPr="00394B52">
        <w:rPr>
          <w:rFonts w:ascii="Times New Roman" w:hAnsi="Times New Roman" w:cs="Times New Roman"/>
          <w:sz w:val="16"/>
          <w:szCs w:val="16"/>
        </w:rPr>
        <w:br w:type="page"/>
      </w:r>
    </w:p>
    <w:p w14:paraId="6929D36F"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S2. Psychological violence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04A136CC"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37BFF20C"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27AA31E1" wp14:editId="474854B0">
            <wp:extent cx="6840220" cy="4559935"/>
            <wp:effectExtent l="0" t="0" r="0" b="0"/>
            <wp:docPr id="357" name="그림 357" descr="A picture containing table&#10;&#10;Description automatically generated"/>
            <wp:cNvGraphicFramePr/>
            <a:graphic xmlns:a="http://schemas.openxmlformats.org/drawingml/2006/main">
              <a:graphicData uri="http://schemas.openxmlformats.org/drawingml/2006/picture">
                <pic:pic xmlns:pic="http://schemas.openxmlformats.org/drawingml/2006/picture">
                  <pic:nvPicPr>
                    <pic:cNvPr id="357" name="그림 357" descr="A picture containing table&#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59B58A34"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2483D08C"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3CE5B682" wp14:editId="53977982">
            <wp:extent cx="6411433" cy="3955312"/>
            <wp:effectExtent l="0" t="0" r="8890" b="7620"/>
            <wp:docPr id="358" name="그림 358"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58" name="그림 358" descr="Chart&#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6416104" cy="3958193"/>
                    </a:xfrm>
                    <a:prstGeom prst="rect">
                      <a:avLst/>
                    </a:prstGeom>
                  </pic:spPr>
                </pic:pic>
              </a:graphicData>
            </a:graphic>
          </wp:inline>
        </w:drawing>
      </w:r>
    </w:p>
    <w:p w14:paraId="6FE454A9"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2590D460"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751D59B9" wp14:editId="020804D3">
            <wp:extent cx="6840220" cy="4559935"/>
            <wp:effectExtent l="0" t="0" r="0" b="0"/>
            <wp:docPr id="359" name="그림 359"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359" name="그림 359" descr="Chart, line char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40303FD1"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160CFFB5"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S3. Intimate partner violence experience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0BBA80DF"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0CEEB4BF"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08ADB473" wp14:editId="0AF05030">
            <wp:extent cx="6496493" cy="4210493"/>
            <wp:effectExtent l="0" t="0" r="0" b="0"/>
            <wp:docPr id="360" name="그림 360"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360" name="그림 360" descr="Table&#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6499297" cy="4212310"/>
                    </a:xfrm>
                    <a:prstGeom prst="rect">
                      <a:avLst/>
                    </a:prstGeom>
                  </pic:spPr>
                </pic:pic>
              </a:graphicData>
            </a:graphic>
          </wp:inline>
        </w:drawing>
      </w:r>
    </w:p>
    <w:p w14:paraId="3C98ACAC"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48251F8C"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4040F295" wp14:editId="16A70EB5">
            <wp:extent cx="6400800" cy="4040373"/>
            <wp:effectExtent l="0" t="0" r="0" b="0"/>
            <wp:docPr id="361" name="그림 361"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61" name="그림 361" descr="Chart&#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6403568" cy="4042121"/>
                    </a:xfrm>
                    <a:prstGeom prst="rect">
                      <a:avLst/>
                    </a:prstGeom>
                  </pic:spPr>
                </pic:pic>
              </a:graphicData>
            </a:graphic>
          </wp:inline>
        </w:drawing>
      </w:r>
    </w:p>
    <w:p w14:paraId="53380843"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27A1DA58" w14:textId="77777777" w:rsidR="00394B52" w:rsidRPr="00394B52" w:rsidRDefault="00394B52" w:rsidP="00394B52">
      <w:pPr>
        <w:rPr>
          <w:rFonts w:ascii="Times" w:hAnsi="Times" w:cs="Times"/>
          <w:szCs w:val="20"/>
        </w:rPr>
      </w:pPr>
      <w:r w:rsidRPr="00394B52">
        <w:rPr>
          <w:rFonts w:ascii="Times" w:hAnsi="Times" w:cs="Times"/>
          <w:szCs w:val="20"/>
        </w:rPr>
        <w:lastRenderedPageBreak/>
        <w:t>3) P curve analysis plot</w:t>
      </w:r>
    </w:p>
    <w:p w14:paraId="074219F2"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21EBFAC4" wp14:editId="74FFEFD7">
            <wp:extent cx="6840220" cy="4559935"/>
            <wp:effectExtent l="0" t="0" r="0" b="0"/>
            <wp:docPr id="362" name="그림 362"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362" name="그림 362" descr="Chart, line chart&#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0DEA0054"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651B5ED2"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S4. Intimate partner violence during pregnancy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661182FE"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48DB28E8"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19A1059E" wp14:editId="51613146">
            <wp:extent cx="6840220" cy="4559935"/>
            <wp:effectExtent l="0" t="0" r="0" b="0"/>
            <wp:docPr id="363" name="그림 363"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363" name="그림 363" descr="Table&#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1ABD35EF"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67CAC9A5"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18AC3116" wp14:editId="20E3C6A0">
            <wp:extent cx="5986130" cy="3753294"/>
            <wp:effectExtent l="0" t="0" r="0" b="0"/>
            <wp:docPr id="364" name="그림 364"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64" name="그림 364" descr="Chart&#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5994562" cy="3758581"/>
                    </a:xfrm>
                    <a:prstGeom prst="rect">
                      <a:avLst/>
                    </a:prstGeom>
                  </pic:spPr>
                </pic:pic>
              </a:graphicData>
            </a:graphic>
          </wp:inline>
        </w:drawing>
      </w:r>
    </w:p>
    <w:p w14:paraId="69A6A524"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391A4CFD" w14:textId="77777777" w:rsidR="00394B52" w:rsidRPr="00394B52" w:rsidRDefault="00394B52" w:rsidP="00394B52">
      <w:pPr>
        <w:rPr>
          <w:rFonts w:ascii="Times" w:hAnsi="Times" w:cs="Times"/>
          <w:szCs w:val="20"/>
        </w:rPr>
      </w:pPr>
      <w:r w:rsidRPr="00394B52">
        <w:rPr>
          <w:rFonts w:ascii="Times" w:hAnsi="Times" w:cs="Times"/>
          <w:szCs w:val="20"/>
        </w:rPr>
        <w:lastRenderedPageBreak/>
        <w:t>3) P curve analysis plot</w:t>
      </w:r>
    </w:p>
    <w:p w14:paraId="410869DD"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5D47B35A" wp14:editId="22B86B9F">
            <wp:extent cx="6840220" cy="4559935"/>
            <wp:effectExtent l="0" t="0" r="0" b="0"/>
            <wp:docPr id="365" name="그림 365" descr="Chart, line char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365" name="그림 365" descr="Chart, line chart&#10;&#10;Description automatically generated with medium confidence"/>
                    <pic:cNvPicPr/>
                  </pic:nvPicPr>
                  <pic:blipFill>
                    <a:blip r:embed="rId23">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7AD228F6"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6B7A51DC"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S5. Smoking during pregnancy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4EA365B9"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6D824D56"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18058A22" wp14:editId="2790E5E3">
            <wp:extent cx="6840220" cy="4559935"/>
            <wp:effectExtent l="0" t="0" r="0" b="0"/>
            <wp:docPr id="366" name="그림 366"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366" name="그림 366" descr="Table&#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3ADDC1FF"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686820E3"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7CCFFD65" wp14:editId="5238F3EA">
            <wp:extent cx="6145619" cy="4082903"/>
            <wp:effectExtent l="0" t="0" r="7620" b="0"/>
            <wp:docPr id="367" name="그림 367"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67" name="그림 367" descr="Chart&#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6148312" cy="4084692"/>
                    </a:xfrm>
                    <a:prstGeom prst="rect">
                      <a:avLst/>
                    </a:prstGeom>
                  </pic:spPr>
                </pic:pic>
              </a:graphicData>
            </a:graphic>
          </wp:inline>
        </w:drawing>
      </w:r>
    </w:p>
    <w:p w14:paraId="7DC288B7"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2B03D608"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DF24B52" wp14:editId="0340778A">
            <wp:extent cx="6840220" cy="4559935"/>
            <wp:effectExtent l="0" t="0" r="0" b="0"/>
            <wp:docPr id="368" name="그림 368"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368" name="그림 368" descr="Chart, line chart&#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4D36CCFE"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4A630F2E"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S6. History of premenstrual syndrome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554A288F"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1902CF6B"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5B36883A" wp14:editId="56150186">
            <wp:extent cx="6840220" cy="4559935"/>
            <wp:effectExtent l="0" t="0" r="0" b="0"/>
            <wp:docPr id="369" name="그림 369"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369" name="그림 369" descr="Table&#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1BDBEAB4"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5EC7C305" w14:textId="77777777" w:rsidR="00394B52" w:rsidRPr="00394B52" w:rsidRDefault="00394B52" w:rsidP="00394B52">
      <w:pPr>
        <w:jc w:val="center"/>
        <w:rPr>
          <w:rFonts w:ascii="Times" w:hAnsi="Times" w:cs="Times"/>
          <w:szCs w:val="20"/>
        </w:rPr>
      </w:pPr>
      <w:r w:rsidRPr="00394B52">
        <w:rPr>
          <w:rFonts w:ascii="Times" w:hAnsi="Times" w:cs="Times"/>
          <w:noProof/>
          <w:szCs w:val="20"/>
        </w:rPr>
        <w:lastRenderedPageBreak/>
        <w:drawing>
          <wp:inline distT="0" distB="0" distL="0" distR="0" wp14:anchorId="7EE84419" wp14:editId="2F896BCB">
            <wp:extent cx="6124353" cy="3987209"/>
            <wp:effectExtent l="0" t="0" r="0" b="0"/>
            <wp:docPr id="370" name="그림 370"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70" name="그림 370" descr="Chart&#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6138203" cy="3996226"/>
                    </a:xfrm>
                    <a:prstGeom prst="rect">
                      <a:avLst/>
                    </a:prstGeom>
                  </pic:spPr>
                </pic:pic>
              </a:graphicData>
            </a:graphic>
          </wp:inline>
        </w:drawing>
      </w:r>
    </w:p>
    <w:p w14:paraId="30918988"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5A5603C4"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45F91633" wp14:editId="7FD578FE">
            <wp:extent cx="6840220" cy="4559935"/>
            <wp:effectExtent l="0" t="0" r="0" b="0"/>
            <wp:docPr id="371" name="그림 371"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371" name="그림 371" descr="Chart, line chart&#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30DB5C7B"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6A77B233"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S7. Any type of violence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0CFC2E5D"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418B6579"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3B8F99A4" wp14:editId="0F05FBAD">
            <wp:extent cx="6464595" cy="8665535"/>
            <wp:effectExtent l="0" t="0" r="0" b="2540"/>
            <wp:docPr id="372" name="그림 372" descr="Char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372" name="그림 372" descr="Chart&#10;&#10;Description automatically generated with medium confidence"/>
                    <pic:cNvPicPr/>
                  </pic:nvPicPr>
                  <pic:blipFill>
                    <a:blip r:embed="rId30">
                      <a:extLst>
                        <a:ext uri="{28A0092B-C50C-407E-A947-70E740481C1C}">
                          <a14:useLocalDpi xmlns:a14="http://schemas.microsoft.com/office/drawing/2010/main" val="0"/>
                        </a:ext>
                      </a:extLst>
                    </a:blip>
                    <a:stretch>
                      <a:fillRect/>
                    </a:stretch>
                  </pic:blipFill>
                  <pic:spPr>
                    <a:xfrm>
                      <a:off x="0" y="0"/>
                      <a:ext cx="6468341" cy="8670557"/>
                    </a:xfrm>
                    <a:prstGeom prst="rect">
                      <a:avLst/>
                    </a:prstGeom>
                  </pic:spPr>
                </pic:pic>
              </a:graphicData>
            </a:graphic>
          </wp:inline>
        </w:drawing>
      </w:r>
    </w:p>
    <w:p w14:paraId="1BC0BBEF"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lastRenderedPageBreak/>
        <w:br w:type="page"/>
      </w:r>
    </w:p>
    <w:p w14:paraId="4BF685A8" w14:textId="77777777" w:rsidR="00394B52" w:rsidRPr="00394B52" w:rsidRDefault="00394B52" w:rsidP="00394B52">
      <w:pPr>
        <w:rPr>
          <w:rFonts w:ascii="Times" w:hAnsi="Times" w:cs="Times"/>
          <w:szCs w:val="20"/>
        </w:rPr>
      </w:pPr>
      <w:r w:rsidRPr="00394B52">
        <w:rPr>
          <w:rFonts w:ascii="Times" w:hAnsi="Times" w:cs="Times"/>
          <w:szCs w:val="20"/>
        </w:rPr>
        <w:lastRenderedPageBreak/>
        <w:t>2) Funnel plot</w:t>
      </w:r>
    </w:p>
    <w:p w14:paraId="4B7262F6"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7394E02E" wp14:editId="316937BA">
            <wp:extent cx="6840220" cy="4559935"/>
            <wp:effectExtent l="0" t="0" r="0" b="0"/>
            <wp:docPr id="373" name="그림 373"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73" name="그림 373" descr="Chart&#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7E4B448A"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289165C9"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2C8BAD84" wp14:editId="058C7DB8">
            <wp:extent cx="6464595" cy="4263656"/>
            <wp:effectExtent l="0" t="0" r="0" b="3810"/>
            <wp:docPr id="374" name="그림 374"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374" name="그림 374" descr="Chart, line chart&#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6466460" cy="4264886"/>
                    </a:xfrm>
                    <a:prstGeom prst="rect">
                      <a:avLst/>
                    </a:prstGeom>
                  </pic:spPr>
                </pic:pic>
              </a:graphicData>
            </a:graphic>
          </wp:inline>
        </w:drawing>
      </w:r>
    </w:p>
    <w:p w14:paraId="6CFA890A" w14:textId="77777777" w:rsidR="00394B52" w:rsidRPr="00394B52" w:rsidRDefault="00394B52" w:rsidP="00394B52">
      <w:pPr>
        <w:rPr>
          <w:rFonts w:ascii="Times" w:hAnsi="Times" w:cs="Times"/>
          <w:b/>
          <w:bCs/>
          <w:szCs w:val="20"/>
        </w:rPr>
      </w:pPr>
      <w:r w:rsidRPr="00394B52">
        <w:rPr>
          <w:rFonts w:ascii="Times" w:hAnsi="Times" w:cs="Times"/>
          <w:b/>
          <w:bCs/>
          <w:szCs w:val="20"/>
        </w:rPr>
        <w:t>Figure S8. Primiparity compared to multiparity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6268273D"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50B62A7F"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79BFAA5F" wp14:editId="48F7F6FF">
            <wp:extent cx="6475228" cy="8654903"/>
            <wp:effectExtent l="0" t="0" r="1905" b="0"/>
            <wp:docPr id="375" name="그림 375" descr="Char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375" name="그림 375" descr="Chart&#10;&#10;Description automatically generated with medium confidence"/>
                    <pic:cNvPicPr/>
                  </pic:nvPicPr>
                  <pic:blipFill>
                    <a:blip r:embed="rId33">
                      <a:extLst>
                        <a:ext uri="{28A0092B-C50C-407E-A947-70E740481C1C}">
                          <a14:useLocalDpi xmlns:a14="http://schemas.microsoft.com/office/drawing/2010/main" val="0"/>
                        </a:ext>
                      </a:extLst>
                    </a:blip>
                    <a:stretch>
                      <a:fillRect/>
                    </a:stretch>
                  </pic:blipFill>
                  <pic:spPr>
                    <a:xfrm>
                      <a:off x="0" y="0"/>
                      <a:ext cx="6476994" cy="8657264"/>
                    </a:xfrm>
                    <a:prstGeom prst="rect">
                      <a:avLst/>
                    </a:prstGeom>
                  </pic:spPr>
                </pic:pic>
              </a:graphicData>
            </a:graphic>
          </wp:inline>
        </w:drawing>
      </w:r>
    </w:p>
    <w:p w14:paraId="77893415"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lastRenderedPageBreak/>
        <w:br w:type="page"/>
      </w:r>
    </w:p>
    <w:p w14:paraId="65A003AF" w14:textId="77777777" w:rsidR="00394B52" w:rsidRPr="00394B52" w:rsidRDefault="00394B52" w:rsidP="00394B52">
      <w:pPr>
        <w:rPr>
          <w:rFonts w:ascii="Times" w:hAnsi="Times" w:cs="Times"/>
          <w:szCs w:val="20"/>
        </w:rPr>
      </w:pPr>
      <w:r w:rsidRPr="00394B52">
        <w:rPr>
          <w:rFonts w:ascii="Times" w:hAnsi="Times" w:cs="Times"/>
          <w:szCs w:val="20"/>
        </w:rPr>
        <w:lastRenderedPageBreak/>
        <w:t>2) Funnel plot</w:t>
      </w:r>
    </w:p>
    <w:p w14:paraId="46BA4CBB"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6BCB7178" wp14:editId="76CD0AD1">
            <wp:extent cx="6840220" cy="4559935"/>
            <wp:effectExtent l="0" t="0" r="0" b="0"/>
            <wp:docPr id="376" name="그림 376" descr="Chart, radar chart&#10;&#10;Description automatically generated"/>
            <wp:cNvGraphicFramePr/>
            <a:graphic xmlns:a="http://schemas.openxmlformats.org/drawingml/2006/main">
              <a:graphicData uri="http://schemas.openxmlformats.org/drawingml/2006/picture">
                <pic:pic xmlns:pic="http://schemas.openxmlformats.org/drawingml/2006/picture">
                  <pic:nvPicPr>
                    <pic:cNvPr id="376" name="그림 376" descr="Chart, radar chart&#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741E7AF2"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505F8E06"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3324E871" wp14:editId="29F5FBE9">
            <wp:extent cx="6475228" cy="4104168"/>
            <wp:effectExtent l="0" t="0" r="1905" b="0"/>
            <wp:docPr id="377" name="그림 377"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377" name="그림 377" descr="Chart, line chart&#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6476454" cy="4104945"/>
                    </a:xfrm>
                    <a:prstGeom prst="rect">
                      <a:avLst/>
                    </a:prstGeom>
                  </pic:spPr>
                </pic:pic>
              </a:graphicData>
            </a:graphic>
          </wp:inline>
        </w:drawing>
      </w:r>
    </w:p>
    <w:p w14:paraId="7CD85C9C" w14:textId="77777777" w:rsidR="00394B52" w:rsidRPr="00394B52" w:rsidRDefault="00394B52" w:rsidP="00394B52">
      <w:pPr>
        <w:rPr>
          <w:rFonts w:ascii="Times" w:hAnsi="Times" w:cs="Times"/>
          <w:b/>
          <w:bCs/>
          <w:szCs w:val="20"/>
        </w:rPr>
      </w:pPr>
      <w:r w:rsidRPr="00394B52">
        <w:rPr>
          <w:rFonts w:ascii="Times" w:hAnsi="Times" w:cs="Times"/>
          <w:b/>
          <w:bCs/>
          <w:szCs w:val="20"/>
        </w:rPr>
        <w:t>Figure S9. Unintended pregnancy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1365C41C"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42212E54"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5CCDF0B6" wp14:editId="63985280">
            <wp:extent cx="6273209" cy="8612373"/>
            <wp:effectExtent l="0" t="0" r="0" b="0"/>
            <wp:docPr id="378" name="그림 378"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78" name="그림 378" descr="Chart&#10;&#10;Description automatically generated"/>
                    <pic:cNvPicPr/>
                  </pic:nvPicPr>
                  <pic:blipFill>
                    <a:blip r:embed="rId36">
                      <a:extLst>
                        <a:ext uri="{28A0092B-C50C-407E-A947-70E740481C1C}">
                          <a14:useLocalDpi xmlns:a14="http://schemas.microsoft.com/office/drawing/2010/main" val="0"/>
                        </a:ext>
                      </a:extLst>
                    </a:blip>
                    <a:stretch>
                      <a:fillRect/>
                    </a:stretch>
                  </pic:blipFill>
                  <pic:spPr>
                    <a:xfrm>
                      <a:off x="0" y="0"/>
                      <a:ext cx="6275466" cy="8615472"/>
                    </a:xfrm>
                    <a:prstGeom prst="rect">
                      <a:avLst/>
                    </a:prstGeom>
                  </pic:spPr>
                </pic:pic>
              </a:graphicData>
            </a:graphic>
          </wp:inline>
        </w:drawing>
      </w:r>
    </w:p>
    <w:p w14:paraId="0DFB2349"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lastRenderedPageBreak/>
        <w:br w:type="page"/>
      </w:r>
    </w:p>
    <w:p w14:paraId="76856808" w14:textId="77777777" w:rsidR="00394B52" w:rsidRPr="00394B52" w:rsidRDefault="00394B52" w:rsidP="00394B52">
      <w:pPr>
        <w:rPr>
          <w:rFonts w:ascii="Times" w:hAnsi="Times" w:cs="Times"/>
          <w:szCs w:val="20"/>
        </w:rPr>
      </w:pPr>
      <w:r w:rsidRPr="00394B52">
        <w:rPr>
          <w:rFonts w:ascii="Times" w:hAnsi="Times" w:cs="Times"/>
          <w:szCs w:val="20"/>
        </w:rPr>
        <w:lastRenderedPageBreak/>
        <w:t>2) Funnel plot</w:t>
      </w:r>
    </w:p>
    <w:p w14:paraId="76F4E3CE"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65A1F747" wp14:editId="11984586">
            <wp:extent cx="6840220" cy="4559935"/>
            <wp:effectExtent l="0" t="0" r="0" b="0"/>
            <wp:docPr id="379" name="그림 379"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79" name="그림 379" descr="Chart&#10;&#10;Description automatically generated"/>
                    <pic:cNvPicPr/>
                  </pic:nvPicPr>
                  <pic:blipFill>
                    <a:blip r:embed="rId37">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2BD43B11"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07EABDF1"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19AFDA48" wp14:editId="0A55C344">
            <wp:extent cx="6411433" cy="4231759"/>
            <wp:effectExtent l="0" t="0" r="8890" b="0"/>
            <wp:docPr id="380" name="그림 380" descr="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380" name="그림 380" descr="Line chart&#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6415364" cy="4234354"/>
                    </a:xfrm>
                    <a:prstGeom prst="rect">
                      <a:avLst/>
                    </a:prstGeom>
                  </pic:spPr>
                </pic:pic>
              </a:graphicData>
            </a:graphic>
          </wp:inline>
        </w:drawing>
      </w:r>
    </w:p>
    <w:p w14:paraId="538573F5" w14:textId="77777777" w:rsidR="00394B52" w:rsidRPr="00394B52" w:rsidRDefault="00394B52" w:rsidP="00394B52">
      <w:pPr>
        <w:rPr>
          <w:rFonts w:ascii="Times" w:hAnsi="Times" w:cs="Times"/>
          <w:b/>
          <w:bCs/>
          <w:szCs w:val="20"/>
        </w:rPr>
      </w:pPr>
      <w:r w:rsidRPr="00394B52">
        <w:rPr>
          <w:rFonts w:ascii="Times" w:hAnsi="Times" w:cs="Times"/>
          <w:b/>
          <w:bCs/>
          <w:szCs w:val="20"/>
        </w:rPr>
        <w:t>Figure S10. History of mental disorders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41BE5AB1"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3EAA063A"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1730C9A5" wp14:editId="45B46C6C">
            <wp:extent cx="6294474" cy="4093535"/>
            <wp:effectExtent l="0" t="0" r="0" b="2540"/>
            <wp:docPr id="381" name="그림 381" descr="Table&#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381" name="그림 381" descr="Table&#10;&#10;Description automatically generated with low confidence"/>
                    <pic:cNvPicPr/>
                  </pic:nvPicPr>
                  <pic:blipFill>
                    <a:blip r:embed="rId39">
                      <a:extLst>
                        <a:ext uri="{28A0092B-C50C-407E-A947-70E740481C1C}">
                          <a14:useLocalDpi xmlns:a14="http://schemas.microsoft.com/office/drawing/2010/main" val="0"/>
                        </a:ext>
                      </a:extLst>
                    </a:blip>
                    <a:stretch>
                      <a:fillRect/>
                    </a:stretch>
                  </pic:blipFill>
                  <pic:spPr>
                    <a:xfrm>
                      <a:off x="0" y="0"/>
                      <a:ext cx="6296848" cy="4095079"/>
                    </a:xfrm>
                    <a:prstGeom prst="rect">
                      <a:avLst/>
                    </a:prstGeom>
                  </pic:spPr>
                </pic:pic>
              </a:graphicData>
            </a:graphic>
          </wp:inline>
        </w:drawing>
      </w:r>
    </w:p>
    <w:p w14:paraId="1BBDB551"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57E19A86"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35B04EE4" wp14:editId="47CF4AA2">
            <wp:extent cx="6400800" cy="4199861"/>
            <wp:effectExtent l="0" t="0" r="0" b="0"/>
            <wp:docPr id="382" name="그림 382"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82" name="그림 382" descr="Chart&#10;&#10;Description automatically generated"/>
                    <pic:cNvPicPr/>
                  </pic:nvPicPr>
                  <pic:blipFill>
                    <a:blip r:embed="rId40">
                      <a:extLst>
                        <a:ext uri="{28A0092B-C50C-407E-A947-70E740481C1C}">
                          <a14:useLocalDpi xmlns:a14="http://schemas.microsoft.com/office/drawing/2010/main" val="0"/>
                        </a:ext>
                      </a:extLst>
                    </a:blip>
                    <a:stretch>
                      <a:fillRect/>
                    </a:stretch>
                  </pic:blipFill>
                  <pic:spPr>
                    <a:xfrm>
                      <a:off x="0" y="0"/>
                      <a:ext cx="6403769" cy="4201809"/>
                    </a:xfrm>
                    <a:prstGeom prst="rect">
                      <a:avLst/>
                    </a:prstGeom>
                  </pic:spPr>
                </pic:pic>
              </a:graphicData>
            </a:graphic>
          </wp:inline>
        </w:drawing>
      </w:r>
    </w:p>
    <w:p w14:paraId="04F1E611"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4F13D66B" w14:textId="77777777" w:rsidR="00394B52" w:rsidRPr="00394B52" w:rsidRDefault="00394B52" w:rsidP="00394B52">
      <w:pPr>
        <w:rPr>
          <w:rFonts w:ascii="Times" w:hAnsi="Times" w:cs="Times"/>
          <w:szCs w:val="20"/>
        </w:rPr>
      </w:pPr>
      <w:r w:rsidRPr="00394B52">
        <w:rPr>
          <w:rFonts w:ascii="Times" w:hAnsi="Times" w:cs="Times"/>
          <w:szCs w:val="20"/>
        </w:rPr>
        <w:lastRenderedPageBreak/>
        <w:t>3) P curve analysis plot</w:t>
      </w:r>
    </w:p>
    <w:p w14:paraId="4715A235"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766EFF77" wp14:editId="1B4B7789">
            <wp:extent cx="6840220" cy="4559935"/>
            <wp:effectExtent l="0" t="0" r="0" b="0"/>
            <wp:docPr id="383" name="그림 383" descr="Line chart&#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383" name="그림 383" descr="Line chart&#10;&#10;Description automatically generated with low confidence"/>
                    <pic:cNvPicPr/>
                  </pic:nvPicPr>
                  <pic:blipFill>
                    <a:blip r:embed="rId41">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23FCB534"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30C05F96"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S11. Intimate partner violence in the past year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5F1FD335"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62F690A9"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39358DA0" wp14:editId="5686F835">
            <wp:extent cx="6840220" cy="4559935"/>
            <wp:effectExtent l="0" t="0" r="0" b="0"/>
            <wp:docPr id="384" name="그림 384"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384" name="그림 384" descr="Table&#10;&#10;Description automatically generated"/>
                    <pic:cNvPicPr/>
                  </pic:nvPicPr>
                  <pic:blipFill>
                    <a:blip r:embed="rId42">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28189FA1"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53B09D1B"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12ECF53B" wp14:editId="27888218">
            <wp:extent cx="6315740" cy="3976577"/>
            <wp:effectExtent l="0" t="0" r="8890" b="5080"/>
            <wp:docPr id="385" name="그림 385"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85" name="그림 385" descr="Chart&#10;&#10;Description automatically generated"/>
                    <pic:cNvPicPr/>
                  </pic:nvPicPr>
                  <pic:blipFill>
                    <a:blip r:embed="rId43">
                      <a:extLst>
                        <a:ext uri="{28A0092B-C50C-407E-A947-70E740481C1C}">
                          <a14:useLocalDpi xmlns:a14="http://schemas.microsoft.com/office/drawing/2010/main" val="0"/>
                        </a:ext>
                      </a:extLst>
                    </a:blip>
                    <a:stretch>
                      <a:fillRect/>
                    </a:stretch>
                  </pic:blipFill>
                  <pic:spPr>
                    <a:xfrm>
                      <a:off x="0" y="0"/>
                      <a:ext cx="6319554" cy="3978978"/>
                    </a:xfrm>
                    <a:prstGeom prst="rect">
                      <a:avLst/>
                    </a:prstGeom>
                  </pic:spPr>
                </pic:pic>
              </a:graphicData>
            </a:graphic>
          </wp:inline>
        </w:drawing>
      </w:r>
    </w:p>
    <w:p w14:paraId="398808CC"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32C65AD8"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3AF3AC42" wp14:editId="31243C24">
            <wp:extent cx="6840220" cy="4559935"/>
            <wp:effectExtent l="0" t="0" r="0" b="0"/>
            <wp:docPr id="386" name="그림 386"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386" name="그림 386" descr="Chart, line chart&#10;&#10;Description automatically generated"/>
                    <pic:cNvPicPr/>
                  </pic:nvPicPr>
                  <pic:blipFill>
                    <a:blip r:embed="rId44">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7E97D70C"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2221EB9C"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S12. Preterm birth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0A588A14"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01B5E2E8"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5623F496" wp14:editId="3C6B1195">
            <wp:extent cx="6840220" cy="4559935"/>
            <wp:effectExtent l="0" t="0" r="0" b="0"/>
            <wp:docPr id="387" name="그림 387"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87" name="그림 387" descr="Chart&#10;&#10;Description automatically generated"/>
                    <pic:cNvPicPr/>
                  </pic:nvPicPr>
                  <pic:blipFill>
                    <a:blip r:embed="rId45">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39CE9641"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45670964"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728E5AF7" wp14:editId="5A44ADC4">
            <wp:extent cx="6283842" cy="3923414"/>
            <wp:effectExtent l="0" t="0" r="3175" b="1270"/>
            <wp:docPr id="388" name="그림 388"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88" name="그림 388" descr="Chart&#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6287263" cy="3925550"/>
                    </a:xfrm>
                    <a:prstGeom prst="rect">
                      <a:avLst/>
                    </a:prstGeom>
                  </pic:spPr>
                </pic:pic>
              </a:graphicData>
            </a:graphic>
          </wp:inline>
        </w:drawing>
      </w:r>
    </w:p>
    <w:p w14:paraId="1CE020A4"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5D50E8DA"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17CB11BF" wp14:editId="6474822F">
            <wp:extent cx="6840220" cy="4559935"/>
            <wp:effectExtent l="0" t="0" r="0" b="0"/>
            <wp:docPr id="389" name="그림 389"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389" name="그림 389" descr="Chart, line chart&#10;&#10;Description automatically generated"/>
                    <pic:cNvPicPr/>
                  </pic:nvPicPr>
                  <pic:blipFill>
                    <a:blip r:embed="rId47">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0401D2A8"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54FB3A3E"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S13. Perinatal anemia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44F633BD"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342BC3FC"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64B32EF2" wp14:editId="491CED01">
            <wp:extent cx="6840220" cy="4559935"/>
            <wp:effectExtent l="0" t="0" r="0" b="0"/>
            <wp:docPr id="390" name="그림 390"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390" name="그림 390" descr="Table&#10;&#10;Description automatically generated"/>
                    <pic:cNvPicPr/>
                  </pic:nvPicPr>
                  <pic:blipFill>
                    <a:blip r:embed="rId48">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0E0A6AB9"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40ACFC52"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75BD1933" wp14:editId="727CB18F">
            <wp:extent cx="6251944" cy="3870252"/>
            <wp:effectExtent l="0" t="0" r="0" b="0"/>
            <wp:docPr id="391" name="그림 391" descr="Chart, radar chart&#10;&#10;Description automatically generated"/>
            <wp:cNvGraphicFramePr/>
            <a:graphic xmlns:a="http://schemas.openxmlformats.org/drawingml/2006/main">
              <a:graphicData uri="http://schemas.openxmlformats.org/drawingml/2006/picture">
                <pic:pic xmlns:pic="http://schemas.openxmlformats.org/drawingml/2006/picture">
                  <pic:nvPicPr>
                    <pic:cNvPr id="391" name="그림 391" descr="Chart, radar chart&#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6254972" cy="3872126"/>
                    </a:xfrm>
                    <a:prstGeom prst="rect">
                      <a:avLst/>
                    </a:prstGeom>
                  </pic:spPr>
                </pic:pic>
              </a:graphicData>
            </a:graphic>
          </wp:inline>
        </w:drawing>
      </w:r>
    </w:p>
    <w:p w14:paraId="4758A9B5"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2F736F61"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34B4BADA" wp14:editId="1471196F">
            <wp:extent cx="6840220" cy="4559935"/>
            <wp:effectExtent l="0" t="0" r="0" b="0"/>
            <wp:docPr id="392" name="그림 392"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392" name="그림 392" descr="Chart, line chart&#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7A84A1EB"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4D44B1BA"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S14. Domestic violence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5F630210"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74530350"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51E981CD" wp14:editId="06258472">
            <wp:extent cx="6840220" cy="4559935"/>
            <wp:effectExtent l="0" t="0" r="0" b="0"/>
            <wp:docPr id="393" name="그림 393" descr="A picture containing chart&#10;&#10;Description automatically generated"/>
            <wp:cNvGraphicFramePr/>
            <a:graphic xmlns:a="http://schemas.openxmlformats.org/drawingml/2006/main">
              <a:graphicData uri="http://schemas.openxmlformats.org/drawingml/2006/picture">
                <pic:pic xmlns:pic="http://schemas.openxmlformats.org/drawingml/2006/picture">
                  <pic:nvPicPr>
                    <pic:cNvPr id="393" name="그림 393" descr="A picture containing chart&#10;&#10;Description automatically generated"/>
                    <pic:cNvPicPr/>
                  </pic:nvPicPr>
                  <pic:blipFill>
                    <a:blip r:embed="rId51">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2FB31CA8"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055F37F8"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856BD43" wp14:editId="62A7A7DA">
            <wp:extent cx="6273209" cy="3987210"/>
            <wp:effectExtent l="0" t="0" r="0" b="0"/>
            <wp:docPr id="394" name="그림 394"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94" name="그림 394" descr="Chart&#10;&#10;Description automatically generated"/>
                    <pic:cNvPicPr/>
                  </pic:nvPicPr>
                  <pic:blipFill>
                    <a:blip r:embed="rId52">
                      <a:extLst>
                        <a:ext uri="{28A0092B-C50C-407E-A947-70E740481C1C}">
                          <a14:useLocalDpi xmlns:a14="http://schemas.microsoft.com/office/drawing/2010/main" val="0"/>
                        </a:ext>
                      </a:extLst>
                    </a:blip>
                    <a:stretch>
                      <a:fillRect/>
                    </a:stretch>
                  </pic:blipFill>
                  <pic:spPr>
                    <a:xfrm>
                      <a:off x="0" y="0"/>
                      <a:ext cx="6274630" cy="3988113"/>
                    </a:xfrm>
                    <a:prstGeom prst="rect">
                      <a:avLst/>
                    </a:prstGeom>
                  </pic:spPr>
                </pic:pic>
              </a:graphicData>
            </a:graphic>
          </wp:inline>
        </w:drawing>
      </w:r>
    </w:p>
    <w:p w14:paraId="30F2DDE4"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70374187"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54DF4158" wp14:editId="13DA9D12">
            <wp:extent cx="6549656" cy="4253023"/>
            <wp:effectExtent l="0" t="0" r="3810" b="0"/>
            <wp:docPr id="395" name="그림 395"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395" name="그림 395" descr="Chart, line chart&#10;&#10;Description automatically generated"/>
                    <pic:cNvPicPr/>
                  </pic:nvPicPr>
                  <pic:blipFill>
                    <a:blip r:embed="rId53">
                      <a:extLst>
                        <a:ext uri="{28A0092B-C50C-407E-A947-70E740481C1C}">
                          <a14:useLocalDpi xmlns:a14="http://schemas.microsoft.com/office/drawing/2010/main" val="0"/>
                        </a:ext>
                      </a:extLst>
                    </a:blip>
                    <a:stretch>
                      <a:fillRect/>
                    </a:stretch>
                  </pic:blipFill>
                  <pic:spPr>
                    <a:xfrm>
                      <a:off x="0" y="0"/>
                      <a:ext cx="6551929" cy="4254499"/>
                    </a:xfrm>
                    <a:prstGeom prst="rect">
                      <a:avLst/>
                    </a:prstGeom>
                  </pic:spPr>
                </pic:pic>
              </a:graphicData>
            </a:graphic>
          </wp:inline>
        </w:drawing>
      </w:r>
    </w:p>
    <w:p w14:paraId="12D9BFBF"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469DC4D9"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S15. Physical violence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2D959718"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5ED23A86"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44C875AF" wp14:editId="5957929D">
            <wp:extent cx="6840220" cy="4559935"/>
            <wp:effectExtent l="0" t="0" r="0" b="0"/>
            <wp:docPr id="396" name="그림 396"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396" name="그림 396" descr="Chart&#10;&#10;Description automatically generated"/>
                    <pic:cNvPicPr/>
                  </pic:nvPicPr>
                  <pic:blipFill>
                    <a:blip r:embed="rId54">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421C1978"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4B09F4EC"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0FA07B49" wp14:editId="1AA668BA">
            <wp:extent cx="6294474" cy="3848987"/>
            <wp:effectExtent l="0" t="0" r="0" b="0"/>
            <wp:docPr id="397" name="그림 397" descr="Chart, radar chart&#10;&#10;Description automatically generated"/>
            <wp:cNvGraphicFramePr/>
            <a:graphic xmlns:a="http://schemas.openxmlformats.org/drawingml/2006/main">
              <a:graphicData uri="http://schemas.openxmlformats.org/drawingml/2006/picture">
                <pic:pic xmlns:pic="http://schemas.openxmlformats.org/drawingml/2006/picture">
                  <pic:nvPicPr>
                    <pic:cNvPr id="397" name="그림 397" descr="Chart, radar chart&#10;&#10;Description automatically generated"/>
                    <pic:cNvPicPr/>
                  </pic:nvPicPr>
                  <pic:blipFill>
                    <a:blip r:embed="rId55">
                      <a:extLst>
                        <a:ext uri="{28A0092B-C50C-407E-A947-70E740481C1C}">
                          <a14:useLocalDpi xmlns:a14="http://schemas.microsoft.com/office/drawing/2010/main" val="0"/>
                        </a:ext>
                      </a:extLst>
                    </a:blip>
                    <a:stretch>
                      <a:fillRect/>
                    </a:stretch>
                  </pic:blipFill>
                  <pic:spPr>
                    <a:xfrm>
                      <a:off x="0" y="0"/>
                      <a:ext cx="6297419" cy="3850788"/>
                    </a:xfrm>
                    <a:prstGeom prst="rect">
                      <a:avLst/>
                    </a:prstGeom>
                  </pic:spPr>
                </pic:pic>
              </a:graphicData>
            </a:graphic>
          </wp:inline>
        </w:drawing>
      </w:r>
    </w:p>
    <w:p w14:paraId="5805E3E4"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750479B7"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7D0C6CCD" wp14:editId="60B6EE61">
            <wp:extent cx="6840220" cy="4559935"/>
            <wp:effectExtent l="0" t="0" r="0" b="0"/>
            <wp:docPr id="398" name="그림 398"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398" name="그림 398" descr="Chart, line chart&#10;&#10;Description automatically generated"/>
                    <pic:cNvPicPr/>
                  </pic:nvPicPr>
                  <pic:blipFill>
                    <a:blip r:embed="rId56">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47BE6428"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6E1523FA"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S16. Immigration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3C1218AB"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1D4932DD"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64E3ED75" wp14:editId="171982C3">
            <wp:extent cx="6453963" cy="4199860"/>
            <wp:effectExtent l="0" t="0" r="4445" b="0"/>
            <wp:docPr id="399" name="그림 399"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399" name="그림 399" descr="Table&#10;&#10;Description automatically generated"/>
                    <pic:cNvPicPr/>
                  </pic:nvPicPr>
                  <pic:blipFill>
                    <a:blip r:embed="rId57">
                      <a:extLst>
                        <a:ext uri="{28A0092B-C50C-407E-A947-70E740481C1C}">
                          <a14:useLocalDpi xmlns:a14="http://schemas.microsoft.com/office/drawing/2010/main" val="0"/>
                        </a:ext>
                      </a:extLst>
                    </a:blip>
                    <a:stretch>
                      <a:fillRect/>
                    </a:stretch>
                  </pic:blipFill>
                  <pic:spPr>
                    <a:xfrm>
                      <a:off x="0" y="0"/>
                      <a:ext cx="6457015" cy="4201846"/>
                    </a:xfrm>
                    <a:prstGeom prst="rect">
                      <a:avLst/>
                    </a:prstGeom>
                  </pic:spPr>
                </pic:pic>
              </a:graphicData>
            </a:graphic>
          </wp:inline>
        </w:drawing>
      </w:r>
    </w:p>
    <w:p w14:paraId="1C30FA7D"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1E065BB6"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48BA43D6" wp14:editId="2CC95025">
            <wp:extent cx="6315740" cy="4189228"/>
            <wp:effectExtent l="0" t="0" r="8890" b="1905"/>
            <wp:docPr id="400" name="그림 400"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00" name="그림 400" descr="Chart&#10;&#10;Description automatically generated"/>
                    <pic:cNvPicPr/>
                  </pic:nvPicPr>
                  <pic:blipFill>
                    <a:blip r:embed="rId58">
                      <a:extLst>
                        <a:ext uri="{28A0092B-C50C-407E-A947-70E740481C1C}">
                          <a14:useLocalDpi xmlns:a14="http://schemas.microsoft.com/office/drawing/2010/main" val="0"/>
                        </a:ext>
                      </a:extLst>
                    </a:blip>
                    <a:stretch>
                      <a:fillRect/>
                    </a:stretch>
                  </pic:blipFill>
                  <pic:spPr>
                    <a:xfrm>
                      <a:off x="0" y="0"/>
                      <a:ext cx="6317564" cy="4190438"/>
                    </a:xfrm>
                    <a:prstGeom prst="rect">
                      <a:avLst/>
                    </a:prstGeom>
                  </pic:spPr>
                </pic:pic>
              </a:graphicData>
            </a:graphic>
          </wp:inline>
        </w:drawing>
      </w:r>
    </w:p>
    <w:p w14:paraId="74F927D6"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157A2AF7"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42146865" wp14:editId="23F5B313">
            <wp:extent cx="6840220" cy="4559935"/>
            <wp:effectExtent l="0" t="0" r="0" b="0"/>
            <wp:docPr id="401" name="그림 401"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01" name="그림 401" descr="Chart, line chart&#10;&#10;Description automatically generated"/>
                    <pic:cNvPicPr/>
                  </pic:nvPicPr>
                  <pic:blipFill>
                    <a:blip r:embed="rId59">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0ACF00B4"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425AAAFE"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S17. Pre-pregnancy underweight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2B5EB58E"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6B67D5E9"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23E3A537" wp14:editId="6F45E321">
            <wp:extent cx="6840220" cy="4559935"/>
            <wp:effectExtent l="0" t="0" r="0" b="0"/>
            <wp:docPr id="402" name="그림 402"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02" name="그림 402" descr="Table&#10;&#10;Description automatically generated"/>
                    <pic:cNvPicPr/>
                  </pic:nvPicPr>
                  <pic:blipFill>
                    <a:blip r:embed="rId60">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098636DF"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7CF3B9C9"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7275302" wp14:editId="6AA874D3">
            <wp:extent cx="6220046" cy="3902149"/>
            <wp:effectExtent l="0" t="0" r="9525" b="3175"/>
            <wp:docPr id="403" name="그림 403"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03" name="그림 403" descr="Chart&#10;&#10;Description automatically generated"/>
                    <pic:cNvPicPr/>
                  </pic:nvPicPr>
                  <pic:blipFill>
                    <a:blip r:embed="rId61">
                      <a:extLst>
                        <a:ext uri="{28A0092B-C50C-407E-A947-70E740481C1C}">
                          <a14:useLocalDpi xmlns:a14="http://schemas.microsoft.com/office/drawing/2010/main" val="0"/>
                        </a:ext>
                      </a:extLst>
                    </a:blip>
                    <a:stretch>
                      <a:fillRect/>
                    </a:stretch>
                  </pic:blipFill>
                  <pic:spPr>
                    <a:xfrm>
                      <a:off x="0" y="0"/>
                      <a:ext cx="6221348" cy="3902966"/>
                    </a:xfrm>
                    <a:prstGeom prst="rect">
                      <a:avLst/>
                    </a:prstGeom>
                  </pic:spPr>
                </pic:pic>
              </a:graphicData>
            </a:graphic>
          </wp:inline>
        </w:drawing>
      </w:r>
    </w:p>
    <w:p w14:paraId="2D2B5DBD"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73B7F01A"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5B96C194" wp14:editId="418D3F6E">
            <wp:extent cx="6840220" cy="4559935"/>
            <wp:effectExtent l="0" t="0" r="0" b="0"/>
            <wp:docPr id="404" name="그림 404"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04" name="그림 404" descr="Chart, line chart&#10;&#10;Description automatically generated"/>
                    <pic:cNvPicPr/>
                  </pic:nvPicPr>
                  <pic:blipFill>
                    <a:blip r:embed="rId62">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72830A7B"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28360666"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S18. Sexual violence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3BA03851"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0C9D5D49"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62C731AE" wp14:editId="0EC9CE6F">
            <wp:extent cx="6840220" cy="4559935"/>
            <wp:effectExtent l="0" t="0" r="0" b="0"/>
            <wp:docPr id="405" name="그림 405" descr="Tabl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405" name="그림 405" descr="Table&#10;&#10;Description automatically generated with medium confidence"/>
                    <pic:cNvPicPr/>
                  </pic:nvPicPr>
                  <pic:blipFill>
                    <a:blip r:embed="rId63">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0C10758A"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6E79F590"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F013337" wp14:editId="1C16BC58">
            <wp:extent cx="6379535" cy="3668233"/>
            <wp:effectExtent l="0" t="0" r="2540" b="8890"/>
            <wp:docPr id="406" name="그림 406"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06" name="그림 406" descr="Chart&#10;&#10;Description automatically generated"/>
                    <pic:cNvPicPr/>
                  </pic:nvPicPr>
                  <pic:blipFill>
                    <a:blip r:embed="rId64">
                      <a:extLst>
                        <a:ext uri="{28A0092B-C50C-407E-A947-70E740481C1C}">
                          <a14:useLocalDpi xmlns:a14="http://schemas.microsoft.com/office/drawing/2010/main" val="0"/>
                        </a:ext>
                      </a:extLst>
                    </a:blip>
                    <a:stretch>
                      <a:fillRect/>
                    </a:stretch>
                  </pic:blipFill>
                  <pic:spPr>
                    <a:xfrm>
                      <a:off x="0" y="0"/>
                      <a:ext cx="6382668" cy="3670034"/>
                    </a:xfrm>
                    <a:prstGeom prst="rect">
                      <a:avLst/>
                    </a:prstGeom>
                  </pic:spPr>
                </pic:pic>
              </a:graphicData>
            </a:graphic>
          </wp:inline>
        </w:drawing>
      </w:r>
    </w:p>
    <w:p w14:paraId="57CE8BA0"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29CF4BC6" w14:textId="77777777" w:rsidR="00394B52" w:rsidRPr="00394B52" w:rsidRDefault="00394B52" w:rsidP="00394B52">
      <w:pPr>
        <w:rPr>
          <w:rFonts w:ascii="Times" w:hAnsi="Times" w:cs="Times"/>
          <w:szCs w:val="20"/>
        </w:rPr>
      </w:pPr>
      <w:r w:rsidRPr="00394B52">
        <w:rPr>
          <w:rFonts w:ascii="Times" w:hAnsi="Times" w:cs="Times"/>
          <w:szCs w:val="20"/>
        </w:rPr>
        <w:lastRenderedPageBreak/>
        <w:t>3) P curve analysis plot</w:t>
      </w:r>
    </w:p>
    <w:p w14:paraId="109AABD2"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2F443D15" wp14:editId="67E8228C">
            <wp:extent cx="6840220" cy="4559935"/>
            <wp:effectExtent l="0" t="0" r="0" b="0"/>
            <wp:docPr id="407" name="그림 407"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07" name="그림 407" descr="Chart, line chart&#10;&#10;Description automatically generated"/>
                    <pic:cNvPicPr/>
                  </pic:nvPicPr>
                  <pic:blipFill>
                    <a:blip r:embed="rId65">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18BE564E"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5901BEF5"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S19. Cesarean section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3307A7ED"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47C210A7"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4F823F7B" wp14:editId="52CA3DBB">
            <wp:extent cx="6294474" cy="8272131"/>
            <wp:effectExtent l="0" t="0" r="0" b="0"/>
            <wp:docPr id="408" name="그림 408"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08" name="그림 408" descr="Chart&#10;&#10;Description automatically generated"/>
                    <pic:cNvPicPr/>
                  </pic:nvPicPr>
                  <pic:blipFill>
                    <a:blip r:embed="rId66">
                      <a:extLst>
                        <a:ext uri="{28A0092B-C50C-407E-A947-70E740481C1C}">
                          <a14:useLocalDpi xmlns:a14="http://schemas.microsoft.com/office/drawing/2010/main" val="0"/>
                        </a:ext>
                      </a:extLst>
                    </a:blip>
                    <a:stretch>
                      <a:fillRect/>
                    </a:stretch>
                  </pic:blipFill>
                  <pic:spPr>
                    <a:xfrm>
                      <a:off x="0" y="0"/>
                      <a:ext cx="6298966" cy="8278034"/>
                    </a:xfrm>
                    <a:prstGeom prst="rect">
                      <a:avLst/>
                    </a:prstGeom>
                  </pic:spPr>
                </pic:pic>
              </a:graphicData>
            </a:graphic>
          </wp:inline>
        </w:drawing>
      </w:r>
    </w:p>
    <w:p w14:paraId="7B05C389"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lastRenderedPageBreak/>
        <w:br w:type="page"/>
      </w:r>
    </w:p>
    <w:p w14:paraId="272B5C0D" w14:textId="77777777" w:rsidR="00394B52" w:rsidRPr="00394B52" w:rsidRDefault="00394B52" w:rsidP="00394B52">
      <w:pPr>
        <w:rPr>
          <w:rFonts w:ascii="Times" w:hAnsi="Times" w:cs="Times"/>
          <w:szCs w:val="20"/>
        </w:rPr>
      </w:pPr>
      <w:r w:rsidRPr="00394B52">
        <w:rPr>
          <w:rFonts w:ascii="Times" w:hAnsi="Times" w:cs="Times"/>
          <w:szCs w:val="20"/>
        </w:rPr>
        <w:lastRenderedPageBreak/>
        <w:t>2) Funnel plot</w:t>
      </w:r>
    </w:p>
    <w:p w14:paraId="45772D2C"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33AF05ED" wp14:editId="5C832A84">
            <wp:extent cx="6400800" cy="3976577"/>
            <wp:effectExtent l="0" t="0" r="0" b="5080"/>
            <wp:docPr id="409" name="그림 409" descr="Chart, radar chart&#10;&#10;Description automatically generated"/>
            <wp:cNvGraphicFramePr/>
            <a:graphic xmlns:a="http://schemas.openxmlformats.org/drawingml/2006/main">
              <a:graphicData uri="http://schemas.openxmlformats.org/drawingml/2006/picture">
                <pic:pic xmlns:pic="http://schemas.openxmlformats.org/drawingml/2006/picture">
                  <pic:nvPicPr>
                    <pic:cNvPr id="409" name="그림 409" descr="Chart, radar chart&#10;&#10;Description automatically generated"/>
                    <pic:cNvPicPr/>
                  </pic:nvPicPr>
                  <pic:blipFill>
                    <a:blip r:embed="rId67">
                      <a:extLst>
                        <a:ext uri="{28A0092B-C50C-407E-A947-70E740481C1C}">
                          <a14:useLocalDpi xmlns:a14="http://schemas.microsoft.com/office/drawing/2010/main" val="0"/>
                        </a:ext>
                      </a:extLst>
                    </a:blip>
                    <a:stretch>
                      <a:fillRect/>
                    </a:stretch>
                  </pic:blipFill>
                  <pic:spPr>
                    <a:xfrm>
                      <a:off x="0" y="0"/>
                      <a:ext cx="6402493" cy="3977629"/>
                    </a:xfrm>
                    <a:prstGeom prst="rect">
                      <a:avLst/>
                    </a:prstGeom>
                  </pic:spPr>
                </pic:pic>
              </a:graphicData>
            </a:graphic>
          </wp:inline>
        </w:drawing>
      </w:r>
    </w:p>
    <w:p w14:paraId="080CD1A5"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6ED3668E"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2F02E67E" wp14:editId="1D512FC4">
            <wp:extent cx="6840220" cy="4559935"/>
            <wp:effectExtent l="0" t="0" r="0" b="0"/>
            <wp:docPr id="410" name="그림 410" descr="Graphical user interface, 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10" name="그림 410" descr="Graphical user interface, chart, line chart&#10;&#10;Description automatically generated"/>
                    <pic:cNvPicPr/>
                  </pic:nvPicPr>
                  <pic:blipFill>
                    <a:blip r:embed="rId68">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3F123798"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38EB8C2C"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S20. Pre-pregnancy obesity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3F6D588A"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60EA76D4"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4EA22A53" wp14:editId="3E3E8DDD">
            <wp:extent cx="6539023" cy="4221125"/>
            <wp:effectExtent l="0" t="0" r="0" b="8255"/>
            <wp:docPr id="411" name="그림 411" descr="Chart, box and whisk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411" name="그림 411" descr="Chart, box and whisker chart&#10;&#10;Description automatically generated"/>
                    <pic:cNvPicPr/>
                  </pic:nvPicPr>
                  <pic:blipFill>
                    <a:blip r:embed="rId69">
                      <a:extLst>
                        <a:ext uri="{28A0092B-C50C-407E-A947-70E740481C1C}">
                          <a14:useLocalDpi xmlns:a14="http://schemas.microsoft.com/office/drawing/2010/main" val="0"/>
                        </a:ext>
                      </a:extLst>
                    </a:blip>
                    <a:stretch>
                      <a:fillRect/>
                    </a:stretch>
                  </pic:blipFill>
                  <pic:spPr>
                    <a:xfrm>
                      <a:off x="0" y="0"/>
                      <a:ext cx="6543846" cy="4224238"/>
                    </a:xfrm>
                    <a:prstGeom prst="rect">
                      <a:avLst/>
                    </a:prstGeom>
                  </pic:spPr>
                </pic:pic>
              </a:graphicData>
            </a:graphic>
          </wp:inline>
        </w:drawing>
      </w:r>
    </w:p>
    <w:p w14:paraId="1DDD94E9"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58A665B7"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00D53DB7" wp14:editId="0FAD5493">
            <wp:extent cx="6507126" cy="4199861"/>
            <wp:effectExtent l="0" t="0" r="8255" b="0"/>
            <wp:docPr id="412" name="그림 412"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12" name="그림 412" descr="Chart&#10;&#10;Description automatically generated"/>
                    <pic:cNvPicPr/>
                  </pic:nvPicPr>
                  <pic:blipFill>
                    <a:blip r:embed="rId70">
                      <a:extLst>
                        <a:ext uri="{28A0092B-C50C-407E-A947-70E740481C1C}">
                          <a14:useLocalDpi xmlns:a14="http://schemas.microsoft.com/office/drawing/2010/main" val="0"/>
                        </a:ext>
                      </a:extLst>
                    </a:blip>
                    <a:stretch>
                      <a:fillRect/>
                    </a:stretch>
                  </pic:blipFill>
                  <pic:spPr>
                    <a:xfrm>
                      <a:off x="0" y="0"/>
                      <a:ext cx="6510045" cy="4201745"/>
                    </a:xfrm>
                    <a:prstGeom prst="rect">
                      <a:avLst/>
                    </a:prstGeom>
                  </pic:spPr>
                </pic:pic>
              </a:graphicData>
            </a:graphic>
          </wp:inline>
        </w:drawing>
      </w:r>
    </w:p>
    <w:p w14:paraId="02990ABB"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443D54F7"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07923CA3" wp14:editId="102CDECB">
            <wp:extent cx="6840220" cy="4559935"/>
            <wp:effectExtent l="0" t="0" r="0" b="0"/>
            <wp:docPr id="413" name="그림 413"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13" name="그림 413" descr="Chart, line chart&#10;&#10;Description automatically generated"/>
                    <pic:cNvPicPr/>
                  </pic:nvPicPr>
                  <pic:blipFill>
                    <a:blip r:embed="rId71">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7FF167F0"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6B2D5BB8"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S21. Elective cesarean section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462493A9"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044190F1"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246BDBF7" wp14:editId="58E25621">
            <wp:extent cx="6390167" cy="8516680"/>
            <wp:effectExtent l="0" t="0" r="0" b="0"/>
            <wp:docPr id="414" name="그림 414"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14" name="그림 414" descr="Chart&#10;&#10;Description automatically generated"/>
                    <pic:cNvPicPr/>
                  </pic:nvPicPr>
                  <pic:blipFill>
                    <a:blip r:embed="rId72">
                      <a:extLst>
                        <a:ext uri="{28A0092B-C50C-407E-A947-70E740481C1C}">
                          <a14:useLocalDpi xmlns:a14="http://schemas.microsoft.com/office/drawing/2010/main" val="0"/>
                        </a:ext>
                      </a:extLst>
                    </a:blip>
                    <a:stretch>
                      <a:fillRect/>
                    </a:stretch>
                  </pic:blipFill>
                  <pic:spPr>
                    <a:xfrm>
                      <a:off x="0" y="0"/>
                      <a:ext cx="6391701" cy="8518725"/>
                    </a:xfrm>
                    <a:prstGeom prst="rect">
                      <a:avLst/>
                    </a:prstGeom>
                  </pic:spPr>
                </pic:pic>
              </a:graphicData>
            </a:graphic>
          </wp:inline>
        </w:drawing>
      </w:r>
    </w:p>
    <w:p w14:paraId="62621928"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lastRenderedPageBreak/>
        <w:br w:type="page"/>
      </w:r>
    </w:p>
    <w:p w14:paraId="686C08CB" w14:textId="77777777" w:rsidR="00394B52" w:rsidRPr="00394B52" w:rsidRDefault="00394B52" w:rsidP="00394B52">
      <w:pPr>
        <w:rPr>
          <w:rFonts w:ascii="Times" w:hAnsi="Times" w:cs="Times"/>
          <w:szCs w:val="20"/>
        </w:rPr>
      </w:pPr>
      <w:r w:rsidRPr="00394B52">
        <w:rPr>
          <w:rFonts w:ascii="Times" w:hAnsi="Times" w:cs="Times"/>
          <w:szCs w:val="20"/>
        </w:rPr>
        <w:lastRenderedPageBreak/>
        <w:t>2) Funnel plot</w:t>
      </w:r>
    </w:p>
    <w:p w14:paraId="139A37DA"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7E0F0571" wp14:editId="2150B34B">
            <wp:extent cx="6368902" cy="4029739"/>
            <wp:effectExtent l="0" t="0" r="0" b="8890"/>
            <wp:docPr id="415" name="그림 415"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15" name="그림 415" descr="Chart&#10;&#10;Description automatically generated"/>
                    <pic:cNvPicPr/>
                  </pic:nvPicPr>
                  <pic:blipFill>
                    <a:blip r:embed="rId73">
                      <a:extLst>
                        <a:ext uri="{28A0092B-C50C-407E-A947-70E740481C1C}">
                          <a14:useLocalDpi xmlns:a14="http://schemas.microsoft.com/office/drawing/2010/main" val="0"/>
                        </a:ext>
                      </a:extLst>
                    </a:blip>
                    <a:stretch>
                      <a:fillRect/>
                    </a:stretch>
                  </pic:blipFill>
                  <pic:spPr>
                    <a:xfrm>
                      <a:off x="0" y="0"/>
                      <a:ext cx="6371142" cy="4031156"/>
                    </a:xfrm>
                    <a:prstGeom prst="rect">
                      <a:avLst/>
                    </a:prstGeom>
                  </pic:spPr>
                </pic:pic>
              </a:graphicData>
            </a:graphic>
          </wp:inline>
        </w:drawing>
      </w:r>
    </w:p>
    <w:p w14:paraId="1E5D7373"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0222C0AC"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2FFB05CF" wp14:editId="4C1AAD91">
            <wp:extent cx="6840220" cy="4559935"/>
            <wp:effectExtent l="0" t="0" r="0" b="0"/>
            <wp:docPr id="416" name="그림 416"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16" name="그림 416" descr="Chart, line chart&#10;&#10;Description automatically generated"/>
                    <pic:cNvPicPr/>
                  </pic:nvPicPr>
                  <pic:blipFill>
                    <a:blip r:embed="rId74">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0A463B50"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435E21B7"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S22. Poor social support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0D40360D"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73664D56"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36816593" wp14:editId="1D228056">
            <wp:extent cx="6581553" cy="4167963"/>
            <wp:effectExtent l="0" t="0" r="0" b="4445"/>
            <wp:docPr id="417" name="그림 417"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17" name="그림 417" descr="Table&#10;&#10;Description automatically generated"/>
                    <pic:cNvPicPr/>
                  </pic:nvPicPr>
                  <pic:blipFill>
                    <a:blip r:embed="rId75">
                      <a:extLst>
                        <a:ext uri="{28A0092B-C50C-407E-A947-70E740481C1C}">
                          <a14:useLocalDpi xmlns:a14="http://schemas.microsoft.com/office/drawing/2010/main" val="0"/>
                        </a:ext>
                      </a:extLst>
                    </a:blip>
                    <a:stretch>
                      <a:fillRect/>
                    </a:stretch>
                  </pic:blipFill>
                  <pic:spPr>
                    <a:xfrm>
                      <a:off x="0" y="0"/>
                      <a:ext cx="6587065" cy="4171453"/>
                    </a:xfrm>
                    <a:prstGeom prst="rect">
                      <a:avLst/>
                    </a:prstGeom>
                  </pic:spPr>
                </pic:pic>
              </a:graphicData>
            </a:graphic>
          </wp:inline>
        </w:drawing>
      </w:r>
    </w:p>
    <w:p w14:paraId="36B1DA6C"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60153693"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4FA2251B" wp14:editId="1A7649B0">
            <wp:extent cx="6432698" cy="4125433"/>
            <wp:effectExtent l="0" t="0" r="6350" b="8890"/>
            <wp:docPr id="418" name="그림 418" descr="A picture containing text, boat, screenshot&#10;&#10;Description automatically generated"/>
            <wp:cNvGraphicFramePr/>
            <a:graphic xmlns:a="http://schemas.openxmlformats.org/drawingml/2006/main">
              <a:graphicData uri="http://schemas.openxmlformats.org/drawingml/2006/picture">
                <pic:pic xmlns:pic="http://schemas.openxmlformats.org/drawingml/2006/picture">
                  <pic:nvPicPr>
                    <pic:cNvPr id="418" name="그림 418" descr="A picture containing text, boat, screenshot&#10;&#10;Description automatically generated"/>
                    <pic:cNvPicPr/>
                  </pic:nvPicPr>
                  <pic:blipFill>
                    <a:blip r:embed="rId76">
                      <a:extLst>
                        <a:ext uri="{28A0092B-C50C-407E-A947-70E740481C1C}">
                          <a14:useLocalDpi xmlns:a14="http://schemas.microsoft.com/office/drawing/2010/main" val="0"/>
                        </a:ext>
                      </a:extLst>
                    </a:blip>
                    <a:stretch>
                      <a:fillRect/>
                    </a:stretch>
                  </pic:blipFill>
                  <pic:spPr>
                    <a:xfrm>
                      <a:off x="0" y="0"/>
                      <a:ext cx="6435790" cy="4127416"/>
                    </a:xfrm>
                    <a:prstGeom prst="rect">
                      <a:avLst/>
                    </a:prstGeom>
                  </pic:spPr>
                </pic:pic>
              </a:graphicData>
            </a:graphic>
          </wp:inline>
        </w:drawing>
      </w:r>
    </w:p>
    <w:p w14:paraId="28DBA156"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0CC9245B" w14:textId="77777777" w:rsidR="00394B52" w:rsidRPr="00394B52" w:rsidRDefault="00394B52" w:rsidP="00394B52">
      <w:pPr>
        <w:rPr>
          <w:rFonts w:ascii="Times" w:hAnsi="Times" w:cs="Times"/>
          <w:szCs w:val="20"/>
        </w:rPr>
      </w:pPr>
      <w:r w:rsidRPr="00394B52">
        <w:rPr>
          <w:rFonts w:ascii="Times" w:hAnsi="Times" w:cs="Times"/>
          <w:szCs w:val="20"/>
        </w:rPr>
        <w:lastRenderedPageBreak/>
        <w:t>3) P curve analysis plot</w:t>
      </w:r>
    </w:p>
    <w:p w14:paraId="1B846ECF"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46F5A65A" wp14:editId="58FB9420">
            <wp:extent cx="6840220" cy="4559935"/>
            <wp:effectExtent l="0" t="0" r="0" b="0"/>
            <wp:docPr id="419" name="그림 419" descr="Line char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419" name="그림 419" descr="Line chart&#10;&#10;Description automatically generated with medium confidence"/>
                    <pic:cNvPicPr/>
                  </pic:nvPicPr>
                  <pic:blipFill>
                    <a:blip r:embed="rId77">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429BB412"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6A57EB35"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S23. History of depression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49E733D5"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45BC5B94"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466E69C3" wp14:editId="14DC4B63">
            <wp:extent cx="6840220" cy="4559935"/>
            <wp:effectExtent l="0" t="0" r="0" b="0"/>
            <wp:docPr id="420" name="그림 420"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20" name="그림 420" descr="Table&#10;&#10;Description automatically generated"/>
                    <pic:cNvPicPr/>
                  </pic:nvPicPr>
                  <pic:blipFill>
                    <a:blip r:embed="rId78">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66121780"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5F1C886D"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244DDDE" wp14:editId="070083BD">
            <wp:extent cx="6305107" cy="4008475"/>
            <wp:effectExtent l="0" t="0" r="635" b="0"/>
            <wp:docPr id="421" name="그림 421"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21" name="그림 421" descr="Chart&#10;&#10;Description automatically generated"/>
                    <pic:cNvPicPr/>
                  </pic:nvPicPr>
                  <pic:blipFill>
                    <a:blip r:embed="rId79">
                      <a:extLst>
                        <a:ext uri="{28A0092B-C50C-407E-A947-70E740481C1C}">
                          <a14:useLocalDpi xmlns:a14="http://schemas.microsoft.com/office/drawing/2010/main" val="0"/>
                        </a:ext>
                      </a:extLst>
                    </a:blip>
                    <a:stretch>
                      <a:fillRect/>
                    </a:stretch>
                  </pic:blipFill>
                  <pic:spPr>
                    <a:xfrm>
                      <a:off x="0" y="0"/>
                      <a:ext cx="6311878" cy="4012779"/>
                    </a:xfrm>
                    <a:prstGeom prst="rect">
                      <a:avLst/>
                    </a:prstGeom>
                  </pic:spPr>
                </pic:pic>
              </a:graphicData>
            </a:graphic>
          </wp:inline>
        </w:drawing>
      </w:r>
    </w:p>
    <w:p w14:paraId="64AAB242"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03858711"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39CAA754" wp14:editId="2E8207CD">
            <wp:extent cx="6840220" cy="4559935"/>
            <wp:effectExtent l="0" t="0" r="0" b="0"/>
            <wp:docPr id="422" name="그림 422"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22" name="그림 422" descr="Chart, line chart&#10;&#10;Description automatically generated"/>
                    <pic:cNvPicPr/>
                  </pic:nvPicPr>
                  <pic:blipFill>
                    <a:blip r:embed="rId80">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349B38AB"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41D9D961"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S24. History of postpartum depression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5D752F3C"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73A1F832"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4D72057C" wp14:editId="2A4940DD">
            <wp:extent cx="6840220" cy="4559935"/>
            <wp:effectExtent l="0" t="0" r="0" b="0"/>
            <wp:docPr id="423" name="그림 423" descr="A picture containing chart&#10;&#10;Description automatically generated"/>
            <wp:cNvGraphicFramePr/>
            <a:graphic xmlns:a="http://schemas.openxmlformats.org/drawingml/2006/main">
              <a:graphicData uri="http://schemas.openxmlformats.org/drawingml/2006/picture">
                <pic:pic xmlns:pic="http://schemas.openxmlformats.org/drawingml/2006/picture">
                  <pic:nvPicPr>
                    <pic:cNvPr id="423" name="그림 423" descr="A picture containing chart&#10;&#10;Description automatically generated"/>
                    <pic:cNvPicPr/>
                  </pic:nvPicPr>
                  <pic:blipFill>
                    <a:blip r:embed="rId81">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27BB897B"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6095FC23"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574A1774" wp14:editId="5072ADAF">
            <wp:extent cx="6379535" cy="3934047"/>
            <wp:effectExtent l="0" t="0" r="2540" b="9525"/>
            <wp:docPr id="424" name="그림 424"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24" name="그림 424" descr="Chart&#10;&#10;Description automatically generated"/>
                    <pic:cNvPicPr/>
                  </pic:nvPicPr>
                  <pic:blipFill>
                    <a:blip r:embed="rId82">
                      <a:extLst>
                        <a:ext uri="{28A0092B-C50C-407E-A947-70E740481C1C}">
                          <a14:useLocalDpi xmlns:a14="http://schemas.microsoft.com/office/drawing/2010/main" val="0"/>
                        </a:ext>
                      </a:extLst>
                    </a:blip>
                    <a:stretch>
                      <a:fillRect/>
                    </a:stretch>
                  </pic:blipFill>
                  <pic:spPr>
                    <a:xfrm>
                      <a:off x="0" y="0"/>
                      <a:ext cx="6382165" cy="3935669"/>
                    </a:xfrm>
                    <a:prstGeom prst="rect">
                      <a:avLst/>
                    </a:prstGeom>
                  </pic:spPr>
                </pic:pic>
              </a:graphicData>
            </a:graphic>
          </wp:inline>
        </w:drawing>
      </w:r>
    </w:p>
    <w:p w14:paraId="74F6BD5A"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38CB2274"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5A7DE5AB" wp14:editId="2AE0BBD2">
            <wp:extent cx="6840220" cy="4559935"/>
            <wp:effectExtent l="0" t="0" r="0" b="0"/>
            <wp:docPr id="425" name="그림 425"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25" name="그림 425" descr="Chart, line chart&#10;&#10;Description automatically generated"/>
                    <pic:cNvPicPr/>
                  </pic:nvPicPr>
                  <pic:blipFill>
                    <a:blip r:embed="rId83">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63F58040"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5C45F55C"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S25. Poor sleep quality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02E2A9A9"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4C9366B3"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0A9233F2" wp14:editId="25DF776C">
            <wp:extent cx="6840220" cy="4559935"/>
            <wp:effectExtent l="0" t="0" r="0" b="0"/>
            <wp:docPr id="426" name="그림 426"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26" name="그림 426" descr="Table&#10;&#10;Description automatically generated"/>
                    <pic:cNvPicPr/>
                  </pic:nvPicPr>
                  <pic:blipFill>
                    <a:blip r:embed="rId84">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4DD7C49C"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699E6E82"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08F54008" wp14:editId="43A6258F">
            <wp:extent cx="6422065" cy="4029740"/>
            <wp:effectExtent l="0" t="0" r="0" b="8890"/>
            <wp:docPr id="427" name="그림 427"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27" name="그림 427" descr="Chart&#10;&#10;Description automatically generated"/>
                    <pic:cNvPicPr/>
                  </pic:nvPicPr>
                  <pic:blipFill>
                    <a:blip r:embed="rId85">
                      <a:extLst>
                        <a:ext uri="{28A0092B-C50C-407E-A947-70E740481C1C}">
                          <a14:useLocalDpi xmlns:a14="http://schemas.microsoft.com/office/drawing/2010/main" val="0"/>
                        </a:ext>
                      </a:extLst>
                    </a:blip>
                    <a:stretch>
                      <a:fillRect/>
                    </a:stretch>
                  </pic:blipFill>
                  <pic:spPr>
                    <a:xfrm>
                      <a:off x="0" y="0"/>
                      <a:ext cx="6423200" cy="4030452"/>
                    </a:xfrm>
                    <a:prstGeom prst="rect">
                      <a:avLst/>
                    </a:prstGeom>
                  </pic:spPr>
                </pic:pic>
              </a:graphicData>
            </a:graphic>
          </wp:inline>
        </w:drawing>
      </w:r>
    </w:p>
    <w:p w14:paraId="7E026942"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3D8D08BB"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57FBB0B2" wp14:editId="6DB67D05">
            <wp:extent cx="6840220" cy="4559935"/>
            <wp:effectExtent l="0" t="0" r="0" b="0"/>
            <wp:docPr id="428" name="그림 428"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28" name="그림 428" descr="Chart, line chart&#10;&#10;Description automatically generated"/>
                    <pic:cNvPicPr/>
                  </pic:nvPicPr>
                  <pic:blipFill>
                    <a:blip r:embed="rId86">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6694BC3B"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73061C84"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S26. History of substance abuse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4C80E22C"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07719352"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0CE7194A" wp14:editId="18C1D1B9">
            <wp:extent cx="6840220" cy="4559935"/>
            <wp:effectExtent l="0" t="0" r="0" b="0"/>
            <wp:docPr id="429" name="그림 429" descr="A picture containing chart&#10;&#10;Description automatically generated"/>
            <wp:cNvGraphicFramePr/>
            <a:graphic xmlns:a="http://schemas.openxmlformats.org/drawingml/2006/main">
              <a:graphicData uri="http://schemas.openxmlformats.org/drawingml/2006/picture">
                <pic:pic xmlns:pic="http://schemas.openxmlformats.org/drawingml/2006/picture">
                  <pic:nvPicPr>
                    <pic:cNvPr id="429" name="그림 429" descr="A picture containing chart&#10;&#10;Description automatically generated"/>
                    <pic:cNvPicPr/>
                  </pic:nvPicPr>
                  <pic:blipFill>
                    <a:blip r:embed="rId87">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2B2D6265"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0724799D"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5E9775A1" wp14:editId="73889001">
            <wp:extent cx="6337005" cy="3923414"/>
            <wp:effectExtent l="0" t="0" r="6985" b="1270"/>
            <wp:docPr id="430" name="그림 430" descr="A picture containing chart&#10;&#10;Description automatically generated"/>
            <wp:cNvGraphicFramePr/>
            <a:graphic xmlns:a="http://schemas.openxmlformats.org/drawingml/2006/main">
              <a:graphicData uri="http://schemas.openxmlformats.org/drawingml/2006/picture">
                <pic:pic xmlns:pic="http://schemas.openxmlformats.org/drawingml/2006/picture">
                  <pic:nvPicPr>
                    <pic:cNvPr id="430" name="그림 430" descr="A picture containing chart&#10;&#10;Description automatically generated"/>
                    <pic:cNvPicPr/>
                  </pic:nvPicPr>
                  <pic:blipFill>
                    <a:blip r:embed="rId88">
                      <a:extLst>
                        <a:ext uri="{28A0092B-C50C-407E-A947-70E740481C1C}">
                          <a14:useLocalDpi xmlns:a14="http://schemas.microsoft.com/office/drawing/2010/main" val="0"/>
                        </a:ext>
                      </a:extLst>
                    </a:blip>
                    <a:stretch>
                      <a:fillRect/>
                    </a:stretch>
                  </pic:blipFill>
                  <pic:spPr>
                    <a:xfrm>
                      <a:off x="0" y="0"/>
                      <a:ext cx="6340355" cy="3925488"/>
                    </a:xfrm>
                    <a:prstGeom prst="rect">
                      <a:avLst/>
                    </a:prstGeom>
                  </pic:spPr>
                </pic:pic>
              </a:graphicData>
            </a:graphic>
          </wp:inline>
        </w:drawing>
      </w:r>
    </w:p>
    <w:p w14:paraId="1D5A2300"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25FD7BDC"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5909737E" wp14:editId="5AA08FCC">
            <wp:extent cx="6840220" cy="4559935"/>
            <wp:effectExtent l="0" t="0" r="0" b="0"/>
            <wp:docPr id="431" name="그림 431" descr="Line char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431" name="그림 431" descr="Line chart&#10;&#10;Description automatically generated with medium confidence"/>
                    <pic:cNvPicPr/>
                  </pic:nvPicPr>
                  <pic:blipFill>
                    <a:blip r:embed="rId89">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08857DFE"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043F2F4D"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S27. History of infant death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07064F07"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18127FE9"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5CB97BF2" wp14:editId="52D4CFE6">
            <wp:extent cx="6840220" cy="4559935"/>
            <wp:effectExtent l="0" t="0" r="0" b="0"/>
            <wp:docPr id="432" name="그림 432" descr="A picture containing table&#10;&#10;Description automatically generated"/>
            <wp:cNvGraphicFramePr/>
            <a:graphic xmlns:a="http://schemas.openxmlformats.org/drawingml/2006/main">
              <a:graphicData uri="http://schemas.openxmlformats.org/drawingml/2006/picture">
                <pic:pic xmlns:pic="http://schemas.openxmlformats.org/drawingml/2006/picture">
                  <pic:nvPicPr>
                    <pic:cNvPr id="432" name="그림 432" descr="A picture containing table&#10;&#10;Description automatically generated"/>
                    <pic:cNvPicPr/>
                  </pic:nvPicPr>
                  <pic:blipFill>
                    <a:blip r:embed="rId90">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18C1C23F"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5C45B1FE"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4938945A" wp14:editId="1AA02CD2">
            <wp:extent cx="6443330" cy="4040373"/>
            <wp:effectExtent l="0" t="0" r="0" b="0"/>
            <wp:docPr id="433" name="그림 433" descr="Chart, radar chart&#10;&#10;Description automatically generated"/>
            <wp:cNvGraphicFramePr/>
            <a:graphic xmlns:a="http://schemas.openxmlformats.org/drawingml/2006/main">
              <a:graphicData uri="http://schemas.openxmlformats.org/drawingml/2006/picture">
                <pic:pic xmlns:pic="http://schemas.openxmlformats.org/drawingml/2006/picture">
                  <pic:nvPicPr>
                    <pic:cNvPr id="433" name="그림 433" descr="Chart, radar chart&#10;&#10;Description automatically generated"/>
                    <pic:cNvPicPr/>
                  </pic:nvPicPr>
                  <pic:blipFill>
                    <a:blip r:embed="rId91">
                      <a:extLst>
                        <a:ext uri="{28A0092B-C50C-407E-A947-70E740481C1C}">
                          <a14:useLocalDpi xmlns:a14="http://schemas.microsoft.com/office/drawing/2010/main" val="0"/>
                        </a:ext>
                      </a:extLst>
                    </a:blip>
                    <a:stretch>
                      <a:fillRect/>
                    </a:stretch>
                  </pic:blipFill>
                  <pic:spPr>
                    <a:xfrm>
                      <a:off x="0" y="0"/>
                      <a:ext cx="6445836" cy="4041944"/>
                    </a:xfrm>
                    <a:prstGeom prst="rect">
                      <a:avLst/>
                    </a:prstGeom>
                  </pic:spPr>
                </pic:pic>
              </a:graphicData>
            </a:graphic>
          </wp:inline>
        </w:drawing>
      </w:r>
    </w:p>
    <w:p w14:paraId="78CA4592"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02DBEC40"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0DE42BE4" wp14:editId="057474C4">
            <wp:extent cx="6840220" cy="4559935"/>
            <wp:effectExtent l="0" t="0" r="0" b="0"/>
            <wp:docPr id="434" name="그림 434" descr="Line chart&#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434" name="그림 434" descr="Line chart&#10;&#10;Description automatically generated with low confidence"/>
                    <pic:cNvPicPr/>
                  </pic:nvPicPr>
                  <pic:blipFill>
                    <a:blip r:embed="rId92">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4A03109E"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72A14E2C"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S28. Poor marital relationship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3140D77C"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1F97804C"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5FB039C0" wp14:editId="06A45D96">
            <wp:extent cx="6496493" cy="4167963"/>
            <wp:effectExtent l="0" t="0" r="0" b="4445"/>
            <wp:docPr id="435" name="그림 435" descr="Table&#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435" name="그림 435" descr="Table&#10;&#10;Description automatically generated with low confidence"/>
                    <pic:cNvPicPr/>
                  </pic:nvPicPr>
                  <pic:blipFill>
                    <a:blip r:embed="rId93">
                      <a:extLst>
                        <a:ext uri="{28A0092B-C50C-407E-A947-70E740481C1C}">
                          <a14:useLocalDpi xmlns:a14="http://schemas.microsoft.com/office/drawing/2010/main" val="0"/>
                        </a:ext>
                      </a:extLst>
                    </a:blip>
                    <a:stretch>
                      <a:fillRect/>
                    </a:stretch>
                  </pic:blipFill>
                  <pic:spPr>
                    <a:xfrm>
                      <a:off x="0" y="0"/>
                      <a:ext cx="6498700" cy="4169379"/>
                    </a:xfrm>
                    <a:prstGeom prst="rect">
                      <a:avLst/>
                    </a:prstGeom>
                  </pic:spPr>
                </pic:pic>
              </a:graphicData>
            </a:graphic>
          </wp:inline>
        </w:drawing>
      </w:r>
    </w:p>
    <w:p w14:paraId="1221ABB2"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30C4751A"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AA6E702" wp14:editId="1FF91550">
            <wp:extent cx="6411433" cy="4178596"/>
            <wp:effectExtent l="0" t="0" r="8890" b="0"/>
            <wp:docPr id="436" name="그림 436" descr="A picture containing text, boat, screenshot&#10;&#10;Description automatically generated"/>
            <wp:cNvGraphicFramePr/>
            <a:graphic xmlns:a="http://schemas.openxmlformats.org/drawingml/2006/main">
              <a:graphicData uri="http://schemas.openxmlformats.org/drawingml/2006/picture">
                <pic:pic xmlns:pic="http://schemas.openxmlformats.org/drawingml/2006/picture">
                  <pic:nvPicPr>
                    <pic:cNvPr id="436" name="그림 436" descr="A picture containing text, boat, screenshot&#10;&#10;Description automatically generated"/>
                    <pic:cNvPicPr/>
                  </pic:nvPicPr>
                  <pic:blipFill>
                    <a:blip r:embed="rId94">
                      <a:extLst>
                        <a:ext uri="{28A0092B-C50C-407E-A947-70E740481C1C}">
                          <a14:useLocalDpi xmlns:a14="http://schemas.microsoft.com/office/drawing/2010/main" val="0"/>
                        </a:ext>
                      </a:extLst>
                    </a:blip>
                    <a:stretch>
                      <a:fillRect/>
                    </a:stretch>
                  </pic:blipFill>
                  <pic:spPr>
                    <a:xfrm>
                      <a:off x="0" y="0"/>
                      <a:ext cx="6414935" cy="4180879"/>
                    </a:xfrm>
                    <a:prstGeom prst="rect">
                      <a:avLst/>
                    </a:prstGeom>
                  </pic:spPr>
                </pic:pic>
              </a:graphicData>
            </a:graphic>
          </wp:inline>
        </w:drawing>
      </w:r>
    </w:p>
    <w:p w14:paraId="7BCD2B14"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08FA86CB" w14:textId="77777777" w:rsidR="00394B52" w:rsidRPr="00394B52" w:rsidRDefault="00394B52" w:rsidP="00394B52">
      <w:pPr>
        <w:rPr>
          <w:rFonts w:ascii="Times" w:hAnsi="Times" w:cs="Times"/>
          <w:szCs w:val="20"/>
        </w:rPr>
      </w:pPr>
      <w:r w:rsidRPr="00394B52">
        <w:rPr>
          <w:rFonts w:ascii="Times" w:hAnsi="Times" w:cs="Times"/>
          <w:szCs w:val="20"/>
        </w:rPr>
        <w:lastRenderedPageBreak/>
        <w:t>3) P curve analysis plot</w:t>
      </w:r>
    </w:p>
    <w:p w14:paraId="0E11DC36"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31B372E2" wp14:editId="4C4B1341">
            <wp:extent cx="6840220" cy="4559935"/>
            <wp:effectExtent l="0" t="0" r="0" b="0"/>
            <wp:docPr id="437" name="그림 437" descr="Line chart&#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437" name="그림 437" descr="Line chart&#10;&#10;Description automatically generated with low confidence"/>
                    <pic:cNvPicPr/>
                  </pic:nvPicPr>
                  <pic:blipFill>
                    <a:blip r:embed="rId95">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5E39BB83"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67DB7DC2"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S29. History of stressful life event (</w:t>
      </w:r>
      <w:r w:rsidRPr="00394B52">
        <w:rPr>
          <w:rFonts w:ascii="Times New Roman" w:hAnsi="Times New Roman" w:cs="Times New Roman"/>
          <w:b/>
          <w:bCs/>
          <w:szCs w:val="20"/>
        </w:rPr>
        <w:t>Forest plot</w:t>
      </w:r>
      <w:r w:rsidRPr="00394B52">
        <w:rPr>
          <w:rFonts w:ascii="Times" w:hAnsi="Times" w:cs="Times"/>
          <w:b/>
          <w:bCs/>
          <w:szCs w:val="20"/>
        </w:rPr>
        <w:t>)</w:t>
      </w:r>
    </w:p>
    <w:p w14:paraId="6A746E44"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0FB70B09"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772E8591" wp14:editId="4EC70D87">
            <wp:extent cx="6840220" cy="4559935"/>
            <wp:effectExtent l="0" t="0" r="0" b="0"/>
            <wp:docPr id="438" name="그림 438"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38" name="그림 438" descr="Table&#10;&#10;Description automatically generated"/>
                    <pic:cNvPicPr/>
                  </pic:nvPicPr>
                  <pic:blipFill>
                    <a:blip r:embed="rId96">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7C2F140F"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352181B4" w14:textId="77777777" w:rsidR="00394B52" w:rsidRPr="00394B52" w:rsidRDefault="00394B52" w:rsidP="00394B52">
      <w:pPr>
        <w:rPr>
          <w:rFonts w:ascii="Times" w:hAnsi="Times" w:cs="Times"/>
          <w:szCs w:val="20"/>
        </w:rPr>
      </w:pPr>
      <w:r w:rsidRPr="00394B52">
        <w:rPr>
          <w:rFonts w:ascii="Times" w:hAnsi="Times" w:cs="Times"/>
          <w:szCs w:val="20"/>
        </w:rPr>
        <w:t>Not available because of the small number of studies</w:t>
      </w:r>
    </w:p>
    <w:p w14:paraId="6179B2C7" w14:textId="77777777" w:rsidR="00394B52" w:rsidRPr="00394B52" w:rsidRDefault="00394B52" w:rsidP="00394B52">
      <w:pPr>
        <w:rPr>
          <w:rFonts w:ascii="Times" w:hAnsi="Times" w:cs="Times"/>
          <w:szCs w:val="20"/>
        </w:rPr>
      </w:pPr>
    </w:p>
    <w:p w14:paraId="14CC54B6"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7DDA8A7A" w14:textId="77777777" w:rsidR="00394B52" w:rsidRPr="00394B52" w:rsidRDefault="00394B52" w:rsidP="00394B52">
      <w:pPr>
        <w:rPr>
          <w:rFonts w:ascii="Times" w:hAnsi="Times" w:cs="Times"/>
          <w:szCs w:val="20"/>
        </w:rPr>
      </w:pPr>
      <w:r w:rsidRPr="00394B52">
        <w:rPr>
          <w:rFonts w:ascii="Times" w:hAnsi="Times" w:cs="Times"/>
          <w:szCs w:val="20"/>
        </w:rPr>
        <w:lastRenderedPageBreak/>
        <w:t>Not available because of the small number of studies</w:t>
      </w:r>
    </w:p>
    <w:p w14:paraId="43FF6BA6"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38D18690"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S30. Exposure to different types of intimate partner violence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5924122F"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57DA870A"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455EC5A4" wp14:editId="5FD0F6FF">
            <wp:extent cx="6840220" cy="4559935"/>
            <wp:effectExtent l="0" t="0" r="0" b="0"/>
            <wp:docPr id="439" name="그림 439"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39" name="그림 439" descr="Table&#10;&#10;Description automatically generated"/>
                    <pic:cNvPicPr/>
                  </pic:nvPicPr>
                  <pic:blipFill>
                    <a:blip r:embed="rId97">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757B6F09"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1B5F9566"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EA08D58" wp14:editId="205B5AB6">
            <wp:extent cx="6294474" cy="3955312"/>
            <wp:effectExtent l="0" t="0" r="0" b="7620"/>
            <wp:docPr id="440" name="그림 440"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40" name="그림 440" descr="Chart&#10;&#10;Description automatically generated"/>
                    <pic:cNvPicPr/>
                  </pic:nvPicPr>
                  <pic:blipFill>
                    <a:blip r:embed="rId98">
                      <a:extLst>
                        <a:ext uri="{28A0092B-C50C-407E-A947-70E740481C1C}">
                          <a14:useLocalDpi xmlns:a14="http://schemas.microsoft.com/office/drawing/2010/main" val="0"/>
                        </a:ext>
                      </a:extLst>
                    </a:blip>
                    <a:stretch>
                      <a:fillRect/>
                    </a:stretch>
                  </pic:blipFill>
                  <pic:spPr>
                    <a:xfrm>
                      <a:off x="0" y="0"/>
                      <a:ext cx="6297496" cy="3957211"/>
                    </a:xfrm>
                    <a:prstGeom prst="rect">
                      <a:avLst/>
                    </a:prstGeom>
                  </pic:spPr>
                </pic:pic>
              </a:graphicData>
            </a:graphic>
          </wp:inline>
        </w:drawing>
      </w:r>
    </w:p>
    <w:p w14:paraId="3CF31789"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54DAC66C"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BB3C7C3" wp14:editId="6B038743">
            <wp:extent cx="6840220" cy="4559935"/>
            <wp:effectExtent l="0" t="0" r="0" b="0"/>
            <wp:docPr id="441" name="그림 441" descr="Line char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441" name="그림 441" descr="Line chart&#10;&#10;Description automatically generated with medium confidence"/>
                    <pic:cNvPicPr/>
                  </pic:nvPicPr>
                  <pic:blipFill>
                    <a:blip r:embed="rId99">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67FB0D66"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253DFF09"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S31. Low income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566DD535"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4E994365"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01690643" wp14:editId="3521E1A0">
            <wp:extent cx="6840220" cy="4559935"/>
            <wp:effectExtent l="0" t="0" r="0" b="0"/>
            <wp:docPr id="442" name="그림 442"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42" name="그림 442" descr="Chart&#10;&#10;Description automatically generated"/>
                    <pic:cNvPicPr/>
                  </pic:nvPicPr>
                  <pic:blipFill>
                    <a:blip r:embed="rId100">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68BB5E2B"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771887B6"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FD9942F" wp14:editId="0916CB59">
            <wp:extent cx="6390167" cy="4072270"/>
            <wp:effectExtent l="0" t="0" r="0" b="4445"/>
            <wp:docPr id="443" name="그림 443"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43" name="그림 443" descr="Chart&#10;&#10;Description automatically generated"/>
                    <pic:cNvPicPr/>
                  </pic:nvPicPr>
                  <pic:blipFill>
                    <a:blip r:embed="rId101">
                      <a:extLst>
                        <a:ext uri="{28A0092B-C50C-407E-A947-70E740481C1C}">
                          <a14:useLocalDpi xmlns:a14="http://schemas.microsoft.com/office/drawing/2010/main" val="0"/>
                        </a:ext>
                      </a:extLst>
                    </a:blip>
                    <a:stretch>
                      <a:fillRect/>
                    </a:stretch>
                  </pic:blipFill>
                  <pic:spPr>
                    <a:xfrm>
                      <a:off x="0" y="0"/>
                      <a:ext cx="6392434" cy="4073715"/>
                    </a:xfrm>
                    <a:prstGeom prst="rect">
                      <a:avLst/>
                    </a:prstGeom>
                  </pic:spPr>
                </pic:pic>
              </a:graphicData>
            </a:graphic>
          </wp:inline>
        </w:drawing>
      </w:r>
    </w:p>
    <w:p w14:paraId="031B4722"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48849A20"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4A83BF5E" wp14:editId="3B514F2B">
            <wp:extent cx="6840220" cy="4559935"/>
            <wp:effectExtent l="0" t="0" r="0" b="0"/>
            <wp:docPr id="444" name="그림 444"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44" name="그림 444" descr="Chart, line chart&#10;&#10;Description automatically generated"/>
                    <pic:cNvPicPr/>
                  </pic:nvPicPr>
                  <pic:blipFill>
                    <a:blip r:embed="rId102">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22198F00"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498FC785"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S32. Adverse birth and infant health conditions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2BE60EF6"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33D8BE72"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3956EC2E" wp14:editId="56AF6618">
            <wp:extent cx="6840220" cy="4559935"/>
            <wp:effectExtent l="0" t="0" r="0" b="0"/>
            <wp:docPr id="445" name="그림 445"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45" name="그림 445" descr="Table&#10;&#10;Description automatically generated"/>
                    <pic:cNvPicPr/>
                  </pic:nvPicPr>
                  <pic:blipFill>
                    <a:blip r:embed="rId103">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1D0EF568"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61E95006"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21EC8834" wp14:editId="0A31F26F">
            <wp:extent cx="6400800" cy="3976577"/>
            <wp:effectExtent l="0" t="0" r="0" b="5080"/>
            <wp:docPr id="446" name="그림 446"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46" name="그림 446" descr="Chart&#10;&#10;Description automatically generated"/>
                    <pic:cNvPicPr/>
                  </pic:nvPicPr>
                  <pic:blipFill>
                    <a:blip r:embed="rId104">
                      <a:extLst>
                        <a:ext uri="{28A0092B-C50C-407E-A947-70E740481C1C}">
                          <a14:useLocalDpi xmlns:a14="http://schemas.microsoft.com/office/drawing/2010/main" val="0"/>
                        </a:ext>
                      </a:extLst>
                    </a:blip>
                    <a:stretch>
                      <a:fillRect/>
                    </a:stretch>
                  </pic:blipFill>
                  <pic:spPr>
                    <a:xfrm>
                      <a:off x="0" y="0"/>
                      <a:ext cx="6402896" cy="3977879"/>
                    </a:xfrm>
                    <a:prstGeom prst="rect">
                      <a:avLst/>
                    </a:prstGeom>
                  </pic:spPr>
                </pic:pic>
              </a:graphicData>
            </a:graphic>
          </wp:inline>
        </w:drawing>
      </w:r>
    </w:p>
    <w:p w14:paraId="4EAFEDB1"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4E3E6E46"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392E4100" wp14:editId="3E806B13">
            <wp:extent cx="6840220" cy="4559935"/>
            <wp:effectExtent l="0" t="0" r="0" b="0"/>
            <wp:docPr id="447" name="그림 447"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47" name="그림 447" descr="Chart, line chart&#10;&#10;Description automatically generated"/>
                    <pic:cNvPicPr/>
                  </pic:nvPicPr>
                  <pic:blipFill>
                    <a:blip r:embed="rId105">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4C195E80"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044B43FF"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S33. Postpartum anemia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567C4BE7"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7978B495"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5F989C14" wp14:editId="7CA8A5D8">
            <wp:extent cx="6840220" cy="4559935"/>
            <wp:effectExtent l="0" t="0" r="0" b="0"/>
            <wp:docPr id="448" name="그림 448" descr="A picture containing chart&#10;&#10;Description automatically generated"/>
            <wp:cNvGraphicFramePr/>
            <a:graphic xmlns:a="http://schemas.openxmlformats.org/drawingml/2006/main">
              <a:graphicData uri="http://schemas.openxmlformats.org/drawingml/2006/picture">
                <pic:pic xmlns:pic="http://schemas.openxmlformats.org/drawingml/2006/picture">
                  <pic:nvPicPr>
                    <pic:cNvPr id="448" name="그림 448" descr="A picture containing chart&#10;&#10;Description automatically generated"/>
                    <pic:cNvPicPr/>
                  </pic:nvPicPr>
                  <pic:blipFill>
                    <a:blip r:embed="rId106">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26B4A5E7"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7B4D4670"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CEF55F6" wp14:editId="34C1C05E">
            <wp:extent cx="6166884" cy="3955312"/>
            <wp:effectExtent l="0" t="0" r="5715" b="7620"/>
            <wp:docPr id="449" name="그림 449"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49" name="그림 449" descr="Chart&#10;&#10;Description automatically generated"/>
                    <pic:cNvPicPr/>
                  </pic:nvPicPr>
                  <pic:blipFill>
                    <a:blip r:embed="rId107">
                      <a:extLst>
                        <a:ext uri="{28A0092B-C50C-407E-A947-70E740481C1C}">
                          <a14:useLocalDpi xmlns:a14="http://schemas.microsoft.com/office/drawing/2010/main" val="0"/>
                        </a:ext>
                      </a:extLst>
                    </a:blip>
                    <a:stretch>
                      <a:fillRect/>
                    </a:stretch>
                  </pic:blipFill>
                  <pic:spPr>
                    <a:xfrm>
                      <a:off x="0" y="0"/>
                      <a:ext cx="6170451" cy="3957600"/>
                    </a:xfrm>
                    <a:prstGeom prst="rect">
                      <a:avLst/>
                    </a:prstGeom>
                  </pic:spPr>
                </pic:pic>
              </a:graphicData>
            </a:graphic>
          </wp:inline>
        </w:drawing>
      </w:r>
    </w:p>
    <w:p w14:paraId="5E942761"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74B79544"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07FDB5B0" wp14:editId="2B2FC4C1">
            <wp:extent cx="6840220" cy="4559935"/>
            <wp:effectExtent l="0" t="0" r="0" b="0"/>
            <wp:docPr id="450" name="그림 450"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50" name="그림 450" descr="Chart, line chart&#10;&#10;Description automatically generated"/>
                    <pic:cNvPicPr/>
                  </pic:nvPicPr>
                  <pic:blipFill>
                    <a:blip r:embed="rId108">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41E65A86"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3D2B943B"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S34. Poor obstetric conditions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4BE27533"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49B6F03B"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629BF335" wp14:editId="13CE22F4">
            <wp:extent cx="6840220" cy="4559935"/>
            <wp:effectExtent l="0" t="0" r="0" b="0"/>
            <wp:docPr id="451" name="그림 451"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51" name="그림 451" descr="Table&#10;&#10;Description automatically generated"/>
                    <pic:cNvPicPr/>
                  </pic:nvPicPr>
                  <pic:blipFill>
                    <a:blip r:embed="rId109">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0A2AE4F3"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2A9DE5C4"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61FB74A" wp14:editId="69C78B1D">
            <wp:extent cx="6305107" cy="4051005"/>
            <wp:effectExtent l="0" t="0" r="635" b="6985"/>
            <wp:docPr id="452" name="그림 452"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52" name="그림 452" descr="Chart&#10;&#10;Description automatically generated"/>
                    <pic:cNvPicPr/>
                  </pic:nvPicPr>
                  <pic:blipFill>
                    <a:blip r:embed="rId110">
                      <a:extLst>
                        <a:ext uri="{28A0092B-C50C-407E-A947-70E740481C1C}">
                          <a14:useLocalDpi xmlns:a14="http://schemas.microsoft.com/office/drawing/2010/main" val="0"/>
                        </a:ext>
                      </a:extLst>
                    </a:blip>
                    <a:stretch>
                      <a:fillRect/>
                    </a:stretch>
                  </pic:blipFill>
                  <pic:spPr>
                    <a:xfrm>
                      <a:off x="0" y="0"/>
                      <a:ext cx="6307367" cy="4052457"/>
                    </a:xfrm>
                    <a:prstGeom prst="rect">
                      <a:avLst/>
                    </a:prstGeom>
                  </pic:spPr>
                </pic:pic>
              </a:graphicData>
            </a:graphic>
          </wp:inline>
        </w:drawing>
      </w:r>
    </w:p>
    <w:p w14:paraId="06845F7B"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1F4FABE8"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2730D3B1" wp14:editId="17360652">
            <wp:extent cx="6840220" cy="4559935"/>
            <wp:effectExtent l="0" t="0" r="0" b="0"/>
            <wp:docPr id="453" name="그림 453"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53" name="그림 453" descr="Chart, line chart&#10;&#10;Description automatically generated"/>
                    <pic:cNvPicPr/>
                  </pic:nvPicPr>
                  <pic:blipFill>
                    <a:blip r:embed="rId111">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4E829BED"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03A4B93B"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S35. Gestational diabetes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6162AFA6"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21F95B62"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0E9D232D" wp14:editId="3D5B2F58">
            <wp:extent cx="6840220" cy="4559935"/>
            <wp:effectExtent l="0" t="0" r="0" b="0"/>
            <wp:docPr id="454" name="그림 454"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54" name="그림 454" descr="Chart&#10;&#10;Description automatically generated"/>
                    <pic:cNvPicPr/>
                  </pic:nvPicPr>
                  <pic:blipFill>
                    <a:blip r:embed="rId112">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76337D8A"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30640727"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E340D12" wp14:editId="5DE65E07">
            <wp:extent cx="6305107" cy="3912782"/>
            <wp:effectExtent l="0" t="0" r="635" b="0"/>
            <wp:docPr id="455" name="그림 455"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55" name="그림 455" descr="Chart&#10;&#10;Description automatically generated"/>
                    <pic:cNvPicPr/>
                  </pic:nvPicPr>
                  <pic:blipFill>
                    <a:blip r:embed="rId113">
                      <a:extLst>
                        <a:ext uri="{28A0092B-C50C-407E-A947-70E740481C1C}">
                          <a14:useLocalDpi xmlns:a14="http://schemas.microsoft.com/office/drawing/2010/main" val="0"/>
                        </a:ext>
                      </a:extLst>
                    </a:blip>
                    <a:stretch>
                      <a:fillRect/>
                    </a:stretch>
                  </pic:blipFill>
                  <pic:spPr>
                    <a:xfrm>
                      <a:off x="0" y="0"/>
                      <a:ext cx="6308387" cy="3914817"/>
                    </a:xfrm>
                    <a:prstGeom prst="rect">
                      <a:avLst/>
                    </a:prstGeom>
                  </pic:spPr>
                </pic:pic>
              </a:graphicData>
            </a:graphic>
          </wp:inline>
        </w:drawing>
      </w:r>
    </w:p>
    <w:p w14:paraId="08732BED"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4568E4E2"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9B2215C" wp14:editId="71B6B90F">
            <wp:extent cx="6840220" cy="4559935"/>
            <wp:effectExtent l="0" t="0" r="0" b="0"/>
            <wp:docPr id="456" name="그림 456"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56" name="그림 456" descr="Chart, line chart&#10;&#10;Description automatically generated"/>
                    <pic:cNvPicPr/>
                  </pic:nvPicPr>
                  <pic:blipFill>
                    <a:blip r:embed="rId114">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64219E5F"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78C58E68"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S36. Emergency cesarean section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4DF51B33"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4F215143"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09E67135" wp14:editId="6891C25D">
            <wp:extent cx="6840220" cy="4559935"/>
            <wp:effectExtent l="0" t="0" r="0" b="0"/>
            <wp:docPr id="457" name="그림 457" descr="Chart&#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457" name="그림 457" descr="Chart&#10;&#10;Description automatically generated with low confidence"/>
                    <pic:cNvPicPr/>
                  </pic:nvPicPr>
                  <pic:blipFill>
                    <a:blip r:embed="rId115">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4C375A18"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028833FF"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3ADA47E5" wp14:editId="6304FB6C">
            <wp:extent cx="6372225" cy="3990975"/>
            <wp:effectExtent l="0" t="0" r="9525" b="9525"/>
            <wp:docPr id="458" name="그림 458"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58" name="그림 458" descr="Chart&#10;&#10;Description automatically generated"/>
                    <pic:cNvPicPr/>
                  </pic:nvPicPr>
                  <pic:blipFill>
                    <a:blip r:embed="rId116">
                      <a:extLst>
                        <a:ext uri="{28A0092B-C50C-407E-A947-70E740481C1C}">
                          <a14:useLocalDpi xmlns:a14="http://schemas.microsoft.com/office/drawing/2010/main" val="0"/>
                        </a:ext>
                      </a:extLst>
                    </a:blip>
                    <a:stretch>
                      <a:fillRect/>
                    </a:stretch>
                  </pic:blipFill>
                  <pic:spPr>
                    <a:xfrm>
                      <a:off x="0" y="0"/>
                      <a:ext cx="6372225" cy="3990975"/>
                    </a:xfrm>
                    <a:prstGeom prst="rect">
                      <a:avLst/>
                    </a:prstGeom>
                  </pic:spPr>
                </pic:pic>
              </a:graphicData>
            </a:graphic>
          </wp:inline>
        </w:drawing>
      </w:r>
    </w:p>
    <w:p w14:paraId="3E3F78FB"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241109A2"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512E5944" wp14:editId="7A236948">
            <wp:extent cx="6840220" cy="4559935"/>
            <wp:effectExtent l="0" t="0" r="0" b="0"/>
            <wp:docPr id="459" name="그림 459"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59" name="그림 459" descr="Chart, line chart&#10;&#10;Description automatically generated"/>
                    <pic:cNvPicPr/>
                  </pic:nvPicPr>
                  <pic:blipFill>
                    <a:blip r:embed="rId117">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3CAB4B2B"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126F76C2"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S37. Childhood abuse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592BA48D"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7A549846"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3B8AD85B" wp14:editId="589AF5CC">
            <wp:extent cx="6840220" cy="4559935"/>
            <wp:effectExtent l="0" t="0" r="0" b="0"/>
            <wp:docPr id="460" name="그림 460" descr="Tabl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460" name="그림 460" descr="Table&#10;&#10;Description automatically generated with medium confidence"/>
                    <pic:cNvPicPr/>
                  </pic:nvPicPr>
                  <pic:blipFill>
                    <a:blip r:embed="rId118">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1A62BA94"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589C9110"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4BD46BAD" wp14:editId="2F339A26">
            <wp:extent cx="6276975" cy="3962400"/>
            <wp:effectExtent l="0" t="0" r="9525" b="0"/>
            <wp:docPr id="461" name="그림 461"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61" name="그림 461" descr="Chart&#10;&#10;Description automatically generated"/>
                    <pic:cNvPicPr/>
                  </pic:nvPicPr>
                  <pic:blipFill>
                    <a:blip r:embed="rId119">
                      <a:extLst>
                        <a:ext uri="{28A0092B-C50C-407E-A947-70E740481C1C}">
                          <a14:useLocalDpi xmlns:a14="http://schemas.microsoft.com/office/drawing/2010/main" val="0"/>
                        </a:ext>
                      </a:extLst>
                    </a:blip>
                    <a:stretch>
                      <a:fillRect/>
                    </a:stretch>
                  </pic:blipFill>
                  <pic:spPr>
                    <a:xfrm>
                      <a:off x="0" y="0"/>
                      <a:ext cx="6276975" cy="3962400"/>
                    </a:xfrm>
                    <a:prstGeom prst="rect">
                      <a:avLst/>
                    </a:prstGeom>
                  </pic:spPr>
                </pic:pic>
              </a:graphicData>
            </a:graphic>
          </wp:inline>
        </w:drawing>
      </w:r>
    </w:p>
    <w:p w14:paraId="0975EFBA"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0C7A6F0A"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9AD7686" wp14:editId="3EA8E0E6">
            <wp:extent cx="6840220" cy="4559935"/>
            <wp:effectExtent l="0" t="0" r="0" b="0"/>
            <wp:docPr id="462" name="그림 462"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62" name="그림 462" descr="Chart, line chart&#10;&#10;Description automatically generated"/>
                    <pic:cNvPicPr/>
                  </pic:nvPicPr>
                  <pic:blipFill>
                    <a:blip r:embed="rId120">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50029C83"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0F3B2B2E"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S38. HIV infection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6BF4322A"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123566C7"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6FC8B8CF" wp14:editId="0266D490">
            <wp:extent cx="6840220" cy="4559935"/>
            <wp:effectExtent l="0" t="0" r="0" b="0"/>
            <wp:docPr id="463" name="그림 463" descr="A picture containing chart&#10;&#10;Description automatically generated"/>
            <wp:cNvGraphicFramePr/>
            <a:graphic xmlns:a="http://schemas.openxmlformats.org/drawingml/2006/main">
              <a:graphicData uri="http://schemas.openxmlformats.org/drawingml/2006/picture">
                <pic:pic xmlns:pic="http://schemas.openxmlformats.org/drawingml/2006/picture">
                  <pic:nvPicPr>
                    <pic:cNvPr id="463" name="그림 463" descr="A picture containing chart&#10;&#10;Description automatically generated"/>
                    <pic:cNvPicPr/>
                  </pic:nvPicPr>
                  <pic:blipFill>
                    <a:blip r:embed="rId121">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25B49AF7"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1CA9B1D3"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3DF5596D" wp14:editId="08747E86">
            <wp:extent cx="6219825" cy="3724275"/>
            <wp:effectExtent l="0" t="0" r="9525" b="9525"/>
            <wp:docPr id="464" name="그림 464"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64" name="그림 464" descr="Chart&#10;&#10;Description automatically generated"/>
                    <pic:cNvPicPr/>
                  </pic:nvPicPr>
                  <pic:blipFill>
                    <a:blip r:embed="rId122">
                      <a:extLst>
                        <a:ext uri="{28A0092B-C50C-407E-A947-70E740481C1C}">
                          <a14:useLocalDpi xmlns:a14="http://schemas.microsoft.com/office/drawing/2010/main" val="0"/>
                        </a:ext>
                      </a:extLst>
                    </a:blip>
                    <a:stretch>
                      <a:fillRect/>
                    </a:stretch>
                  </pic:blipFill>
                  <pic:spPr>
                    <a:xfrm>
                      <a:off x="0" y="0"/>
                      <a:ext cx="6219825" cy="3724275"/>
                    </a:xfrm>
                    <a:prstGeom prst="rect">
                      <a:avLst/>
                    </a:prstGeom>
                  </pic:spPr>
                </pic:pic>
              </a:graphicData>
            </a:graphic>
          </wp:inline>
        </w:drawing>
      </w:r>
    </w:p>
    <w:p w14:paraId="3517B90E"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6A2319E9" w14:textId="77777777" w:rsidR="00394B52" w:rsidRPr="00394B52" w:rsidRDefault="00394B52" w:rsidP="00394B52">
      <w:pPr>
        <w:rPr>
          <w:rFonts w:ascii="Times" w:hAnsi="Times" w:cs="Times"/>
          <w:szCs w:val="20"/>
        </w:rPr>
      </w:pPr>
      <w:r w:rsidRPr="00394B52">
        <w:rPr>
          <w:rFonts w:ascii="Times" w:hAnsi="Times" w:cs="Times"/>
          <w:szCs w:val="20"/>
        </w:rPr>
        <w:lastRenderedPageBreak/>
        <w:t>3) P curve analysis plot</w:t>
      </w:r>
    </w:p>
    <w:p w14:paraId="5FA5F8F4"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78268F93" wp14:editId="7A5F03BE">
            <wp:extent cx="6840220" cy="4559935"/>
            <wp:effectExtent l="0" t="0" r="0" b="0"/>
            <wp:docPr id="465" name="그림 465"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65" name="그림 465" descr="Chart, line chart&#10;&#10;Description automatically generated"/>
                    <pic:cNvPicPr/>
                  </pic:nvPicPr>
                  <pic:blipFill>
                    <a:blip r:embed="rId123">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7D4C8566"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7BA6954F"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S39. Anemia during pregnancy (</w:t>
      </w:r>
      <w:r w:rsidRPr="00394B52">
        <w:rPr>
          <w:rFonts w:ascii="Times New Roman" w:hAnsi="Times New Roman" w:cs="Times New Roman"/>
          <w:b/>
          <w:bCs/>
          <w:szCs w:val="20"/>
        </w:rPr>
        <w:t>Forest plot, funnel plot</w:t>
      </w:r>
      <w:r w:rsidRPr="00394B52">
        <w:rPr>
          <w:rFonts w:ascii="Times" w:hAnsi="Times" w:cs="Times"/>
          <w:b/>
          <w:bCs/>
          <w:szCs w:val="20"/>
        </w:rPr>
        <w:t>)</w:t>
      </w:r>
    </w:p>
    <w:p w14:paraId="40BAF042"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5E9FF7DB"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2A1F8E47" wp14:editId="17A2162F">
            <wp:extent cx="6410325" cy="4095750"/>
            <wp:effectExtent l="0" t="0" r="9525" b="0"/>
            <wp:docPr id="466" name="그림 466"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66" name="그림 466" descr="Table&#10;&#10;Description automatically generated"/>
                    <pic:cNvPicPr/>
                  </pic:nvPicPr>
                  <pic:blipFill>
                    <a:blip r:embed="rId124">
                      <a:extLst>
                        <a:ext uri="{28A0092B-C50C-407E-A947-70E740481C1C}">
                          <a14:useLocalDpi xmlns:a14="http://schemas.microsoft.com/office/drawing/2010/main" val="0"/>
                        </a:ext>
                      </a:extLst>
                    </a:blip>
                    <a:stretch>
                      <a:fillRect/>
                    </a:stretch>
                  </pic:blipFill>
                  <pic:spPr>
                    <a:xfrm>
                      <a:off x="0" y="0"/>
                      <a:ext cx="6410325" cy="4095750"/>
                    </a:xfrm>
                    <a:prstGeom prst="rect">
                      <a:avLst/>
                    </a:prstGeom>
                  </pic:spPr>
                </pic:pic>
              </a:graphicData>
            </a:graphic>
          </wp:inline>
        </w:drawing>
      </w:r>
    </w:p>
    <w:p w14:paraId="39F46B45"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70C40051"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4039BB20" wp14:editId="01CCA15B">
            <wp:extent cx="6400800" cy="3867150"/>
            <wp:effectExtent l="0" t="0" r="0" b="0"/>
            <wp:docPr id="467" name="그림 467"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67" name="그림 467" descr="Chart&#10;&#10;Description automatically generated"/>
                    <pic:cNvPicPr/>
                  </pic:nvPicPr>
                  <pic:blipFill>
                    <a:blip r:embed="rId125">
                      <a:extLst>
                        <a:ext uri="{28A0092B-C50C-407E-A947-70E740481C1C}">
                          <a14:useLocalDpi xmlns:a14="http://schemas.microsoft.com/office/drawing/2010/main" val="0"/>
                        </a:ext>
                      </a:extLst>
                    </a:blip>
                    <a:stretch>
                      <a:fillRect/>
                    </a:stretch>
                  </pic:blipFill>
                  <pic:spPr>
                    <a:xfrm>
                      <a:off x="0" y="0"/>
                      <a:ext cx="6400800" cy="3867150"/>
                    </a:xfrm>
                    <a:prstGeom prst="rect">
                      <a:avLst/>
                    </a:prstGeom>
                  </pic:spPr>
                </pic:pic>
              </a:graphicData>
            </a:graphic>
          </wp:inline>
        </w:drawing>
      </w:r>
    </w:p>
    <w:p w14:paraId="2A4D23DB"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6C6548EB" w14:textId="77777777" w:rsidR="00394B52" w:rsidRPr="00394B52" w:rsidRDefault="00394B52" w:rsidP="00394B52">
      <w:pPr>
        <w:rPr>
          <w:rFonts w:ascii="Times" w:hAnsi="Times" w:cs="Times"/>
          <w:szCs w:val="20"/>
        </w:rPr>
      </w:pPr>
      <w:r w:rsidRPr="00394B52">
        <w:rPr>
          <w:rFonts w:ascii="Times" w:hAnsi="Times" w:cs="Times"/>
          <w:szCs w:val="20"/>
        </w:rPr>
        <w:t>Not available because of the small number of studies</w:t>
      </w:r>
    </w:p>
    <w:p w14:paraId="04AB60B4" w14:textId="77777777" w:rsidR="00394B52" w:rsidRPr="00394B52" w:rsidRDefault="00394B52" w:rsidP="00394B52">
      <w:pPr>
        <w:rPr>
          <w:rFonts w:ascii="Times" w:hAnsi="Times" w:cs="Times"/>
          <w:b/>
          <w:bCs/>
          <w:szCs w:val="20"/>
        </w:rPr>
      </w:pPr>
      <w:r w:rsidRPr="00394B52">
        <w:rPr>
          <w:rFonts w:ascii="Times" w:hAnsi="Times" w:cs="Times"/>
          <w:b/>
          <w:bCs/>
          <w:szCs w:val="20"/>
        </w:rPr>
        <w:t>Figure S40. Female infant compared to male infant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3DA97A49"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29C51265"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2256D4A9" wp14:editId="78291E80">
            <wp:extent cx="6419850" cy="8667750"/>
            <wp:effectExtent l="0" t="0" r="0" b="0"/>
            <wp:docPr id="468" name="그림 468"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68" name="그림 468" descr="Chart&#10;&#10;Description automatically generated"/>
                    <pic:cNvPicPr/>
                  </pic:nvPicPr>
                  <pic:blipFill>
                    <a:blip r:embed="rId126">
                      <a:extLst>
                        <a:ext uri="{28A0092B-C50C-407E-A947-70E740481C1C}">
                          <a14:useLocalDpi xmlns:a14="http://schemas.microsoft.com/office/drawing/2010/main" val="0"/>
                        </a:ext>
                      </a:extLst>
                    </a:blip>
                    <a:stretch>
                      <a:fillRect/>
                    </a:stretch>
                  </pic:blipFill>
                  <pic:spPr>
                    <a:xfrm>
                      <a:off x="0" y="0"/>
                      <a:ext cx="6419850" cy="8667750"/>
                    </a:xfrm>
                    <a:prstGeom prst="rect">
                      <a:avLst/>
                    </a:prstGeom>
                  </pic:spPr>
                </pic:pic>
              </a:graphicData>
            </a:graphic>
          </wp:inline>
        </w:drawing>
      </w:r>
    </w:p>
    <w:p w14:paraId="085F784C"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lastRenderedPageBreak/>
        <w:br w:type="page"/>
      </w:r>
    </w:p>
    <w:p w14:paraId="5196B9A6" w14:textId="77777777" w:rsidR="00394B52" w:rsidRPr="00394B52" w:rsidRDefault="00394B52" w:rsidP="00394B52">
      <w:pPr>
        <w:rPr>
          <w:rFonts w:ascii="Times" w:hAnsi="Times" w:cs="Times"/>
          <w:szCs w:val="20"/>
        </w:rPr>
      </w:pPr>
      <w:r w:rsidRPr="00394B52">
        <w:rPr>
          <w:rFonts w:ascii="Times" w:hAnsi="Times" w:cs="Times"/>
          <w:szCs w:val="20"/>
        </w:rPr>
        <w:lastRenderedPageBreak/>
        <w:t>2) Funnel plot</w:t>
      </w:r>
    </w:p>
    <w:p w14:paraId="1E5CFE6E"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5C8413CD" wp14:editId="51F890B0">
            <wp:extent cx="6840220" cy="4559935"/>
            <wp:effectExtent l="0" t="0" r="0" b="0"/>
            <wp:docPr id="469" name="그림 469"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69" name="그림 469" descr="Chart&#10;&#10;Description automatically generated"/>
                    <pic:cNvPicPr/>
                  </pic:nvPicPr>
                  <pic:blipFill>
                    <a:blip r:embed="rId127">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709995BA"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4F12039F"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47D39B62" wp14:editId="1BFCEA93">
            <wp:extent cx="6429375" cy="4210050"/>
            <wp:effectExtent l="0" t="0" r="9525" b="0"/>
            <wp:docPr id="470" name="그림 470"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70" name="그림 470" descr="Chart, line chart&#10;&#10;Description automatically generated"/>
                    <pic:cNvPicPr/>
                  </pic:nvPicPr>
                  <pic:blipFill>
                    <a:blip r:embed="rId128">
                      <a:extLst>
                        <a:ext uri="{28A0092B-C50C-407E-A947-70E740481C1C}">
                          <a14:useLocalDpi xmlns:a14="http://schemas.microsoft.com/office/drawing/2010/main" val="0"/>
                        </a:ext>
                      </a:extLst>
                    </a:blip>
                    <a:stretch>
                      <a:fillRect/>
                    </a:stretch>
                  </pic:blipFill>
                  <pic:spPr>
                    <a:xfrm>
                      <a:off x="0" y="0"/>
                      <a:ext cx="6429375" cy="4210050"/>
                    </a:xfrm>
                    <a:prstGeom prst="rect">
                      <a:avLst/>
                    </a:prstGeom>
                  </pic:spPr>
                </pic:pic>
              </a:graphicData>
            </a:graphic>
          </wp:inline>
        </w:drawing>
      </w:r>
    </w:p>
    <w:p w14:paraId="0121B8C4" w14:textId="77777777" w:rsidR="00394B52" w:rsidRPr="00394B52" w:rsidRDefault="00394B52" w:rsidP="00394B52">
      <w:pPr>
        <w:rPr>
          <w:rFonts w:ascii="Times" w:hAnsi="Times" w:cs="Times"/>
          <w:b/>
          <w:bCs/>
          <w:szCs w:val="20"/>
        </w:rPr>
      </w:pPr>
      <w:r w:rsidRPr="00394B52">
        <w:rPr>
          <w:rFonts w:ascii="Times" w:hAnsi="Times" w:cs="Times"/>
          <w:b/>
          <w:bCs/>
          <w:szCs w:val="20"/>
        </w:rPr>
        <w:t>Figure S41. Pre-pregnancy overweight (</w:t>
      </w:r>
      <w:r w:rsidRPr="00394B52">
        <w:rPr>
          <w:rFonts w:ascii="Times New Roman" w:hAnsi="Times New Roman" w:cs="Times New Roman"/>
          <w:b/>
          <w:bCs/>
          <w:szCs w:val="20"/>
        </w:rPr>
        <w:t>Forest plot, funnel plot)</w:t>
      </w:r>
    </w:p>
    <w:p w14:paraId="05B9EE0E"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48EE4110"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50BFD96D" wp14:editId="6B050422">
            <wp:extent cx="6153150" cy="3819525"/>
            <wp:effectExtent l="0" t="0" r="0" b="9525"/>
            <wp:docPr id="471" name="그림 471"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71" name="그림 471" descr="Table&#10;&#10;Description automatically generated"/>
                    <pic:cNvPicPr/>
                  </pic:nvPicPr>
                  <pic:blipFill>
                    <a:blip r:embed="rId129">
                      <a:extLst>
                        <a:ext uri="{28A0092B-C50C-407E-A947-70E740481C1C}">
                          <a14:useLocalDpi xmlns:a14="http://schemas.microsoft.com/office/drawing/2010/main" val="0"/>
                        </a:ext>
                      </a:extLst>
                    </a:blip>
                    <a:stretch>
                      <a:fillRect/>
                    </a:stretch>
                  </pic:blipFill>
                  <pic:spPr>
                    <a:xfrm>
                      <a:off x="0" y="0"/>
                      <a:ext cx="6153150" cy="3819525"/>
                    </a:xfrm>
                    <a:prstGeom prst="rect">
                      <a:avLst/>
                    </a:prstGeom>
                  </pic:spPr>
                </pic:pic>
              </a:graphicData>
            </a:graphic>
          </wp:inline>
        </w:drawing>
      </w:r>
    </w:p>
    <w:p w14:paraId="7742EE11"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5DB3E84D"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3A7C8EE1" wp14:editId="57821166">
            <wp:extent cx="6419850" cy="4219575"/>
            <wp:effectExtent l="0" t="0" r="0" b="9525"/>
            <wp:docPr id="472" name="그림 472" descr="Chart, radar chart&#10;&#10;Description automatically generated"/>
            <wp:cNvGraphicFramePr/>
            <a:graphic xmlns:a="http://schemas.openxmlformats.org/drawingml/2006/main">
              <a:graphicData uri="http://schemas.openxmlformats.org/drawingml/2006/picture">
                <pic:pic xmlns:pic="http://schemas.openxmlformats.org/drawingml/2006/picture">
                  <pic:nvPicPr>
                    <pic:cNvPr id="472" name="그림 472" descr="Chart, radar chart&#10;&#10;Description automatically generated"/>
                    <pic:cNvPicPr/>
                  </pic:nvPicPr>
                  <pic:blipFill>
                    <a:blip r:embed="rId130">
                      <a:extLst>
                        <a:ext uri="{28A0092B-C50C-407E-A947-70E740481C1C}">
                          <a14:useLocalDpi xmlns:a14="http://schemas.microsoft.com/office/drawing/2010/main" val="0"/>
                        </a:ext>
                      </a:extLst>
                    </a:blip>
                    <a:stretch>
                      <a:fillRect/>
                    </a:stretch>
                  </pic:blipFill>
                  <pic:spPr>
                    <a:xfrm>
                      <a:off x="0" y="0"/>
                      <a:ext cx="6419850" cy="4219575"/>
                    </a:xfrm>
                    <a:prstGeom prst="rect">
                      <a:avLst/>
                    </a:prstGeom>
                  </pic:spPr>
                </pic:pic>
              </a:graphicData>
            </a:graphic>
          </wp:inline>
        </w:drawing>
      </w:r>
    </w:p>
    <w:p w14:paraId="59E3C1FD"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1195F5F5" w14:textId="77777777" w:rsidR="00394B52" w:rsidRPr="00394B52" w:rsidRDefault="00394B52" w:rsidP="00394B52">
      <w:pPr>
        <w:rPr>
          <w:rFonts w:ascii="Times" w:hAnsi="Times" w:cs="Times"/>
          <w:szCs w:val="20"/>
        </w:rPr>
      </w:pPr>
      <w:r w:rsidRPr="00394B52">
        <w:rPr>
          <w:rFonts w:ascii="Times" w:hAnsi="Times" w:cs="Times"/>
          <w:szCs w:val="20"/>
        </w:rPr>
        <w:t>Not available because of the small number of studies</w:t>
      </w:r>
    </w:p>
    <w:p w14:paraId="410972D3" w14:textId="77777777" w:rsidR="00394B52" w:rsidRPr="00394B52" w:rsidRDefault="00394B52" w:rsidP="00394B52">
      <w:pPr>
        <w:rPr>
          <w:rFonts w:ascii="Times" w:hAnsi="Times" w:cs="Times"/>
          <w:b/>
          <w:bCs/>
          <w:szCs w:val="20"/>
        </w:rPr>
      </w:pPr>
      <w:r w:rsidRPr="00394B52">
        <w:rPr>
          <w:rFonts w:ascii="Times" w:hAnsi="Times" w:cs="Times"/>
          <w:b/>
          <w:bCs/>
          <w:szCs w:val="20"/>
        </w:rPr>
        <w:t>Figure S42. Active husband participation in maternal healthcare/services during pregnancy (Forest plot)</w:t>
      </w:r>
    </w:p>
    <w:p w14:paraId="2286D2AF"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294D48BC"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33E250B8" wp14:editId="0C3F7472">
            <wp:extent cx="6840220" cy="4559935"/>
            <wp:effectExtent l="0" t="0" r="0" b="0"/>
            <wp:docPr id="473" name="그림 473"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73" name="그림 473" descr="Table&#10;&#10;Description automatically generated"/>
                    <pic:cNvPicPr/>
                  </pic:nvPicPr>
                  <pic:blipFill>
                    <a:blip r:embed="rId131">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14EC20E0"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41B5FD47" w14:textId="77777777" w:rsidR="00394B52" w:rsidRPr="00394B52" w:rsidRDefault="00394B52" w:rsidP="00394B52">
      <w:pPr>
        <w:rPr>
          <w:rFonts w:ascii="Times" w:hAnsi="Times" w:cs="Times"/>
          <w:szCs w:val="20"/>
        </w:rPr>
      </w:pPr>
      <w:r w:rsidRPr="00394B52">
        <w:rPr>
          <w:rFonts w:ascii="Times" w:hAnsi="Times" w:cs="Times"/>
          <w:szCs w:val="20"/>
        </w:rPr>
        <w:t>Not available because of the small number of studies</w:t>
      </w:r>
    </w:p>
    <w:p w14:paraId="7DC266B4" w14:textId="77777777" w:rsidR="00394B52" w:rsidRPr="00394B52" w:rsidRDefault="00394B52" w:rsidP="00394B52">
      <w:pPr>
        <w:rPr>
          <w:rFonts w:ascii="Times" w:hAnsi="Times" w:cs="Times"/>
          <w:szCs w:val="20"/>
        </w:rPr>
      </w:pPr>
    </w:p>
    <w:p w14:paraId="25EB0665"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44612609" w14:textId="77777777" w:rsidR="00394B52" w:rsidRPr="00394B52" w:rsidRDefault="00394B52" w:rsidP="00394B52">
      <w:pPr>
        <w:rPr>
          <w:rFonts w:ascii="Times" w:hAnsi="Times" w:cs="Times"/>
          <w:szCs w:val="20"/>
        </w:rPr>
      </w:pPr>
      <w:r w:rsidRPr="00394B52">
        <w:rPr>
          <w:rFonts w:ascii="Times" w:hAnsi="Times" w:cs="Times"/>
          <w:szCs w:val="20"/>
        </w:rPr>
        <w:t>Not available because of the small number of studies</w:t>
      </w:r>
    </w:p>
    <w:p w14:paraId="5DFCFCD6" w14:textId="77777777" w:rsidR="00394B52" w:rsidRPr="00394B52" w:rsidRDefault="00394B52" w:rsidP="00394B52">
      <w:pPr>
        <w:rPr>
          <w:rFonts w:ascii="Times" w:hAnsi="Times" w:cs="Times"/>
          <w:szCs w:val="20"/>
        </w:rPr>
      </w:pPr>
    </w:p>
    <w:p w14:paraId="4D7C8837"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lastRenderedPageBreak/>
        <w:br w:type="page"/>
      </w:r>
    </w:p>
    <w:p w14:paraId="3D828417"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S43. Active husband participation in maternal healthcare/services postpartum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53124597"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7F048685"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7962E578" wp14:editId="620A254D">
            <wp:extent cx="6267450" cy="3905250"/>
            <wp:effectExtent l="0" t="0" r="0" b="0"/>
            <wp:docPr id="474" name="그림 474"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74" name="그림 474" descr="Table&#10;&#10;Description automatically generated"/>
                    <pic:cNvPicPr/>
                  </pic:nvPicPr>
                  <pic:blipFill>
                    <a:blip r:embed="rId132">
                      <a:extLst>
                        <a:ext uri="{28A0092B-C50C-407E-A947-70E740481C1C}">
                          <a14:useLocalDpi xmlns:a14="http://schemas.microsoft.com/office/drawing/2010/main" val="0"/>
                        </a:ext>
                      </a:extLst>
                    </a:blip>
                    <a:stretch>
                      <a:fillRect/>
                    </a:stretch>
                  </pic:blipFill>
                  <pic:spPr>
                    <a:xfrm>
                      <a:off x="0" y="0"/>
                      <a:ext cx="6267450" cy="3905250"/>
                    </a:xfrm>
                    <a:prstGeom prst="rect">
                      <a:avLst/>
                    </a:prstGeom>
                  </pic:spPr>
                </pic:pic>
              </a:graphicData>
            </a:graphic>
          </wp:inline>
        </w:drawing>
      </w:r>
    </w:p>
    <w:p w14:paraId="6BA9A642"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665C1B40"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3A45ECCA" wp14:editId="2799D7DA">
            <wp:extent cx="6248400" cy="3933825"/>
            <wp:effectExtent l="0" t="0" r="0" b="9525"/>
            <wp:docPr id="475" name="그림 475" descr="Chart,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475" name="그림 475" descr="Chart, diagram&#10;&#10;Description automatically generated"/>
                    <pic:cNvPicPr/>
                  </pic:nvPicPr>
                  <pic:blipFill>
                    <a:blip r:embed="rId133">
                      <a:extLst>
                        <a:ext uri="{28A0092B-C50C-407E-A947-70E740481C1C}">
                          <a14:useLocalDpi xmlns:a14="http://schemas.microsoft.com/office/drawing/2010/main" val="0"/>
                        </a:ext>
                      </a:extLst>
                    </a:blip>
                    <a:stretch>
                      <a:fillRect/>
                    </a:stretch>
                  </pic:blipFill>
                  <pic:spPr>
                    <a:xfrm>
                      <a:off x="0" y="0"/>
                      <a:ext cx="6248400" cy="3933825"/>
                    </a:xfrm>
                    <a:prstGeom prst="rect">
                      <a:avLst/>
                    </a:prstGeom>
                  </pic:spPr>
                </pic:pic>
              </a:graphicData>
            </a:graphic>
          </wp:inline>
        </w:drawing>
      </w:r>
    </w:p>
    <w:p w14:paraId="768E4807"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4B6E3652"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53FA9133" wp14:editId="4EA1248C">
            <wp:extent cx="6840220" cy="4559935"/>
            <wp:effectExtent l="0" t="0" r="0" b="0"/>
            <wp:docPr id="476" name="그림 476"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76" name="그림 476" descr="Chart, line chart&#10;&#10;Description automatically generated"/>
                    <pic:cNvPicPr/>
                  </pic:nvPicPr>
                  <pic:blipFill>
                    <a:blip r:embed="rId134">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5E26B257"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0D94A98C"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S44. Family history of mental illness (</w:t>
      </w:r>
      <w:r w:rsidRPr="00394B52">
        <w:rPr>
          <w:rFonts w:ascii="Times New Roman" w:hAnsi="Times New Roman" w:cs="Times New Roman"/>
          <w:b/>
          <w:bCs/>
          <w:szCs w:val="20"/>
        </w:rPr>
        <w:t>Forest plot</w:t>
      </w:r>
      <w:r w:rsidRPr="00394B52">
        <w:rPr>
          <w:rFonts w:ascii="Times" w:hAnsi="Times" w:cs="Times"/>
          <w:b/>
          <w:bCs/>
          <w:szCs w:val="20"/>
        </w:rPr>
        <w:t>)</w:t>
      </w:r>
    </w:p>
    <w:p w14:paraId="1B390F97"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7717E261"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1703F297" wp14:editId="0D7E5BA2">
            <wp:extent cx="6840220" cy="4559935"/>
            <wp:effectExtent l="0" t="0" r="0" b="0"/>
            <wp:docPr id="477" name="그림 477" descr="A picture containing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477" name="그림 477" descr="A picture containing diagram&#10;&#10;Description automatically generated"/>
                    <pic:cNvPicPr/>
                  </pic:nvPicPr>
                  <pic:blipFill>
                    <a:blip r:embed="rId135">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6A548ADD"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48602237" w14:textId="77777777" w:rsidR="00394B52" w:rsidRPr="00394B52" w:rsidRDefault="00394B52" w:rsidP="00394B52">
      <w:pPr>
        <w:rPr>
          <w:rFonts w:ascii="Times" w:hAnsi="Times" w:cs="Times"/>
          <w:szCs w:val="20"/>
        </w:rPr>
      </w:pPr>
      <w:r w:rsidRPr="00394B52">
        <w:rPr>
          <w:rFonts w:ascii="Times" w:hAnsi="Times" w:cs="Times"/>
          <w:szCs w:val="20"/>
        </w:rPr>
        <w:t>Not available because of the small number of studies</w:t>
      </w:r>
    </w:p>
    <w:p w14:paraId="2B0D8155" w14:textId="77777777" w:rsidR="00394B52" w:rsidRPr="00394B52" w:rsidRDefault="00394B52" w:rsidP="00394B52">
      <w:pPr>
        <w:rPr>
          <w:rFonts w:ascii="Times" w:hAnsi="Times" w:cs="Times"/>
          <w:szCs w:val="20"/>
        </w:rPr>
      </w:pPr>
    </w:p>
    <w:p w14:paraId="40275C31"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41089420" w14:textId="77777777" w:rsidR="00394B52" w:rsidRPr="00394B52" w:rsidRDefault="00394B52" w:rsidP="00394B52">
      <w:pPr>
        <w:rPr>
          <w:rFonts w:ascii="Times" w:hAnsi="Times" w:cs="Times"/>
          <w:szCs w:val="20"/>
        </w:rPr>
      </w:pPr>
      <w:r w:rsidRPr="00394B52">
        <w:rPr>
          <w:rFonts w:ascii="Times" w:hAnsi="Times" w:cs="Times"/>
          <w:szCs w:val="20"/>
        </w:rPr>
        <w:lastRenderedPageBreak/>
        <w:t>Not available because of the small number of studies</w:t>
      </w:r>
    </w:p>
    <w:p w14:paraId="01275EAE" w14:textId="77777777" w:rsidR="00394B52" w:rsidRPr="00394B52" w:rsidRDefault="00394B52" w:rsidP="00394B52">
      <w:pPr>
        <w:rPr>
          <w:rFonts w:ascii="Times" w:hAnsi="Times" w:cs="Times"/>
          <w:szCs w:val="20"/>
        </w:rPr>
      </w:pPr>
    </w:p>
    <w:p w14:paraId="5E67DE86"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51D0A60D"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S45. Labor epidural analgesia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4C7F3131"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468EF0EE"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438E01FC" wp14:editId="39EEF9DD">
            <wp:extent cx="6572250" cy="4162425"/>
            <wp:effectExtent l="0" t="0" r="0" b="9525"/>
            <wp:docPr id="478" name="그림 478"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78" name="그림 478" descr="Chart&#10;&#10;Description automatically generated"/>
                    <pic:cNvPicPr/>
                  </pic:nvPicPr>
                  <pic:blipFill>
                    <a:blip r:embed="rId136">
                      <a:extLst>
                        <a:ext uri="{28A0092B-C50C-407E-A947-70E740481C1C}">
                          <a14:useLocalDpi xmlns:a14="http://schemas.microsoft.com/office/drawing/2010/main" val="0"/>
                        </a:ext>
                      </a:extLst>
                    </a:blip>
                    <a:stretch>
                      <a:fillRect/>
                    </a:stretch>
                  </pic:blipFill>
                  <pic:spPr>
                    <a:xfrm>
                      <a:off x="0" y="0"/>
                      <a:ext cx="6572250" cy="4162425"/>
                    </a:xfrm>
                    <a:prstGeom prst="rect">
                      <a:avLst/>
                    </a:prstGeom>
                  </pic:spPr>
                </pic:pic>
              </a:graphicData>
            </a:graphic>
          </wp:inline>
        </w:drawing>
      </w:r>
    </w:p>
    <w:p w14:paraId="74BDA2EA"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2A1FDDA6"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1FF45A8B" wp14:editId="7C42565E">
            <wp:extent cx="6162675" cy="3838575"/>
            <wp:effectExtent l="0" t="0" r="9525" b="9525"/>
            <wp:docPr id="479" name="그림 479"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79" name="그림 479" descr="Chart&#10;&#10;Description automatically generated"/>
                    <pic:cNvPicPr/>
                  </pic:nvPicPr>
                  <pic:blipFill>
                    <a:blip r:embed="rId137">
                      <a:extLst>
                        <a:ext uri="{28A0092B-C50C-407E-A947-70E740481C1C}">
                          <a14:useLocalDpi xmlns:a14="http://schemas.microsoft.com/office/drawing/2010/main" val="0"/>
                        </a:ext>
                      </a:extLst>
                    </a:blip>
                    <a:stretch>
                      <a:fillRect/>
                    </a:stretch>
                  </pic:blipFill>
                  <pic:spPr>
                    <a:xfrm>
                      <a:off x="0" y="0"/>
                      <a:ext cx="6162675" cy="3838575"/>
                    </a:xfrm>
                    <a:prstGeom prst="rect">
                      <a:avLst/>
                    </a:prstGeom>
                  </pic:spPr>
                </pic:pic>
              </a:graphicData>
            </a:graphic>
          </wp:inline>
        </w:drawing>
      </w:r>
    </w:p>
    <w:p w14:paraId="2386FFD9"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0D11F9CF" w14:textId="77777777" w:rsidR="00394B52" w:rsidRPr="00394B52" w:rsidRDefault="00394B52" w:rsidP="00394B52">
      <w:pPr>
        <w:rPr>
          <w:rFonts w:ascii="Times" w:hAnsi="Times" w:cs="Times"/>
          <w:szCs w:val="20"/>
        </w:rPr>
      </w:pPr>
      <w:r w:rsidRPr="00394B52">
        <w:rPr>
          <w:rFonts w:ascii="Times" w:hAnsi="Times" w:cs="Times"/>
          <w:szCs w:val="20"/>
        </w:rPr>
        <w:lastRenderedPageBreak/>
        <w:t>3) P curve analysis plot</w:t>
      </w:r>
    </w:p>
    <w:p w14:paraId="05A922BD"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17F8461E" wp14:editId="2AA6AB04">
            <wp:extent cx="6840220" cy="4559935"/>
            <wp:effectExtent l="0" t="0" r="0" b="0"/>
            <wp:docPr id="480" name="그림 480" descr="Line chart&#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480" name="그림 480" descr="Line chart&#10;&#10;Description automatically generated with low confidence"/>
                    <pic:cNvPicPr/>
                  </pic:nvPicPr>
                  <pic:blipFill>
                    <a:blip r:embed="rId138">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44A66A67"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3F4CBEAB"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S46. Serum 25(OH)D level &lt; 50 nmol/L (</w:t>
      </w:r>
      <w:r w:rsidRPr="00394B52">
        <w:rPr>
          <w:rFonts w:ascii="Times New Roman" w:hAnsi="Times New Roman" w:cs="Times New Roman"/>
          <w:b/>
          <w:bCs/>
          <w:szCs w:val="20"/>
        </w:rPr>
        <w:t>Forest plot, funnel plot</w:t>
      </w:r>
      <w:r w:rsidRPr="00394B52">
        <w:rPr>
          <w:rFonts w:ascii="Times" w:hAnsi="Times" w:cs="Times"/>
          <w:b/>
          <w:bCs/>
          <w:szCs w:val="20"/>
        </w:rPr>
        <w:t>)</w:t>
      </w:r>
    </w:p>
    <w:p w14:paraId="7E3B8A5F"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4D386010"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56FB822E" wp14:editId="09BE14BA">
            <wp:extent cx="6210300" cy="3857625"/>
            <wp:effectExtent l="0" t="0" r="0" b="9525"/>
            <wp:docPr id="481" name="그림 481" descr="A picture containing chart&#10;&#10;Description automatically generated"/>
            <wp:cNvGraphicFramePr/>
            <a:graphic xmlns:a="http://schemas.openxmlformats.org/drawingml/2006/main">
              <a:graphicData uri="http://schemas.openxmlformats.org/drawingml/2006/picture">
                <pic:pic xmlns:pic="http://schemas.openxmlformats.org/drawingml/2006/picture">
                  <pic:nvPicPr>
                    <pic:cNvPr id="481" name="그림 481" descr="A picture containing chart&#10;&#10;Description automatically generated"/>
                    <pic:cNvPicPr/>
                  </pic:nvPicPr>
                  <pic:blipFill>
                    <a:blip r:embed="rId139">
                      <a:extLst>
                        <a:ext uri="{28A0092B-C50C-407E-A947-70E740481C1C}">
                          <a14:useLocalDpi xmlns:a14="http://schemas.microsoft.com/office/drawing/2010/main" val="0"/>
                        </a:ext>
                      </a:extLst>
                    </a:blip>
                    <a:stretch>
                      <a:fillRect/>
                    </a:stretch>
                  </pic:blipFill>
                  <pic:spPr>
                    <a:xfrm>
                      <a:off x="0" y="0"/>
                      <a:ext cx="6210300" cy="3857625"/>
                    </a:xfrm>
                    <a:prstGeom prst="rect">
                      <a:avLst/>
                    </a:prstGeom>
                  </pic:spPr>
                </pic:pic>
              </a:graphicData>
            </a:graphic>
          </wp:inline>
        </w:drawing>
      </w:r>
    </w:p>
    <w:p w14:paraId="06CA21E7"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13835777"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5C2DDA44" wp14:editId="661B5378">
            <wp:extent cx="6305550" cy="3990975"/>
            <wp:effectExtent l="0" t="0" r="0" b="9525"/>
            <wp:docPr id="482" name="그림 482"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82" name="그림 482" descr="Chart&#10;&#10;Description automatically generated"/>
                    <pic:cNvPicPr/>
                  </pic:nvPicPr>
                  <pic:blipFill>
                    <a:blip r:embed="rId140">
                      <a:extLst>
                        <a:ext uri="{28A0092B-C50C-407E-A947-70E740481C1C}">
                          <a14:useLocalDpi xmlns:a14="http://schemas.microsoft.com/office/drawing/2010/main" val="0"/>
                        </a:ext>
                      </a:extLst>
                    </a:blip>
                    <a:stretch>
                      <a:fillRect/>
                    </a:stretch>
                  </pic:blipFill>
                  <pic:spPr>
                    <a:xfrm>
                      <a:off x="0" y="0"/>
                      <a:ext cx="6305550" cy="3990975"/>
                    </a:xfrm>
                    <a:prstGeom prst="rect">
                      <a:avLst/>
                    </a:prstGeom>
                  </pic:spPr>
                </pic:pic>
              </a:graphicData>
            </a:graphic>
          </wp:inline>
        </w:drawing>
      </w:r>
    </w:p>
    <w:p w14:paraId="30BF1AB7"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2E70B7F2" w14:textId="77777777" w:rsidR="00394B52" w:rsidRPr="00394B52" w:rsidRDefault="00394B52" w:rsidP="00394B52">
      <w:pPr>
        <w:rPr>
          <w:rFonts w:ascii="Times" w:hAnsi="Times" w:cs="Times"/>
          <w:szCs w:val="20"/>
        </w:rPr>
      </w:pPr>
      <w:r w:rsidRPr="00394B52">
        <w:rPr>
          <w:rFonts w:ascii="Times" w:hAnsi="Times" w:cs="Times"/>
          <w:szCs w:val="20"/>
        </w:rPr>
        <w:t>Not available because of the small number of studies</w:t>
      </w:r>
    </w:p>
    <w:p w14:paraId="354D941C" w14:textId="77777777" w:rsidR="00394B52" w:rsidRPr="00394B52" w:rsidRDefault="00394B52" w:rsidP="00394B52">
      <w:pPr>
        <w:rPr>
          <w:rFonts w:ascii="Times" w:hAnsi="Times" w:cs="Times"/>
          <w:b/>
          <w:bCs/>
          <w:szCs w:val="20"/>
        </w:rPr>
      </w:pPr>
      <w:r w:rsidRPr="00394B52">
        <w:rPr>
          <w:rFonts w:ascii="Times" w:hAnsi="Times" w:cs="Times"/>
          <w:b/>
          <w:bCs/>
          <w:szCs w:val="20"/>
        </w:rPr>
        <w:t>Figure S47. High concentration of serum 25(OH)D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7C37BDCD"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01795431"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415E0A98" wp14:editId="4FC9478E">
            <wp:extent cx="6334125" cy="4152900"/>
            <wp:effectExtent l="0" t="0" r="9525" b="0"/>
            <wp:docPr id="483" name="그림 483" descr="A picture containing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483" name="그림 483" descr="A picture containing diagram&#10;&#10;Description automatically generated"/>
                    <pic:cNvPicPr/>
                  </pic:nvPicPr>
                  <pic:blipFill>
                    <a:blip r:embed="rId141">
                      <a:extLst>
                        <a:ext uri="{28A0092B-C50C-407E-A947-70E740481C1C}">
                          <a14:useLocalDpi xmlns:a14="http://schemas.microsoft.com/office/drawing/2010/main" val="0"/>
                        </a:ext>
                      </a:extLst>
                    </a:blip>
                    <a:stretch>
                      <a:fillRect/>
                    </a:stretch>
                  </pic:blipFill>
                  <pic:spPr>
                    <a:xfrm>
                      <a:off x="0" y="0"/>
                      <a:ext cx="6334125" cy="4152900"/>
                    </a:xfrm>
                    <a:prstGeom prst="rect">
                      <a:avLst/>
                    </a:prstGeom>
                  </pic:spPr>
                </pic:pic>
              </a:graphicData>
            </a:graphic>
          </wp:inline>
        </w:drawing>
      </w:r>
    </w:p>
    <w:p w14:paraId="269F92E0"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52D26242"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77CAE05C" wp14:editId="3D0E1817">
            <wp:extent cx="6410325" cy="4210050"/>
            <wp:effectExtent l="0" t="0" r="9525" b="0"/>
            <wp:docPr id="484" name="그림 484"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84" name="그림 484" descr="Chart&#10;&#10;Description automatically generated"/>
                    <pic:cNvPicPr/>
                  </pic:nvPicPr>
                  <pic:blipFill>
                    <a:blip r:embed="rId142">
                      <a:extLst>
                        <a:ext uri="{28A0092B-C50C-407E-A947-70E740481C1C}">
                          <a14:useLocalDpi xmlns:a14="http://schemas.microsoft.com/office/drawing/2010/main" val="0"/>
                        </a:ext>
                      </a:extLst>
                    </a:blip>
                    <a:stretch>
                      <a:fillRect/>
                    </a:stretch>
                  </pic:blipFill>
                  <pic:spPr>
                    <a:xfrm>
                      <a:off x="0" y="0"/>
                      <a:ext cx="6410325" cy="4210050"/>
                    </a:xfrm>
                    <a:prstGeom prst="rect">
                      <a:avLst/>
                    </a:prstGeom>
                  </pic:spPr>
                </pic:pic>
              </a:graphicData>
            </a:graphic>
          </wp:inline>
        </w:drawing>
      </w:r>
    </w:p>
    <w:p w14:paraId="6C105CDF" w14:textId="77777777" w:rsidR="00394B52" w:rsidRPr="00394B52" w:rsidRDefault="00394B52" w:rsidP="00394B52">
      <w:pPr>
        <w:rPr>
          <w:rFonts w:ascii="Times" w:hAnsi="Times" w:cs="Times"/>
          <w:szCs w:val="20"/>
        </w:rPr>
      </w:pPr>
    </w:p>
    <w:p w14:paraId="4AC7C5E8"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6D002886"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0BF0F22" wp14:editId="1CB470F5">
            <wp:extent cx="6840220" cy="4559935"/>
            <wp:effectExtent l="0" t="0" r="0" b="0"/>
            <wp:docPr id="485" name="그림 485"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485" name="그림 485" descr="Chart, line chart&#10;&#10;Description automatically generated"/>
                    <pic:cNvPicPr/>
                  </pic:nvPicPr>
                  <pic:blipFill>
                    <a:blip r:embed="rId143">
                      <a:extLst>
                        <a:ext uri="{28A0092B-C50C-407E-A947-70E740481C1C}">
                          <a14:useLocalDpi xmlns:a14="http://schemas.microsoft.com/office/drawing/2010/main" val="0"/>
                        </a:ext>
                      </a:extLst>
                    </a:blip>
                    <a:stretch>
                      <a:fillRect/>
                    </a:stretch>
                  </pic:blipFill>
                  <pic:spPr>
                    <a:xfrm>
                      <a:off x="0" y="0"/>
                      <a:ext cx="6840220" cy="4559935"/>
                    </a:xfrm>
                    <a:prstGeom prst="rect">
                      <a:avLst/>
                    </a:prstGeom>
                  </pic:spPr>
                </pic:pic>
              </a:graphicData>
            </a:graphic>
          </wp:inline>
        </w:drawing>
      </w:r>
    </w:p>
    <w:p w14:paraId="3A1F9551"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68B008FC"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S48. Omega-6/omega-3 ratio (</w:t>
      </w:r>
      <w:r w:rsidRPr="00394B52">
        <w:rPr>
          <w:rFonts w:ascii="Times New Roman" w:hAnsi="Times New Roman" w:cs="Times New Roman"/>
          <w:b/>
          <w:bCs/>
          <w:szCs w:val="20"/>
        </w:rPr>
        <w:t>Forest plot, funnel plot</w:t>
      </w:r>
      <w:r w:rsidRPr="00394B52">
        <w:rPr>
          <w:rFonts w:ascii="Times" w:hAnsi="Times" w:cs="Times"/>
          <w:b/>
          <w:bCs/>
          <w:szCs w:val="20"/>
        </w:rPr>
        <w:t>)</w:t>
      </w:r>
    </w:p>
    <w:p w14:paraId="44558D1B"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21130B51"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515E262B" wp14:editId="23EB1E2F">
            <wp:extent cx="6296025" cy="3962400"/>
            <wp:effectExtent l="0" t="0" r="9525" b="0"/>
            <wp:docPr id="486" name="그림 486"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86" name="그림 486" descr="Table&#10;&#10;Description automatically generated"/>
                    <pic:cNvPicPr/>
                  </pic:nvPicPr>
                  <pic:blipFill>
                    <a:blip r:embed="rId144">
                      <a:extLst>
                        <a:ext uri="{28A0092B-C50C-407E-A947-70E740481C1C}">
                          <a14:useLocalDpi xmlns:a14="http://schemas.microsoft.com/office/drawing/2010/main" val="0"/>
                        </a:ext>
                      </a:extLst>
                    </a:blip>
                    <a:stretch>
                      <a:fillRect/>
                    </a:stretch>
                  </pic:blipFill>
                  <pic:spPr>
                    <a:xfrm>
                      <a:off x="0" y="0"/>
                      <a:ext cx="6296025" cy="3962400"/>
                    </a:xfrm>
                    <a:prstGeom prst="rect">
                      <a:avLst/>
                    </a:prstGeom>
                  </pic:spPr>
                </pic:pic>
              </a:graphicData>
            </a:graphic>
          </wp:inline>
        </w:drawing>
      </w:r>
    </w:p>
    <w:p w14:paraId="72A5F957"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645B736B"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0DF1AD65" wp14:editId="0B95B7A3">
            <wp:extent cx="6200775" cy="4038600"/>
            <wp:effectExtent l="0" t="0" r="9525" b="0"/>
            <wp:docPr id="487" name="그림 487"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87" name="그림 487" descr="Chart&#10;&#10;Description automatically generated"/>
                    <pic:cNvPicPr/>
                  </pic:nvPicPr>
                  <pic:blipFill>
                    <a:blip r:embed="rId145">
                      <a:extLst>
                        <a:ext uri="{28A0092B-C50C-407E-A947-70E740481C1C}">
                          <a14:useLocalDpi xmlns:a14="http://schemas.microsoft.com/office/drawing/2010/main" val="0"/>
                        </a:ext>
                      </a:extLst>
                    </a:blip>
                    <a:stretch>
                      <a:fillRect/>
                    </a:stretch>
                  </pic:blipFill>
                  <pic:spPr>
                    <a:xfrm>
                      <a:off x="0" y="0"/>
                      <a:ext cx="6200775" cy="4038600"/>
                    </a:xfrm>
                    <a:prstGeom prst="rect">
                      <a:avLst/>
                    </a:prstGeom>
                  </pic:spPr>
                </pic:pic>
              </a:graphicData>
            </a:graphic>
          </wp:inline>
        </w:drawing>
      </w:r>
    </w:p>
    <w:p w14:paraId="2367B09B"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5BEEF0E4" w14:textId="77777777" w:rsidR="00394B52" w:rsidRPr="00394B52" w:rsidRDefault="00394B52" w:rsidP="00394B52">
      <w:pPr>
        <w:rPr>
          <w:rFonts w:ascii="Times" w:hAnsi="Times" w:cs="Times"/>
          <w:szCs w:val="20"/>
        </w:rPr>
      </w:pPr>
      <w:r w:rsidRPr="00394B52">
        <w:rPr>
          <w:rFonts w:ascii="Times" w:hAnsi="Times" w:cs="Times"/>
          <w:szCs w:val="20"/>
        </w:rPr>
        <w:t>Not available because of the small number of studies</w:t>
      </w:r>
    </w:p>
    <w:p w14:paraId="789C38B6" w14:textId="77777777" w:rsidR="00394B52" w:rsidRPr="00394B52" w:rsidRDefault="00394B52" w:rsidP="00394B52">
      <w:pPr>
        <w:widowControl/>
        <w:wordWrap/>
        <w:autoSpaceDE/>
        <w:autoSpaceDN/>
        <w:rPr>
          <w:rFonts w:ascii="Times" w:hAnsi="Times" w:cs="Times"/>
          <w:b/>
          <w:bCs/>
          <w:szCs w:val="20"/>
        </w:rPr>
      </w:pPr>
      <w:r w:rsidRPr="00394B52">
        <w:rPr>
          <w:rFonts w:ascii="Times" w:hAnsi="Times" w:cs="Times"/>
          <w:szCs w:val="20"/>
        </w:rPr>
        <w:br w:type="page"/>
      </w:r>
      <w:r w:rsidRPr="00394B52">
        <w:rPr>
          <w:rFonts w:ascii="Times" w:hAnsi="Times" w:cs="Times"/>
          <w:b/>
          <w:bCs/>
          <w:szCs w:val="20"/>
        </w:rPr>
        <w:lastRenderedPageBreak/>
        <w:t>Figure S49. Positive anti-</w:t>
      </w:r>
      <w:proofErr w:type="spellStart"/>
      <w:r w:rsidRPr="00394B52">
        <w:rPr>
          <w:rFonts w:ascii="Times" w:hAnsi="Times" w:cs="Times"/>
          <w:b/>
          <w:bCs/>
          <w:szCs w:val="20"/>
        </w:rPr>
        <w:t>thyroperoxidase</w:t>
      </w:r>
      <w:proofErr w:type="spellEnd"/>
      <w:r w:rsidRPr="00394B52">
        <w:rPr>
          <w:rFonts w:ascii="Times" w:hAnsi="Times" w:cs="Times"/>
          <w:b/>
          <w:bCs/>
          <w:szCs w:val="20"/>
        </w:rPr>
        <w:t xml:space="preserve"> antibodies (</w:t>
      </w:r>
      <w:r w:rsidRPr="00394B52">
        <w:rPr>
          <w:rFonts w:ascii="Times New Roman" w:hAnsi="Times New Roman" w:cs="Times New Roman"/>
          <w:b/>
          <w:bCs/>
          <w:szCs w:val="20"/>
        </w:rPr>
        <w:t>Forest plot, funnel plot, p curve analysis plot</w:t>
      </w:r>
      <w:r w:rsidRPr="00394B52">
        <w:rPr>
          <w:rFonts w:ascii="Times" w:hAnsi="Times" w:cs="Times"/>
          <w:b/>
          <w:bCs/>
          <w:szCs w:val="20"/>
        </w:rPr>
        <w:t>)</w:t>
      </w:r>
    </w:p>
    <w:p w14:paraId="1C388ED0"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40CB7C3B"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09B2A7AF" wp14:editId="25D79248">
            <wp:extent cx="6238875" cy="4048125"/>
            <wp:effectExtent l="0" t="0" r="9525" b="9525"/>
            <wp:docPr id="488" name="그림 488" descr="Char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488" name="그림 488" descr="Chart&#10;&#10;Description automatically generated with medium confidence"/>
                    <pic:cNvPicPr/>
                  </pic:nvPicPr>
                  <pic:blipFill>
                    <a:blip r:embed="rId146">
                      <a:extLst>
                        <a:ext uri="{28A0092B-C50C-407E-A947-70E740481C1C}">
                          <a14:useLocalDpi xmlns:a14="http://schemas.microsoft.com/office/drawing/2010/main" val="0"/>
                        </a:ext>
                      </a:extLst>
                    </a:blip>
                    <a:stretch>
                      <a:fillRect/>
                    </a:stretch>
                  </pic:blipFill>
                  <pic:spPr>
                    <a:xfrm>
                      <a:off x="0" y="0"/>
                      <a:ext cx="6238875" cy="4048125"/>
                    </a:xfrm>
                    <a:prstGeom prst="rect">
                      <a:avLst/>
                    </a:prstGeom>
                  </pic:spPr>
                </pic:pic>
              </a:graphicData>
            </a:graphic>
          </wp:inline>
        </w:drawing>
      </w:r>
    </w:p>
    <w:p w14:paraId="5969C5E3"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49D9893B"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5A13A65A" wp14:editId="3EE1AE80">
            <wp:extent cx="6057900" cy="3952875"/>
            <wp:effectExtent l="0" t="0" r="0" b="9525"/>
            <wp:docPr id="489" name="그림 489" descr="Chart,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489" name="그림 489" descr="Chart, diagram&#10;&#10;Description automatically generated"/>
                    <pic:cNvPicPr/>
                  </pic:nvPicPr>
                  <pic:blipFill>
                    <a:blip r:embed="rId147">
                      <a:extLst>
                        <a:ext uri="{28A0092B-C50C-407E-A947-70E740481C1C}">
                          <a14:useLocalDpi xmlns:a14="http://schemas.microsoft.com/office/drawing/2010/main" val="0"/>
                        </a:ext>
                      </a:extLst>
                    </a:blip>
                    <a:stretch>
                      <a:fillRect/>
                    </a:stretch>
                  </pic:blipFill>
                  <pic:spPr>
                    <a:xfrm>
                      <a:off x="0" y="0"/>
                      <a:ext cx="6057900" cy="3952875"/>
                    </a:xfrm>
                    <a:prstGeom prst="rect">
                      <a:avLst/>
                    </a:prstGeom>
                  </pic:spPr>
                </pic:pic>
              </a:graphicData>
            </a:graphic>
          </wp:inline>
        </w:drawing>
      </w:r>
    </w:p>
    <w:p w14:paraId="39726843"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7516A548" w14:textId="77777777" w:rsidR="00394B52" w:rsidRPr="00394B52" w:rsidRDefault="00394B52" w:rsidP="00394B52">
      <w:pPr>
        <w:rPr>
          <w:rFonts w:ascii="Times" w:hAnsi="Times" w:cs="Times"/>
          <w:szCs w:val="20"/>
        </w:rPr>
      </w:pPr>
      <w:r w:rsidRPr="00394B52">
        <w:rPr>
          <w:rFonts w:ascii="Times" w:hAnsi="Times" w:cs="Times"/>
          <w:szCs w:val="20"/>
        </w:rPr>
        <w:t>Not available because of the small number of studies</w:t>
      </w:r>
    </w:p>
    <w:p w14:paraId="00CFBE49" w14:textId="77777777" w:rsidR="00394B52" w:rsidRPr="00394B52" w:rsidRDefault="00394B52" w:rsidP="00394B52">
      <w:pPr>
        <w:rPr>
          <w:rFonts w:ascii="Times" w:hAnsi="Times" w:cs="Times"/>
          <w:b/>
          <w:bCs/>
          <w:szCs w:val="20"/>
        </w:rPr>
      </w:pPr>
      <w:r w:rsidRPr="00394B52">
        <w:rPr>
          <w:rFonts w:ascii="Times" w:hAnsi="Times" w:cs="Times"/>
          <w:b/>
          <w:bCs/>
          <w:szCs w:val="20"/>
        </w:rPr>
        <w:t>Figure S50. Total omega-6 acid (</w:t>
      </w:r>
      <w:r w:rsidRPr="00394B52">
        <w:rPr>
          <w:rFonts w:ascii="Times New Roman" w:hAnsi="Times New Roman" w:cs="Times New Roman"/>
          <w:b/>
          <w:bCs/>
          <w:szCs w:val="20"/>
        </w:rPr>
        <w:t>Forest plot, funnel plot</w:t>
      </w:r>
      <w:r w:rsidRPr="00394B52">
        <w:rPr>
          <w:rFonts w:ascii="Times" w:hAnsi="Times" w:cs="Times"/>
          <w:b/>
          <w:bCs/>
          <w:szCs w:val="20"/>
        </w:rPr>
        <w:t>)</w:t>
      </w:r>
    </w:p>
    <w:p w14:paraId="3CC3A533"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38A57596"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72F03C3D" wp14:editId="0543E4E7">
            <wp:extent cx="6143625" cy="3800475"/>
            <wp:effectExtent l="0" t="0" r="9525" b="9525"/>
            <wp:docPr id="490" name="그림 490"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90" name="그림 490" descr="Table&#10;&#10;Description automatically generated"/>
                    <pic:cNvPicPr/>
                  </pic:nvPicPr>
                  <pic:blipFill>
                    <a:blip r:embed="rId148">
                      <a:extLst>
                        <a:ext uri="{28A0092B-C50C-407E-A947-70E740481C1C}">
                          <a14:useLocalDpi xmlns:a14="http://schemas.microsoft.com/office/drawing/2010/main" val="0"/>
                        </a:ext>
                      </a:extLst>
                    </a:blip>
                    <a:stretch>
                      <a:fillRect/>
                    </a:stretch>
                  </pic:blipFill>
                  <pic:spPr>
                    <a:xfrm>
                      <a:off x="0" y="0"/>
                      <a:ext cx="6143625" cy="3800475"/>
                    </a:xfrm>
                    <a:prstGeom prst="rect">
                      <a:avLst/>
                    </a:prstGeom>
                  </pic:spPr>
                </pic:pic>
              </a:graphicData>
            </a:graphic>
          </wp:inline>
        </w:drawing>
      </w:r>
    </w:p>
    <w:p w14:paraId="3E9CDB8D"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229F84D2"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18B12565" wp14:editId="5EF4655D">
            <wp:extent cx="6324600" cy="4210050"/>
            <wp:effectExtent l="0" t="0" r="0" b="0"/>
            <wp:docPr id="491" name="그림 491" descr="Chart, radar chart&#10;&#10;Description automatically generated"/>
            <wp:cNvGraphicFramePr/>
            <a:graphic xmlns:a="http://schemas.openxmlformats.org/drawingml/2006/main">
              <a:graphicData uri="http://schemas.openxmlformats.org/drawingml/2006/picture">
                <pic:pic xmlns:pic="http://schemas.openxmlformats.org/drawingml/2006/picture">
                  <pic:nvPicPr>
                    <pic:cNvPr id="491" name="그림 491" descr="Chart, radar chart&#10;&#10;Description automatically generated"/>
                    <pic:cNvPicPr/>
                  </pic:nvPicPr>
                  <pic:blipFill>
                    <a:blip r:embed="rId149">
                      <a:extLst>
                        <a:ext uri="{28A0092B-C50C-407E-A947-70E740481C1C}">
                          <a14:useLocalDpi xmlns:a14="http://schemas.microsoft.com/office/drawing/2010/main" val="0"/>
                        </a:ext>
                      </a:extLst>
                    </a:blip>
                    <a:stretch>
                      <a:fillRect/>
                    </a:stretch>
                  </pic:blipFill>
                  <pic:spPr>
                    <a:xfrm>
                      <a:off x="0" y="0"/>
                      <a:ext cx="6324600" cy="4210050"/>
                    </a:xfrm>
                    <a:prstGeom prst="rect">
                      <a:avLst/>
                    </a:prstGeom>
                  </pic:spPr>
                </pic:pic>
              </a:graphicData>
            </a:graphic>
          </wp:inline>
        </w:drawing>
      </w:r>
    </w:p>
    <w:p w14:paraId="5CB72289"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78B4CF16" w14:textId="77777777" w:rsidR="00394B52" w:rsidRPr="00394B52" w:rsidRDefault="00394B52" w:rsidP="00394B52">
      <w:pPr>
        <w:rPr>
          <w:rFonts w:ascii="Times" w:hAnsi="Times" w:cs="Times"/>
          <w:szCs w:val="20"/>
        </w:rPr>
      </w:pPr>
      <w:r w:rsidRPr="00394B52">
        <w:rPr>
          <w:rFonts w:ascii="Times" w:hAnsi="Times" w:cs="Times"/>
          <w:szCs w:val="20"/>
        </w:rPr>
        <w:t>Not available because of the small number of studies</w:t>
      </w:r>
    </w:p>
    <w:p w14:paraId="4B797FB8" w14:textId="77777777" w:rsidR="00394B52" w:rsidRPr="00394B52" w:rsidRDefault="00394B52" w:rsidP="00394B52">
      <w:pPr>
        <w:rPr>
          <w:rFonts w:ascii="Times" w:hAnsi="Times" w:cs="Times"/>
          <w:b/>
          <w:bCs/>
          <w:szCs w:val="20"/>
        </w:rPr>
      </w:pPr>
      <w:r w:rsidRPr="00394B52">
        <w:rPr>
          <w:rFonts w:ascii="Times" w:hAnsi="Times" w:cs="Times"/>
          <w:b/>
          <w:bCs/>
          <w:szCs w:val="20"/>
        </w:rPr>
        <w:t>Figure S51. Arachidonic acid (</w:t>
      </w:r>
      <w:r w:rsidRPr="00394B52">
        <w:rPr>
          <w:rFonts w:ascii="Times New Roman" w:hAnsi="Times New Roman" w:cs="Times New Roman"/>
          <w:b/>
          <w:bCs/>
          <w:szCs w:val="20"/>
        </w:rPr>
        <w:t>Forest plot, funnel plot</w:t>
      </w:r>
      <w:r w:rsidRPr="00394B52">
        <w:rPr>
          <w:rFonts w:ascii="Times" w:hAnsi="Times" w:cs="Times"/>
          <w:b/>
          <w:bCs/>
          <w:szCs w:val="20"/>
        </w:rPr>
        <w:t>)</w:t>
      </w:r>
    </w:p>
    <w:p w14:paraId="0F259215"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2F61FA1C"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0E17A2C" wp14:editId="4518DE93">
            <wp:extent cx="6410325" cy="4162425"/>
            <wp:effectExtent l="0" t="0" r="9525" b="9525"/>
            <wp:docPr id="492" name="그림 492"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92" name="그림 492" descr="Table&#10;&#10;Description automatically generated"/>
                    <pic:cNvPicPr/>
                  </pic:nvPicPr>
                  <pic:blipFill>
                    <a:blip r:embed="rId150">
                      <a:extLst>
                        <a:ext uri="{28A0092B-C50C-407E-A947-70E740481C1C}">
                          <a14:useLocalDpi xmlns:a14="http://schemas.microsoft.com/office/drawing/2010/main" val="0"/>
                        </a:ext>
                      </a:extLst>
                    </a:blip>
                    <a:stretch>
                      <a:fillRect/>
                    </a:stretch>
                  </pic:blipFill>
                  <pic:spPr>
                    <a:xfrm>
                      <a:off x="0" y="0"/>
                      <a:ext cx="6410325" cy="4162425"/>
                    </a:xfrm>
                    <a:prstGeom prst="rect">
                      <a:avLst/>
                    </a:prstGeom>
                  </pic:spPr>
                </pic:pic>
              </a:graphicData>
            </a:graphic>
          </wp:inline>
        </w:drawing>
      </w:r>
    </w:p>
    <w:p w14:paraId="5CC4CCC7"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04F0C883"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61F7927" wp14:editId="6077BF82">
            <wp:extent cx="6029325" cy="3752850"/>
            <wp:effectExtent l="0" t="0" r="9525" b="0"/>
            <wp:docPr id="493" name="그림 493"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93" name="그림 493" descr="Chart&#10;&#10;Description automatically generated"/>
                    <pic:cNvPicPr/>
                  </pic:nvPicPr>
                  <pic:blipFill>
                    <a:blip r:embed="rId151">
                      <a:extLst>
                        <a:ext uri="{28A0092B-C50C-407E-A947-70E740481C1C}">
                          <a14:useLocalDpi xmlns:a14="http://schemas.microsoft.com/office/drawing/2010/main" val="0"/>
                        </a:ext>
                      </a:extLst>
                    </a:blip>
                    <a:stretch>
                      <a:fillRect/>
                    </a:stretch>
                  </pic:blipFill>
                  <pic:spPr>
                    <a:xfrm>
                      <a:off x="0" y="0"/>
                      <a:ext cx="6029325" cy="3752850"/>
                    </a:xfrm>
                    <a:prstGeom prst="rect">
                      <a:avLst/>
                    </a:prstGeom>
                  </pic:spPr>
                </pic:pic>
              </a:graphicData>
            </a:graphic>
          </wp:inline>
        </w:drawing>
      </w:r>
    </w:p>
    <w:p w14:paraId="2448F161"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1D60DB06" w14:textId="77777777" w:rsidR="00394B52" w:rsidRPr="00394B52" w:rsidRDefault="00394B52" w:rsidP="00394B52">
      <w:pPr>
        <w:rPr>
          <w:rFonts w:ascii="Times" w:hAnsi="Times" w:cs="Times"/>
          <w:szCs w:val="20"/>
        </w:rPr>
      </w:pPr>
      <w:r w:rsidRPr="00394B52">
        <w:rPr>
          <w:rFonts w:ascii="Times" w:hAnsi="Times" w:cs="Times"/>
          <w:szCs w:val="20"/>
        </w:rPr>
        <w:t>Not available because of the small number of studies</w:t>
      </w:r>
    </w:p>
    <w:p w14:paraId="27BF4548" w14:textId="77777777" w:rsidR="00394B52" w:rsidRPr="00394B52" w:rsidRDefault="00394B52" w:rsidP="00394B52">
      <w:pPr>
        <w:rPr>
          <w:rFonts w:ascii="Times" w:hAnsi="Times" w:cs="Times"/>
          <w:b/>
          <w:bCs/>
          <w:szCs w:val="20"/>
        </w:rPr>
      </w:pPr>
      <w:r w:rsidRPr="00394B52">
        <w:rPr>
          <w:rFonts w:ascii="Times" w:hAnsi="Times" w:cs="Times"/>
          <w:b/>
          <w:bCs/>
          <w:szCs w:val="20"/>
        </w:rPr>
        <w:t xml:space="preserve">Figure S52. </w:t>
      </w:r>
      <w:proofErr w:type="spellStart"/>
      <w:r w:rsidRPr="00394B52">
        <w:rPr>
          <w:rFonts w:ascii="Times" w:hAnsi="Times" w:cs="Times"/>
          <w:b/>
          <w:bCs/>
          <w:szCs w:val="20"/>
        </w:rPr>
        <w:t>Eicosapentaenoic</w:t>
      </w:r>
      <w:proofErr w:type="spellEnd"/>
      <w:r w:rsidRPr="00394B52">
        <w:rPr>
          <w:rFonts w:ascii="Times" w:hAnsi="Times" w:cs="Times"/>
          <w:b/>
          <w:bCs/>
          <w:szCs w:val="20"/>
        </w:rPr>
        <w:t xml:space="preserve"> acid (</w:t>
      </w:r>
      <w:r w:rsidRPr="00394B52">
        <w:rPr>
          <w:rFonts w:ascii="Times New Roman" w:hAnsi="Times New Roman" w:cs="Times New Roman"/>
          <w:b/>
          <w:bCs/>
          <w:szCs w:val="20"/>
        </w:rPr>
        <w:t>Forest plot, funnel plot</w:t>
      </w:r>
      <w:r w:rsidRPr="00394B52">
        <w:rPr>
          <w:rFonts w:ascii="Times" w:hAnsi="Times" w:cs="Times"/>
          <w:b/>
          <w:bCs/>
          <w:szCs w:val="20"/>
        </w:rPr>
        <w:t>)</w:t>
      </w:r>
    </w:p>
    <w:p w14:paraId="6FD1954C"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56598303"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CFABF1B" wp14:editId="6A8269B0">
            <wp:extent cx="6124575" cy="3876675"/>
            <wp:effectExtent l="0" t="0" r="9525" b="9525"/>
            <wp:docPr id="494" name="그림 494"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94" name="그림 494" descr="Table&#10;&#10;Description automatically generated"/>
                    <pic:cNvPicPr/>
                  </pic:nvPicPr>
                  <pic:blipFill>
                    <a:blip r:embed="rId152">
                      <a:extLst>
                        <a:ext uri="{28A0092B-C50C-407E-A947-70E740481C1C}">
                          <a14:useLocalDpi xmlns:a14="http://schemas.microsoft.com/office/drawing/2010/main" val="0"/>
                        </a:ext>
                      </a:extLst>
                    </a:blip>
                    <a:stretch>
                      <a:fillRect/>
                    </a:stretch>
                  </pic:blipFill>
                  <pic:spPr>
                    <a:xfrm>
                      <a:off x="0" y="0"/>
                      <a:ext cx="6124575" cy="3876675"/>
                    </a:xfrm>
                    <a:prstGeom prst="rect">
                      <a:avLst/>
                    </a:prstGeom>
                  </pic:spPr>
                </pic:pic>
              </a:graphicData>
            </a:graphic>
          </wp:inline>
        </w:drawing>
      </w:r>
    </w:p>
    <w:p w14:paraId="4303F46A"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09C456AF"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281D80F2" wp14:editId="0EE88EFF">
            <wp:extent cx="6200775" cy="4076700"/>
            <wp:effectExtent l="0" t="0" r="9525" b="0"/>
            <wp:docPr id="495" name="그림 495"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95" name="그림 495" descr="Chart&#10;&#10;Description automatically generated"/>
                    <pic:cNvPicPr/>
                  </pic:nvPicPr>
                  <pic:blipFill>
                    <a:blip r:embed="rId153">
                      <a:extLst>
                        <a:ext uri="{28A0092B-C50C-407E-A947-70E740481C1C}">
                          <a14:useLocalDpi xmlns:a14="http://schemas.microsoft.com/office/drawing/2010/main" val="0"/>
                        </a:ext>
                      </a:extLst>
                    </a:blip>
                    <a:stretch>
                      <a:fillRect/>
                    </a:stretch>
                  </pic:blipFill>
                  <pic:spPr>
                    <a:xfrm>
                      <a:off x="0" y="0"/>
                      <a:ext cx="6200775" cy="4076700"/>
                    </a:xfrm>
                    <a:prstGeom prst="rect">
                      <a:avLst/>
                    </a:prstGeom>
                  </pic:spPr>
                </pic:pic>
              </a:graphicData>
            </a:graphic>
          </wp:inline>
        </w:drawing>
      </w:r>
    </w:p>
    <w:p w14:paraId="4C3E38B0"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0A118BDC" w14:textId="77777777" w:rsidR="00394B52" w:rsidRPr="00394B52" w:rsidRDefault="00394B52" w:rsidP="00394B52">
      <w:pPr>
        <w:rPr>
          <w:rFonts w:ascii="Times" w:hAnsi="Times" w:cs="Times"/>
          <w:szCs w:val="20"/>
        </w:rPr>
      </w:pPr>
      <w:r w:rsidRPr="00394B52">
        <w:rPr>
          <w:rFonts w:ascii="Times" w:hAnsi="Times" w:cs="Times"/>
          <w:szCs w:val="20"/>
        </w:rPr>
        <w:t>Not available because of the small number of studies</w:t>
      </w:r>
    </w:p>
    <w:p w14:paraId="5E2F3B2E" w14:textId="77777777" w:rsidR="00394B52" w:rsidRPr="00394B52" w:rsidRDefault="00394B52" w:rsidP="00394B52">
      <w:pPr>
        <w:rPr>
          <w:rFonts w:ascii="Times" w:hAnsi="Times" w:cs="Times"/>
          <w:b/>
          <w:bCs/>
          <w:szCs w:val="20"/>
        </w:rPr>
      </w:pPr>
      <w:r w:rsidRPr="00394B52">
        <w:rPr>
          <w:rFonts w:ascii="Times" w:hAnsi="Times" w:cs="Times"/>
          <w:b/>
          <w:bCs/>
          <w:szCs w:val="20"/>
        </w:rPr>
        <w:t>Figure S53. Docosahexaenoic acid (</w:t>
      </w:r>
      <w:r w:rsidRPr="00394B52">
        <w:rPr>
          <w:rFonts w:ascii="Times New Roman" w:hAnsi="Times New Roman" w:cs="Times New Roman"/>
          <w:b/>
          <w:bCs/>
          <w:szCs w:val="20"/>
        </w:rPr>
        <w:t>Forest plot, funnel plot</w:t>
      </w:r>
      <w:r w:rsidRPr="00394B52">
        <w:rPr>
          <w:rFonts w:ascii="Times" w:hAnsi="Times" w:cs="Times"/>
          <w:b/>
          <w:bCs/>
          <w:szCs w:val="20"/>
        </w:rPr>
        <w:t>)</w:t>
      </w:r>
    </w:p>
    <w:p w14:paraId="54FE3FC2"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38E0CC78"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0AC28044" wp14:editId="62BF69F2">
            <wp:extent cx="6191250" cy="3933825"/>
            <wp:effectExtent l="0" t="0" r="0" b="9525"/>
            <wp:docPr id="496" name="그림 496"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96" name="그림 496" descr="Table&#10;&#10;Description automatically generated"/>
                    <pic:cNvPicPr/>
                  </pic:nvPicPr>
                  <pic:blipFill>
                    <a:blip r:embed="rId154">
                      <a:extLst>
                        <a:ext uri="{28A0092B-C50C-407E-A947-70E740481C1C}">
                          <a14:useLocalDpi xmlns:a14="http://schemas.microsoft.com/office/drawing/2010/main" val="0"/>
                        </a:ext>
                      </a:extLst>
                    </a:blip>
                    <a:stretch>
                      <a:fillRect/>
                    </a:stretch>
                  </pic:blipFill>
                  <pic:spPr>
                    <a:xfrm>
                      <a:off x="0" y="0"/>
                      <a:ext cx="6191250" cy="3933825"/>
                    </a:xfrm>
                    <a:prstGeom prst="rect">
                      <a:avLst/>
                    </a:prstGeom>
                  </pic:spPr>
                </pic:pic>
              </a:graphicData>
            </a:graphic>
          </wp:inline>
        </w:drawing>
      </w:r>
    </w:p>
    <w:p w14:paraId="2310ED04"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5B6168A0"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450606C" wp14:editId="7A900492">
            <wp:extent cx="6067425" cy="3829050"/>
            <wp:effectExtent l="0" t="0" r="9525" b="0"/>
            <wp:docPr id="497" name="그림 497" descr="Chart, radar chart&#10;&#10;Description automatically generated"/>
            <wp:cNvGraphicFramePr/>
            <a:graphic xmlns:a="http://schemas.openxmlformats.org/drawingml/2006/main">
              <a:graphicData uri="http://schemas.openxmlformats.org/drawingml/2006/picture">
                <pic:pic xmlns:pic="http://schemas.openxmlformats.org/drawingml/2006/picture">
                  <pic:nvPicPr>
                    <pic:cNvPr id="497" name="그림 497" descr="Chart, radar chart&#10;&#10;Description automatically generated"/>
                    <pic:cNvPicPr/>
                  </pic:nvPicPr>
                  <pic:blipFill>
                    <a:blip r:embed="rId155">
                      <a:extLst>
                        <a:ext uri="{28A0092B-C50C-407E-A947-70E740481C1C}">
                          <a14:useLocalDpi xmlns:a14="http://schemas.microsoft.com/office/drawing/2010/main" val="0"/>
                        </a:ext>
                      </a:extLst>
                    </a:blip>
                    <a:stretch>
                      <a:fillRect/>
                    </a:stretch>
                  </pic:blipFill>
                  <pic:spPr>
                    <a:xfrm>
                      <a:off x="0" y="0"/>
                      <a:ext cx="6067425" cy="3829050"/>
                    </a:xfrm>
                    <a:prstGeom prst="rect">
                      <a:avLst/>
                    </a:prstGeom>
                  </pic:spPr>
                </pic:pic>
              </a:graphicData>
            </a:graphic>
          </wp:inline>
        </w:drawing>
      </w:r>
    </w:p>
    <w:p w14:paraId="42F7A87A"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32072ECE" w14:textId="77777777" w:rsidR="00394B52" w:rsidRPr="00394B52" w:rsidRDefault="00394B52" w:rsidP="00394B52">
      <w:pPr>
        <w:rPr>
          <w:rFonts w:ascii="Times" w:hAnsi="Times" w:cs="Times"/>
          <w:szCs w:val="20"/>
        </w:rPr>
      </w:pPr>
      <w:r w:rsidRPr="00394B52">
        <w:rPr>
          <w:rFonts w:ascii="Times" w:hAnsi="Times" w:cs="Times"/>
          <w:szCs w:val="20"/>
        </w:rPr>
        <w:t>Not available because of the small number of studies</w:t>
      </w:r>
    </w:p>
    <w:p w14:paraId="589B708C" w14:textId="77777777" w:rsidR="00394B52" w:rsidRPr="00394B52" w:rsidRDefault="00394B52" w:rsidP="00394B52">
      <w:pPr>
        <w:widowControl/>
        <w:wordWrap/>
        <w:autoSpaceDE/>
        <w:autoSpaceDN/>
        <w:rPr>
          <w:rFonts w:ascii="Times" w:hAnsi="Times" w:cs="Times"/>
          <w:szCs w:val="20"/>
        </w:rPr>
      </w:pPr>
      <w:r w:rsidRPr="00394B52">
        <w:rPr>
          <w:rFonts w:ascii="Times" w:hAnsi="Times" w:cs="Times"/>
          <w:szCs w:val="20"/>
        </w:rPr>
        <w:br w:type="page"/>
      </w:r>
    </w:p>
    <w:p w14:paraId="5E399149" w14:textId="77777777" w:rsidR="00394B52" w:rsidRPr="00394B52" w:rsidRDefault="00394B52" w:rsidP="00394B52">
      <w:pPr>
        <w:rPr>
          <w:rFonts w:ascii="Times" w:hAnsi="Times" w:cs="Times"/>
          <w:b/>
          <w:bCs/>
          <w:szCs w:val="20"/>
        </w:rPr>
      </w:pPr>
      <w:r w:rsidRPr="00394B52">
        <w:rPr>
          <w:rFonts w:ascii="Times" w:hAnsi="Times" w:cs="Times"/>
          <w:b/>
          <w:bCs/>
          <w:szCs w:val="20"/>
        </w:rPr>
        <w:lastRenderedPageBreak/>
        <w:t>Figure S54. Total omega-3 acid (</w:t>
      </w:r>
      <w:r w:rsidRPr="00394B52">
        <w:rPr>
          <w:rFonts w:ascii="Times New Roman" w:hAnsi="Times New Roman" w:cs="Times New Roman"/>
          <w:b/>
          <w:bCs/>
          <w:szCs w:val="20"/>
        </w:rPr>
        <w:t>Forest plot, funnel plot</w:t>
      </w:r>
      <w:r w:rsidRPr="00394B52">
        <w:rPr>
          <w:rFonts w:ascii="Times" w:hAnsi="Times" w:cs="Times"/>
          <w:b/>
          <w:bCs/>
          <w:szCs w:val="20"/>
        </w:rPr>
        <w:t>)</w:t>
      </w:r>
    </w:p>
    <w:p w14:paraId="618782F9" w14:textId="77777777" w:rsidR="00394B52" w:rsidRPr="00394B52" w:rsidRDefault="00394B52" w:rsidP="00394B52">
      <w:pPr>
        <w:rPr>
          <w:rFonts w:ascii="Times" w:hAnsi="Times" w:cs="Times"/>
          <w:szCs w:val="20"/>
        </w:rPr>
      </w:pPr>
      <w:r w:rsidRPr="00394B52">
        <w:rPr>
          <w:rFonts w:ascii="Times" w:hAnsi="Times" w:cs="Times"/>
          <w:szCs w:val="20"/>
        </w:rPr>
        <w:t>1) Forest plot</w:t>
      </w:r>
    </w:p>
    <w:p w14:paraId="26B8620D" w14:textId="77777777" w:rsidR="00394B52" w:rsidRPr="00394B52" w:rsidRDefault="00394B52" w:rsidP="00394B52">
      <w:pPr>
        <w:rPr>
          <w:rFonts w:ascii="Times" w:hAnsi="Times" w:cs="Times"/>
          <w:szCs w:val="20"/>
        </w:rPr>
      </w:pPr>
      <w:r w:rsidRPr="00394B52">
        <w:rPr>
          <w:rFonts w:ascii="Times" w:hAnsi="Times" w:cs="Times"/>
          <w:noProof/>
          <w:szCs w:val="20"/>
        </w:rPr>
        <w:drawing>
          <wp:inline distT="0" distB="0" distL="0" distR="0" wp14:anchorId="020C401E" wp14:editId="2B0461BE">
            <wp:extent cx="6315075" cy="3924300"/>
            <wp:effectExtent l="0" t="0" r="9525" b="0"/>
            <wp:docPr id="498" name="그림 498"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98" name="그림 498" descr="Table&#10;&#10;Description automatically generated"/>
                    <pic:cNvPicPr/>
                  </pic:nvPicPr>
                  <pic:blipFill>
                    <a:blip r:embed="rId156">
                      <a:extLst>
                        <a:ext uri="{28A0092B-C50C-407E-A947-70E740481C1C}">
                          <a14:useLocalDpi xmlns:a14="http://schemas.microsoft.com/office/drawing/2010/main" val="0"/>
                        </a:ext>
                      </a:extLst>
                    </a:blip>
                    <a:stretch>
                      <a:fillRect/>
                    </a:stretch>
                  </pic:blipFill>
                  <pic:spPr>
                    <a:xfrm>
                      <a:off x="0" y="0"/>
                      <a:ext cx="6315075" cy="3924300"/>
                    </a:xfrm>
                    <a:prstGeom prst="rect">
                      <a:avLst/>
                    </a:prstGeom>
                  </pic:spPr>
                </pic:pic>
              </a:graphicData>
            </a:graphic>
          </wp:inline>
        </w:drawing>
      </w:r>
    </w:p>
    <w:p w14:paraId="0A964D2A" w14:textId="77777777" w:rsidR="00394B52" w:rsidRPr="00394B52" w:rsidRDefault="00394B52" w:rsidP="00394B52">
      <w:pPr>
        <w:rPr>
          <w:rFonts w:ascii="Times" w:hAnsi="Times" w:cs="Times"/>
          <w:szCs w:val="20"/>
        </w:rPr>
      </w:pPr>
      <w:r w:rsidRPr="00394B52">
        <w:rPr>
          <w:rFonts w:ascii="Times" w:hAnsi="Times" w:cs="Times"/>
          <w:szCs w:val="20"/>
        </w:rPr>
        <w:t>2) Funnel plot</w:t>
      </w:r>
    </w:p>
    <w:p w14:paraId="431AFFD3" w14:textId="77777777" w:rsidR="00394B52" w:rsidRPr="00394B52" w:rsidRDefault="00394B52" w:rsidP="00394B52">
      <w:pPr>
        <w:rPr>
          <w:rFonts w:ascii="Times" w:hAnsi="Times" w:cs="Times"/>
          <w:szCs w:val="20"/>
        </w:rPr>
      </w:pPr>
      <w:r w:rsidRPr="00394B52">
        <w:rPr>
          <w:rFonts w:ascii="Times" w:hAnsi="Times" w:cs="Times"/>
          <w:noProof/>
          <w:szCs w:val="20"/>
        </w:rPr>
        <w:lastRenderedPageBreak/>
        <w:drawing>
          <wp:inline distT="0" distB="0" distL="0" distR="0" wp14:anchorId="62267B42" wp14:editId="79537D85">
            <wp:extent cx="6257925" cy="4019550"/>
            <wp:effectExtent l="0" t="0" r="9525" b="0"/>
            <wp:docPr id="499" name="그림 499"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499" name="그림 499" descr="Chart&#10;&#10;Description automatically generated"/>
                    <pic:cNvPicPr/>
                  </pic:nvPicPr>
                  <pic:blipFill>
                    <a:blip r:embed="rId157">
                      <a:extLst>
                        <a:ext uri="{28A0092B-C50C-407E-A947-70E740481C1C}">
                          <a14:useLocalDpi xmlns:a14="http://schemas.microsoft.com/office/drawing/2010/main" val="0"/>
                        </a:ext>
                      </a:extLst>
                    </a:blip>
                    <a:stretch>
                      <a:fillRect/>
                    </a:stretch>
                  </pic:blipFill>
                  <pic:spPr>
                    <a:xfrm>
                      <a:off x="0" y="0"/>
                      <a:ext cx="6257925" cy="4019550"/>
                    </a:xfrm>
                    <a:prstGeom prst="rect">
                      <a:avLst/>
                    </a:prstGeom>
                  </pic:spPr>
                </pic:pic>
              </a:graphicData>
            </a:graphic>
          </wp:inline>
        </w:drawing>
      </w:r>
    </w:p>
    <w:p w14:paraId="7DD52B00" w14:textId="77777777" w:rsidR="00394B52" w:rsidRPr="00394B52" w:rsidRDefault="00394B52" w:rsidP="00394B52">
      <w:pPr>
        <w:rPr>
          <w:rFonts w:ascii="Times" w:hAnsi="Times" w:cs="Times"/>
          <w:szCs w:val="20"/>
        </w:rPr>
      </w:pPr>
      <w:r w:rsidRPr="00394B52">
        <w:rPr>
          <w:rFonts w:ascii="Times" w:hAnsi="Times" w:cs="Times"/>
          <w:szCs w:val="20"/>
        </w:rPr>
        <w:t>3) P curve analysis plot</w:t>
      </w:r>
    </w:p>
    <w:p w14:paraId="75DF87AC" w14:textId="77777777" w:rsidR="00394B52" w:rsidRPr="00394B52" w:rsidRDefault="00394B52" w:rsidP="00394B52">
      <w:pPr>
        <w:rPr>
          <w:rFonts w:ascii="Times" w:hAnsi="Times" w:cs="Times"/>
          <w:szCs w:val="20"/>
        </w:rPr>
      </w:pPr>
      <w:r w:rsidRPr="00394B52">
        <w:rPr>
          <w:rFonts w:ascii="Times" w:hAnsi="Times" w:cs="Times"/>
          <w:szCs w:val="20"/>
        </w:rPr>
        <w:t>Not available because of the small number of studies</w:t>
      </w:r>
    </w:p>
    <w:p w14:paraId="6F884DC6" w14:textId="77777777" w:rsidR="00394B52" w:rsidRDefault="00394B52" w:rsidP="00942FBB"/>
    <w:sectPr w:rsidR="00394B52" w:rsidSect="009E40E2">
      <w:pgSz w:w="16838" w:h="11906" w:orient="landscape"/>
      <w:pgMar w:top="720" w:right="720" w:bottom="720" w:left="72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92B7DA" w14:textId="77777777" w:rsidR="002B7BFF" w:rsidRDefault="002B7BFF">
      <w:pPr>
        <w:spacing w:after="0" w:line="240" w:lineRule="auto"/>
      </w:pPr>
      <w:r>
        <w:separator/>
      </w:r>
    </w:p>
  </w:endnote>
  <w:endnote w:type="continuationSeparator" w:id="0">
    <w:p w14:paraId="5AAA4806" w14:textId="77777777" w:rsidR="002B7BFF" w:rsidRDefault="002B7B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w:panose1 w:val="02020603050405020304"/>
    <w:charset w:val="00"/>
    <w:family w:val="roman"/>
    <w:pitch w:val="variable"/>
    <w:sig w:usb0="E0002EFF" w:usb1="C000785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Roman">
    <w:altName w:val="Times New Roman"/>
    <w:charset w:val="00"/>
    <w:family w:val="auto"/>
    <w:pitch w:val="variable"/>
    <w:sig w:usb0="E00002FF" w:usb1="5000205A"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90226775"/>
      <w:docPartObj>
        <w:docPartGallery w:val="Page Numbers (Bottom of Page)"/>
        <w:docPartUnique/>
      </w:docPartObj>
    </w:sdtPr>
    <w:sdtEndPr/>
    <w:sdtContent>
      <w:p w14:paraId="4BAED06E" w14:textId="77777777" w:rsidR="001366DD" w:rsidRDefault="005B1792">
        <w:pPr>
          <w:pStyle w:val="Footer"/>
          <w:jc w:val="center"/>
        </w:pPr>
        <w:r>
          <w:fldChar w:fldCharType="begin"/>
        </w:r>
        <w:r>
          <w:instrText>PAGE   \* MERGEFORMAT</w:instrText>
        </w:r>
        <w:r>
          <w:fldChar w:fldCharType="separate"/>
        </w:r>
        <w:r>
          <w:rPr>
            <w:lang w:val="ko-KR"/>
          </w:rPr>
          <w:t>2</w:t>
        </w:r>
        <w:r>
          <w:fldChar w:fldCharType="end"/>
        </w:r>
      </w:p>
    </w:sdtContent>
  </w:sdt>
  <w:p w14:paraId="0C7EDED6" w14:textId="77777777" w:rsidR="001366DD" w:rsidRDefault="002B7BF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73103833"/>
      <w:docPartObj>
        <w:docPartGallery w:val="Page Numbers (Bottom of Page)"/>
        <w:docPartUnique/>
      </w:docPartObj>
    </w:sdtPr>
    <w:sdtEndPr>
      <w:rPr>
        <w:rStyle w:val="PageNumber"/>
      </w:rPr>
    </w:sdtEndPr>
    <w:sdtContent>
      <w:p w14:paraId="130362C3" w14:textId="77777777" w:rsidR="00394B52" w:rsidRDefault="00394B52" w:rsidP="00B1222E">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3F087AB" w14:textId="77777777" w:rsidR="00394B52" w:rsidRDefault="00394B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0121727"/>
      <w:docPartObj>
        <w:docPartGallery w:val="Page Numbers (Bottom of Page)"/>
        <w:docPartUnique/>
      </w:docPartObj>
    </w:sdtPr>
    <w:sdtEndPr>
      <w:rPr>
        <w:rStyle w:val="PageNumber"/>
      </w:rPr>
    </w:sdtEndPr>
    <w:sdtContent>
      <w:p w14:paraId="0D3A4182" w14:textId="77777777" w:rsidR="00394B52" w:rsidRDefault="00394B52" w:rsidP="00B1222E">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0EEFC6D6" w14:textId="77777777" w:rsidR="00394B52" w:rsidRDefault="00394B5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4BCF32" w14:textId="77777777" w:rsidR="002B7BFF" w:rsidRDefault="002B7BFF">
      <w:pPr>
        <w:spacing w:after="0" w:line="240" w:lineRule="auto"/>
      </w:pPr>
      <w:r>
        <w:separator/>
      </w:r>
    </w:p>
  </w:footnote>
  <w:footnote w:type="continuationSeparator" w:id="0">
    <w:p w14:paraId="222AA175" w14:textId="77777777" w:rsidR="002B7BFF" w:rsidRDefault="002B7BF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7D4F33"/>
    <w:multiLevelType w:val="hybridMultilevel"/>
    <w:tmpl w:val="5D0AC5CA"/>
    <w:lvl w:ilvl="0" w:tplc="C57809C0">
      <w:numFmt w:val="bullet"/>
      <w:lvlText w:val="-"/>
      <w:lvlJc w:val="left"/>
      <w:pPr>
        <w:ind w:left="360" w:hanging="360"/>
      </w:pPr>
      <w:rPr>
        <w:rFonts w:ascii="Times" w:eastAsiaTheme="minorEastAsia" w:hAnsi="Times" w:cs="Times" w:hint="default"/>
      </w:rPr>
    </w:lvl>
    <w:lvl w:ilvl="1" w:tplc="04090003" w:tentative="1">
      <w:start w:val="1"/>
      <w:numFmt w:val="bullet"/>
      <w:lvlText w:val=""/>
      <w:lvlJc w:val="left"/>
      <w:pPr>
        <w:ind w:left="800" w:hanging="400"/>
      </w:pPr>
      <w:rPr>
        <w:rFonts w:ascii="Wingdings" w:hAnsi="Wingdings" w:hint="default"/>
      </w:rPr>
    </w:lvl>
    <w:lvl w:ilvl="2" w:tplc="04090005" w:tentative="1">
      <w:start w:val="1"/>
      <w:numFmt w:val="bullet"/>
      <w:lvlText w:val=""/>
      <w:lvlJc w:val="left"/>
      <w:pPr>
        <w:ind w:left="1200" w:hanging="400"/>
      </w:pPr>
      <w:rPr>
        <w:rFonts w:ascii="Wingdings" w:hAnsi="Wingdings" w:hint="default"/>
      </w:rPr>
    </w:lvl>
    <w:lvl w:ilvl="3" w:tplc="04090001" w:tentative="1">
      <w:start w:val="1"/>
      <w:numFmt w:val="bullet"/>
      <w:lvlText w:val=""/>
      <w:lvlJc w:val="left"/>
      <w:pPr>
        <w:ind w:left="1600" w:hanging="400"/>
      </w:pPr>
      <w:rPr>
        <w:rFonts w:ascii="Wingdings" w:hAnsi="Wingdings" w:hint="default"/>
      </w:rPr>
    </w:lvl>
    <w:lvl w:ilvl="4" w:tplc="04090003" w:tentative="1">
      <w:start w:val="1"/>
      <w:numFmt w:val="bullet"/>
      <w:lvlText w:val=""/>
      <w:lvlJc w:val="left"/>
      <w:pPr>
        <w:ind w:left="2000" w:hanging="400"/>
      </w:pPr>
      <w:rPr>
        <w:rFonts w:ascii="Wingdings" w:hAnsi="Wingdings" w:hint="default"/>
      </w:rPr>
    </w:lvl>
    <w:lvl w:ilvl="5" w:tplc="04090005" w:tentative="1">
      <w:start w:val="1"/>
      <w:numFmt w:val="bullet"/>
      <w:lvlText w:val=""/>
      <w:lvlJc w:val="left"/>
      <w:pPr>
        <w:ind w:left="2400" w:hanging="400"/>
      </w:pPr>
      <w:rPr>
        <w:rFonts w:ascii="Wingdings" w:hAnsi="Wingdings" w:hint="default"/>
      </w:rPr>
    </w:lvl>
    <w:lvl w:ilvl="6" w:tplc="04090001" w:tentative="1">
      <w:start w:val="1"/>
      <w:numFmt w:val="bullet"/>
      <w:lvlText w:val=""/>
      <w:lvlJc w:val="left"/>
      <w:pPr>
        <w:ind w:left="2800" w:hanging="400"/>
      </w:pPr>
      <w:rPr>
        <w:rFonts w:ascii="Wingdings" w:hAnsi="Wingdings" w:hint="default"/>
      </w:rPr>
    </w:lvl>
    <w:lvl w:ilvl="7" w:tplc="04090003" w:tentative="1">
      <w:start w:val="1"/>
      <w:numFmt w:val="bullet"/>
      <w:lvlText w:val=""/>
      <w:lvlJc w:val="left"/>
      <w:pPr>
        <w:ind w:left="3200" w:hanging="400"/>
      </w:pPr>
      <w:rPr>
        <w:rFonts w:ascii="Wingdings" w:hAnsi="Wingdings" w:hint="default"/>
      </w:rPr>
    </w:lvl>
    <w:lvl w:ilvl="8" w:tplc="04090005" w:tentative="1">
      <w:start w:val="1"/>
      <w:numFmt w:val="bullet"/>
      <w:lvlText w:val=""/>
      <w:lvlJc w:val="left"/>
      <w:pPr>
        <w:ind w:left="3600" w:hanging="400"/>
      </w:pPr>
      <w:rPr>
        <w:rFonts w:ascii="Wingdings" w:hAnsi="Wingdings" w:hint="default"/>
      </w:rPr>
    </w:lvl>
  </w:abstractNum>
  <w:num w:numId="1" w16cid:durableId="17875050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800"/>
  <w:displayHorizontalDrawingGridEvery w:val="0"/>
  <w:displayVerticalDrawingGridEvery w:val="2"/>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942FBB"/>
    <w:rsid w:val="000017E1"/>
    <w:rsid w:val="000220CE"/>
    <w:rsid w:val="00056E68"/>
    <w:rsid w:val="00141D16"/>
    <w:rsid w:val="00157ACE"/>
    <w:rsid w:val="00161F4C"/>
    <w:rsid w:val="001812AD"/>
    <w:rsid w:val="001A1768"/>
    <w:rsid w:val="00205173"/>
    <w:rsid w:val="002218C2"/>
    <w:rsid w:val="002A39E7"/>
    <w:rsid w:val="002B335E"/>
    <w:rsid w:val="002B7BFF"/>
    <w:rsid w:val="00305186"/>
    <w:rsid w:val="003122BF"/>
    <w:rsid w:val="00320407"/>
    <w:rsid w:val="00394B52"/>
    <w:rsid w:val="003A013A"/>
    <w:rsid w:val="003A6317"/>
    <w:rsid w:val="004750DA"/>
    <w:rsid w:val="004B7338"/>
    <w:rsid w:val="004D08D9"/>
    <w:rsid w:val="004F45E5"/>
    <w:rsid w:val="00551BCE"/>
    <w:rsid w:val="0056321A"/>
    <w:rsid w:val="0056721D"/>
    <w:rsid w:val="005774B1"/>
    <w:rsid w:val="005B1792"/>
    <w:rsid w:val="005F444C"/>
    <w:rsid w:val="00601002"/>
    <w:rsid w:val="006642FA"/>
    <w:rsid w:val="006A3F75"/>
    <w:rsid w:val="006B2607"/>
    <w:rsid w:val="006B4688"/>
    <w:rsid w:val="006C3EB4"/>
    <w:rsid w:val="006D0AFA"/>
    <w:rsid w:val="006F7459"/>
    <w:rsid w:val="0070721A"/>
    <w:rsid w:val="00720D3B"/>
    <w:rsid w:val="00721156"/>
    <w:rsid w:val="00735E8B"/>
    <w:rsid w:val="00757161"/>
    <w:rsid w:val="00802EA3"/>
    <w:rsid w:val="008407E5"/>
    <w:rsid w:val="00842C38"/>
    <w:rsid w:val="0087658C"/>
    <w:rsid w:val="00891341"/>
    <w:rsid w:val="008C28A3"/>
    <w:rsid w:val="008E2444"/>
    <w:rsid w:val="008F31A8"/>
    <w:rsid w:val="00942FBB"/>
    <w:rsid w:val="00A14752"/>
    <w:rsid w:val="00A27770"/>
    <w:rsid w:val="00A558B8"/>
    <w:rsid w:val="00A61829"/>
    <w:rsid w:val="00A82E9B"/>
    <w:rsid w:val="00B30B50"/>
    <w:rsid w:val="00BB55A7"/>
    <w:rsid w:val="00BC24ED"/>
    <w:rsid w:val="00BE6633"/>
    <w:rsid w:val="00BF128C"/>
    <w:rsid w:val="00C2570A"/>
    <w:rsid w:val="00C37E69"/>
    <w:rsid w:val="00CC011C"/>
    <w:rsid w:val="00CF4D3F"/>
    <w:rsid w:val="00D96D67"/>
    <w:rsid w:val="00DC02D1"/>
    <w:rsid w:val="00E36021"/>
    <w:rsid w:val="00E70E08"/>
    <w:rsid w:val="00E85911"/>
    <w:rsid w:val="00EF7A2A"/>
    <w:rsid w:val="00F82AE5"/>
    <w:rsid w:val="00FE6204"/>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4852AD"/>
  <w15:chartTrackingRefBased/>
  <w15:docId w15:val="{5290B001-E2FA-4D9F-8B8D-E8FBC2500E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Cs w:val="22"/>
        <w:lang w:val="en-US" w:eastAsia="ko-KR" w:bidi="ar-SA"/>
      </w:rPr>
    </w:rPrDefault>
    <w:pPrDefault>
      <w:pPr>
        <w:ind w:firstLineChars="100" w:firstLine="10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42FBB"/>
    <w:pPr>
      <w:widowControl w:val="0"/>
      <w:wordWrap w:val="0"/>
      <w:autoSpaceDE w:val="0"/>
      <w:autoSpaceDN w:val="0"/>
      <w:spacing w:after="160" w:line="259" w:lineRule="auto"/>
      <w:ind w:firstLineChars="0" w:firstLine="0"/>
      <w:jc w:val="both"/>
    </w:pPr>
  </w:style>
  <w:style w:type="paragraph" w:styleId="Heading1">
    <w:name w:val="heading 1"/>
    <w:basedOn w:val="Normal"/>
    <w:next w:val="Normal"/>
    <w:link w:val="Heading1Char"/>
    <w:uiPriority w:val="9"/>
    <w:qFormat/>
    <w:rsid w:val="00942FBB"/>
    <w:pPr>
      <w:keepNext/>
      <w:jc w:val="left"/>
      <w:outlineLvl w:val="0"/>
    </w:pPr>
    <w:rPr>
      <w:rFonts w:asciiTheme="majorHAnsi" w:eastAsiaTheme="majorEastAsia" w:hAnsiTheme="majorHAnsi" w:cstheme="majorBidi"/>
      <w:kern w:val="0"/>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42FBB"/>
    <w:rPr>
      <w:rFonts w:asciiTheme="majorHAnsi" w:eastAsiaTheme="majorEastAsia" w:hAnsiTheme="majorHAnsi" w:cstheme="majorBidi"/>
      <w:kern w:val="0"/>
      <w:sz w:val="28"/>
      <w:szCs w:val="28"/>
    </w:rPr>
  </w:style>
  <w:style w:type="paragraph" w:styleId="NoSpacing">
    <w:name w:val="No Spacing"/>
    <w:uiPriority w:val="1"/>
    <w:qFormat/>
    <w:rsid w:val="00942FBB"/>
    <w:pPr>
      <w:widowControl w:val="0"/>
      <w:wordWrap w:val="0"/>
      <w:autoSpaceDE w:val="0"/>
      <w:autoSpaceDN w:val="0"/>
      <w:ind w:firstLineChars="0" w:firstLine="0"/>
      <w:jc w:val="both"/>
    </w:pPr>
  </w:style>
  <w:style w:type="character" w:customStyle="1" w:styleId="apple-converted-space">
    <w:name w:val="apple-converted-space"/>
    <w:basedOn w:val="DefaultParagraphFont"/>
    <w:rsid w:val="00942FBB"/>
  </w:style>
  <w:style w:type="paragraph" w:styleId="Header">
    <w:name w:val="header"/>
    <w:basedOn w:val="Normal"/>
    <w:link w:val="HeaderChar"/>
    <w:uiPriority w:val="99"/>
    <w:unhideWhenUsed/>
    <w:rsid w:val="00942FBB"/>
    <w:pPr>
      <w:tabs>
        <w:tab w:val="center" w:pos="4513"/>
        <w:tab w:val="right" w:pos="9026"/>
      </w:tabs>
      <w:snapToGrid w:val="0"/>
    </w:pPr>
  </w:style>
  <w:style w:type="character" w:customStyle="1" w:styleId="HeaderChar">
    <w:name w:val="Header Char"/>
    <w:basedOn w:val="DefaultParagraphFont"/>
    <w:link w:val="Header"/>
    <w:uiPriority w:val="99"/>
    <w:rsid w:val="00942FBB"/>
  </w:style>
  <w:style w:type="paragraph" w:styleId="Footer">
    <w:name w:val="footer"/>
    <w:basedOn w:val="Normal"/>
    <w:link w:val="FooterChar"/>
    <w:uiPriority w:val="99"/>
    <w:unhideWhenUsed/>
    <w:rsid w:val="00942FBB"/>
    <w:pPr>
      <w:tabs>
        <w:tab w:val="center" w:pos="4513"/>
        <w:tab w:val="right" w:pos="9026"/>
      </w:tabs>
      <w:snapToGrid w:val="0"/>
    </w:pPr>
  </w:style>
  <w:style w:type="character" w:customStyle="1" w:styleId="FooterChar">
    <w:name w:val="Footer Char"/>
    <w:basedOn w:val="DefaultParagraphFont"/>
    <w:link w:val="Footer"/>
    <w:uiPriority w:val="99"/>
    <w:rsid w:val="00942FBB"/>
  </w:style>
  <w:style w:type="paragraph" w:customStyle="1" w:styleId="EndNoteBibliographyTitle">
    <w:name w:val="EndNote Bibliography Title"/>
    <w:basedOn w:val="Normal"/>
    <w:link w:val="EndNoteBibliographyTitleChar"/>
    <w:rsid w:val="00942FBB"/>
    <w:pPr>
      <w:spacing w:after="0"/>
      <w:jc w:val="center"/>
    </w:pPr>
    <w:rPr>
      <w:rFonts w:ascii="Malgun Gothic" w:eastAsia="Malgun Gothic" w:hAnsi="Malgun Gothic"/>
      <w:noProof/>
    </w:rPr>
  </w:style>
  <w:style w:type="character" w:customStyle="1" w:styleId="EndNoteBibliographyTitleChar">
    <w:name w:val="EndNote Bibliography Title Char"/>
    <w:basedOn w:val="DefaultParagraphFont"/>
    <w:link w:val="EndNoteBibliographyTitle"/>
    <w:rsid w:val="00942FBB"/>
    <w:rPr>
      <w:rFonts w:ascii="Malgun Gothic" w:eastAsia="Malgun Gothic" w:hAnsi="Malgun Gothic"/>
      <w:noProof/>
    </w:rPr>
  </w:style>
  <w:style w:type="paragraph" w:customStyle="1" w:styleId="EndNoteBibliography">
    <w:name w:val="EndNote Bibliography"/>
    <w:basedOn w:val="Normal"/>
    <w:link w:val="EndNoteBibliographyChar"/>
    <w:rsid w:val="00942FBB"/>
    <w:pPr>
      <w:spacing w:line="240" w:lineRule="auto"/>
    </w:pPr>
    <w:rPr>
      <w:rFonts w:ascii="Malgun Gothic" w:eastAsia="Malgun Gothic" w:hAnsi="Malgun Gothic"/>
      <w:noProof/>
    </w:rPr>
  </w:style>
  <w:style w:type="character" w:customStyle="1" w:styleId="EndNoteBibliographyChar">
    <w:name w:val="EndNote Bibliography Char"/>
    <w:basedOn w:val="DefaultParagraphFont"/>
    <w:link w:val="EndNoteBibliography"/>
    <w:rsid w:val="00942FBB"/>
    <w:rPr>
      <w:rFonts w:ascii="Malgun Gothic" w:eastAsia="Malgun Gothic" w:hAnsi="Malgun Gothic"/>
      <w:noProof/>
    </w:rPr>
  </w:style>
  <w:style w:type="paragraph" w:styleId="ListParagraph">
    <w:name w:val="List Paragraph"/>
    <w:basedOn w:val="Normal"/>
    <w:uiPriority w:val="34"/>
    <w:qFormat/>
    <w:rsid w:val="00942FBB"/>
    <w:pPr>
      <w:ind w:leftChars="400" w:left="800"/>
    </w:pPr>
  </w:style>
  <w:style w:type="paragraph" w:styleId="Revision">
    <w:name w:val="Revision"/>
    <w:hidden/>
    <w:uiPriority w:val="99"/>
    <w:semiHidden/>
    <w:rsid w:val="00942FBB"/>
    <w:pPr>
      <w:ind w:firstLineChars="0" w:firstLine="0"/>
    </w:pPr>
  </w:style>
  <w:style w:type="character" w:styleId="LineNumber">
    <w:name w:val="line number"/>
    <w:basedOn w:val="DefaultParagraphFont"/>
    <w:uiPriority w:val="99"/>
    <w:semiHidden/>
    <w:unhideWhenUsed/>
    <w:rsid w:val="00942FBB"/>
  </w:style>
  <w:style w:type="table" w:styleId="TableGrid">
    <w:name w:val="Table Grid"/>
    <w:basedOn w:val="TableNormal"/>
    <w:uiPriority w:val="39"/>
    <w:rsid w:val="00942FBB"/>
    <w:pPr>
      <w:ind w:firstLineChars="0" w:firstLine="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394B52"/>
  </w:style>
  <w:style w:type="paragraph" w:customStyle="1" w:styleId="Default">
    <w:name w:val="Default"/>
    <w:rsid w:val="00394B52"/>
    <w:pPr>
      <w:widowControl w:val="0"/>
      <w:autoSpaceDE w:val="0"/>
      <w:autoSpaceDN w:val="0"/>
      <w:adjustRightInd w:val="0"/>
      <w:ind w:firstLineChars="0" w:firstLine="0"/>
    </w:pPr>
    <w:rPr>
      <w:rFonts w:ascii="Calibri" w:hAnsi="Calibri" w:cs="Calibri"/>
      <w:color w:val="000000"/>
      <w:kern w:val="0"/>
      <w:sz w:val="24"/>
      <w:szCs w:val="24"/>
      <w:lang w:val="en-CA" w:eastAsia="en-CA"/>
    </w:rPr>
  </w:style>
  <w:style w:type="table" w:customStyle="1" w:styleId="TableGrid1">
    <w:name w:val="Table Grid1"/>
    <w:basedOn w:val="TableNormal"/>
    <w:next w:val="TableGrid"/>
    <w:uiPriority w:val="39"/>
    <w:rsid w:val="00394B52"/>
    <w:pPr>
      <w:ind w:firstLineChars="0" w:firstLine="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94B52"/>
    <w:rPr>
      <w:color w:val="0563C1" w:themeColor="hyperlink"/>
      <w:u w:val="single"/>
    </w:rPr>
  </w:style>
  <w:style w:type="character" w:styleId="UnresolvedMention">
    <w:name w:val="Unresolved Mention"/>
    <w:basedOn w:val="DefaultParagraphFont"/>
    <w:uiPriority w:val="99"/>
    <w:semiHidden/>
    <w:unhideWhenUsed/>
    <w:rsid w:val="00394B52"/>
    <w:rPr>
      <w:color w:val="605E5C"/>
      <w:shd w:val="clear" w:color="auto" w:fill="E1DFDD"/>
    </w:rPr>
  </w:style>
  <w:style w:type="character" w:styleId="PageNumber">
    <w:name w:val="page number"/>
    <w:basedOn w:val="DefaultParagraphFont"/>
    <w:uiPriority w:val="99"/>
    <w:semiHidden/>
    <w:unhideWhenUsed/>
    <w:rsid w:val="00394B52"/>
  </w:style>
  <w:style w:type="character" w:styleId="CommentReference">
    <w:name w:val="annotation reference"/>
    <w:basedOn w:val="DefaultParagraphFont"/>
    <w:uiPriority w:val="99"/>
    <w:semiHidden/>
    <w:unhideWhenUsed/>
    <w:rsid w:val="00394B52"/>
    <w:rPr>
      <w:sz w:val="16"/>
      <w:szCs w:val="16"/>
    </w:rPr>
  </w:style>
  <w:style w:type="paragraph" w:styleId="CommentText">
    <w:name w:val="annotation text"/>
    <w:basedOn w:val="Normal"/>
    <w:link w:val="CommentTextChar"/>
    <w:uiPriority w:val="99"/>
    <w:semiHidden/>
    <w:unhideWhenUsed/>
    <w:rsid w:val="00394B52"/>
    <w:pPr>
      <w:spacing w:line="240" w:lineRule="auto"/>
    </w:pPr>
    <w:rPr>
      <w:szCs w:val="20"/>
    </w:rPr>
  </w:style>
  <w:style w:type="character" w:customStyle="1" w:styleId="CommentTextChar">
    <w:name w:val="Comment Text Char"/>
    <w:basedOn w:val="DefaultParagraphFont"/>
    <w:link w:val="CommentText"/>
    <w:uiPriority w:val="99"/>
    <w:semiHidden/>
    <w:rsid w:val="00394B52"/>
    <w:rPr>
      <w:szCs w:val="20"/>
    </w:rPr>
  </w:style>
  <w:style w:type="paragraph" w:styleId="CommentSubject">
    <w:name w:val="annotation subject"/>
    <w:basedOn w:val="CommentText"/>
    <w:next w:val="CommentText"/>
    <w:link w:val="CommentSubjectChar"/>
    <w:uiPriority w:val="99"/>
    <w:semiHidden/>
    <w:unhideWhenUsed/>
    <w:rsid w:val="00394B52"/>
    <w:rPr>
      <w:b/>
      <w:bCs/>
    </w:rPr>
  </w:style>
  <w:style w:type="character" w:customStyle="1" w:styleId="CommentSubjectChar">
    <w:name w:val="Comment Subject Char"/>
    <w:basedOn w:val="CommentTextChar"/>
    <w:link w:val="CommentSubject"/>
    <w:uiPriority w:val="99"/>
    <w:semiHidden/>
    <w:rsid w:val="00394B52"/>
    <w:rPr>
      <w:b/>
      <w:bCs/>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7.png"/><Relationship Id="rId21" Type="http://schemas.openxmlformats.org/officeDocument/2006/relationships/image" Target="media/image11.png"/><Relationship Id="rId42" Type="http://schemas.openxmlformats.org/officeDocument/2006/relationships/image" Target="media/image32.png"/><Relationship Id="rId63" Type="http://schemas.openxmlformats.org/officeDocument/2006/relationships/image" Target="media/image53.png"/><Relationship Id="rId84" Type="http://schemas.openxmlformats.org/officeDocument/2006/relationships/image" Target="media/image74.png"/><Relationship Id="rId138" Type="http://schemas.openxmlformats.org/officeDocument/2006/relationships/image" Target="media/image128.png"/><Relationship Id="rId159" Type="http://schemas.openxmlformats.org/officeDocument/2006/relationships/theme" Target="theme/theme1.xml"/><Relationship Id="rId107" Type="http://schemas.openxmlformats.org/officeDocument/2006/relationships/image" Target="media/image97.png"/><Relationship Id="rId11" Type="http://schemas.openxmlformats.org/officeDocument/2006/relationships/footer" Target="footer3.xml"/><Relationship Id="rId32" Type="http://schemas.openxmlformats.org/officeDocument/2006/relationships/image" Target="media/image22.png"/><Relationship Id="rId53" Type="http://schemas.openxmlformats.org/officeDocument/2006/relationships/image" Target="media/image43.png"/><Relationship Id="rId74" Type="http://schemas.openxmlformats.org/officeDocument/2006/relationships/image" Target="media/image64.png"/><Relationship Id="rId128" Type="http://schemas.openxmlformats.org/officeDocument/2006/relationships/image" Target="media/image118.png"/><Relationship Id="rId149" Type="http://schemas.openxmlformats.org/officeDocument/2006/relationships/image" Target="media/image139.png"/><Relationship Id="rId5" Type="http://schemas.openxmlformats.org/officeDocument/2006/relationships/webSettings" Target="webSettings.xml"/><Relationship Id="rId95" Type="http://schemas.openxmlformats.org/officeDocument/2006/relationships/image" Target="media/image85.png"/><Relationship Id="rId22" Type="http://schemas.openxmlformats.org/officeDocument/2006/relationships/image" Target="media/image12.png"/><Relationship Id="rId43" Type="http://schemas.openxmlformats.org/officeDocument/2006/relationships/image" Target="media/image33.png"/><Relationship Id="rId64" Type="http://schemas.openxmlformats.org/officeDocument/2006/relationships/image" Target="media/image54.png"/><Relationship Id="rId118" Type="http://schemas.openxmlformats.org/officeDocument/2006/relationships/image" Target="media/image108.png"/><Relationship Id="rId139" Type="http://schemas.openxmlformats.org/officeDocument/2006/relationships/image" Target="media/image129.png"/><Relationship Id="rId80" Type="http://schemas.openxmlformats.org/officeDocument/2006/relationships/image" Target="media/image70.png"/><Relationship Id="rId85" Type="http://schemas.openxmlformats.org/officeDocument/2006/relationships/image" Target="media/image75.png"/><Relationship Id="rId150" Type="http://schemas.openxmlformats.org/officeDocument/2006/relationships/image" Target="media/image140.png"/><Relationship Id="rId155" Type="http://schemas.openxmlformats.org/officeDocument/2006/relationships/image" Target="media/image145.png"/><Relationship Id="rId12" Type="http://schemas.openxmlformats.org/officeDocument/2006/relationships/image" Target="media/image2.png"/><Relationship Id="rId17" Type="http://schemas.openxmlformats.org/officeDocument/2006/relationships/image" Target="media/image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49.png"/><Relationship Id="rId103" Type="http://schemas.openxmlformats.org/officeDocument/2006/relationships/image" Target="media/image93.png"/><Relationship Id="rId108" Type="http://schemas.openxmlformats.org/officeDocument/2006/relationships/image" Target="media/image98.png"/><Relationship Id="rId124" Type="http://schemas.openxmlformats.org/officeDocument/2006/relationships/image" Target="media/image114.png"/><Relationship Id="rId129" Type="http://schemas.openxmlformats.org/officeDocument/2006/relationships/image" Target="media/image119.png"/><Relationship Id="rId54" Type="http://schemas.openxmlformats.org/officeDocument/2006/relationships/image" Target="media/image44.png"/><Relationship Id="rId70" Type="http://schemas.openxmlformats.org/officeDocument/2006/relationships/image" Target="media/image60.png"/><Relationship Id="rId75" Type="http://schemas.openxmlformats.org/officeDocument/2006/relationships/image" Target="media/image65.png"/><Relationship Id="rId91" Type="http://schemas.openxmlformats.org/officeDocument/2006/relationships/image" Target="media/image81.png"/><Relationship Id="rId96" Type="http://schemas.openxmlformats.org/officeDocument/2006/relationships/image" Target="media/image86.png"/><Relationship Id="rId140" Type="http://schemas.openxmlformats.org/officeDocument/2006/relationships/image" Target="media/image130.png"/><Relationship Id="rId145" Type="http://schemas.openxmlformats.org/officeDocument/2006/relationships/image" Target="media/image135.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3.png"/><Relationship Id="rId28" Type="http://schemas.openxmlformats.org/officeDocument/2006/relationships/image" Target="media/image18.png"/><Relationship Id="rId49" Type="http://schemas.openxmlformats.org/officeDocument/2006/relationships/image" Target="media/image39.png"/><Relationship Id="rId114" Type="http://schemas.openxmlformats.org/officeDocument/2006/relationships/image" Target="media/image104.png"/><Relationship Id="rId119" Type="http://schemas.openxmlformats.org/officeDocument/2006/relationships/image" Target="media/image109.png"/><Relationship Id="rId44" Type="http://schemas.openxmlformats.org/officeDocument/2006/relationships/image" Target="media/image34.png"/><Relationship Id="rId60" Type="http://schemas.openxmlformats.org/officeDocument/2006/relationships/image" Target="media/image50.png"/><Relationship Id="rId65" Type="http://schemas.openxmlformats.org/officeDocument/2006/relationships/image" Target="media/image55.png"/><Relationship Id="rId81" Type="http://schemas.openxmlformats.org/officeDocument/2006/relationships/image" Target="media/image71.png"/><Relationship Id="rId86" Type="http://schemas.openxmlformats.org/officeDocument/2006/relationships/image" Target="media/image76.png"/><Relationship Id="rId130" Type="http://schemas.openxmlformats.org/officeDocument/2006/relationships/image" Target="media/image120.png"/><Relationship Id="rId135" Type="http://schemas.openxmlformats.org/officeDocument/2006/relationships/image" Target="media/image125.png"/><Relationship Id="rId151" Type="http://schemas.openxmlformats.org/officeDocument/2006/relationships/image" Target="media/image141.png"/><Relationship Id="rId156" Type="http://schemas.openxmlformats.org/officeDocument/2006/relationships/image" Target="media/image146.png"/><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109" Type="http://schemas.openxmlformats.org/officeDocument/2006/relationships/image" Target="media/image9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openxmlformats.org/officeDocument/2006/relationships/image" Target="media/image66.png"/><Relationship Id="rId97" Type="http://schemas.openxmlformats.org/officeDocument/2006/relationships/image" Target="media/image87.png"/><Relationship Id="rId104" Type="http://schemas.openxmlformats.org/officeDocument/2006/relationships/image" Target="media/image94.png"/><Relationship Id="rId120" Type="http://schemas.openxmlformats.org/officeDocument/2006/relationships/image" Target="media/image110.png"/><Relationship Id="rId125" Type="http://schemas.openxmlformats.org/officeDocument/2006/relationships/image" Target="media/image115.png"/><Relationship Id="rId141" Type="http://schemas.openxmlformats.org/officeDocument/2006/relationships/image" Target="media/image131.png"/><Relationship Id="rId146" Type="http://schemas.openxmlformats.org/officeDocument/2006/relationships/image" Target="media/image136.png"/><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image" Target="media/image82.png"/><Relationship Id="rId2" Type="http://schemas.openxmlformats.org/officeDocument/2006/relationships/numbering" Target="numbering.xml"/><Relationship Id="rId29" Type="http://schemas.openxmlformats.org/officeDocument/2006/relationships/image" Target="media/image19.png"/><Relationship Id="rId24" Type="http://schemas.openxmlformats.org/officeDocument/2006/relationships/image" Target="media/image14.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image" Target="media/image56.png"/><Relationship Id="rId87" Type="http://schemas.openxmlformats.org/officeDocument/2006/relationships/image" Target="media/image77.png"/><Relationship Id="rId110" Type="http://schemas.openxmlformats.org/officeDocument/2006/relationships/image" Target="media/image100.png"/><Relationship Id="rId115" Type="http://schemas.openxmlformats.org/officeDocument/2006/relationships/image" Target="media/image105.png"/><Relationship Id="rId131" Type="http://schemas.openxmlformats.org/officeDocument/2006/relationships/image" Target="media/image121.png"/><Relationship Id="rId136" Type="http://schemas.openxmlformats.org/officeDocument/2006/relationships/image" Target="media/image126.png"/><Relationship Id="rId157" Type="http://schemas.openxmlformats.org/officeDocument/2006/relationships/image" Target="media/image147.png"/><Relationship Id="rId61" Type="http://schemas.openxmlformats.org/officeDocument/2006/relationships/image" Target="media/image51.png"/><Relationship Id="rId82" Type="http://schemas.openxmlformats.org/officeDocument/2006/relationships/image" Target="media/image72.png"/><Relationship Id="rId152" Type="http://schemas.openxmlformats.org/officeDocument/2006/relationships/image" Target="media/image142.png"/><Relationship Id="rId19" Type="http://schemas.openxmlformats.org/officeDocument/2006/relationships/image" Target="media/image9.png"/><Relationship Id="rId14" Type="http://schemas.openxmlformats.org/officeDocument/2006/relationships/image" Target="media/image4.png"/><Relationship Id="rId30" Type="http://schemas.openxmlformats.org/officeDocument/2006/relationships/image" Target="media/image20.png"/><Relationship Id="rId35" Type="http://schemas.openxmlformats.org/officeDocument/2006/relationships/image" Target="media/image25.png"/><Relationship Id="rId56" Type="http://schemas.openxmlformats.org/officeDocument/2006/relationships/image" Target="media/image46.png"/><Relationship Id="rId77" Type="http://schemas.openxmlformats.org/officeDocument/2006/relationships/image" Target="media/image67.png"/><Relationship Id="rId100" Type="http://schemas.openxmlformats.org/officeDocument/2006/relationships/image" Target="media/image90.png"/><Relationship Id="rId105" Type="http://schemas.openxmlformats.org/officeDocument/2006/relationships/image" Target="media/image95.png"/><Relationship Id="rId126" Type="http://schemas.openxmlformats.org/officeDocument/2006/relationships/image" Target="media/image116.png"/><Relationship Id="rId147" Type="http://schemas.openxmlformats.org/officeDocument/2006/relationships/image" Target="media/image137.png"/><Relationship Id="rId8" Type="http://schemas.openxmlformats.org/officeDocument/2006/relationships/footer" Target="footer1.xml"/><Relationship Id="rId51" Type="http://schemas.openxmlformats.org/officeDocument/2006/relationships/image" Target="media/image41.png"/><Relationship Id="rId72" Type="http://schemas.openxmlformats.org/officeDocument/2006/relationships/image" Target="media/image62.png"/><Relationship Id="rId93" Type="http://schemas.openxmlformats.org/officeDocument/2006/relationships/image" Target="media/image83.png"/><Relationship Id="rId98" Type="http://schemas.openxmlformats.org/officeDocument/2006/relationships/image" Target="media/image88.png"/><Relationship Id="rId121" Type="http://schemas.openxmlformats.org/officeDocument/2006/relationships/image" Target="media/image111.png"/><Relationship Id="rId142" Type="http://schemas.openxmlformats.org/officeDocument/2006/relationships/image" Target="media/image132.png"/><Relationship Id="rId3" Type="http://schemas.openxmlformats.org/officeDocument/2006/relationships/styles" Target="styles.xml"/><Relationship Id="rId25" Type="http://schemas.openxmlformats.org/officeDocument/2006/relationships/image" Target="media/image15.png"/><Relationship Id="rId46" Type="http://schemas.openxmlformats.org/officeDocument/2006/relationships/image" Target="media/image36.png"/><Relationship Id="rId67" Type="http://schemas.openxmlformats.org/officeDocument/2006/relationships/image" Target="media/image57.png"/><Relationship Id="rId116" Type="http://schemas.openxmlformats.org/officeDocument/2006/relationships/image" Target="media/image106.png"/><Relationship Id="rId137" Type="http://schemas.openxmlformats.org/officeDocument/2006/relationships/image" Target="media/image127.png"/><Relationship Id="rId158" Type="http://schemas.openxmlformats.org/officeDocument/2006/relationships/fontTable" Target="fontTable.xml"/><Relationship Id="rId20" Type="http://schemas.openxmlformats.org/officeDocument/2006/relationships/image" Target="media/image10.png"/><Relationship Id="rId41" Type="http://schemas.openxmlformats.org/officeDocument/2006/relationships/image" Target="media/image31.png"/><Relationship Id="rId62" Type="http://schemas.openxmlformats.org/officeDocument/2006/relationships/image" Target="media/image52.png"/><Relationship Id="rId83" Type="http://schemas.openxmlformats.org/officeDocument/2006/relationships/image" Target="media/image73.png"/><Relationship Id="rId88" Type="http://schemas.openxmlformats.org/officeDocument/2006/relationships/image" Target="media/image78.png"/><Relationship Id="rId111" Type="http://schemas.openxmlformats.org/officeDocument/2006/relationships/image" Target="media/image101.png"/><Relationship Id="rId132" Type="http://schemas.openxmlformats.org/officeDocument/2006/relationships/image" Target="media/image122.png"/><Relationship Id="rId153" Type="http://schemas.openxmlformats.org/officeDocument/2006/relationships/image" Target="media/image143.png"/><Relationship Id="rId15" Type="http://schemas.openxmlformats.org/officeDocument/2006/relationships/image" Target="media/image5.png"/><Relationship Id="rId36" Type="http://schemas.openxmlformats.org/officeDocument/2006/relationships/image" Target="media/image26.png"/><Relationship Id="rId57" Type="http://schemas.openxmlformats.org/officeDocument/2006/relationships/image" Target="media/image47.png"/><Relationship Id="rId106" Type="http://schemas.openxmlformats.org/officeDocument/2006/relationships/image" Target="media/image96.png"/><Relationship Id="rId127" Type="http://schemas.openxmlformats.org/officeDocument/2006/relationships/image" Target="media/image117.png"/><Relationship Id="rId10" Type="http://schemas.openxmlformats.org/officeDocument/2006/relationships/footer" Target="footer2.xml"/><Relationship Id="rId31" Type="http://schemas.openxmlformats.org/officeDocument/2006/relationships/image" Target="media/image21.png"/><Relationship Id="rId52" Type="http://schemas.openxmlformats.org/officeDocument/2006/relationships/image" Target="media/image42.png"/><Relationship Id="rId73" Type="http://schemas.openxmlformats.org/officeDocument/2006/relationships/image" Target="media/image63.png"/><Relationship Id="rId78" Type="http://schemas.openxmlformats.org/officeDocument/2006/relationships/image" Target="media/image68.png"/><Relationship Id="rId94" Type="http://schemas.openxmlformats.org/officeDocument/2006/relationships/image" Target="media/image84.png"/><Relationship Id="rId99" Type="http://schemas.openxmlformats.org/officeDocument/2006/relationships/image" Target="media/image89.png"/><Relationship Id="rId101" Type="http://schemas.openxmlformats.org/officeDocument/2006/relationships/image" Target="media/image91.png"/><Relationship Id="rId122" Type="http://schemas.openxmlformats.org/officeDocument/2006/relationships/image" Target="media/image112.png"/><Relationship Id="rId143" Type="http://schemas.openxmlformats.org/officeDocument/2006/relationships/image" Target="media/image133.png"/><Relationship Id="rId148" Type="http://schemas.openxmlformats.org/officeDocument/2006/relationships/image" Target="media/image138.png"/><Relationship Id="rId4" Type="http://schemas.openxmlformats.org/officeDocument/2006/relationships/settings" Target="settings.xml"/><Relationship Id="rId9" Type="http://schemas.openxmlformats.org/officeDocument/2006/relationships/image" Target="media/image1.png"/><Relationship Id="rId26" Type="http://schemas.openxmlformats.org/officeDocument/2006/relationships/image" Target="media/image16.png"/><Relationship Id="rId47" Type="http://schemas.openxmlformats.org/officeDocument/2006/relationships/image" Target="media/image37.png"/><Relationship Id="rId68" Type="http://schemas.openxmlformats.org/officeDocument/2006/relationships/image" Target="media/image58.png"/><Relationship Id="rId89" Type="http://schemas.openxmlformats.org/officeDocument/2006/relationships/image" Target="media/image79.png"/><Relationship Id="rId112" Type="http://schemas.openxmlformats.org/officeDocument/2006/relationships/image" Target="media/image102.png"/><Relationship Id="rId133" Type="http://schemas.openxmlformats.org/officeDocument/2006/relationships/image" Target="media/image123.png"/><Relationship Id="rId154" Type="http://schemas.openxmlformats.org/officeDocument/2006/relationships/image" Target="media/image144.png"/><Relationship Id="rId16" Type="http://schemas.openxmlformats.org/officeDocument/2006/relationships/image" Target="media/image6.png"/><Relationship Id="rId37" Type="http://schemas.openxmlformats.org/officeDocument/2006/relationships/image" Target="media/image27.png"/><Relationship Id="rId58" Type="http://schemas.openxmlformats.org/officeDocument/2006/relationships/image" Target="media/image48.png"/><Relationship Id="rId79" Type="http://schemas.openxmlformats.org/officeDocument/2006/relationships/image" Target="media/image69.png"/><Relationship Id="rId102" Type="http://schemas.openxmlformats.org/officeDocument/2006/relationships/image" Target="media/image92.png"/><Relationship Id="rId123" Type="http://schemas.openxmlformats.org/officeDocument/2006/relationships/image" Target="media/image113.png"/><Relationship Id="rId144" Type="http://schemas.openxmlformats.org/officeDocument/2006/relationships/image" Target="media/image134.png"/><Relationship Id="rId90" Type="http://schemas.openxmlformats.org/officeDocument/2006/relationships/image" Target="media/image80.png"/><Relationship Id="rId27" Type="http://schemas.openxmlformats.org/officeDocument/2006/relationships/image" Target="media/image17.png"/><Relationship Id="rId48" Type="http://schemas.openxmlformats.org/officeDocument/2006/relationships/image" Target="media/image38.png"/><Relationship Id="rId69" Type="http://schemas.openxmlformats.org/officeDocument/2006/relationships/image" Target="media/image59.png"/><Relationship Id="rId113" Type="http://schemas.openxmlformats.org/officeDocument/2006/relationships/image" Target="media/image103.png"/><Relationship Id="rId134" Type="http://schemas.openxmlformats.org/officeDocument/2006/relationships/image" Target="media/image124.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A14ABD-2844-45B8-9D44-91EBBDFA08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210</Pages>
  <Words>25144</Words>
  <Characters>143321</Characters>
  <Application>Microsoft Office Word</Application>
  <DocSecurity>0</DocSecurity>
  <Lines>1194</Lines>
  <Paragraphs>336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김재한 (본3, 2018191039)</dc:creator>
  <cp:keywords/>
  <dc:description/>
  <cp:lastModifiedBy>Hellen, Catherine</cp:lastModifiedBy>
  <cp:revision>3</cp:revision>
  <dcterms:created xsi:type="dcterms:W3CDTF">2022-07-07T11:29:00Z</dcterms:created>
  <dcterms:modified xsi:type="dcterms:W3CDTF">2022-07-07T11:35:00Z</dcterms:modified>
</cp:coreProperties>
</file>