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0FA98" w14:textId="77777777" w:rsidR="005F3D86" w:rsidRPr="00CE4C7D" w:rsidRDefault="005F3D86" w:rsidP="00F25A95">
      <w:pPr>
        <w:rPr>
          <w:rStyle w:val="IntenseEmphasis"/>
          <w:rFonts w:asciiTheme="majorHAnsi" w:hAnsiTheme="majorHAnsi"/>
          <w:sz w:val="22"/>
          <w:szCs w:val="22"/>
        </w:rPr>
      </w:pPr>
      <w:r w:rsidRPr="00CE4C7D">
        <w:rPr>
          <w:rStyle w:val="IntenseEmphasis"/>
          <w:rFonts w:asciiTheme="majorHAnsi" w:hAnsiTheme="majorHAnsi"/>
          <w:sz w:val="22"/>
          <w:szCs w:val="22"/>
        </w:rPr>
        <w:t xml:space="preserve">Title: </w:t>
      </w:r>
    </w:p>
    <w:p w14:paraId="16B8B007" w14:textId="44713822" w:rsidR="00377B1C" w:rsidRPr="00CE4C7D" w:rsidRDefault="005F3D86" w:rsidP="00F25A95">
      <w:pPr>
        <w:rPr>
          <w:rFonts w:asciiTheme="majorHAnsi" w:hAnsiTheme="majorHAnsi" w:cstheme="majorHAnsi"/>
          <w:sz w:val="22"/>
          <w:szCs w:val="22"/>
        </w:rPr>
      </w:pPr>
      <w:r w:rsidRPr="00CE4C7D">
        <w:rPr>
          <w:rFonts w:asciiTheme="majorHAnsi" w:hAnsiTheme="majorHAnsi" w:cstheme="majorHAnsi"/>
          <w:sz w:val="22"/>
          <w:szCs w:val="22"/>
        </w:rPr>
        <w:t xml:space="preserve">Chapter </w:t>
      </w:r>
      <w:r w:rsidR="006E2852" w:rsidRPr="00CE4C7D">
        <w:rPr>
          <w:rFonts w:asciiTheme="majorHAnsi" w:hAnsiTheme="majorHAnsi" w:cstheme="majorHAnsi"/>
          <w:sz w:val="22"/>
          <w:szCs w:val="22"/>
        </w:rPr>
        <w:t>19</w:t>
      </w:r>
      <w:r w:rsidRPr="00CE4C7D">
        <w:rPr>
          <w:rFonts w:asciiTheme="majorHAnsi" w:hAnsiTheme="majorHAnsi" w:cstheme="majorHAnsi"/>
          <w:sz w:val="22"/>
          <w:szCs w:val="22"/>
        </w:rPr>
        <w:t xml:space="preserve">: </w:t>
      </w:r>
      <w:r w:rsidR="00377B1C" w:rsidRPr="00CE4C7D">
        <w:rPr>
          <w:rFonts w:asciiTheme="majorHAnsi" w:hAnsiTheme="majorHAnsi" w:cstheme="majorHAnsi"/>
          <w:sz w:val="22"/>
          <w:szCs w:val="22"/>
        </w:rPr>
        <w:t>How non-energy p</w:t>
      </w:r>
      <w:r w:rsidR="002545A1" w:rsidRPr="00CE4C7D">
        <w:rPr>
          <w:rFonts w:asciiTheme="majorHAnsi" w:hAnsiTheme="majorHAnsi" w:cstheme="majorHAnsi"/>
          <w:sz w:val="22"/>
          <w:szCs w:val="22"/>
        </w:rPr>
        <w:t>olicies shape demand for energy</w:t>
      </w:r>
    </w:p>
    <w:p w14:paraId="794DCF32" w14:textId="77777777" w:rsidR="00377B1C" w:rsidRPr="00CE4C7D" w:rsidRDefault="00377B1C" w:rsidP="00F25A95">
      <w:pPr>
        <w:rPr>
          <w:rFonts w:asciiTheme="majorHAnsi" w:hAnsiTheme="majorHAnsi" w:cstheme="majorHAnsi"/>
          <w:sz w:val="22"/>
          <w:szCs w:val="22"/>
        </w:rPr>
      </w:pPr>
    </w:p>
    <w:p w14:paraId="12DADFF0" w14:textId="4E634E78" w:rsidR="00F617D5" w:rsidRPr="00CE4C7D" w:rsidRDefault="00F617D5" w:rsidP="00F25A95">
      <w:pPr>
        <w:pStyle w:val="NoSpacing"/>
        <w:rPr>
          <w:rStyle w:val="IntenseEmphasis"/>
          <w:rFonts w:asciiTheme="majorHAnsi" w:hAnsiTheme="majorHAnsi"/>
        </w:rPr>
      </w:pPr>
      <w:r w:rsidRPr="00CE4C7D">
        <w:rPr>
          <w:rStyle w:val="IntenseEmphasis"/>
          <w:rFonts w:asciiTheme="majorHAnsi" w:hAnsiTheme="majorHAnsi"/>
        </w:rPr>
        <w:t>Authors:</w:t>
      </w:r>
    </w:p>
    <w:p w14:paraId="1C9F1BB4" w14:textId="5CFA5BE7" w:rsidR="00F617D5" w:rsidRPr="00CE4C7D" w:rsidRDefault="00B02B30" w:rsidP="00F25A95">
      <w:pPr>
        <w:pStyle w:val="NoSpacing"/>
        <w:rPr>
          <w:rFonts w:asciiTheme="majorHAnsi" w:hAnsiTheme="majorHAnsi" w:cstheme="majorHAnsi"/>
        </w:rPr>
      </w:pPr>
      <w:r w:rsidRPr="00CE4C7D">
        <w:rPr>
          <w:rFonts w:asciiTheme="majorHAnsi" w:hAnsiTheme="majorHAnsi" w:cstheme="majorHAnsi"/>
        </w:rPr>
        <w:t>Sarah Royston</w:t>
      </w:r>
    </w:p>
    <w:p w14:paraId="0BA4A016" w14:textId="0D472553" w:rsidR="005F3D86" w:rsidRPr="00CE4C7D" w:rsidRDefault="005F3D86" w:rsidP="00F25A95">
      <w:pPr>
        <w:pStyle w:val="NoSpacing"/>
        <w:rPr>
          <w:rFonts w:asciiTheme="majorHAnsi" w:hAnsiTheme="majorHAnsi" w:cstheme="majorHAnsi"/>
        </w:rPr>
      </w:pPr>
      <w:r w:rsidRPr="00CE4C7D">
        <w:rPr>
          <w:rFonts w:asciiTheme="majorHAnsi" w:hAnsiTheme="majorHAnsi" w:cstheme="majorHAnsi"/>
        </w:rPr>
        <w:t>Research Fellow</w:t>
      </w:r>
    </w:p>
    <w:p w14:paraId="4DF2388E" w14:textId="67D1BB61" w:rsidR="00854366" w:rsidRPr="00CE4C7D" w:rsidRDefault="00854366" w:rsidP="00F25A95">
      <w:pPr>
        <w:rPr>
          <w:rFonts w:asciiTheme="majorHAnsi" w:hAnsiTheme="majorHAnsi" w:cstheme="majorHAnsi"/>
          <w:sz w:val="22"/>
          <w:szCs w:val="22"/>
        </w:rPr>
      </w:pPr>
      <w:r w:rsidRPr="00CE4C7D">
        <w:rPr>
          <w:rFonts w:asciiTheme="majorHAnsi" w:hAnsiTheme="majorHAnsi" w:cstheme="majorHAnsi"/>
          <w:sz w:val="22"/>
          <w:szCs w:val="22"/>
        </w:rPr>
        <w:t>Global Sustainability Institute, Anglia Ruskin U</w:t>
      </w:r>
      <w:r w:rsidR="00176764" w:rsidRPr="00CE4C7D">
        <w:rPr>
          <w:rFonts w:asciiTheme="majorHAnsi" w:hAnsiTheme="majorHAnsi" w:cstheme="majorHAnsi"/>
          <w:sz w:val="22"/>
          <w:szCs w:val="22"/>
        </w:rPr>
        <w:t>niversity, East Rd, Cambridge</w:t>
      </w:r>
      <w:r w:rsidRPr="00CE4C7D">
        <w:rPr>
          <w:rFonts w:asciiTheme="majorHAnsi" w:hAnsiTheme="majorHAnsi" w:cstheme="majorHAnsi"/>
          <w:sz w:val="22"/>
          <w:szCs w:val="22"/>
        </w:rPr>
        <w:t xml:space="preserve"> CB1 1PT</w:t>
      </w:r>
    </w:p>
    <w:p w14:paraId="3DB002A8" w14:textId="0951C70F" w:rsidR="00F617D5" w:rsidRPr="00AF6F0F" w:rsidRDefault="00AF6F0F" w:rsidP="002735C0">
      <w:pPr>
        <w:rPr>
          <w:rFonts w:asciiTheme="majorHAnsi" w:hAnsiTheme="majorHAnsi" w:cstheme="majorHAnsi"/>
          <w:sz w:val="22"/>
          <w:szCs w:val="22"/>
        </w:rPr>
      </w:pPr>
      <w:hyperlink r:id="rId8" w:history="1">
        <w:r w:rsidR="008F069A" w:rsidRPr="00AF6F0F">
          <w:rPr>
            <w:rStyle w:val="Hyperlink"/>
            <w:rFonts w:asciiTheme="majorHAnsi" w:hAnsiTheme="majorHAnsi" w:cstheme="majorHAnsi"/>
            <w:sz w:val="22"/>
            <w:szCs w:val="22"/>
          </w:rPr>
          <w:t>Sarah.royston@anglia.ac.uk</w:t>
        </w:r>
      </w:hyperlink>
    </w:p>
    <w:p w14:paraId="37B079DC" w14:textId="0BFD7E24" w:rsidR="00CD10D5" w:rsidRPr="00CE4C7D" w:rsidRDefault="00AF6F0F" w:rsidP="00F25A95">
      <w:pPr>
        <w:pStyle w:val="NoSpacing"/>
        <w:rPr>
          <w:rStyle w:val="orcid-id-https"/>
          <w:rFonts w:asciiTheme="majorHAnsi" w:hAnsiTheme="majorHAnsi" w:cstheme="majorHAnsi"/>
          <w:color w:val="494A4C"/>
          <w:shd w:val="clear" w:color="auto" w:fill="FFFFFF"/>
        </w:rPr>
      </w:pPr>
      <w:hyperlink r:id="rId9" w:history="1">
        <w:r w:rsidR="00800FC5" w:rsidRPr="00CE4C7D">
          <w:rPr>
            <w:rStyle w:val="Hyperlink"/>
            <w:rFonts w:asciiTheme="majorHAnsi" w:hAnsiTheme="majorHAnsi" w:cstheme="majorHAnsi"/>
            <w:shd w:val="clear" w:color="auto" w:fill="FFFFFF"/>
          </w:rPr>
          <w:t>https://orcid.org/0000-0002-6624-0037</w:t>
        </w:r>
      </w:hyperlink>
    </w:p>
    <w:p w14:paraId="782034D8" w14:textId="77777777" w:rsidR="00800FC5" w:rsidRPr="00CE4C7D" w:rsidRDefault="00800FC5" w:rsidP="00F25A95">
      <w:pPr>
        <w:pStyle w:val="NoSpacing"/>
        <w:rPr>
          <w:rFonts w:asciiTheme="majorHAnsi" w:hAnsiTheme="majorHAnsi" w:cstheme="majorHAnsi"/>
        </w:rPr>
      </w:pPr>
    </w:p>
    <w:p w14:paraId="261DF1E7" w14:textId="7D6F875D" w:rsidR="00B02B30" w:rsidRPr="002735C0" w:rsidRDefault="00B02B30" w:rsidP="002735C0">
      <w:pPr>
        <w:rPr>
          <w:rFonts w:asciiTheme="majorHAnsi" w:hAnsiTheme="majorHAnsi" w:cstheme="majorHAnsi"/>
          <w:sz w:val="22"/>
          <w:szCs w:val="22"/>
        </w:rPr>
      </w:pPr>
      <w:r w:rsidRPr="002735C0">
        <w:rPr>
          <w:rFonts w:asciiTheme="majorHAnsi" w:hAnsiTheme="majorHAnsi" w:cstheme="majorHAnsi"/>
          <w:sz w:val="22"/>
          <w:szCs w:val="22"/>
        </w:rPr>
        <w:t>Jan Selby</w:t>
      </w:r>
    </w:p>
    <w:p w14:paraId="3AA8ED0D" w14:textId="548D8C2D" w:rsidR="005F3D86" w:rsidRPr="00CE4C7D" w:rsidRDefault="005F3D86" w:rsidP="00F25A95">
      <w:pPr>
        <w:pStyle w:val="NoSpacing"/>
        <w:rPr>
          <w:rFonts w:asciiTheme="majorHAnsi" w:eastAsiaTheme="minorEastAsia" w:hAnsiTheme="majorHAnsi" w:cstheme="majorHAnsi"/>
        </w:rPr>
      </w:pPr>
      <w:r w:rsidRPr="00CE4C7D">
        <w:rPr>
          <w:rFonts w:asciiTheme="majorHAnsi" w:eastAsiaTheme="minorEastAsia" w:hAnsiTheme="majorHAnsi" w:cstheme="majorHAnsi"/>
        </w:rPr>
        <w:t>Professor</w:t>
      </w:r>
    </w:p>
    <w:p w14:paraId="7FC29F12" w14:textId="789526F1" w:rsidR="00DF7955" w:rsidRPr="00CE4C7D" w:rsidRDefault="00025742" w:rsidP="00F25A95">
      <w:pPr>
        <w:rPr>
          <w:rFonts w:asciiTheme="majorHAnsi" w:hAnsiTheme="majorHAnsi" w:cstheme="majorHAnsi"/>
          <w:sz w:val="22"/>
          <w:szCs w:val="22"/>
        </w:rPr>
      </w:pPr>
      <w:r w:rsidRPr="00CE4C7D">
        <w:rPr>
          <w:rFonts w:asciiTheme="majorHAnsi" w:hAnsiTheme="majorHAnsi" w:cstheme="majorHAnsi"/>
          <w:sz w:val="22"/>
          <w:szCs w:val="22"/>
        </w:rPr>
        <w:t xml:space="preserve">Department of Politics and International Relations, University of Sheffield, </w:t>
      </w:r>
      <w:r w:rsidR="00176764" w:rsidRPr="00CE4C7D">
        <w:rPr>
          <w:rFonts w:asciiTheme="majorHAnsi" w:hAnsiTheme="majorHAnsi" w:cstheme="majorHAnsi"/>
          <w:sz w:val="22"/>
          <w:szCs w:val="22"/>
        </w:rPr>
        <w:t>Northumberland R</w:t>
      </w:r>
      <w:r w:rsidRPr="00CE4C7D">
        <w:rPr>
          <w:rFonts w:asciiTheme="majorHAnsi" w:hAnsiTheme="majorHAnsi" w:cstheme="majorHAnsi"/>
          <w:sz w:val="22"/>
          <w:szCs w:val="22"/>
        </w:rPr>
        <w:t>d, Sheffield S10 2TU</w:t>
      </w:r>
    </w:p>
    <w:p w14:paraId="47DC15A5" w14:textId="77777777" w:rsidR="009D2327" w:rsidRPr="00CE4C7D" w:rsidRDefault="00AF6F0F" w:rsidP="00F25A95">
      <w:pPr>
        <w:rPr>
          <w:rStyle w:val="Hyperlink"/>
          <w:rFonts w:asciiTheme="majorHAnsi" w:eastAsiaTheme="minorHAnsi" w:hAnsiTheme="majorHAnsi" w:cstheme="majorHAnsi"/>
          <w:sz w:val="22"/>
          <w:szCs w:val="22"/>
        </w:rPr>
      </w:pPr>
      <w:hyperlink r:id="rId10" w:tooltip="Email" w:history="1">
        <w:r w:rsidR="009D2327" w:rsidRPr="00CE4C7D">
          <w:rPr>
            <w:rStyle w:val="Hyperlink"/>
            <w:rFonts w:asciiTheme="majorHAnsi" w:eastAsiaTheme="minorHAnsi" w:hAnsiTheme="majorHAnsi" w:cstheme="majorHAnsi"/>
            <w:sz w:val="22"/>
            <w:szCs w:val="22"/>
          </w:rPr>
          <w:t> j.e.selby@sheffield.ac.uk</w:t>
        </w:r>
      </w:hyperlink>
    </w:p>
    <w:p w14:paraId="39129964" w14:textId="77777777" w:rsidR="00403958" w:rsidRPr="00CE4C7D" w:rsidRDefault="00403958" w:rsidP="00F25A95">
      <w:pPr>
        <w:rPr>
          <w:rFonts w:asciiTheme="majorHAnsi" w:hAnsiTheme="majorHAnsi" w:cstheme="majorHAnsi"/>
          <w:sz w:val="22"/>
          <w:szCs w:val="22"/>
        </w:rPr>
      </w:pPr>
    </w:p>
    <w:p w14:paraId="4071019C" w14:textId="1D4E728D" w:rsidR="0043016C" w:rsidRPr="00CE4C7D" w:rsidRDefault="0043016C" w:rsidP="002735C0">
      <w:pPr>
        <w:pStyle w:val="Heading1"/>
        <w:ind w:left="0"/>
        <w:rPr>
          <w:rStyle w:val="IntenseEmphasis"/>
        </w:rPr>
      </w:pPr>
      <w:r w:rsidRPr="00CE4C7D">
        <w:rPr>
          <w:rStyle w:val="IntenseEmphasis"/>
          <w:rFonts w:eastAsiaTheme="minorHAnsi" w:cs="Times New Roman"/>
        </w:rPr>
        <w:t>Abstract</w:t>
      </w:r>
      <w:r w:rsidR="006340A9" w:rsidRPr="00CE4C7D">
        <w:rPr>
          <w:rStyle w:val="IntenseEmphasis"/>
          <w:rFonts w:eastAsiaTheme="minorHAnsi" w:cs="Times New Roman"/>
        </w:rPr>
        <w:t>:</w:t>
      </w:r>
    </w:p>
    <w:p w14:paraId="19935E48" w14:textId="54BBF944" w:rsidR="00403958" w:rsidRPr="00CE4C7D" w:rsidRDefault="00403958" w:rsidP="00F25A95">
      <w:pPr>
        <w:rPr>
          <w:rFonts w:asciiTheme="majorHAnsi" w:hAnsiTheme="majorHAnsi" w:cstheme="majorHAnsi"/>
          <w:sz w:val="22"/>
          <w:szCs w:val="22"/>
        </w:rPr>
      </w:pPr>
      <w:r w:rsidRPr="00CE4C7D">
        <w:rPr>
          <w:rFonts w:asciiTheme="majorHAnsi" w:hAnsiTheme="majorHAnsi" w:cstheme="majorHAnsi"/>
          <w:sz w:val="22"/>
          <w:szCs w:val="22"/>
        </w:rPr>
        <w:t>This chapter introduces an important challenge to</w:t>
      </w:r>
      <w:r w:rsidR="00AC425D" w:rsidRPr="00CE4C7D">
        <w:rPr>
          <w:rFonts w:asciiTheme="majorHAnsi" w:hAnsiTheme="majorHAnsi" w:cstheme="majorHAnsi"/>
          <w:sz w:val="22"/>
          <w:szCs w:val="22"/>
        </w:rPr>
        <w:t xml:space="preserve"> the</w:t>
      </w:r>
      <w:r w:rsidRPr="00CE4C7D">
        <w:rPr>
          <w:rFonts w:asciiTheme="majorHAnsi" w:hAnsiTheme="majorHAnsi" w:cstheme="majorHAnsi"/>
          <w:sz w:val="22"/>
          <w:szCs w:val="22"/>
        </w:rPr>
        <w:t xml:space="preserve"> conventional </w:t>
      </w:r>
      <w:r w:rsidR="00AC425D" w:rsidRPr="00CE4C7D">
        <w:rPr>
          <w:rFonts w:asciiTheme="majorHAnsi" w:hAnsiTheme="majorHAnsi" w:cstheme="majorHAnsi"/>
          <w:sz w:val="22"/>
          <w:szCs w:val="22"/>
        </w:rPr>
        <w:t xml:space="preserve">idea of </w:t>
      </w:r>
      <w:r w:rsidR="00711ECC" w:rsidRPr="00CE4C7D">
        <w:rPr>
          <w:rFonts w:asciiTheme="majorHAnsi" w:hAnsiTheme="majorHAnsi" w:cstheme="majorHAnsi"/>
          <w:sz w:val="22"/>
          <w:szCs w:val="22"/>
        </w:rPr>
        <w:t>‘</w:t>
      </w:r>
      <w:r w:rsidRPr="00CE4C7D">
        <w:rPr>
          <w:rFonts w:asciiTheme="majorHAnsi" w:hAnsiTheme="majorHAnsi" w:cstheme="majorHAnsi"/>
          <w:sz w:val="22"/>
          <w:szCs w:val="22"/>
        </w:rPr>
        <w:t>energy policy</w:t>
      </w:r>
      <w:r w:rsidR="00711ECC" w:rsidRPr="00CE4C7D">
        <w:rPr>
          <w:rFonts w:asciiTheme="majorHAnsi" w:hAnsiTheme="majorHAnsi" w:cstheme="majorHAnsi"/>
          <w:sz w:val="22"/>
          <w:szCs w:val="22"/>
        </w:rPr>
        <w:t>’</w:t>
      </w:r>
      <w:r w:rsidR="00AC425D" w:rsidRPr="00CE4C7D">
        <w:rPr>
          <w:rFonts w:asciiTheme="majorHAnsi" w:hAnsiTheme="majorHAnsi" w:cstheme="majorHAnsi"/>
          <w:sz w:val="22"/>
          <w:szCs w:val="22"/>
        </w:rPr>
        <w:t>.</w:t>
      </w:r>
      <w:r w:rsidRPr="00CE4C7D">
        <w:rPr>
          <w:rFonts w:asciiTheme="majorHAnsi" w:hAnsiTheme="majorHAnsi" w:cstheme="majorHAnsi"/>
          <w:sz w:val="22"/>
          <w:szCs w:val="22"/>
        </w:rPr>
        <w:t xml:space="preserve">  It explains how energy demand is not only affected by energy policy</w:t>
      </w:r>
      <w:r w:rsidR="00F0263D" w:rsidRPr="00CE4C7D">
        <w:rPr>
          <w:rFonts w:asciiTheme="majorHAnsi" w:hAnsiTheme="majorHAnsi" w:cstheme="majorHAnsi"/>
          <w:sz w:val="22"/>
          <w:szCs w:val="22"/>
        </w:rPr>
        <w:t>, but</w:t>
      </w:r>
      <w:r w:rsidRPr="00CE4C7D">
        <w:rPr>
          <w:rFonts w:asciiTheme="majorHAnsi" w:hAnsiTheme="majorHAnsi" w:cstheme="majorHAnsi"/>
          <w:sz w:val="22"/>
          <w:szCs w:val="22"/>
        </w:rPr>
        <w:t xml:space="preserve"> also by policies relating to</w:t>
      </w:r>
      <w:r w:rsidR="00E3744D" w:rsidRPr="00CE4C7D">
        <w:rPr>
          <w:rFonts w:asciiTheme="majorHAnsi" w:hAnsiTheme="majorHAnsi" w:cstheme="majorHAnsi"/>
          <w:sz w:val="22"/>
          <w:szCs w:val="22"/>
        </w:rPr>
        <w:t xml:space="preserve"> other sectors, such as</w:t>
      </w:r>
      <w:r w:rsidRPr="00CE4C7D">
        <w:rPr>
          <w:rFonts w:asciiTheme="majorHAnsi" w:hAnsiTheme="majorHAnsi" w:cstheme="majorHAnsi"/>
          <w:sz w:val="22"/>
          <w:szCs w:val="22"/>
        </w:rPr>
        <w:t xml:space="preserve"> industry, transport, farming, health and education.  We begin by showing how ‘non-energy policies’ shape energy demand through the impact they h</w:t>
      </w:r>
      <w:r w:rsidR="0043016C" w:rsidRPr="00CE4C7D">
        <w:rPr>
          <w:rFonts w:asciiTheme="majorHAnsi" w:hAnsiTheme="majorHAnsi" w:cstheme="majorHAnsi"/>
          <w:sz w:val="22"/>
          <w:szCs w:val="22"/>
        </w:rPr>
        <w:t xml:space="preserve">ave on what people do, and </w:t>
      </w:r>
      <w:r w:rsidR="00AC425D" w:rsidRPr="00CE4C7D">
        <w:rPr>
          <w:rFonts w:asciiTheme="majorHAnsi" w:hAnsiTheme="majorHAnsi" w:cstheme="majorHAnsi"/>
          <w:sz w:val="22"/>
          <w:szCs w:val="22"/>
        </w:rPr>
        <w:t xml:space="preserve">explain how these policies </w:t>
      </w:r>
      <w:r w:rsidR="00E079C0" w:rsidRPr="00CE4C7D">
        <w:rPr>
          <w:rFonts w:asciiTheme="majorHAnsi" w:hAnsiTheme="majorHAnsi" w:cstheme="majorHAnsi"/>
          <w:sz w:val="22"/>
          <w:szCs w:val="22"/>
        </w:rPr>
        <w:t>shape the timing, locat</w:t>
      </w:r>
      <w:r w:rsidR="0043016C" w:rsidRPr="00CE4C7D">
        <w:rPr>
          <w:rFonts w:asciiTheme="majorHAnsi" w:hAnsiTheme="majorHAnsi" w:cstheme="majorHAnsi"/>
          <w:sz w:val="22"/>
          <w:szCs w:val="22"/>
        </w:rPr>
        <w:t>ion and amount of energy demand</w:t>
      </w:r>
      <w:r w:rsidR="00E079C0" w:rsidRPr="00CE4C7D">
        <w:rPr>
          <w:rFonts w:asciiTheme="majorHAnsi" w:hAnsiTheme="majorHAnsi" w:cstheme="majorHAnsi"/>
          <w:sz w:val="22"/>
          <w:szCs w:val="22"/>
        </w:rPr>
        <w:t xml:space="preserve">.  </w:t>
      </w:r>
      <w:r w:rsidR="0043016C" w:rsidRPr="00CE4C7D">
        <w:rPr>
          <w:rFonts w:asciiTheme="majorHAnsi" w:hAnsiTheme="majorHAnsi" w:cstheme="majorHAnsi"/>
          <w:sz w:val="22"/>
          <w:szCs w:val="22"/>
        </w:rPr>
        <w:t xml:space="preserve">We </w:t>
      </w:r>
      <w:r w:rsidR="00C167DF" w:rsidRPr="00CE4C7D">
        <w:rPr>
          <w:rFonts w:asciiTheme="majorHAnsi" w:hAnsiTheme="majorHAnsi" w:cstheme="majorHAnsi"/>
          <w:sz w:val="22"/>
          <w:szCs w:val="22"/>
        </w:rPr>
        <w:t xml:space="preserve">then </w:t>
      </w:r>
      <w:r w:rsidR="0043016C" w:rsidRPr="00CE4C7D">
        <w:rPr>
          <w:rFonts w:asciiTheme="majorHAnsi" w:hAnsiTheme="majorHAnsi" w:cstheme="majorHAnsi"/>
          <w:sz w:val="22"/>
          <w:szCs w:val="22"/>
        </w:rPr>
        <w:t xml:space="preserve">delve deeper into the mechanisms through which </w:t>
      </w:r>
      <w:r w:rsidR="00C167DF" w:rsidRPr="00CE4C7D">
        <w:rPr>
          <w:rFonts w:asciiTheme="majorHAnsi" w:hAnsiTheme="majorHAnsi" w:cstheme="majorHAnsi"/>
          <w:sz w:val="22"/>
          <w:szCs w:val="22"/>
        </w:rPr>
        <w:t>a</w:t>
      </w:r>
      <w:r w:rsidR="00EB23EE" w:rsidRPr="00CE4C7D">
        <w:rPr>
          <w:rFonts w:asciiTheme="majorHAnsi" w:hAnsiTheme="majorHAnsi" w:cstheme="majorHAnsi"/>
          <w:sz w:val="22"/>
          <w:szCs w:val="22"/>
        </w:rPr>
        <w:t>n illustrative</w:t>
      </w:r>
      <w:r w:rsidR="00C167DF" w:rsidRPr="00CE4C7D">
        <w:rPr>
          <w:rFonts w:asciiTheme="majorHAnsi" w:hAnsiTheme="majorHAnsi" w:cstheme="majorHAnsi"/>
          <w:sz w:val="22"/>
          <w:szCs w:val="22"/>
        </w:rPr>
        <w:t xml:space="preserve"> </w:t>
      </w:r>
      <w:r w:rsidR="0043016C" w:rsidRPr="00CE4C7D">
        <w:rPr>
          <w:rFonts w:asciiTheme="majorHAnsi" w:hAnsiTheme="majorHAnsi" w:cstheme="majorHAnsi"/>
          <w:sz w:val="22"/>
          <w:szCs w:val="22"/>
        </w:rPr>
        <w:t>non-energy polic</w:t>
      </w:r>
      <w:r w:rsidR="00C167DF" w:rsidRPr="00CE4C7D">
        <w:rPr>
          <w:rFonts w:asciiTheme="majorHAnsi" w:hAnsiTheme="majorHAnsi" w:cstheme="majorHAnsi"/>
          <w:sz w:val="22"/>
          <w:szCs w:val="22"/>
        </w:rPr>
        <w:t>y</w:t>
      </w:r>
      <w:r w:rsidR="0043016C" w:rsidRPr="00CE4C7D">
        <w:rPr>
          <w:rFonts w:asciiTheme="majorHAnsi" w:hAnsiTheme="majorHAnsi" w:cstheme="majorHAnsi"/>
          <w:sz w:val="22"/>
          <w:szCs w:val="22"/>
        </w:rPr>
        <w:t xml:space="preserve"> </w:t>
      </w:r>
      <w:r w:rsidR="00C167DF" w:rsidRPr="00CE4C7D">
        <w:rPr>
          <w:rFonts w:asciiTheme="majorHAnsi" w:hAnsiTheme="majorHAnsi" w:cstheme="majorHAnsi"/>
          <w:sz w:val="22"/>
          <w:szCs w:val="22"/>
        </w:rPr>
        <w:t>(marketi</w:t>
      </w:r>
      <w:r w:rsidR="00DA53FB" w:rsidRPr="00CE4C7D">
        <w:rPr>
          <w:rFonts w:asciiTheme="majorHAnsi" w:hAnsiTheme="majorHAnsi" w:cstheme="majorHAnsi"/>
          <w:sz w:val="22"/>
          <w:szCs w:val="22"/>
        </w:rPr>
        <w:t>z</w:t>
      </w:r>
      <w:r w:rsidR="00C167DF" w:rsidRPr="00CE4C7D">
        <w:rPr>
          <w:rFonts w:asciiTheme="majorHAnsi" w:hAnsiTheme="majorHAnsi" w:cstheme="majorHAnsi"/>
          <w:sz w:val="22"/>
          <w:szCs w:val="22"/>
        </w:rPr>
        <w:t xml:space="preserve">ation) </w:t>
      </w:r>
      <w:r w:rsidR="0043016C" w:rsidRPr="00CE4C7D">
        <w:rPr>
          <w:rFonts w:asciiTheme="majorHAnsi" w:hAnsiTheme="majorHAnsi" w:cstheme="majorHAnsi"/>
          <w:sz w:val="22"/>
          <w:szCs w:val="22"/>
        </w:rPr>
        <w:t>affect</w:t>
      </w:r>
      <w:r w:rsidR="00C167DF" w:rsidRPr="00CE4C7D">
        <w:rPr>
          <w:rFonts w:asciiTheme="majorHAnsi" w:hAnsiTheme="majorHAnsi" w:cstheme="majorHAnsi"/>
          <w:sz w:val="22"/>
          <w:szCs w:val="22"/>
        </w:rPr>
        <w:t>s</w:t>
      </w:r>
      <w:r w:rsidR="0043016C" w:rsidRPr="00CE4C7D">
        <w:rPr>
          <w:rFonts w:asciiTheme="majorHAnsi" w:hAnsiTheme="majorHAnsi" w:cstheme="majorHAnsi"/>
          <w:sz w:val="22"/>
          <w:szCs w:val="22"/>
        </w:rPr>
        <w:t xml:space="preserve"> energy demand in</w:t>
      </w:r>
      <w:r w:rsidR="007C6D45" w:rsidRPr="00CE4C7D">
        <w:rPr>
          <w:rFonts w:asciiTheme="majorHAnsi" w:hAnsiTheme="majorHAnsi" w:cstheme="majorHAnsi"/>
          <w:sz w:val="22"/>
          <w:szCs w:val="22"/>
        </w:rPr>
        <w:t xml:space="preserve"> one case study sector: UK </w:t>
      </w:r>
      <w:r w:rsidR="0043016C" w:rsidRPr="00CE4C7D">
        <w:rPr>
          <w:rFonts w:asciiTheme="majorHAnsi" w:hAnsiTheme="majorHAnsi" w:cstheme="majorHAnsi"/>
          <w:sz w:val="22"/>
          <w:szCs w:val="22"/>
        </w:rPr>
        <w:t>Higher Education</w:t>
      </w:r>
      <w:r w:rsidR="00E4628C" w:rsidRPr="00CE4C7D">
        <w:rPr>
          <w:rFonts w:asciiTheme="majorHAnsi" w:hAnsiTheme="majorHAnsi" w:cstheme="majorHAnsi"/>
          <w:sz w:val="22"/>
          <w:szCs w:val="22"/>
        </w:rPr>
        <w:t xml:space="preserve">. </w:t>
      </w:r>
      <w:r w:rsidR="0043016C" w:rsidRPr="00CE4C7D">
        <w:rPr>
          <w:rFonts w:asciiTheme="majorHAnsi" w:hAnsiTheme="majorHAnsi" w:cstheme="majorHAnsi"/>
          <w:sz w:val="22"/>
          <w:szCs w:val="22"/>
        </w:rPr>
        <w:t xml:space="preserve">We reflect on the </w:t>
      </w:r>
      <w:r w:rsidR="00F93B9A" w:rsidRPr="00CE4C7D">
        <w:rPr>
          <w:rFonts w:asciiTheme="majorHAnsi" w:hAnsiTheme="majorHAnsi" w:cstheme="majorHAnsi"/>
          <w:sz w:val="22"/>
          <w:szCs w:val="22"/>
        </w:rPr>
        <w:t>‘</w:t>
      </w:r>
      <w:r w:rsidR="0043016C" w:rsidRPr="00CE4C7D">
        <w:rPr>
          <w:rFonts w:asciiTheme="majorHAnsi" w:hAnsiTheme="majorHAnsi" w:cstheme="majorHAnsi"/>
          <w:sz w:val="22"/>
          <w:szCs w:val="22"/>
        </w:rPr>
        <w:t>invisibility</w:t>
      </w:r>
      <w:r w:rsidR="00F93B9A" w:rsidRPr="00CE4C7D">
        <w:rPr>
          <w:rFonts w:asciiTheme="majorHAnsi" w:hAnsiTheme="majorHAnsi" w:cstheme="majorHAnsi"/>
          <w:sz w:val="22"/>
          <w:szCs w:val="22"/>
        </w:rPr>
        <w:t>’</w:t>
      </w:r>
      <w:r w:rsidR="0043016C" w:rsidRPr="00CE4C7D">
        <w:rPr>
          <w:rFonts w:asciiTheme="majorHAnsi" w:hAnsiTheme="majorHAnsi" w:cstheme="majorHAnsi"/>
          <w:sz w:val="22"/>
          <w:szCs w:val="22"/>
        </w:rPr>
        <w:t xml:space="preserve"> of these policy effects, and then </w:t>
      </w:r>
      <w:r w:rsidRPr="00CE4C7D">
        <w:rPr>
          <w:rFonts w:asciiTheme="majorHAnsi" w:hAnsiTheme="majorHAnsi" w:cstheme="majorHAnsi"/>
          <w:sz w:val="22"/>
          <w:szCs w:val="22"/>
        </w:rPr>
        <w:t xml:space="preserve">discuss </w:t>
      </w:r>
      <w:r w:rsidR="00AC425D" w:rsidRPr="00CE4C7D">
        <w:rPr>
          <w:rFonts w:asciiTheme="majorHAnsi" w:hAnsiTheme="majorHAnsi" w:cstheme="majorHAnsi"/>
          <w:sz w:val="22"/>
          <w:szCs w:val="22"/>
        </w:rPr>
        <w:t xml:space="preserve">the implications </w:t>
      </w:r>
      <w:r w:rsidR="007C6D45" w:rsidRPr="00CE4C7D">
        <w:rPr>
          <w:rFonts w:asciiTheme="majorHAnsi" w:hAnsiTheme="majorHAnsi" w:cstheme="majorHAnsi"/>
          <w:sz w:val="22"/>
          <w:szCs w:val="22"/>
        </w:rPr>
        <w:t>of a recognition of these effects</w:t>
      </w:r>
      <w:r w:rsidR="00AC425D" w:rsidRPr="00CE4C7D">
        <w:rPr>
          <w:rFonts w:asciiTheme="majorHAnsi" w:hAnsiTheme="majorHAnsi" w:cstheme="majorHAnsi"/>
          <w:sz w:val="22"/>
          <w:szCs w:val="22"/>
        </w:rPr>
        <w:t xml:space="preserve"> for policy and practice</w:t>
      </w:r>
      <w:r w:rsidRPr="00CE4C7D">
        <w:rPr>
          <w:rFonts w:asciiTheme="majorHAnsi" w:hAnsiTheme="majorHAnsi" w:cstheme="majorHAnsi"/>
          <w:sz w:val="22"/>
          <w:szCs w:val="22"/>
        </w:rPr>
        <w:t xml:space="preserve">. </w:t>
      </w:r>
      <w:r w:rsidR="00E079C0" w:rsidRPr="00CE4C7D">
        <w:rPr>
          <w:rFonts w:asciiTheme="majorHAnsi" w:hAnsiTheme="majorHAnsi" w:cstheme="majorHAnsi"/>
          <w:sz w:val="22"/>
          <w:szCs w:val="22"/>
        </w:rPr>
        <w:t xml:space="preserve">We conclude by reflecting on how </w:t>
      </w:r>
      <w:r w:rsidR="00327BC0" w:rsidRPr="00CE4C7D">
        <w:rPr>
          <w:rFonts w:asciiTheme="majorHAnsi" w:hAnsiTheme="majorHAnsi" w:cstheme="majorHAnsi"/>
          <w:sz w:val="22"/>
          <w:szCs w:val="22"/>
        </w:rPr>
        <w:t>social scientists working on energy issues can contribute to greater understanding of this important but neglected aspect of energy governance.</w:t>
      </w:r>
    </w:p>
    <w:p w14:paraId="4C3973BA" w14:textId="53198ECB" w:rsidR="005340CF" w:rsidRPr="00CE4C7D" w:rsidRDefault="005340CF" w:rsidP="00F25A95">
      <w:pPr>
        <w:rPr>
          <w:rFonts w:asciiTheme="majorHAnsi" w:hAnsiTheme="majorHAnsi" w:cstheme="majorHAnsi"/>
          <w:sz w:val="22"/>
          <w:szCs w:val="22"/>
        </w:rPr>
      </w:pPr>
    </w:p>
    <w:p w14:paraId="34FA2F8C" w14:textId="77777777" w:rsidR="006340A9" w:rsidRPr="00CE4C7D" w:rsidRDefault="005340CF" w:rsidP="00F25A95">
      <w:pPr>
        <w:rPr>
          <w:rStyle w:val="IntenseEmphasis"/>
          <w:rFonts w:asciiTheme="majorHAnsi" w:hAnsiTheme="majorHAnsi"/>
          <w:sz w:val="22"/>
          <w:szCs w:val="22"/>
        </w:rPr>
      </w:pPr>
      <w:r w:rsidRPr="00CE4C7D">
        <w:rPr>
          <w:rStyle w:val="IntenseEmphasis"/>
          <w:rFonts w:asciiTheme="majorHAnsi" w:hAnsiTheme="majorHAnsi"/>
          <w:sz w:val="22"/>
          <w:szCs w:val="22"/>
        </w:rPr>
        <w:t>Key words:</w:t>
      </w:r>
    </w:p>
    <w:p w14:paraId="1687F4FD" w14:textId="2AFCBACB" w:rsidR="005340CF" w:rsidRPr="00CE4C7D" w:rsidRDefault="005340CF" w:rsidP="00F25A95">
      <w:pPr>
        <w:rPr>
          <w:rFonts w:asciiTheme="majorHAnsi" w:hAnsiTheme="majorHAnsi" w:cstheme="majorHAnsi"/>
          <w:sz w:val="22"/>
          <w:szCs w:val="22"/>
        </w:rPr>
      </w:pPr>
      <w:r w:rsidRPr="00CE4C7D">
        <w:rPr>
          <w:rFonts w:asciiTheme="majorHAnsi" w:hAnsiTheme="majorHAnsi" w:cstheme="majorHAnsi"/>
          <w:sz w:val="22"/>
          <w:szCs w:val="22"/>
        </w:rPr>
        <w:t>policy</w:t>
      </w:r>
      <w:r w:rsidR="009D29F5" w:rsidRPr="00CE4C7D">
        <w:rPr>
          <w:rFonts w:asciiTheme="majorHAnsi" w:hAnsiTheme="majorHAnsi" w:cstheme="majorHAnsi"/>
          <w:sz w:val="22"/>
          <w:szCs w:val="22"/>
        </w:rPr>
        <w:t xml:space="preserve">; </w:t>
      </w:r>
      <w:r w:rsidRPr="00CE4C7D">
        <w:rPr>
          <w:rFonts w:asciiTheme="majorHAnsi" w:hAnsiTheme="majorHAnsi" w:cstheme="majorHAnsi"/>
          <w:sz w:val="22"/>
          <w:szCs w:val="22"/>
        </w:rPr>
        <w:t>integration; governance; mainstreaming; Higher Education</w:t>
      </w:r>
      <w:r w:rsidR="00AD2804" w:rsidRPr="00CE4C7D">
        <w:rPr>
          <w:rFonts w:asciiTheme="majorHAnsi" w:hAnsiTheme="majorHAnsi" w:cstheme="majorHAnsi"/>
          <w:sz w:val="22"/>
          <w:szCs w:val="22"/>
        </w:rPr>
        <w:t>; consumption</w:t>
      </w:r>
    </w:p>
    <w:p w14:paraId="41CEF970" w14:textId="5B9FA039" w:rsidR="00B02B30" w:rsidRPr="00CE4C7D" w:rsidRDefault="00B02B30" w:rsidP="00F25A95">
      <w:pPr>
        <w:rPr>
          <w:rFonts w:asciiTheme="majorHAnsi" w:hAnsiTheme="majorHAnsi" w:cstheme="majorHAnsi"/>
          <w:sz w:val="22"/>
          <w:szCs w:val="22"/>
        </w:rPr>
      </w:pPr>
    </w:p>
    <w:p w14:paraId="2B7913C6" w14:textId="77777777" w:rsidR="001C0E45" w:rsidRPr="00CE4C7D" w:rsidRDefault="001C0E45" w:rsidP="00F25A95">
      <w:pPr>
        <w:rPr>
          <w:rFonts w:asciiTheme="majorHAnsi" w:hAnsiTheme="majorHAnsi" w:cstheme="majorHAnsi"/>
          <w:sz w:val="22"/>
          <w:szCs w:val="22"/>
        </w:rPr>
      </w:pPr>
    </w:p>
    <w:p w14:paraId="5EF85EFB" w14:textId="77777777" w:rsidR="001C0E45" w:rsidRPr="00CE4C7D" w:rsidRDefault="001C0E45" w:rsidP="00F25A95">
      <w:pPr>
        <w:rPr>
          <w:rStyle w:val="IntenseEmphasis"/>
          <w:lang w:eastAsia="en-GB"/>
        </w:rPr>
      </w:pPr>
      <w:r w:rsidRPr="00CE4C7D">
        <w:rPr>
          <w:rStyle w:val="IntenseEmphasis"/>
          <w:lang w:eastAsia="en-GB"/>
        </w:rPr>
        <w:t>List of tables</w:t>
      </w:r>
    </w:p>
    <w:p w14:paraId="224A74A2" w14:textId="46833775" w:rsidR="003F31F4" w:rsidRPr="00CE4C7D" w:rsidRDefault="003F31F4" w:rsidP="003F31F4">
      <w:pPr>
        <w:autoSpaceDE w:val="0"/>
        <w:autoSpaceDN w:val="0"/>
        <w:adjustRightInd w:val="0"/>
        <w:rPr>
          <w:rFonts w:asciiTheme="majorHAnsi" w:hAnsiTheme="majorHAnsi" w:cstheme="majorHAnsi"/>
          <w:bCs/>
          <w:sz w:val="22"/>
          <w:szCs w:val="22"/>
        </w:rPr>
      </w:pPr>
      <w:r w:rsidRPr="00CE4C7D">
        <w:rPr>
          <w:rFonts w:asciiTheme="majorHAnsi" w:hAnsiTheme="majorHAnsi" w:cstheme="majorHAnsi"/>
          <w:bCs/>
          <w:sz w:val="22"/>
          <w:szCs w:val="22"/>
        </w:rPr>
        <w:t xml:space="preserve">Table </w:t>
      </w:r>
      <w:r w:rsidR="006E2852" w:rsidRPr="00CE4C7D">
        <w:rPr>
          <w:rFonts w:asciiTheme="majorHAnsi" w:hAnsiTheme="majorHAnsi" w:cstheme="majorHAnsi"/>
          <w:bCs/>
          <w:sz w:val="22"/>
          <w:szCs w:val="22"/>
        </w:rPr>
        <w:t>19</w:t>
      </w:r>
      <w:r w:rsidRPr="00CE4C7D">
        <w:rPr>
          <w:rFonts w:asciiTheme="majorHAnsi" w:hAnsiTheme="majorHAnsi" w:cstheme="majorHAnsi"/>
          <w:bCs/>
          <w:sz w:val="22"/>
          <w:szCs w:val="22"/>
        </w:rPr>
        <w:t>.1: Selected energy-saving measures in the health sector (adapted from Sustainable Development Unit, 2016)</w:t>
      </w:r>
    </w:p>
    <w:p w14:paraId="4F7F0312" w14:textId="77777777" w:rsidR="007D1DC9" w:rsidRPr="00CE4C7D" w:rsidRDefault="007D1DC9" w:rsidP="003F31F4">
      <w:pPr>
        <w:autoSpaceDE w:val="0"/>
        <w:autoSpaceDN w:val="0"/>
        <w:adjustRightInd w:val="0"/>
        <w:rPr>
          <w:rFonts w:asciiTheme="majorHAnsi" w:hAnsiTheme="majorHAnsi" w:cstheme="majorHAnsi"/>
          <w:b/>
          <w:bCs/>
          <w:sz w:val="22"/>
          <w:szCs w:val="22"/>
        </w:rPr>
      </w:pPr>
    </w:p>
    <w:p w14:paraId="56A5B37D" w14:textId="41EF6AE6" w:rsidR="007D1DC9" w:rsidRPr="00CE4C7D" w:rsidRDefault="007D1DC9" w:rsidP="007D1DC9">
      <w:pPr>
        <w:rPr>
          <w:rStyle w:val="IntenseEmphasis"/>
          <w:lang w:eastAsia="en-GB"/>
        </w:rPr>
      </w:pPr>
      <w:r w:rsidRPr="00CE4C7D">
        <w:rPr>
          <w:rStyle w:val="IntenseEmphasis"/>
          <w:lang w:eastAsia="en-GB"/>
        </w:rPr>
        <w:t>Author bio</w:t>
      </w:r>
      <w:r w:rsidR="00743E00" w:rsidRPr="00CE4C7D">
        <w:rPr>
          <w:rStyle w:val="IntenseEmphasis"/>
          <w:lang w:eastAsia="en-GB"/>
        </w:rPr>
        <w:t>s</w:t>
      </w:r>
    </w:p>
    <w:p w14:paraId="18E4CEFA" w14:textId="77777777" w:rsidR="00743E00" w:rsidRPr="00CE4C7D" w:rsidRDefault="001C3D6F" w:rsidP="00F25A95">
      <w:pPr>
        <w:rPr>
          <w:rFonts w:asciiTheme="majorHAnsi" w:hAnsiTheme="majorHAnsi" w:cstheme="majorHAnsi"/>
          <w:sz w:val="22"/>
          <w:szCs w:val="22"/>
        </w:rPr>
      </w:pPr>
      <w:r w:rsidRPr="00CE4C7D">
        <w:rPr>
          <w:rFonts w:asciiTheme="majorHAnsi" w:hAnsiTheme="majorHAnsi" w:cstheme="majorHAnsi"/>
          <w:sz w:val="22"/>
          <w:szCs w:val="22"/>
        </w:rPr>
        <w:t>Sarah Royston is a Research Fellow at the Global Sustainability Institute</w:t>
      </w:r>
      <w:r w:rsidR="00FA5FA9" w:rsidRPr="00CE4C7D">
        <w:rPr>
          <w:rFonts w:asciiTheme="majorHAnsi" w:hAnsiTheme="majorHAnsi" w:cstheme="majorHAnsi"/>
          <w:sz w:val="22"/>
          <w:szCs w:val="22"/>
        </w:rPr>
        <w:t>, Anglia Ruskin University, and has previously worked within the DEMAND centre at the University of Sussex and the Association for the Conservation of Energy. An interdisciplinary social scientist, her work explores issues of energy governance, demand and everyday life. She studied Geography at the University of Cambridge and holds a PhD in Social Policy from the University of York.</w:t>
      </w:r>
    </w:p>
    <w:p w14:paraId="18B0B0A1" w14:textId="77777777" w:rsidR="00743E00" w:rsidRPr="00CE4C7D" w:rsidRDefault="00743E00" w:rsidP="00F25A95">
      <w:pPr>
        <w:rPr>
          <w:rFonts w:asciiTheme="majorHAnsi" w:hAnsiTheme="majorHAnsi" w:cstheme="majorHAnsi"/>
          <w:sz w:val="22"/>
          <w:szCs w:val="22"/>
        </w:rPr>
      </w:pPr>
    </w:p>
    <w:p w14:paraId="491017D9" w14:textId="1D7D626F" w:rsidR="00102169" w:rsidRPr="00CE4C7D" w:rsidRDefault="00743E00" w:rsidP="00F25A95">
      <w:pPr>
        <w:rPr>
          <w:rFonts w:asciiTheme="majorHAnsi" w:hAnsiTheme="majorHAnsi" w:cstheme="majorHAnsi"/>
          <w:sz w:val="22"/>
          <w:szCs w:val="22"/>
        </w:rPr>
      </w:pPr>
      <w:r w:rsidRPr="00CE4C7D">
        <w:rPr>
          <w:rFonts w:asciiTheme="majorHAnsi" w:hAnsiTheme="majorHAnsi" w:cstheme="majorHAnsi"/>
          <w:sz w:val="22"/>
          <w:szCs w:val="22"/>
        </w:rPr>
        <w:t>Jan Selby is Professor of Politics and International Relations at the University of Sheffield. His work focuses on the international political ecology of water, climate and energy. Recent papers include ’The Trump presidency, climate change and the prospect of a disorderly energy transition’, Review of International Studies (2019) and ‘On blaming climate change for the Syrian civil war’, Middle East Report (2020). </w:t>
      </w:r>
    </w:p>
    <w:p w14:paraId="27037036" w14:textId="77777777" w:rsidR="00102169" w:rsidRPr="00CE4C7D" w:rsidRDefault="00102169" w:rsidP="00F25A95">
      <w:pPr>
        <w:rPr>
          <w:rFonts w:asciiTheme="majorHAnsi" w:hAnsiTheme="majorHAnsi" w:cstheme="majorHAnsi"/>
          <w:sz w:val="22"/>
          <w:szCs w:val="22"/>
        </w:rPr>
      </w:pPr>
    </w:p>
    <w:p w14:paraId="6CCB17C4" w14:textId="25255369" w:rsidR="003A5A94" w:rsidRPr="002735C0" w:rsidRDefault="00AD41D4" w:rsidP="002735C0">
      <w:pPr>
        <w:pStyle w:val="Heading1"/>
      </w:pPr>
      <w:r w:rsidRPr="002735C0">
        <w:lastRenderedPageBreak/>
        <w:t xml:space="preserve">&lt;a&gt; </w:t>
      </w:r>
      <w:r w:rsidR="001F471B" w:rsidRPr="002735C0">
        <w:t>Introduction</w:t>
      </w:r>
    </w:p>
    <w:p w14:paraId="2D5007D6" w14:textId="6169D758" w:rsidR="00896BF5" w:rsidRPr="00CE4C7D" w:rsidRDefault="00896BF5" w:rsidP="00F25A95">
      <w:pPr>
        <w:rPr>
          <w:rFonts w:asciiTheme="majorHAnsi" w:hAnsiTheme="majorHAnsi" w:cstheme="majorHAnsi"/>
          <w:sz w:val="22"/>
          <w:szCs w:val="22"/>
        </w:rPr>
      </w:pPr>
    </w:p>
    <w:p w14:paraId="10BCF81F" w14:textId="3F7B91AE" w:rsidR="003121E1" w:rsidRPr="00CE4C7D" w:rsidRDefault="00C91B6D" w:rsidP="00F25A95">
      <w:pPr>
        <w:rPr>
          <w:rFonts w:asciiTheme="majorHAnsi" w:hAnsiTheme="majorHAnsi" w:cstheme="majorHAnsi"/>
          <w:color w:val="000000" w:themeColor="text1"/>
          <w:sz w:val="22"/>
          <w:szCs w:val="22"/>
        </w:rPr>
      </w:pPr>
      <w:r w:rsidRPr="00CE4C7D">
        <w:rPr>
          <w:rFonts w:asciiTheme="majorHAnsi" w:hAnsiTheme="majorHAnsi" w:cstheme="majorHAnsi"/>
          <w:sz w:val="22"/>
          <w:szCs w:val="22"/>
        </w:rPr>
        <w:t xml:space="preserve">As the contributions to this Handbook show, energy is fundamentally a social issue.  </w:t>
      </w:r>
      <w:r w:rsidR="00394CF8" w:rsidRPr="00CE4C7D">
        <w:rPr>
          <w:rFonts w:asciiTheme="majorHAnsi" w:hAnsiTheme="majorHAnsi" w:cstheme="majorHAnsi"/>
          <w:sz w:val="22"/>
          <w:szCs w:val="22"/>
        </w:rPr>
        <w:t>E</w:t>
      </w:r>
      <w:r w:rsidR="00276F49" w:rsidRPr="00CE4C7D">
        <w:rPr>
          <w:rFonts w:asciiTheme="majorHAnsi" w:hAnsiTheme="majorHAnsi" w:cstheme="majorHAnsi"/>
          <w:sz w:val="22"/>
          <w:szCs w:val="22"/>
        </w:rPr>
        <w:t xml:space="preserve">nergy is not </w:t>
      </w:r>
      <w:r w:rsidR="00ED0E06" w:rsidRPr="00CE4C7D">
        <w:rPr>
          <w:rFonts w:asciiTheme="majorHAnsi" w:hAnsiTheme="majorHAnsi" w:cstheme="majorHAnsi"/>
          <w:sz w:val="22"/>
          <w:szCs w:val="22"/>
        </w:rPr>
        <w:t>consume</w:t>
      </w:r>
      <w:r w:rsidR="00276F49" w:rsidRPr="00CE4C7D">
        <w:rPr>
          <w:rFonts w:asciiTheme="majorHAnsi" w:hAnsiTheme="majorHAnsi" w:cstheme="majorHAnsi"/>
          <w:sz w:val="22"/>
          <w:szCs w:val="22"/>
        </w:rPr>
        <w:t>d</w:t>
      </w:r>
      <w:r w:rsidR="00ED0E06" w:rsidRPr="00CE4C7D">
        <w:rPr>
          <w:rFonts w:asciiTheme="majorHAnsi" w:hAnsiTheme="majorHAnsi" w:cstheme="majorHAnsi"/>
          <w:sz w:val="22"/>
          <w:szCs w:val="22"/>
        </w:rPr>
        <w:t xml:space="preserve"> (and supplied)</w:t>
      </w:r>
      <w:r w:rsidR="00276F49" w:rsidRPr="00CE4C7D">
        <w:rPr>
          <w:rFonts w:asciiTheme="majorHAnsi" w:hAnsiTheme="majorHAnsi" w:cstheme="majorHAnsi"/>
          <w:sz w:val="22"/>
          <w:szCs w:val="22"/>
        </w:rPr>
        <w:t xml:space="preserve"> for its own sake, but rather </w:t>
      </w:r>
      <w:r w:rsidR="00ED0E06" w:rsidRPr="00CE4C7D">
        <w:rPr>
          <w:rFonts w:asciiTheme="majorHAnsi" w:hAnsiTheme="majorHAnsi" w:cstheme="majorHAnsi"/>
          <w:sz w:val="22"/>
          <w:szCs w:val="22"/>
        </w:rPr>
        <w:t xml:space="preserve">because it is embedded in </w:t>
      </w:r>
      <w:r w:rsidR="00AA4D36" w:rsidRPr="00CE4C7D">
        <w:rPr>
          <w:rFonts w:asciiTheme="majorHAnsi" w:hAnsiTheme="majorHAnsi" w:cstheme="majorHAnsi"/>
          <w:sz w:val="22"/>
          <w:szCs w:val="22"/>
        </w:rPr>
        <w:t>practices</w:t>
      </w:r>
      <w:r w:rsidR="00ED0E06" w:rsidRPr="00CE4C7D">
        <w:rPr>
          <w:rFonts w:asciiTheme="majorHAnsi" w:hAnsiTheme="majorHAnsi" w:cstheme="majorHAnsi"/>
          <w:sz w:val="22"/>
          <w:szCs w:val="22"/>
        </w:rPr>
        <w:t xml:space="preserve"> that</w:t>
      </w:r>
      <w:r w:rsidR="00276F49" w:rsidRPr="00CE4C7D">
        <w:rPr>
          <w:rFonts w:asciiTheme="majorHAnsi" w:hAnsiTheme="majorHAnsi" w:cstheme="majorHAnsi"/>
          <w:sz w:val="22"/>
          <w:szCs w:val="22"/>
        </w:rPr>
        <w:t xml:space="preserve"> people </w:t>
      </w:r>
      <w:proofErr w:type="gramStart"/>
      <w:r w:rsidR="00AA4D36" w:rsidRPr="00CE4C7D">
        <w:rPr>
          <w:rFonts w:asciiTheme="majorHAnsi" w:hAnsiTheme="majorHAnsi" w:cstheme="majorHAnsi"/>
          <w:sz w:val="22"/>
          <w:szCs w:val="22"/>
        </w:rPr>
        <w:t>perform</w:t>
      </w:r>
      <w:r w:rsidR="00276F49" w:rsidRPr="00CE4C7D">
        <w:rPr>
          <w:rFonts w:asciiTheme="majorHAnsi" w:hAnsiTheme="majorHAnsi" w:cstheme="majorHAnsi"/>
          <w:sz w:val="22"/>
          <w:szCs w:val="22"/>
        </w:rPr>
        <w:t>:</w:t>
      </w:r>
      <w:proofErr w:type="gramEnd"/>
      <w:r w:rsidR="00276F49" w:rsidRPr="00CE4C7D">
        <w:rPr>
          <w:rFonts w:asciiTheme="majorHAnsi" w:hAnsiTheme="majorHAnsi" w:cstheme="majorHAnsi"/>
          <w:sz w:val="22"/>
          <w:szCs w:val="22"/>
        </w:rPr>
        <w:t xml:space="preserve"> for example, </w:t>
      </w:r>
      <w:r w:rsidRPr="00CE4C7D">
        <w:rPr>
          <w:rFonts w:asciiTheme="majorHAnsi" w:hAnsiTheme="majorHAnsi" w:cstheme="majorHAnsi"/>
          <w:sz w:val="22"/>
          <w:szCs w:val="22"/>
        </w:rPr>
        <w:t>moving around; working; or keeping warm</w:t>
      </w:r>
      <w:r w:rsidR="00276F49" w:rsidRPr="00CE4C7D">
        <w:rPr>
          <w:rFonts w:asciiTheme="majorHAnsi" w:hAnsiTheme="majorHAnsi" w:cstheme="majorHAnsi"/>
          <w:sz w:val="22"/>
          <w:szCs w:val="22"/>
        </w:rPr>
        <w:t xml:space="preserve">. </w:t>
      </w:r>
      <w:r w:rsidRPr="00CE4C7D">
        <w:rPr>
          <w:rFonts w:asciiTheme="majorHAnsi" w:hAnsiTheme="majorHAnsi" w:cstheme="majorHAnsi"/>
          <w:sz w:val="22"/>
          <w:szCs w:val="22"/>
        </w:rPr>
        <w:t xml:space="preserve">Taking this idea seriously has many implications for researchers and </w:t>
      </w:r>
      <w:proofErr w:type="gramStart"/>
      <w:r w:rsidRPr="00CE4C7D">
        <w:rPr>
          <w:rFonts w:asciiTheme="majorHAnsi" w:hAnsiTheme="majorHAnsi" w:cstheme="majorHAnsi"/>
          <w:sz w:val="22"/>
          <w:szCs w:val="22"/>
        </w:rPr>
        <w:t>policy-makers</w:t>
      </w:r>
      <w:proofErr w:type="gramEnd"/>
      <w:r w:rsidR="00D83B39" w:rsidRPr="00CE4C7D">
        <w:rPr>
          <w:rFonts w:asciiTheme="majorHAnsi" w:hAnsiTheme="majorHAnsi" w:cstheme="majorHAnsi"/>
          <w:sz w:val="22"/>
          <w:szCs w:val="22"/>
        </w:rPr>
        <w:t xml:space="preserve"> attempting to understand, and intervene in, the energy demanding activities of individuals and other actors </w:t>
      </w:r>
      <w:r w:rsidR="009A4B80" w:rsidRPr="00CE4C7D">
        <w:rPr>
          <w:rFonts w:asciiTheme="majorHAnsi" w:hAnsiTheme="majorHAnsi" w:cstheme="majorHAnsi"/>
          <w:sz w:val="22"/>
          <w:szCs w:val="22"/>
        </w:rPr>
        <w:t>(see</w:t>
      </w:r>
      <w:r w:rsidR="00D83B39" w:rsidRPr="00CE4C7D">
        <w:rPr>
          <w:rFonts w:asciiTheme="majorHAnsi" w:hAnsiTheme="majorHAnsi" w:cstheme="majorHAnsi"/>
          <w:sz w:val="22"/>
          <w:szCs w:val="22"/>
        </w:rPr>
        <w:t>, for example,</w:t>
      </w:r>
      <w:r w:rsidR="009A4B80" w:rsidRPr="00CE4C7D">
        <w:rPr>
          <w:rFonts w:asciiTheme="majorHAnsi" w:hAnsiTheme="majorHAnsi" w:cstheme="majorHAnsi"/>
          <w:sz w:val="22"/>
          <w:szCs w:val="22"/>
        </w:rPr>
        <w:t xml:space="preserve"> </w:t>
      </w:r>
      <w:r w:rsidR="002B0D17" w:rsidRPr="00CE4C7D">
        <w:rPr>
          <w:rFonts w:asciiTheme="majorHAnsi" w:hAnsiTheme="majorHAnsi" w:cstheme="majorHAnsi"/>
          <w:sz w:val="22"/>
          <w:szCs w:val="22"/>
        </w:rPr>
        <w:t xml:space="preserve">Shin &amp; </w:t>
      </w:r>
      <w:proofErr w:type="spellStart"/>
      <w:r w:rsidR="002B0D17" w:rsidRPr="00CE4C7D">
        <w:rPr>
          <w:rFonts w:asciiTheme="majorHAnsi" w:hAnsiTheme="majorHAnsi" w:cstheme="majorHAnsi"/>
          <w:sz w:val="22"/>
          <w:szCs w:val="22"/>
        </w:rPr>
        <w:t>Chappells</w:t>
      </w:r>
      <w:proofErr w:type="spellEnd"/>
      <w:r w:rsidR="002B0D17" w:rsidRPr="00CE4C7D">
        <w:rPr>
          <w:rFonts w:asciiTheme="majorHAnsi" w:hAnsiTheme="majorHAnsi" w:cstheme="majorHAnsi"/>
          <w:sz w:val="22"/>
          <w:szCs w:val="22"/>
        </w:rPr>
        <w:t>, Chapter 4 and Morley, Chapter 5</w:t>
      </w:r>
      <w:r w:rsidR="00D12C1D" w:rsidRPr="00CE4C7D">
        <w:rPr>
          <w:rFonts w:asciiTheme="majorHAnsi" w:hAnsiTheme="majorHAnsi" w:cstheme="majorHAnsi"/>
          <w:sz w:val="22"/>
          <w:szCs w:val="22"/>
        </w:rPr>
        <w:t>)</w:t>
      </w:r>
      <w:r w:rsidRPr="00CE4C7D">
        <w:rPr>
          <w:rFonts w:asciiTheme="majorHAnsi" w:hAnsiTheme="majorHAnsi" w:cstheme="majorHAnsi"/>
          <w:sz w:val="22"/>
          <w:szCs w:val="22"/>
        </w:rPr>
        <w:t>. One implication</w:t>
      </w:r>
      <w:r w:rsidR="009A4B80" w:rsidRPr="00CE4C7D">
        <w:rPr>
          <w:rFonts w:asciiTheme="majorHAnsi" w:hAnsiTheme="majorHAnsi" w:cstheme="majorHAnsi"/>
          <w:sz w:val="22"/>
          <w:szCs w:val="22"/>
        </w:rPr>
        <w:t xml:space="preserve"> of </w:t>
      </w:r>
      <w:r w:rsidR="00E84929" w:rsidRPr="00CE4C7D">
        <w:rPr>
          <w:rFonts w:asciiTheme="majorHAnsi" w:hAnsiTheme="majorHAnsi" w:cstheme="majorHAnsi"/>
          <w:sz w:val="22"/>
          <w:szCs w:val="22"/>
        </w:rPr>
        <w:t>this</w:t>
      </w:r>
      <w:r w:rsidR="009A4B80" w:rsidRPr="00CE4C7D">
        <w:rPr>
          <w:rFonts w:asciiTheme="majorHAnsi" w:hAnsiTheme="majorHAnsi" w:cstheme="majorHAnsi"/>
          <w:sz w:val="22"/>
          <w:szCs w:val="22"/>
        </w:rPr>
        <w:t xml:space="preserve"> social understanding of energy</w:t>
      </w:r>
      <w:r w:rsidR="00EB23EE" w:rsidRPr="00CE4C7D">
        <w:rPr>
          <w:rFonts w:asciiTheme="majorHAnsi" w:hAnsiTheme="majorHAnsi" w:cstheme="majorHAnsi"/>
          <w:sz w:val="22"/>
          <w:szCs w:val="22"/>
        </w:rPr>
        <w:t xml:space="preserve"> that</w:t>
      </w:r>
      <w:r w:rsidRPr="00CE4C7D">
        <w:rPr>
          <w:rFonts w:asciiTheme="majorHAnsi" w:hAnsiTheme="majorHAnsi" w:cstheme="majorHAnsi"/>
          <w:sz w:val="22"/>
          <w:szCs w:val="22"/>
        </w:rPr>
        <w:t xml:space="preserve"> has received relatively little attention to date</w:t>
      </w:r>
      <w:r w:rsidR="00ED0E06" w:rsidRPr="00CE4C7D">
        <w:rPr>
          <w:rFonts w:asciiTheme="majorHAnsi" w:hAnsiTheme="majorHAnsi" w:cstheme="majorHAnsi"/>
          <w:sz w:val="22"/>
          <w:szCs w:val="22"/>
        </w:rPr>
        <w:t xml:space="preserve"> concerns the </w:t>
      </w:r>
      <w:r w:rsidR="00394CF8" w:rsidRPr="00CE4C7D">
        <w:rPr>
          <w:rFonts w:asciiTheme="majorHAnsi" w:hAnsiTheme="majorHAnsi" w:cstheme="majorHAnsi"/>
          <w:sz w:val="22"/>
          <w:szCs w:val="22"/>
        </w:rPr>
        <w:t xml:space="preserve">role of </w:t>
      </w:r>
      <w:r w:rsidR="00ED0E06" w:rsidRPr="00CE4C7D">
        <w:rPr>
          <w:rFonts w:asciiTheme="majorHAnsi" w:hAnsiTheme="majorHAnsi" w:cstheme="majorHAnsi"/>
          <w:sz w:val="22"/>
          <w:szCs w:val="22"/>
        </w:rPr>
        <w:t>polic</w:t>
      </w:r>
      <w:r w:rsidR="00BB1844" w:rsidRPr="00CE4C7D">
        <w:rPr>
          <w:rFonts w:asciiTheme="majorHAnsi" w:hAnsiTheme="majorHAnsi" w:cstheme="majorHAnsi"/>
          <w:sz w:val="22"/>
          <w:szCs w:val="22"/>
        </w:rPr>
        <w:t>ies</w:t>
      </w:r>
      <w:r w:rsidR="00394CF8" w:rsidRPr="00CE4C7D">
        <w:rPr>
          <w:rFonts w:asciiTheme="majorHAnsi" w:hAnsiTheme="majorHAnsi" w:cstheme="majorHAnsi"/>
          <w:sz w:val="22"/>
          <w:szCs w:val="22"/>
        </w:rPr>
        <w:t xml:space="preserve"> in contributing to the constitution of</w:t>
      </w:r>
      <w:r w:rsidR="00BB1844" w:rsidRPr="00CE4C7D">
        <w:rPr>
          <w:rFonts w:asciiTheme="majorHAnsi" w:hAnsiTheme="majorHAnsi" w:cstheme="majorHAnsi"/>
          <w:sz w:val="22"/>
          <w:szCs w:val="22"/>
        </w:rPr>
        <w:t xml:space="preserve"> energy demand</w:t>
      </w:r>
      <w:r w:rsidR="00ED0E06" w:rsidRPr="00CE4C7D">
        <w:rPr>
          <w:rFonts w:asciiTheme="majorHAnsi" w:hAnsiTheme="majorHAnsi" w:cstheme="majorHAnsi"/>
          <w:sz w:val="22"/>
          <w:szCs w:val="22"/>
        </w:rPr>
        <w:t>.</w:t>
      </w:r>
      <w:r w:rsidR="00C90670" w:rsidRPr="00CE4C7D">
        <w:rPr>
          <w:rFonts w:asciiTheme="majorHAnsi" w:hAnsiTheme="majorHAnsi" w:cstheme="majorHAnsi"/>
          <w:color w:val="943634" w:themeColor="accent2" w:themeShade="BF"/>
          <w:sz w:val="22"/>
          <w:szCs w:val="22"/>
        </w:rPr>
        <w:t xml:space="preserve"> </w:t>
      </w:r>
      <w:r w:rsidRPr="00CE4C7D">
        <w:rPr>
          <w:rFonts w:asciiTheme="majorHAnsi" w:hAnsiTheme="majorHAnsi" w:cstheme="majorHAnsi"/>
          <w:color w:val="000000" w:themeColor="text1"/>
          <w:sz w:val="22"/>
          <w:szCs w:val="22"/>
        </w:rPr>
        <w:t>If</w:t>
      </w:r>
      <w:r w:rsidR="009A4B80" w:rsidRPr="00CE4C7D">
        <w:rPr>
          <w:rFonts w:asciiTheme="majorHAnsi" w:hAnsiTheme="majorHAnsi" w:cstheme="majorHAnsi"/>
          <w:color w:val="000000" w:themeColor="text1"/>
          <w:sz w:val="22"/>
          <w:szCs w:val="22"/>
        </w:rPr>
        <w:t xml:space="preserve"> energy</w:t>
      </w:r>
      <w:r w:rsidRPr="00CE4C7D">
        <w:rPr>
          <w:rFonts w:asciiTheme="majorHAnsi" w:hAnsiTheme="majorHAnsi" w:cstheme="majorHAnsi"/>
          <w:color w:val="000000" w:themeColor="text1"/>
          <w:sz w:val="22"/>
          <w:szCs w:val="22"/>
        </w:rPr>
        <w:t xml:space="preserve"> demand arises through practices, then the</w:t>
      </w:r>
      <w:r w:rsidR="00394CF8" w:rsidRPr="00CE4C7D">
        <w:rPr>
          <w:rFonts w:asciiTheme="majorHAnsi" w:hAnsiTheme="majorHAnsi" w:cstheme="majorHAnsi"/>
          <w:color w:val="000000" w:themeColor="text1"/>
          <w:sz w:val="22"/>
          <w:szCs w:val="22"/>
        </w:rPr>
        <w:t xml:space="preserve"> policies that </w:t>
      </w:r>
      <w:r w:rsidR="000A3CBB" w:rsidRPr="00CE4C7D">
        <w:rPr>
          <w:rFonts w:asciiTheme="majorHAnsi" w:hAnsiTheme="majorHAnsi" w:cstheme="majorHAnsi"/>
          <w:color w:val="000000" w:themeColor="text1"/>
          <w:sz w:val="22"/>
          <w:szCs w:val="22"/>
        </w:rPr>
        <w:t xml:space="preserve">play a part in </w:t>
      </w:r>
      <w:r w:rsidR="00394CF8" w:rsidRPr="00CE4C7D">
        <w:rPr>
          <w:rFonts w:asciiTheme="majorHAnsi" w:hAnsiTheme="majorHAnsi" w:cstheme="majorHAnsi"/>
          <w:color w:val="000000" w:themeColor="text1"/>
          <w:sz w:val="22"/>
          <w:szCs w:val="22"/>
        </w:rPr>
        <w:t>steer</w:t>
      </w:r>
      <w:r w:rsidR="000A3CBB" w:rsidRPr="00CE4C7D">
        <w:rPr>
          <w:rFonts w:asciiTheme="majorHAnsi" w:hAnsiTheme="majorHAnsi" w:cstheme="majorHAnsi"/>
          <w:color w:val="000000" w:themeColor="text1"/>
          <w:sz w:val="22"/>
          <w:szCs w:val="22"/>
        </w:rPr>
        <w:t>ing</w:t>
      </w:r>
      <w:r w:rsidR="00394CF8" w:rsidRPr="00CE4C7D">
        <w:rPr>
          <w:rFonts w:asciiTheme="majorHAnsi" w:hAnsiTheme="majorHAnsi" w:cstheme="majorHAnsi"/>
          <w:color w:val="000000" w:themeColor="text1"/>
          <w:sz w:val="22"/>
          <w:szCs w:val="22"/>
        </w:rPr>
        <w:t xml:space="preserve"> those practices are also steering energy demand</w:t>
      </w:r>
      <w:r w:rsidRPr="00CE4C7D">
        <w:rPr>
          <w:rFonts w:asciiTheme="majorHAnsi" w:hAnsiTheme="majorHAnsi" w:cstheme="majorHAnsi"/>
          <w:color w:val="000000" w:themeColor="text1"/>
          <w:sz w:val="22"/>
          <w:szCs w:val="22"/>
        </w:rPr>
        <w:t xml:space="preserve">.  </w:t>
      </w:r>
      <w:r w:rsidR="003121E1" w:rsidRPr="00CE4C7D">
        <w:rPr>
          <w:rFonts w:asciiTheme="majorHAnsi" w:hAnsiTheme="majorHAnsi" w:cstheme="majorHAnsi"/>
          <w:color w:val="000000" w:themeColor="text1"/>
          <w:sz w:val="22"/>
          <w:szCs w:val="22"/>
        </w:rPr>
        <w:t>Policies are by no means the only influence on practices, but they do play a role in shaping them, and crucially, they are an area where some form of deliberate intervention in social life is already occurring, and thus can provide opportunities for change.</w:t>
      </w:r>
    </w:p>
    <w:p w14:paraId="33EB6999" w14:textId="77777777" w:rsidR="003121E1" w:rsidRPr="00CE4C7D" w:rsidRDefault="003121E1" w:rsidP="00F25A95">
      <w:pPr>
        <w:rPr>
          <w:rFonts w:asciiTheme="majorHAnsi" w:hAnsiTheme="majorHAnsi" w:cstheme="majorHAnsi"/>
          <w:color w:val="000000" w:themeColor="text1"/>
          <w:sz w:val="22"/>
          <w:szCs w:val="22"/>
        </w:rPr>
      </w:pPr>
    </w:p>
    <w:p w14:paraId="0E364F1A" w14:textId="0290A3DF" w:rsidR="00866298" w:rsidRPr="00CE4C7D" w:rsidRDefault="00276F49" w:rsidP="00F25A95">
      <w:pPr>
        <w:rPr>
          <w:rFonts w:asciiTheme="majorHAnsi" w:hAnsiTheme="majorHAnsi" w:cstheme="majorHAnsi"/>
          <w:color w:val="943634" w:themeColor="accent2" w:themeShade="BF"/>
          <w:sz w:val="22"/>
          <w:szCs w:val="22"/>
        </w:rPr>
      </w:pPr>
      <w:r w:rsidRPr="00CE4C7D">
        <w:rPr>
          <w:rFonts w:asciiTheme="majorHAnsi" w:hAnsiTheme="majorHAnsi" w:cstheme="majorHAnsi"/>
          <w:color w:val="000000" w:themeColor="text1"/>
          <w:sz w:val="22"/>
          <w:szCs w:val="22"/>
        </w:rPr>
        <w:t>The</w:t>
      </w:r>
      <w:r w:rsidR="009A4B80" w:rsidRPr="00CE4C7D">
        <w:rPr>
          <w:rFonts w:asciiTheme="majorHAnsi" w:hAnsiTheme="majorHAnsi" w:cstheme="majorHAnsi"/>
          <w:color w:val="000000" w:themeColor="text1"/>
          <w:sz w:val="22"/>
          <w:szCs w:val="22"/>
        </w:rPr>
        <w:t xml:space="preserve"> </w:t>
      </w:r>
      <w:r w:rsidR="00806170" w:rsidRPr="00CE4C7D">
        <w:rPr>
          <w:rFonts w:asciiTheme="majorHAnsi" w:hAnsiTheme="majorHAnsi" w:cstheme="majorHAnsi"/>
          <w:color w:val="000000" w:themeColor="text1"/>
          <w:sz w:val="22"/>
          <w:szCs w:val="22"/>
        </w:rPr>
        <w:t xml:space="preserve">practices </w:t>
      </w:r>
      <w:r w:rsidR="009A4B80" w:rsidRPr="00CE4C7D">
        <w:rPr>
          <w:rFonts w:asciiTheme="majorHAnsi" w:hAnsiTheme="majorHAnsi" w:cstheme="majorHAnsi"/>
          <w:color w:val="000000" w:themeColor="text1"/>
          <w:sz w:val="22"/>
          <w:szCs w:val="22"/>
        </w:rPr>
        <w:t xml:space="preserve">that demand energy </w:t>
      </w:r>
      <w:r w:rsidRPr="00CE4C7D">
        <w:rPr>
          <w:rFonts w:asciiTheme="majorHAnsi" w:hAnsiTheme="majorHAnsi" w:cstheme="majorHAnsi"/>
          <w:color w:val="000000" w:themeColor="text1"/>
          <w:sz w:val="22"/>
          <w:szCs w:val="22"/>
        </w:rPr>
        <w:t>are affected by many forms of policy</w:t>
      </w:r>
      <w:r w:rsidR="00806170"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 xml:space="preserve"> developed across many sectors</w:t>
      </w:r>
      <w:r w:rsidR="00806170" w:rsidRPr="00CE4C7D">
        <w:rPr>
          <w:rFonts w:asciiTheme="majorHAnsi" w:hAnsiTheme="majorHAnsi" w:cstheme="majorHAnsi"/>
          <w:color w:val="000000" w:themeColor="text1"/>
          <w:sz w:val="22"/>
          <w:szCs w:val="22"/>
        </w:rPr>
        <w:t xml:space="preserve">: including policies that are not conventionally seen as </w:t>
      </w:r>
      <w:r w:rsidR="00F93B9A" w:rsidRPr="00CE4C7D">
        <w:rPr>
          <w:rFonts w:asciiTheme="majorHAnsi" w:hAnsiTheme="majorHAnsi" w:cstheme="majorHAnsi"/>
          <w:color w:val="000000" w:themeColor="text1"/>
          <w:sz w:val="22"/>
          <w:szCs w:val="22"/>
        </w:rPr>
        <w:t>‘</w:t>
      </w:r>
      <w:r w:rsidR="00806170" w:rsidRPr="00CE4C7D">
        <w:rPr>
          <w:rFonts w:asciiTheme="majorHAnsi" w:hAnsiTheme="majorHAnsi" w:cstheme="majorHAnsi"/>
          <w:color w:val="000000" w:themeColor="text1"/>
          <w:sz w:val="22"/>
          <w:szCs w:val="22"/>
        </w:rPr>
        <w:t xml:space="preserve">energy </w:t>
      </w:r>
      <w:proofErr w:type="gramStart"/>
      <w:r w:rsidR="00806170" w:rsidRPr="00CE4C7D">
        <w:rPr>
          <w:rFonts w:asciiTheme="majorHAnsi" w:hAnsiTheme="majorHAnsi" w:cstheme="majorHAnsi"/>
          <w:color w:val="000000" w:themeColor="text1"/>
          <w:sz w:val="22"/>
          <w:szCs w:val="22"/>
        </w:rPr>
        <w:t>policies</w:t>
      </w:r>
      <w:r w:rsidR="00F93B9A" w:rsidRPr="00CE4C7D">
        <w:rPr>
          <w:rFonts w:asciiTheme="majorHAnsi" w:hAnsiTheme="majorHAnsi" w:cstheme="majorHAnsi"/>
          <w:color w:val="000000" w:themeColor="text1"/>
          <w:sz w:val="22"/>
          <w:szCs w:val="22"/>
        </w:rPr>
        <w:t>’</w:t>
      </w:r>
      <w:proofErr w:type="gramEnd"/>
      <w:r w:rsidR="00806170" w:rsidRPr="00CE4C7D">
        <w:rPr>
          <w:rFonts w:asciiTheme="majorHAnsi" w:hAnsiTheme="majorHAnsi" w:cstheme="majorHAnsi"/>
          <w:color w:val="000000" w:themeColor="text1"/>
          <w:sz w:val="22"/>
          <w:szCs w:val="22"/>
        </w:rPr>
        <w:t xml:space="preserve">. For example, </w:t>
      </w:r>
      <w:proofErr w:type="gramStart"/>
      <w:r w:rsidR="00806170" w:rsidRPr="00CE4C7D">
        <w:rPr>
          <w:rFonts w:asciiTheme="majorHAnsi" w:hAnsiTheme="majorHAnsi" w:cstheme="majorHAnsi"/>
          <w:color w:val="000000" w:themeColor="text1"/>
          <w:sz w:val="22"/>
          <w:szCs w:val="22"/>
        </w:rPr>
        <w:t>when,</w:t>
      </w:r>
      <w:proofErr w:type="gramEnd"/>
      <w:r w:rsidR="00806170" w:rsidRPr="00CE4C7D">
        <w:rPr>
          <w:rFonts w:asciiTheme="majorHAnsi" w:hAnsiTheme="majorHAnsi" w:cstheme="majorHAnsi"/>
          <w:color w:val="000000" w:themeColor="text1"/>
          <w:sz w:val="22"/>
          <w:szCs w:val="22"/>
        </w:rPr>
        <w:t xml:space="preserve"> where and how people travel is strongly shaped by policies on urban planning; school choice and employment. </w:t>
      </w:r>
      <w:r w:rsidR="00866298" w:rsidRPr="00CE4C7D">
        <w:rPr>
          <w:rFonts w:asciiTheme="majorHAnsi" w:hAnsiTheme="majorHAnsi" w:cstheme="majorHAnsi"/>
          <w:color w:val="000000" w:themeColor="text1"/>
          <w:sz w:val="22"/>
          <w:szCs w:val="22"/>
        </w:rPr>
        <w:t xml:space="preserve">A </w:t>
      </w:r>
      <w:r w:rsidR="00866298" w:rsidRPr="00CE4C7D">
        <w:rPr>
          <w:rFonts w:asciiTheme="majorHAnsi" w:hAnsiTheme="majorHAnsi" w:cstheme="majorHAnsi"/>
          <w:sz w:val="22"/>
          <w:szCs w:val="22"/>
        </w:rPr>
        <w:t xml:space="preserve">focus on </w:t>
      </w:r>
      <w:r w:rsidR="00806170" w:rsidRPr="00CE4C7D">
        <w:rPr>
          <w:rFonts w:asciiTheme="majorHAnsi" w:hAnsiTheme="majorHAnsi" w:cstheme="majorHAnsi"/>
          <w:sz w:val="22"/>
          <w:szCs w:val="22"/>
        </w:rPr>
        <w:t xml:space="preserve">these so-called </w:t>
      </w:r>
      <w:r w:rsidR="00866298" w:rsidRPr="00CE4C7D">
        <w:rPr>
          <w:rFonts w:asciiTheme="majorHAnsi" w:hAnsiTheme="majorHAnsi" w:cstheme="majorHAnsi"/>
          <w:sz w:val="22"/>
          <w:szCs w:val="22"/>
        </w:rPr>
        <w:t>non-energy policies inevitably follows from an understanding of energy as social</w:t>
      </w:r>
      <w:r w:rsidR="00806170" w:rsidRPr="00CE4C7D">
        <w:rPr>
          <w:rFonts w:asciiTheme="majorHAnsi" w:hAnsiTheme="majorHAnsi" w:cstheme="majorHAnsi"/>
          <w:sz w:val="22"/>
          <w:szCs w:val="22"/>
        </w:rPr>
        <w:t>.  If we are to move towards a more sustainable energy system, we need to understand the full range of policies that steer energy use.</w:t>
      </w:r>
    </w:p>
    <w:p w14:paraId="483FC777" w14:textId="51D3F44D" w:rsidR="009A4B80" w:rsidRPr="00CE4C7D" w:rsidRDefault="009A4B80" w:rsidP="00F25A95">
      <w:pPr>
        <w:rPr>
          <w:rFonts w:asciiTheme="majorHAnsi" w:hAnsiTheme="majorHAnsi" w:cstheme="majorHAnsi"/>
          <w:color w:val="943634" w:themeColor="accent2" w:themeShade="BF"/>
          <w:sz w:val="22"/>
          <w:szCs w:val="22"/>
        </w:rPr>
      </w:pPr>
    </w:p>
    <w:p w14:paraId="1E887DEC" w14:textId="4BC174F0" w:rsidR="00CB6477" w:rsidRPr="00CE4C7D" w:rsidRDefault="00806170" w:rsidP="00F25A95">
      <w:pPr>
        <w:rPr>
          <w:rFonts w:asciiTheme="majorHAnsi" w:hAnsiTheme="majorHAnsi" w:cstheme="majorHAnsi"/>
          <w:sz w:val="22"/>
          <w:szCs w:val="22"/>
        </w:rPr>
      </w:pPr>
      <w:r w:rsidRPr="00CE4C7D">
        <w:rPr>
          <w:rFonts w:asciiTheme="majorHAnsi" w:hAnsiTheme="majorHAnsi" w:cstheme="majorHAnsi"/>
          <w:sz w:val="22"/>
          <w:szCs w:val="22"/>
        </w:rPr>
        <w:t xml:space="preserve">This chapter presents an overview of, and arguments for, a research agenda around non-energy policies. </w:t>
      </w:r>
      <w:r w:rsidR="009A4B80" w:rsidRPr="00CE4C7D">
        <w:rPr>
          <w:rFonts w:asciiTheme="majorHAnsi" w:hAnsiTheme="majorHAnsi" w:cstheme="majorHAnsi"/>
          <w:sz w:val="22"/>
          <w:szCs w:val="22"/>
        </w:rPr>
        <w:t xml:space="preserve">In using the term 'policies' here, we take a </w:t>
      </w:r>
      <w:r w:rsidR="006D68AF" w:rsidRPr="00CE4C7D">
        <w:rPr>
          <w:rFonts w:asciiTheme="majorHAnsi" w:hAnsiTheme="majorHAnsi" w:cstheme="majorHAnsi"/>
          <w:sz w:val="22"/>
          <w:szCs w:val="22"/>
        </w:rPr>
        <w:t xml:space="preserve">deliberately </w:t>
      </w:r>
      <w:r w:rsidR="009A4B80" w:rsidRPr="00CE4C7D">
        <w:rPr>
          <w:rFonts w:asciiTheme="majorHAnsi" w:hAnsiTheme="majorHAnsi" w:cstheme="majorHAnsi"/>
          <w:sz w:val="22"/>
          <w:szCs w:val="22"/>
        </w:rPr>
        <w:t>broad view, including standards, regulations, planning procedures and oversight processes, which may be implemented by diverse organi</w:t>
      </w:r>
      <w:r w:rsidR="0029692E" w:rsidRPr="00CE4C7D">
        <w:rPr>
          <w:rFonts w:asciiTheme="majorHAnsi" w:hAnsiTheme="majorHAnsi" w:cstheme="majorHAnsi"/>
          <w:sz w:val="22"/>
          <w:szCs w:val="22"/>
        </w:rPr>
        <w:t>z</w:t>
      </w:r>
      <w:r w:rsidR="009A4B80" w:rsidRPr="00CE4C7D">
        <w:rPr>
          <w:rFonts w:asciiTheme="majorHAnsi" w:hAnsiTheme="majorHAnsi" w:cstheme="majorHAnsi"/>
          <w:sz w:val="22"/>
          <w:szCs w:val="22"/>
        </w:rPr>
        <w:t xml:space="preserve">ations, from international agencies to local institutions such as hospitals, councils and businesses.  </w:t>
      </w:r>
      <w:r w:rsidRPr="00CE4C7D">
        <w:rPr>
          <w:rFonts w:asciiTheme="majorHAnsi" w:hAnsiTheme="majorHAnsi" w:cstheme="majorHAnsi"/>
          <w:sz w:val="22"/>
          <w:szCs w:val="22"/>
        </w:rPr>
        <w:t xml:space="preserve">The chapter </w:t>
      </w:r>
      <w:r w:rsidR="00CB6477" w:rsidRPr="00CE4C7D">
        <w:rPr>
          <w:rFonts w:asciiTheme="majorHAnsi" w:hAnsiTheme="majorHAnsi" w:cstheme="majorHAnsi"/>
          <w:sz w:val="22"/>
          <w:szCs w:val="22"/>
        </w:rPr>
        <w:t xml:space="preserve">first reviews what is typically meant by the term </w:t>
      </w:r>
      <w:r w:rsidR="00F93B9A" w:rsidRPr="00CE4C7D">
        <w:rPr>
          <w:rFonts w:asciiTheme="majorHAnsi" w:hAnsiTheme="majorHAnsi" w:cstheme="majorHAnsi"/>
          <w:sz w:val="22"/>
          <w:szCs w:val="22"/>
        </w:rPr>
        <w:t>‘</w:t>
      </w:r>
      <w:r w:rsidR="00CB6477" w:rsidRPr="00CE4C7D">
        <w:rPr>
          <w:rFonts w:asciiTheme="majorHAnsi" w:hAnsiTheme="majorHAnsi" w:cstheme="majorHAnsi"/>
          <w:sz w:val="22"/>
          <w:szCs w:val="22"/>
        </w:rPr>
        <w:t>energy policy</w:t>
      </w:r>
      <w:r w:rsidR="00F93B9A" w:rsidRPr="00CE4C7D">
        <w:rPr>
          <w:rFonts w:asciiTheme="majorHAnsi" w:hAnsiTheme="majorHAnsi" w:cstheme="majorHAnsi"/>
          <w:sz w:val="22"/>
          <w:szCs w:val="22"/>
        </w:rPr>
        <w:t>’</w:t>
      </w:r>
      <w:r w:rsidR="001079AA" w:rsidRPr="00CE4C7D">
        <w:rPr>
          <w:rFonts w:asciiTheme="majorHAnsi" w:hAnsiTheme="majorHAnsi" w:cstheme="majorHAnsi"/>
          <w:sz w:val="22"/>
          <w:szCs w:val="22"/>
        </w:rPr>
        <w:t xml:space="preserve"> </w:t>
      </w:r>
      <w:r w:rsidR="00CB6477" w:rsidRPr="00CE4C7D">
        <w:rPr>
          <w:rFonts w:asciiTheme="majorHAnsi" w:hAnsiTheme="majorHAnsi" w:cstheme="majorHAnsi"/>
          <w:sz w:val="22"/>
          <w:szCs w:val="22"/>
        </w:rPr>
        <w:t xml:space="preserve">(section </w:t>
      </w:r>
      <w:r w:rsidR="002A7B79" w:rsidRPr="00CE4C7D">
        <w:rPr>
          <w:rFonts w:asciiTheme="majorHAnsi" w:hAnsiTheme="majorHAnsi" w:cstheme="majorHAnsi"/>
          <w:sz w:val="22"/>
          <w:szCs w:val="22"/>
        </w:rPr>
        <w:t>19.</w:t>
      </w:r>
      <w:r w:rsidR="00CB6477" w:rsidRPr="00CE4C7D">
        <w:rPr>
          <w:rFonts w:asciiTheme="majorHAnsi" w:hAnsiTheme="majorHAnsi" w:cstheme="majorHAnsi"/>
          <w:sz w:val="22"/>
          <w:szCs w:val="22"/>
        </w:rPr>
        <w:t xml:space="preserve">2) and shows </w:t>
      </w:r>
      <w:r w:rsidR="001079AA" w:rsidRPr="00CE4C7D">
        <w:rPr>
          <w:rFonts w:asciiTheme="majorHAnsi" w:hAnsiTheme="majorHAnsi" w:cstheme="majorHAnsi"/>
          <w:sz w:val="22"/>
          <w:szCs w:val="22"/>
        </w:rPr>
        <w:t xml:space="preserve">how a </w:t>
      </w:r>
      <w:proofErr w:type="gramStart"/>
      <w:r w:rsidR="001079AA" w:rsidRPr="00CE4C7D">
        <w:rPr>
          <w:rFonts w:asciiTheme="majorHAnsi" w:hAnsiTheme="majorHAnsi" w:cstheme="majorHAnsi"/>
          <w:sz w:val="22"/>
          <w:szCs w:val="22"/>
        </w:rPr>
        <w:t>commonly-adopted</w:t>
      </w:r>
      <w:proofErr w:type="gramEnd"/>
      <w:r w:rsidR="00BB7842" w:rsidRPr="00CE4C7D">
        <w:rPr>
          <w:rFonts w:asciiTheme="majorHAnsi" w:hAnsiTheme="majorHAnsi" w:cstheme="majorHAnsi"/>
          <w:sz w:val="22"/>
          <w:szCs w:val="22"/>
        </w:rPr>
        <w:t xml:space="preserve"> </w:t>
      </w:r>
      <w:r w:rsidR="00CB6477" w:rsidRPr="00CE4C7D">
        <w:rPr>
          <w:rFonts w:asciiTheme="majorHAnsi" w:hAnsiTheme="majorHAnsi" w:cstheme="majorHAnsi"/>
          <w:sz w:val="22"/>
          <w:szCs w:val="22"/>
        </w:rPr>
        <w:t>narrow view misses many important forms of energy governance</w:t>
      </w:r>
      <w:r w:rsidR="002B0D17" w:rsidRPr="00CE4C7D">
        <w:rPr>
          <w:rFonts w:asciiTheme="majorHAnsi" w:hAnsiTheme="majorHAnsi" w:cstheme="majorHAnsi"/>
          <w:sz w:val="22"/>
          <w:szCs w:val="22"/>
        </w:rPr>
        <w:t xml:space="preserve"> (see Kerr, Chapter 9 for more on how different rationales shape </w:t>
      </w:r>
      <w:r w:rsidR="002B0D17" w:rsidRPr="00CE4C7D">
        <w:rPr>
          <w:rFonts w:asciiTheme="majorHAnsi" w:hAnsiTheme="majorHAnsi" w:cstheme="majorHAnsi"/>
          <w:i/>
          <w:sz w:val="22"/>
          <w:szCs w:val="22"/>
        </w:rPr>
        <w:t xml:space="preserve">energy </w:t>
      </w:r>
      <w:r w:rsidR="002B0D17" w:rsidRPr="00CE4C7D">
        <w:rPr>
          <w:rFonts w:asciiTheme="majorHAnsi" w:hAnsiTheme="majorHAnsi" w:cstheme="majorHAnsi"/>
          <w:sz w:val="22"/>
          <w:szCs w:val="22"/>
        </w:rPr>
        <w:t>policy)</w:t>
      </w:r>
      <w:r w:rsidR="00CB6477" w:rsidRPr="00CE4C7D">
        <w:rPr>
          <w:rFonts w:asciiTheme="majorHAnsi" w:hAnsiTheme="majorHAnsi" w:cstheme="majorHAnsi"/>
          <w:sz w:val="22"/>
          <w:szCs w:val="22"/>
        </w:rPr>
        <w:t xml:space="preserve">. Section </w:t>
      </w:r>
      <w:r w:rsidR="002A7B79" w:rsidRPr="00CE4C7D">
        <w:rPr>
          <w:rFonts w:asciiTheme="majorHAnsi" w:hAnsiTheme="majorHAnsi" w:cstheme="majorHAnsi"/>
          <w:sz w:val="22"/>
          <w:szCs w:val="22"/>
        </w:rPr>
        <w:t>19.</w:t>
      </w:r>
      <w:r w:rsidR="00CB6477" w:rsidRPr="00CE4C7D">
        <w:rPr>
          <w:rFonts w:asciiTheme="majorHAnsi" w:hAnsiTheme="majorHAnsi" w:cstheme="majorHAnsi"/>
          <w:sz w:val="22"/>
          <w:szCs w:val="22"/>
        </w:rPr>
        <w:t>3</w:t>
      </w:r>
      <w:r w:rsidR="00BB7842" w:rsidRPr="00CE4C7D">
        <w:rPr>
          <w:rFonts w:asciiTheme="majorHAnsi" w:hAnsiTheme="majorHAnsi" w:cstheme="majorHAnsi"/>
          <w:sz w:val="22"/>
          <w:szCs w:val="22"/>
        </w:rPr>
        <w:t xml:space="preserve"> then</w:t>
      </w:r>
      <w:r w:rsidR="00CB6477" w:rsidRPr="00CE4C7D">
        <w:rPr>
          <w:rFonts w:asciiTheme="majorHAnsi" w:hAnsiTheme="majorHAnsi" w:cstheme="majorHAnsi"/>
          <w:sz w:val="22"/>
          <w:szCs w:val="22"/>
        </w:rPr>
        <w:t xml:space="preserve"> asks: How do other policies matter for energy demand? </w:t>
      </w:r>
      <w:r w:rsidR="00866298" w:rsidRPr="00CE4C7D">
        <w:rPr>
          <w:rFonts w:asciiTheme="majorHAnsi" w:hAnsiTheme="majorHAnsi" w:cstheme="majorHAnsi"/>
          <w:sz w:val="22"/>
          <w:szCs w:val="22"/>
        </w:rPr>
        <w:t>It</w:t>
      </w:r>
      <w:r w:rsidR="00CB6477" w:rsidRPr="00CE4C7D">
        <w:rPr>
          <w:rFonts w:asciiTheme="majorHAnsi" w:hAnsiTheme="majorHAnsi" w:cstheme="majorHAnsi"/>
          <w:sz w:val="22"/>
          <w:szCs w:val="22"/>
        </w:rPr>
        <w:t xml:space="preserve"> explores a range of dimensions, including direct and indirect effects; temporal and spatial effects; and upward and downward trajectories of energy demand.</w:t>
      </w:r>
      <w:r w:rsidR="00866298" w:rsidRPr="00CE4C7D">
        <w:rPr>
          <w:rFonts w:asciiTheme="majorHAnsi" w:hAnsiTheme="majorHAnsi" w:cstheme="majorHAnsi"/>
          <w:sz w:val="22"/>
          <w:szCs w:val="22"/>
        </w:rPr>
        <w:t xml:space="preserve"> </w:t>
      </w:r>
      <w:r w:rsidR="0036522B" w:rsidRPr="00CE4C7D">
        <w:rPr>
          <w:rFonts w:asciiTheme="majorHAnsi" w:hAnsiTheme="majorHAnsi" w:cstheme="majorHAnsi"/>
          <w:sz w:val="22"/>
          <w:szCs w:val="22"/>
        </w:rPr>
        <w:t xml:space="preserve"> </w:t>
      </w:r>
      <w:r w:rsidR="00CB6477" w:rsidRPr="00CE4C7D">
        <w:rPr>
          <w:rFonts w:asciiTheme="majorHAnsi" w:hAnsiTheme="majorHAnsi" w:cstheme="majorHAnsi"/>
          <w:sz w:val="22"/>
          <w:szCs w:val="22"/>
        </w:rPr>
        <w:t xml:space="preserve">The case study </w:t>
      </w:r>
      <w:r w:rsidR="007E143B" w:rsidRPr="00CE4C7D">
        <w:rPr>
          <w:rFonts w:asciiTheme="majorHAnsi" w:hAnsiTheme="majorHAnsi" w:cstheme="majorHAnsi"/>
          <w:sz w:val="22"/>
          <w:szCs w:val="22"/>
        </w:rPr>
        <w:t>(</w:t>
      </w:r>
      <w:r w:rsidR="00CB6477" w:rsidRPr="00CE4C7D">
        <w:rPr>
          <w:rFonts w:asciiTheme="majorHAnsi" w:hAnsiTheme="majorHAnsi" w:cstheme="majorHAnsi"/>
          <w:sz w:val="22"/>
          <w:szCs w:val="22"/>
        </w:rPr>
        <w:t xml:space="preserve">section </w:t>
      </w:r>
      <w:r w:rsidR="002A7B79" w:rsidRPr="00CE4C7D">
        <w:rPr>
          <w:rFonts w:asciiTheme="majorHAnsi" w:hAnsiTheme="majorHAnsi" w:cstheme="majorHAnsi"/>
          <w:sz w:val="22"/>
          <w:szCs w:val="22"/>
        </w:rPr>
        <w:t>19.</w:t>
      </w:r>
      <w:r w:rsidR="007E143B" w:rsidRPr="00CE4C7D">
        <w:rPr>
          <w:rFonts w:asciiTheme="majorHAnsi" w:hAnsiTheme="majorHAnsi" w:cstheme="majorHAnsi"/>
          <w:sz w:val="22"/>
          <w:szCs w:val="22"/>
        </w:rPr>
        <w:t>4)</w:t>
      </w:r>
      <w:r w:rsidR="00866298" w:rsidRPr="00CE4C7D">
        <w:rPr>
          <w:rFonts w:asciiTheme="majorHAnsi" w:hAnsiTheme="majorHAnsi" w:cstheme="majorHAnsi"/>
          <w:sz w:val="22"/>
          <w:szCs w:val="22"/>
        </w:rPr>
        <w:t xml:space="preserve"> </w:t>
      </w:r>
      <w:r w:rsidR="00CB6477" w:rsidRPr="00CE4C7D">
        <w:rPr>
          <w:rFonts w:asciiTheme="majorHAnsi" w:hAnsiTheme="majorHAnsi" w:cstheme="majorHAnsi"/>
          <w:sz w:val="22"/>
          <w:szCs w:val="22"/>
        </w:rPr>
        <w:t>provide</w:t>
      </w:r>
      <w:r w:rsidR="007E143B" w:rsidRPr="00CE4C7D">
        <w:rPr>
          <w:rFonts w:asciiTheme="majorHAnsi" w:hAnsiTheme="majorHAnsi" w:cstheme="majorHAnsi"/>
          <w:sz w:val="22"/>
          <w:szCs w:val="22"/>
        </w:rPr>
        <w:t>s</w:t>
      </w:r>
      <w:r w:rsidR="00CB6477" w:rsidRPr="00CE4C7D">
        <w:rPr>
          <w:rFonts w:asciiTheme="majorHAnsi" w:hAnsiTheme="majorHAnsi" w:cstheme="majorHAnsi"/>
          <w:sz w:val="22"/>
          <w:szCs w:val="22"/>
        </w:rPr>
        <w:t xml:space="preserve"> a more detailed picture of how the processes outlined in section </w:t>
      </w:r>
      <w:r w:rsidR="002A7B79" w:rsidRPr="00CE4C7D">
        <w:rPr>
          <w:rFonts w:asciiTheme="majorHAnsi" w:hAnsiTheme="majorHAnsi" w:cstheme="majorHAnsi"/>
          <w:sz w:val="22"/>
          <w:szCs w:val="22"/>
        </w:rPr>
        <w:t>19.</w:t>
      </w:r>
      <w:r w:rsidR="00CB6477" w:rsidRPr="00CE4C7D">
        <w:rPr>
          <w:rFonts w:asciiTheme="majorHAnsi" w:hAnsiTheme="majorHAnsi" w:cstheme="majorHAnsi"/>
          <w:sz w:val="22"/>
          <w:szCs w:val="22"/>
        </w:rPr>
        <w:t xml:space="preserve">3 play out in practice.  </w:t>
      </w:r>
      <w:r w:rsidR="007E143B" w:rsidRPr="00CE4C7D">
        <w:rPr>
          <w:rFonts w:asciiTheme="majorHAnsi" w:hAnsiTheme="majorHAnsi" w:cstheme="majorHAnsi"/>
          <w:sz w:val="22"/>
          <w:szCs w:val="22"/>
        </w:rPr>
        <w:t>It</w:t>
      </w:r>
      <w:r w:rsidR="00072292" w:rsidRPr="00CE4C7D">
        <w:rPr>
          <w:rFonts w:asciiTheme="majorHAnsi" w:hAnsiTheme="majorHAnsi" w:cstheme="majorHAnsi"/>
          <w:sz w:val="22"/>
          <w:szCs w:val="22"/>
        </w:rPr>
        <w:t xml:space="preserve"> </w:t>
      </w:r>
      <w:r w:rsidR="00CB6477" w:rsidRPr="00CE4C7D">
        <w:rPr>
          <w:rFonts w:asciiTheme="majorHAnsi" w:hAnsiTheme="majorHAnsi" w:cstheme="majorHAnsi"/>
          <w:sz w:val="22"/>
          <w:szCs w:val="22"/>
        </w:rPr>
        <w:t xml:space="preserve">draws on multiple strands of data to </w:t>
      </w:r>
      <w:r w:rsidR="00EF137C" w:rsidRPr="00CE4C7D">
        <w:rPr>
          <w:rFonts w:asciiTheme="majorHAnsi" w:hAnsiTheme="majorHAnsi" w:cstheme="majorHAnsi"/>
          <w:sz w:val="22"/>
          <w:szCs w:val="22"/>
        </w:rPr>
        <w:t xml:space="preserve">show </w:t>
      </w:r>
      <w:r w:rsidR="00CB6477" w:rsidRPr="00CE4C7D">
        <w:rPr>
          <w:rFonts w:asciiTheme="majorHAnsi" w:hAnsiTheme="majorHAnsi" w:cstheme="majorHAnsi"/>
          <w:sz w:val="22"/>
          <w:szCs w:val="22"/>
        </w:rPr>
        <w:t>how a powerful policy agenda</w:t>
      </w:r>
      <w:r w:rsidR="00EF137C" w:rsidRPr="00CE4C7D">
        <w:rPr>
          <w:rFonts w:asciiTheme="majorHAnsi" w:hAnsiTheme="majorHAnsi" w:cstheme="majorHAnsi"/>
          <w:sz w:val="22"/>
          <w:szCs w:val="22"/>
        </w:rPr>
        <w:t xml:space="preserve"> (marketi</w:t>
      </w:r>
      <w:r w:rsidR="0029692E" w:rsidRPr="00CE4C7D">
        <w:rPr>
          <w:rFonts w:asciiTheme="majorHAnsi" w:hAnsiTheme="majorHAnsi" w:cstheme="majorHAnsi"/>
          <w:sz w:val="22"/>
          <w:szCs w:val="22"/>
        </w:rPr>
        <w:t>z</w:t>
      </w:r>
      <w:r w:rsidR="00EF137C" w:rsidRPr="00CE4C7D">
        <w:rPr>
          <w:rFonts w:asciiTheme="majorHAnsi" w:hAnsiTheme="majorHAnsi" w:cstheme="majorHAnsi"/>
          <w:sz w:val="22"/>
          <w:szCs w:val="22"/>
        </w:rPr>
        <w:t xml:space="preserve">ation in UK </w:t>
      </w:r>
      <w:r w:rsidR="00C5400C" w:rsidRPr="00CE4C7D">
        <w:rPr>
          <w:rFonts w:asciiTheme="majorHAnsi" w:hAnsiTheme="majorHAnsi" w:cstheme="majorHAnsi"/>
          <w:sz w:val="22"/>
          <w:szCs w:val="22"/>
        </w:rPr>
        <w:t>Higher Education (</w:t>
      </w:r>
      <w:r w:rsidR="00EF137C" w:rsidRPr="00CE4C7D">
        <w:rPr>
          <w:rFonts w:asciiTheme="majorHAnsi" w:hAnsiTheme="majorHAnsi" w:cstheme="majorHAnsi"/>
          <w:sz w:val="22"/>
          <w:szCs w:val="22"/>
        </w:rPr>
        <w:t>HE</w:t>
      </w:r>
      <w:r w:rsidR="00C5400C" w:rsidRPr="00CE4C7D">
        <w:rPr>
          <w:rFonts w:asciiTheme="majorHAnsi" w:hAnsiTheme="majorHAnsi" w:cstheme="majorHAnsi"/>
          <w:sz w:val="22"/>
          <w:szCs w:val="22"/>
        </w:rPr>
        <w:t>)</w:t>
      </w:r>
      <w:r w:rsidR="00EF137C" w:rsidRPr="00CE4C7D">
        <w:rPr>
          <w:rFonts w:asciiTheme="majorHAnsi" w:hAnsiTheme="majorHAnsi" w:cstheme="majorHAnsi"/>
          <w:sz w:val="22"/>
          <w:szCs w:val="22"/>
        </w:rPr>
        <w:t xml:space="preserve">) </w:t>
      </w:r>
      <w:r w:rsidR="00CB6477" w:rsidRPr="00CE4C7D">
        <w:rPr>
          <w:rFonts w:asciiTheme="majorHAnsi" w:hAnsiTheme="majorHAnsi" w:cstheme="majorHAnsi"/>
          <w:sz w:val="22"/>
          <w:szCs w:val="22"/>
        </w:rPr>
        <w:t>is playing out through institutional strategies, and reconfigur</w:t>
      </w:r>
      <w:r w:rsidR="00EF137C" w:rsidRPr="00CE4C7D">
        <w:rPr>
          <w:rFonts w:asciiTheme="majorHAnsi" w:hAnsiTheme="majorHAnsi" w:cstheme="majorHAnsi"/>
          <w:sz w:val="22"/>
          <w:szCs w:val="22"/>
        </w:rPr>
        <w:t>ing</w:t>
      </w:r>
      <w:r w:rsidR="00CB6477" w:rsidRPr="00CE4C7D">
        <w:rPr>
          <w:rFonts w:asciiTheme="majorHAnsi" w:hAnsiTheme="majorHAnsi" w:cstheme="majorHAnsi"/>
          <w:sz w:val="22"/>
          <w:szCs w:val="22"/>
        </w:rPr>
        <w:t xml:space="preserve"> practices.</w:t>
      </w:r>
    </w:p>
    <w:p w14:paraId="51E35F6C" w14:textId="77777777" w:rsidR="00CB6477" w:rsidRPr="00CE4C7D" w:rsidRDefault="00CB6477" w:rsidP="00F25A95">
      <w:pPr>
        <w:rPr>
          <w:rFonts w:asciiTheme="majorHAnsi" w:hAnsiTheme="majorHAnsi" w:cstheme="majorHAnsi"/>
          <w:sz w:val="22"/>
          <w:szCs w:val="22"/>
        </w:rPr>
      </w:pPr>
    </w:p>
    <w:p w14:paraId="0EE65106" w14:textId="4C38FADF" w:rsidR="00276F49" w:rsidRDefault="00866298" w:rsidP="00F25A95">
      <w:pPr>
        <w:rPr>
          <w:rFonts w:asciiTheme="majorHAnsi" w:hAnsiTheme="majorHAnsi" w:cstheme="majorHAnsi"/>
          <w:sz w:val="22"/>
          <w:szCs w:val="22"/>
        </w:rPr>
      </w:pPr>
      <w:r w:rsidRPr="00CE4C7D">
        <w:rPr>
          <w:rFonts w:asciiTheme="majorHAnsi" w:hAnsiTheme="majorHAnsi" w:cstheme="majorHAnsi"/>
          <w:sz w:val="22"/>
          <w:szCs w:val="22"/>
        </w:rPr>
        <w:t xml:space="preserve">Section </w:t>
      </w:r>
      <w:r w:rsidR="002A7B79" w:rsidRPr="00CE4C7D">
        <w:rPr>
          <w:rFonts w:asciiTheme="majorHAnsi" w:hAnsiTheme="majorHAnsi" w:cstheme="majorHAnsi"/>
          <w:sz w:val="22"/>
          <w:szCs w:val="22"/>
        </w:rPr>
        <w:t>19.</w:t>
      </w:r>
      <w:r w:rsidR="007E143B" w:rsidRPr="00CE4C7D">
        <w:rPr>
          <w:rFonts w:asciiTheme="majorHAnsi" w:hAnsiTheme="majorHAnsi" w:cstheme="majorHAnsi"/>
          <w:sz w:val="22"/>
          <w:szCs w:val="22"/>
        </w:rPr>
        <w:t>5</w:t>
      </w:r>
      <w:r w:rsidRPr="00CE4C7D">
        <w:rPr>
          <w:rFonts w:asciiTheme="majorHAnsi" w:hAnsiTheme="majorHAnsi" w:cstheme="majorHAnsi"/>
          <w:sz w:val="22"/>
          <w:szCs w:val="22"/>
        </w:rPr>
        <w:t xml:space="preserve"> </w:t>
      </w:r>
      <w:r w:rsidR="00CB6477" w:rsidRPr="00CE4C7D">
        <w:rPr>
          <w:rFonts w:asciiTheme="majorHAnsi" w:hAnsiTheme="majorHAnsi" w:cstheme="majorHAnsi"/>
          <w:sz w:val="22"/>
          <w:szCs w:val="22"/>
        </w:rPr>
        <w:t xml:space="preserve">reflects on the </w:t>
      </w:r>
      <w:r w:rsidR="00F93B9A" w:rsidRPr="00CE4C7D">
        <w:rPr>
          <w:rFonts w:asciiTheme="majorHAnsi" w:hAnsiTheme="majorHAnsi" w:cstheme="majorHAnsi"/>
          <w:sz w:val="22"/>
          <w:szCs w:val="22"/>
        </w:rPr>
        <w:t>‘</w:t>
      </w:r>
      <w:r w:rsidR="00CB6477" w:rsidRPr="00CE4C7D">
        <w:rPr>
          <w:rFonts w:asciiTheme="majorHAnsi" w:hAnsiTheme="majorHAnsi" w:cstheme="majorHAnsi"/>
          <w:sz w:val="22"/>
          <w:szCs w:val="22"/>
        </w:rPr>
        <w:t>invisibility</w:t>
      </w:r>
      <w:r w:rsidR="00F93B9A" w:rsidRPr="00CE4C7D">
        <w:rPr>
          <w:rFonts w:asciiTheme="majorHAnsi" w:hAnsiTheme="majorHAnsi" w:cstheme="majorHAnsi"/>
          <w:sz w:val="22"/>
          <w:szCs w:val="22"/>
        </w:rPr>
        <w:t>’</w:t>
      </w:r>
      <w:r w:rsidR="00CB6477" w:rsidRPr="00CE4C7D">
        <w:rPr>
          <w:rFonts w:asciiTheme="majorHAnsi" w:hAnsiTheme="majorHAnsi" w:cstheme="majorHAnsi"/>
          <w:sz w:val="22"/>
          <w:szCs w:val="22"/>
        </w:rPr>
        <w:t xml:space="preserve"> of the policy effects that have been discussed, and some of the </w:t>
      </w:r>
      <w:r w:rsidR="0036522B" w:rsidRPr="00CE4C7D">
        <w:rPr>
          <w:rFonts w:asciiTheme="majorHAnsi" w:hAnsiTheme="majorHAnsi" w:cstheme="majorHAnsi"/>
          <w:sz w:val="22"/>
          <w:szCs w:val="22"/>
        </w:rPr>
        <w:t>u</w:t>
      </w:r>
      <w:r w:rsidR="00CB6477" w:rsidRPr="00CE4C7D">
        <w:rPr>
          <w:rFonts w:asciiTheme="majorHAnsi" w:hAnsiTheme="majorHAnsi" w:cstheme="majorHAnsi"/>
          <w:sz w:val="22"/>
          <w:szCs w:val="22"/>
        </w:rPr>
        <w:t>nderlying reasons for this</w:t>
      </w:r>
      <w:r w:rsidR="00E93B75" w:rsidRPr="00CE4C7D">
        <w:rPr>
          <w:rFonts w:asciiTheme="majorHAnsi" w:hAnsiTheme="majorHAnsi" w:cstheme="majorHAnsi"/>
          <w:sz w:val="22"/>
          <w:szCs w:val="22"/>
        </w:rPr>
        <w:t>, before considering</w:t>
      </w:r>
      <w:r w:rsidRPr="00CE4C7D">
        <w:rPr>
          <w:rFonts w:asciiTheme="majorHAnsi" w:hAnsiTheme="majorHAnsi" w:cstheme="majorHAnsi"/>
          <w:sz w:val="22"/>
          <w:szCs w:val="22"/>
        </w:rPr>
        <w:t xml:space="preserve"> </w:t>
      </w:r>
      <w:r w:rsidR="00CB6477" w:rsidRPr="00CE4C7D">
        <w:rPr>
          <w:rFonts w:asciiTheme="majorHAnsi" w:hAnsiTheme="majorHAnsi" w:cstheme="majorHAnsi"/>
          <w:sz w:val="22"/>
          <w:szCs w:val="22"/>
        </w:rPr>
        <w:t>implications of these arguments for policy and practice.  It uses examples from</w:t>
      </w:r>
      <w:r w:rsidR="00BB7842" w:rsidRPr="00CE4C7D">
        <w:rPr>
          <w:rFonts w:asciiTheme="majorHAnsi" w:hAnsiTheme="majorHAnsi" w:cstheme="majorHAnsi"/>
          <w:sz w:val="22"/>
          <w:szCs w:val="22"/>
        </w:rPr>
        <w:t xml:space="preserve"> </w:t>
      </w:r>
      <w:r w:rsidR="00CB6477" w:rsidRPr="00CE4C7D">
        <w:rPr>
          <w:rFonts w:asciiTheme="majorHAnsi" w:hAnsiTheme="majorHAnsi" w:cstheme="majorHAnsi"/>
          <w:sz w:val="22"/>
          <w:szCs w:val="22"/>
        </w:rPr>
        <w:t xml:space="preserve">fields where some progress has been made, to draw out proposals for greater recognition of non-energy policy effects.  </w:t>
      </w:r>
      <w:r w:rsidRPr="00CE4C7D">
        <w:rPr>
          <w:rFonts w:asciiTheme="majorHAnsi" w:hAnsiTheme="majorHAnsi" w:cstheme="majorHAnsi"/>
          <w:sz w:val="22"/>
          <w:szCs w:val="22"/>
        </w:rPr>
        <w:t>S</w:t>
      </w:r>
      <w:r w:rsidR="00CB6477" w:rsidRPr="00CE4C7D">
        <w:rPr>
          <w:rFonts w:asciiTheme="majorHAnsi" w:hAnsiTheme="majorHAnsi" w:cstheme="majorHAnsi"/>
          <w:sz w:val="22"/>
          <w:szCs w:val="22"/>
        </w:rPr>
        <w:t xml:space="preserve">ection </w:t>
      </w:r>
      <w:r w:rsidR="002A7B79" w:rsidRPr="00CE4C7D">
        <w:rPr>
          <w:rFonts w:asciiTheme="majorHAnsi" w:hAnsiTheme="majorHAnsi" w:cstheme="majorHAnsi"/>
          <w:sz w:val="22"/>
          <w:szCs w:val="22"/>
        </w:rPr>
        <w:t>19.</w:t>
      </w:r>
      <w:r w:rsidR="003F076C" w:rsidRPr="00CE4C7D">
        <w:rPr>
          <w:rFonts w:asciiTheme="majorHAnsi" w:hAnsiTheme="majorHAnsi" w:cstheme="majorHAnsi"/>
          <w:sz w:val="22"/>
          <w:szCs w:val="22"/>
        </w:rPr>
        <w:t>6</w:t>
      </w:r>
      <w:r w:rsidRPr="00CE4C7D">
        <w:rPr>
          <w:rFonts w:asciiTheme="majorHAnsi" w:hAnsiTheme="majorHAnsi" w:cstheme="majorHAnsi"/>
          <w:sz w:val="22"/>
          <w:szCs w:val="22"/>
        </w:rPr>
        <w:t xml:space="preserve"> </w:t>
      </w:r>
      <w:r w:rsidR="00CB6477" w:rsidRPr="00CE4C7D">
        <w:rPr>
          <w:rFonts w:asciiTheme="majorHAnsi" w:hAnsiTheme="majorHAnsi" w:cstheme="majorHAnsi"/>
          <w:sz w:val="22"/>
          <w:szCs w:val="22"/>
        </w:rPr>
        <w:t xml:space="preserve">concludes by reflecting on what these arguments mean for </w:t>
      </w:r>
      <w:r w:rsidR="00BD72F7" w:rsidRPr="00CE4C7D">
        <w:rPr>
          <w:rFonts w:asciiTheme="majorHAnsi" w:hAnsiTheme="majorHAnsi" w:cstheme="majorHAnsi"/>
          <w:sz w:val="22"/>
          <w:szCs w:val="22"/>
        </w:rPr>
        <w:t xml:space="preserve">social science </w:t>
      </w:r>
      <w:r w:rsidR="00CB6477" w:rsidRPr="00CE4C7D">
        <w:rPr>
          <w:rFonts w:asciiTheme="majorHAnsi" w:hAnsiTheme="majorHAnsi" w:cstheme="majorHAnsi"/>
          <w:sz w:val="22"/>
          <w:szCs w:val="22"/>
        </w:rPr>
        <w:t>researchers</w:t>
      </w:r>
      <w:r w:rsidR="001079AA" w:rsidRPr="00CE4C7D">
        <w:rPr>
          <w:rFonts w:asciiTheme="majorHAnsi" w:hAnsiTheme="majorHAnsi" w:cstheme="majorHAnsi"/>
          <w:sz w:val="22"/>
          <w:szCs w:val="22"/>
        </w:rPr>
        <w:t>.</w:t>
      </w:r>
      <w:r w:rsidR="00CB6477" w:rsidRPr="00CE4C7D">
        <w:rPr>
          <w:rFonts w:asciiTheme="majorHAnsi" w:hAnsiTheme="majorHAnsi" w:cstheme="majorHAnsi"/>
          <w:sz w:val="22"/>
          <w:szCs w:val="22"/>
        </w:rPr>
        <w:t xml:space="preserve"> This discussion also </w:t>
      </w:r>
      <w:r w:rsidR="00187989" w:rsidRPr="00CE4C7D">
        <w:rPr>
          <w:rFonts w:asciiTheme="majorHAnsi" w:hAnsiTheme="majorHAnsi" w:cstheme="majorHAnsi"/>
          <w:sz w:val="22"/>
          <w:szCs w:val="22"/>
        </w:rPr>
        <w:t xml:space="preserve">speaks to </w:t>
      </w:r>
      <w:r w:rsidR="00CB6477" w:rsidRPr="00CE4C7D">
        <w:rPr>
          <w:rFonts w:asciiTheme="majorHAnsi" w:hAnsiTheme="majorHAnsi" w:cstheme="majorHAnsi"/>
          <w:sz w:val="22"/>
          <w:szCs w:val="22"/>
        </w:rPr>
        <w:t xml:space="preserve">cross-cutting themes </w:t>
      </w:r>
      <w:r w:rsidR="00DB75C1" w:rsidRPr="00CE4C7D">
        <w:rPr>
          <w:rFonts w:asciiTheme="majorHAnsi" w:hAnsiTheme="majorHAnsi" w:cstheme="majorHAnsi"/>
          <w:sz w:val="22"/>
          <w:szCs w:val="22"/>
        </w:rPr>
        <w:t>in</w:t>
      </w:r>
      <w:r w:rsidR="00CB6477" w:rsidRPr="00CE4C7D">
        <w:rPr>
          <w:rFonts w:asciiTheme="majorHAnsi" w:hAnsiTheme="majorHAnsi" w:cstheme="majorHAnsi"/>
          <w:sz w:val="22"/>
          <w:szCs w:val="22"/>
        </w:rPr>
        <w:t xml:space="preserve"> th</w:t>
      </w:r>
      <w:r w:rsidR="00187989" w:rsidRPr="00CE4C7D">
        <w:rPr>
          <w:rFonts w:asciiTheme="majorHAnsi" w:hAnsiTheme="majorHAnsi" w:cstheme="majorHAnsi"/>
          <w:sz w:val="22"/>
          <w:szCs w:val="22"/>
        </w:rPr>
        <w:t>is</w:t>
      </w:r>
      <w:r w:rsidR="00CB6477" w:rsidRPr="00CE4C7D">
        <w:rPr>
          <w:rFonts w:asciiTheme="majorHAnsi" w:hAnsiTheme="majorHAnsi" w:cstheme="majorHAnsi"/>
          <w:sz w:val="22"/>
          <w:szCs w:val="22"/>
        </w:rPr>
        <w:t xml:space="preserve"> </w:t>
      </w:r>
      <w:r w:rsidR="00187989" w:rsidRPr="00CE4C7D">
        <w:rPr>
          <w:rFonts w:asciiTheme="majorHAnsi" w:hAnsiTheme="majorHAnsi" w:cstheme="majorHAnsi"/>
          <w:sz w:val="22"/>
          <w:szCs w:val="22"/>
        </w:rPr>
        <w:t>Hand</w:t>
      </w:r>
      <w:r w:rsidR="00CB6477" w:rsidRPr="00CE4C7D">
        <w:rPr>
          <w:rFonts w:asciiTheme="majorHAnsi" w:hAnsiTheme="majorHAnsi" w:cstheme="majorHAnsi"/>
          <w:sz w:val="22"/>
          <w:szCs w:val="22"/>
        </w:rPr>
        <w:t xml:space="preserve">book, arguing that the policy effects discussed here serve as further evidence of the need for a nuanced and </w:t>
      </w:r>
      <w:r w:rsidR="00F455C0" w:rsidRPr="00CE4C7D">
        <w:rPr>
          <w:rFonts w:asciiTheme="majorHAnsi" w:hAnsiTheme="majorHAnsi" w:cstheme="majorHAnsi"/>
          <w:sz w:val="22"/>
          <w:szCs w:val="22"/>
        </w:rPr>
        <w:t>trans</w:t>
      </w:r>
      <w:r w:rsidR="00CB6477" w:rsidRPr="00CE4C7D">
        <w:rPr>
          <w:rFonts w:asciiTheme="majorHAnsi" w:hAnsiTheme="majorHAnsi" w:cstheme="majorHAnsi"/>
          <w:sz w:val="22"/>
          <w:szCs w:val="22"/>
        </w:rPr>
        <w:t>-disciplinary understanding of energy in society.</w:t>
      </w:r>
    </w:p>
    <w:p w14:paraId="40FD198C" w14:textId="48C9F636" w:rsidR="002735C0" w:rsidRDefault="002735C0" w:rsidP="00F25A95">
      <w:pPr>
        <w:rPr>
          <w:rFonts w:asciiTheme="majorHAnsi" w:hAnsiTheme="majorHAnsi" w:cstheme="majorHAnsi"/>
          <w:sz w:val="22"/>
          <w:szCs w:val="22"/>
        </w:rPr>
      </w:pPr>
    </w:p>
    <w:p w14:paraId="06F7541B" w14:textId="59624528" w:rsidR="002735C0" w:rsidRDefault="002735C0" w:rsidP="00F25A95">
      <w:pPr>
        <w:rPr>
          <w:rFonts w:asciiTheme="majorHAnsi" w:hAnsiTheme="majorHAnsi" w:cstheme="majorHAnsi"/>
          <w:sz w:val="22"/>
          <w:szCs w:val="22"/>
        </w:rPr>
      </w:pPr>
    </w:p>
    <w:p w14:paraId="2A03F5F6" w14:textId="77777777" w:rsidR="002735C0" w:rsidRPr="00CE4C7D" w:rsidRDefault="002735C0" w:rsidP="00F25A95">
      <w:pPr>
        <w:rPr>
          <w:rFonts w:asciiTheme="majorHAnsi" w:hAnsiTheme="majorHAnsi" w:cstheme="majorHAnsi"/>
          <w:sz w:val="22"/>
          <w:szCs w:val="22"/>
        </w:rPr>
      </w:pPr>
    </w:p>
    <w:p w14:paraId="076B5698" w14:textId="77777777" w:rsidR="00896BF5" w:rsidRPr="00CE4C7D" w:rsidRDefault="00896BF5" w:rsidP="00F25A95">
      <w:pPr>
        <w:rPr>
          <w:rFonts w:asciiTheme="majorHAnsi" w:hAnsiTheme="majorHAnsi" w:cstheme="majorHAnsi"/>
          <w:sz w:val="22"/>
          <w:szCs w:val="22"/>
        </w:rPr>
      </w:pPr>
    </w:p>
    <w:p w14:paraId="3536EA45" w14:textId="528B034E" w:rsidR="00AC425D" w:rsidRPr="00CE4C7D" w:rsidRDefault="00AD41D4" w:rsidP="002735C0">
      <w:pPr>
        <w:pStyle w:val="Heading1"/>
      </w:pPr>
      <w:r w:rsidRPr="00CE4C7D">
        <w:lastRenderedPageBreak/>
        <w:t xml:space="preserve">&lt;a&gt; </w:t>
      </w:r>
      <w:r w:rsidR="00AC22F3" w:rsidRPr="00CE4C7D">
        <w:t xml:space="preserve">What do we mean by </w:t>
      </w:r>
      <w:r w:rsidR="00AC425D" w:rsidRPr="00CE4C7D">
        <w:t xml:space="preserve">energy </w:t>
      </w:r>
      <w:r w:rsidR="001F471B" w:rsidRPr="00CE4C7D">
        <w:t>policy?</w:t>
      </w:r>
    </w:p>
    <w:p w14:paraId="5EF27489" w14:textId="166D883C" w:rsidR="00917D24" w:rsidRPr="00CE4C7D" w:rsidRDefault="00917D24" w:rsidP="00F25A95">
      <w:pPr>
        <w:rPr>
          <w:rFonts w:asciiTheme="majorHAnsi" w:hAnsiTheme="majorHAnsi" w:cstheme="majorHAnsi"/>
          <w:sz w:val="22"/>
          <w:szCs w:val="22"/>
        </w:rPr>
      </w:pPr>
    </w:p>
    <w:p w14:paraId="33CF1011" w14:textId="57AFE657" w:rsidR="002D5F6A" w:rsidRPr="00CE4C7D" w:rsidRDefault="008A6B83" w:rsidP="00F25A95">
      <w:pPr>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 xml:space="preserve">First, it is worth considering what </w:t>
      </w:r>
      <w:r w:rsidR="00860025" w:rsidRPr="00CE4C7D">
        <w:rPr>
          <w:rFonts w:asciiTheme="majorHAnsi" w:hAnsiTheme="majorHAnsi" w:cstheme="majorHAnsi"/>
          <w:color w:val="000000" w:themeColor="text1"/>
          <w:sz w:val="22"/>
          <w:szCs w:val="22"/>
        </w:rPr>
        <w:t>is</w:t>
      </w:r>
      <w:r w:rsidRPr="00CE4C7D">
        <w:rPr>
          <w:rFonts w:asciiTheme="majorHAnsi" w:hAnsiTheme="majorHAnsi" w:cstheme="majorHAnsi"/>
          <w:color w:val="000000" w:themeColor="text1"/>
          <w:sz w:val="22"/>
          <w:szCs w:val="22"/>
        </w:rPr>
        <w:t xml:space="preserve"> mean</w:t>
      </w:r>
      <w:r w:rsidR="00860025" w:rsidRPr="00CE4C7D">
        <w:rPr>
          <w:rFonts w:asciiTheme="majorHAnsi" w:hAnsiTheme="majorHAnsi" w:cstheme="majorHAnsi"/>
          <w:color w:val="000000" w:themeColor="text1"/>
          <w:sz w:val="22"/>
          <w:szCs w:val="22"/>
        </w:rPr>
        <w:t>t</w:t>
      </w:r>
      <w:r w:rsidRPr="00CE4C7D">
        <w:rPr>
          <w:rFonts w:asciiTheme="majorHAnsi" w:hAnsiTheme="majorHAnsi" w:cstheme="majorHAnsi"/>
          <w:color w:val="000000" w:themeColor="text1"/>
          <w:sz w:val="22"/>
          <w:szCs w:val="22"/>
        </w:rPr>
        <w:t xml:space="preserve"> </w:t>
      </w:r>
      <w:r w:rsidR="00860025" w:rsidRPr="00CE4C7D">
        <w:rPr>
          <w:rFonts w:asciiTheme="majorHAnsi" w:hAnsiTheme="majorHAnsi" w:cstheme="majorHAnsi"/>
          <w:color w:val="000000" w:themeColor="text1"/>
          <w:sz w:val="22"/>
          <w:szCs w:val="22"/>
        </w:rPr>
        <w:t xml:space="preserve">by </w:t>
      </w:r>
      <w:r w:rsidR="00EF4A0D" w:rsidRPr="00CE4C7D">
        <w:rPr>
          <w:rFonts w:asciiTheme="majorHAnsi" w:hAnsiTheme="majorHAnsi" w:cstheme="majorHAnsi"/>
          <w:color w:val="000000" w:themeColor="text1"/>
          <w:sz w:val="22"/>
          <w:szCs w:val="22"/>
        </w:rPr>
        <w:t xml:space="preserve">policy in general, and </w:t>
      </w:r>
      <w:r w:rsidRPr="00CE4C7D">
        <w:rPr>
          <w:rFonts w:asciiTheme="majorHAnsi" w:hAnsiTheme="majorHAnsi" w:cstheme="majorHAnsi"/>
          <w:color w:val="000000" w:themeColor="text1"/>
          <w:sz w:val="22"/>
          <w:szCs w:val="22"/>
        </w:rPr>
        <w:t xml:space="preserve">energy </w:t>
      </w:r>
      <w:proofErr w:type="gramStart"/>
      <w:r w:rsidRPr="00CE4C7D">
        <w:rPr>
          <w:rFonts w:asciiTheme="majorHAnsi" w:hAnsiTheme="majorHAnsi" w:cstheme="majorHAnsi"/>
          <w:color w:val="000000" w:themeColor="text1"/>
          <w:sz w:val="22"/>
          <w:szCs w:val="22"/>
        </w:rPr>
        <w:t>policy</w:t>
      </w:r>
      <w:r w:rsidR="00EF4A0D" w:rsidRPr="00CE4C7D">
        <w:rPr>
          <w:rFonts w:asciiTheme="majorHAnsi" w:hAnsiTheme="majorHAnsi" w:cstheme="majorHAnsi"/>
          <w:color w:val="000000" w:themeColor="text1"/>
          <w:sz w:val="22"/>
          <w:szCs w:val="22"/>
        </w:rPr>
        <w:t xml:space="preserve"> in particular</w:t>
      </w:r>
      <w:proofErr w:type="gramEnd"/>
      <w:r w:rsidRPr="00CE4C7D">
        <w:rPr>
          <w:rFonts w:asciiTheme="majorHAnsi" w:hAnsiTheme="majorHAnsi" w:cstheme="majorHAnsi"/>
          <w:color w:val="000000" w:themeColor="text1"/>
          <w:sz w:val="22"/>
          <w:szCs w:val="22"/>
        </w:rPr>
        <w:t xml:space="preserve">. </w:t>
      </w:r>
      <w:r w:rsidR="002D5F6A" w:rsidRPr="00CE4C7D">
        <w:rPr>
          <w:rFonts w:asciiTheme="majorHAnsi" w:hAnsiTheme="majorHAnsi" w:cstheme="majorHAnsi"/>
          <w:color w:val="000000" w:themeColor="text1"/>
          <w:sz w:val="22"/>
          <w:szCs w:val="22"/>
        </w:rPr>
        <w:t xml:space="preserve">While we often think of policy as the province of states, policies are also made at the international level by governmental and non-governmental bodies and corporations, as well as at </w:t>
      </w:r>
      <w:r w:rsidR="005B734C" w:rsidRPr="00CE4C7D">
        <w:rPr>
          <w:rFonts w:asciiTheme="majorHAnsi" w:hAnsiTheme="majorHAnsi" w:cstheme="majorHAnsi"/>
          <w:color w:val="000000" w:themeColor="text1"/>
          <w:sz w:val="22"/>
          <w:szCs w:val="22"/>
        </w:rPr>
        <w:t>devolved and</w:t>
      </w:r>
      <w:r w:rsidR="002D5F6A" w:rsidRPr="00CE4C7D">
        <w:rPr>
          <w:rFonts w:asciiTheme="majorHAnsi" w:hAnsiTheme="majorHAnsi" w:cstheme="majorHAnsi"/>
          <w:color w:val="000000" w:themeColor="text1"/>
          <w:sz w:val="22"/>
          <w:szCs w:val="22"/>
        </w:rPr>
        <w:t xml:space="preserve"> regional</w:t>
      </w:r>
      <w:r w:rsidR="005B734C" w:rsidRPr="00CE4C7D">
        <w:rPr>
          <w:rFonts w:asciiTheme="majorHAnsi" w:hAnsiTheme="majorHAnsi" w:cstheme="majorHAnsi"/>
          <w:color w:val="000000" w:themeColor="text1"/>
          <w:sz w:val="22"/>
          <w:szCs w:val="22"/>
        </w:rPr>
        <w:t xml:space="preserve"> levels. They are also made at the </w:t>
      </w:r>
      <w:r w:rsidR="002D5F6A" w:rsidRPr="00CE4C7D">
        <w:rPr>
          <w:rFonts w:asciiTheme="majorHAnsi" w:hAnsiTheme="majorHAnsi" w:cstheme="majorHAnsi"/>
          <w:color w:val="000000" w:themeColor="text1"/>
          <w:sz w:val="22"/>
          <w:szCs w:val="22"/>
        </w:rPr>
        <w:t xml:space="preserve">local level by councils and institutions such as universities and hospitals. </w:t>
      </w:r>
      <w:r w:rsidR="007B1308" w:rsidRPr="00CE4C7D">
        <w:rPr>
          <w:rFonts w:asciiTheme="majorHAnsi" w:hAnsiTheme="majorHAnsi" w:cstheme="majorHAnsi"/>
          <w:color w:val="000000" w:themeColor="text1"/>
          <w:sz w:val="22"/>
          <w:szCs w:val="22"/>
        </w:rPr>
        <w:t xml:space="preserve">A look at the website of </w:t>
      </w:r>
      <w:r w:rsidR="00697D89" w:rsidRPr="00CE4C7D">
        <w:rPr>
          <w:rFonts w:asciiTheme="majorHAnsi" w:hAnsiTheme="majorHAnsi" w:cstheme="majorHAnsi"/>
          <w:color w:val="000000" w:themeColor="text1"/>
          <w:sz w:val="22"/>
          <w:szCs w:val="22"/>
        </w:rPr>
        <w:t xml:space="preserve">most </w:t>
      </w:r>
      <w:r w:rsidR="007B1308" w:rsidRPr="00CE4C7D">
        <w:rPr>
          <w:rFonts w:asciiTheme="majorHAnsi" w:hAnsiTheme="majorHAnsi" w:cstheme="majorHAnsi"/>
          <w:color w:val="000000" w:themeColor="text1"/>
          <w:sz w:val="22"/>
          <w:szCs w:val="22"/>
        </w:rPr>
        <w:t>institution</w:t>
      </w:r>
      <w:r w:rsidR="00697D89" w:rsidRPr="00CE4C7D">
        <w:rPr>
          <w:rFonts w:asciiTheme="majorHAnsi" w:hAnsiTheme="majorHAnsi" w:cstheme="majorHAnsi"/>
          <w:color w:val="000000" w:themeColor="text1"/>
          <w:sz w:val="22"/>
          <w:szCs w:val="22"/>
        </w:rPr>
        <w:t>s</w:t>
      </w:r>
      <w:r w:rsidR="007B1308" w:rsidRPr="00CE4C7D">
        <w:rPr>
          <w:rFonts w:asciiTheme="majorHAnsi" w:hAnsiTheme="majorHAnsi" w:cstheme="majorHAnsi"/>
          <w:color w:val="000000" w:themeColor="text1"/>
          <w:sz w:val="22"/>
          <w:szCs w:val="22"/>
        </w:rPr>
        <w:t xml:space="preserve"> will reveal an array of formali</w:t>
      </w:r>
      <w:r w:rsidR="000A25B3" w:rsidRPr="00CE4C7D">
        <w:rPr>
          <w:rFonts w:asciiTheme="majorHAnsi" w:hAnsiTheme="majorHAnsi" w:cstheme="majorHAnsi"/>
          <w:color w:val="000000" w:themeColor="text1"/>
          <w:sz w:val="22"/>
          <w:szCs w:val="22"/>
        </w:rPr>
        <w:t>z</w:t>
      </w:r>
      <w:r w:rsidR="007B1308" w:rsidRPr="00CE4C7D">
        <w:rPr>
          <w:rFonts w:asciiTheme="majorHAnsi" w:hAnsiTheme="majorHAnsi" w:cstheme="majorHAnsi"/>
          <w:color w:val="000000" w:themeColor="text1"/>
          <w:sz w:val="22"/>
          <w:szCs w:val="22"/>
        </w:rPr>
        <w:t xml:space="preserve">ed </w:t>
      </w:r>
      <w:r w:rsidR="00F93B9A" w:rsidRPr="00CE4C7D">
        <w:rPr>
          <w:rFonts w:asciiTheme="majorHAnsi" w:hAnsiTheme="majorHAnsi" w:cstheme="majorHAnsi"/>
          <w:color w:val="000000" w:themeColor="text1"/>
          <w:sz w:val="22"/>
          <w:szCs w:val="22"/>
        </w:rPr>
        <w:t>‘</w:t>
      </w:r>
      <w:r w:rsidR="007B1308" w:rsidRPr="00CE4C7D">
        <w:rPr>
          <w:rFonts w:asciiTheme="majorHAnsi" w:hAnsiTheme="majorHAnsi" w:cstheme="majorHAnsi"/>
          <w:color w:val="000000" w:themeColor="text1"/>
          <w:sz w:val="22"/>
          <w:szCs w:val="22"/>
        </w:rPr>
        <w:t>policies</w:t>
      </w:r>
      <w:r w:rsidR="00F93B9A" w:rsidRPr="00CE4C7D">
        <w:rPr>
          <w:rFonts w:asciiTheme="majorHAnsi" w:hAnsiTheme="majorHAnsi" w:cstheme="majorHAnsi"/>
          <w:color w:val="000000" w:themeColor="text1"/>
          <w:sz w:val="22"/>
          <w:szCs w:val="22"/>
        </w:rPr>
        <w:t>’</w:t>
      </w:r>
      <w:r w:rsidR="00697D89" w:rsidRPr="00CE4C7D">
        <w:rPr>
          <w:rFonts w:asciiTheme="majorHAnsi" w:hAnsiTheme="majorHAnsi" w:cstheme="majorHAnsi"/>
          <w:color w:val="000000" w:themeColor="text1"/>
          <w:sz w:val="22"/>
          <w:szCs w:val="22"/>
        </w:rPr>
        <w:t>, on any</w:t>
      </w:r>
      <w:r w:rsidR="007B1308" w:rsidRPr="00CE4C7D">
        <w:rPr>
          <w:rFonts w:asciiTheme="majorHAnsi" w:hAnsiTheme="majorHAnsi" w:cstheme="majorHAnsi"/>
          <w:color w:val="000000" w:themeColor="text1"/>
          <w:sz w:val="22"/>
          <w:szCs w:val="22"/>
        </w:rPr>
        <w:t xml:space="preserve">thing from </w:t>
      </w:r>
      <w:r w:rsidR="00697D89" w:rsidRPr="00CE4C7D">
        <w:rPr>
          <w:rFonts w:asciiTheme="majorHAnsi" w:hAnsiTheme="majorHAnsi" w:cstheme="majorHAnsi"/>
          <w:color w:val="000000" w:themeColor="text1"/>
          <w:sz w:val="22"/>
          <w:szCs w:val="22"/>
        </w:rPr>
        <w:t xml:space="preserve">Health and Safety procedures through to ethical, financial and strategic </w:t>
      </w:r>
      <w:r w:rsidR="00B377FB" w:rsidRPr="00CE4C7D">
        <w:rPr>
          <w:rFonts w:asciiTheme="majorHAnsi" w:hAnsiTheme="majorHAnsi" w:cstheme="majorHAnsi"/>
          <w:color w:val="000000" w:themeColor="text1"/>
          <w:sz w:val="22"/>
          <w:szCs w:val="22"/>
        </w:rPr>
        <w:t>policies.</w:t>
      </w:r>
      <w:r w:rsidR="001117ED" w:rsidRPr="00CE4C7D">
        <w:rPr>
          <w:rFonts w:asciiTheme="majorHAnsi" w:hAnsiTheme="majorHAnsi" w:cstheme="majorHAnsi"/>
          <w:color w:val="000000" w:themeColor="text1"/>
          <w:sz w:val="22"/>
          <w:szCs w:val="22"/>
        </w:rPr>
        <w:t xml:space="preserve"> Policies across these scales are often connected; for example,</w:t>
      </w:r>
      <w:r w:rsidR="000F20DE" w:rsidRPr="00CE4C7D">
        <w:rPr>
          <w:rFonts w:asciiTheme="majorHAnsi" w:hAnsiTheme="majorHAnsi" w:cstheme="majorHAnsi"/>
          <w:color w:val="000000" w:themeColor="text1"/>
          <w:sz w:val="22"/>
          <w:szCs w:val="22"/>
        </w:rPr>
        <w:t xml:space="preserve"> national p</w:t>
      </w:r>
      <w:r w:rsidR="00860025" w:rsidRPr="00CE4C7D">
        <w:rPr>
          <w:rFonts w:asciiTheme="majorHAnsi" w:hAnsiTheme="majorHAnsi" w:cstheme="majorHAnsi"/>
          <w:color w:val="000000" w:themeColor="text1"/>
          <w:sz w:val="22"/>
          <w:szCs w:val="22"/>
        </w:rPr>
        <w:t>olicies</w:t>
      </w:r>
      <w:r w:rsidR="00DF4F57" w:rsidRPr="00CE4C7D">
        <w:rPr>
          <w:rFonts w:asciiTheme="majorHAnsi" w:hAnsiTheme="majorHAnsi" w:cstheme="majorHAnsi"/>
          <w:color w:val="000000" w:themeColor="text1"/>
          <w:sz w:val="22"/>
          <w:szCs w:val="22"/>
        </w:rPr>
        <w:t xml:space="preserve"> on discrimination, or </w:t>
      </w:r>
      <w:r w:rsidR="00EF4E87" w:rsidRPr="00CE4C7D">
        <w:rPr>
          <w:rFonts w:asciiTheme="majorHAnsi" w:hAnsiTheme="majorHAnsi" w:cstheme="majorHAnsi"/>
          <w:color w:val="000000" w:themeColor="text1"/>
          <w:sz w:val="22"/>
          <w:szCs w:val="22"/>
        </w:rPr>
        <w:t xml:space="preserve">on </w:t>
      </w:r>
      <w:proofErr w:type="gramStart"/>
      <w:r w:rsidR="00DF4F57" w:rsidRPr="00CE4C7D">
        <w:rPr>
          <w:rFonts w:asciiTheme="majorHAnsi" w:hAnsiTheme="majorHAnsi" w:cstheme="majorHAnsi"/>
          <w:color w:val="000000" w:themeColor="text1"/>
          <w:sz w:val="22"/>
          <w:szCs w:val="22"/>
        </w:rPr>
        <w:t>counter-terrorism</w:t>
      </w:r>
      <w:proofErr w:type="gramEnd"/>
      <w:r w:rsidR="00DF4F57" w:rsidRPr="00CE4C7D">
        <w:rPr>
          <w:rFonts w:asciiTheme="majorHAnsi" w:hAnsiTheme="majorHAnsi" w:cstheme="majorHAnsi"/>
          <w:color w:val="000000" w:themeColor="text1"/>
          <w:sz w:val="22"/>
          <w:szCs w:val="22"/>
        </w:rPr>
        <w:t xml:space="preserve">, or </w:t>
      </w:r>
      <w:r w:rsidR="00EF4E87" w:rsidRPr="00CE4C7D">
        <w:rPr>
          <w:rFonts w:asciiTheme="majorHAnsi" w:hAnsiTheme="majorHAnsi" w:cstheme="majorHAnsi"/>
          <w:color w:val="000000" w:themeColor="text1"/>
          <w:sz w:val="22"/>
          <w:szCs w:val="22"/>
        </w:rPr>
        <w:t xml:space="preserve">on </w:t>
      </w:r>
      <w:r w:rsidR="00DF4F57" w:rsidRPr="00CE4C7D">
        <w:rPr>
          <w:rFonts w:asciiTheme="majorHAnsi" w:hAnsiTheme="majorHAnsi" w:cstheme="majorHAnsi"/>
          <w:color w:val="000000" w:themeColor="text1"/>
          <w:sz w:val="22"/>
          <w:szCs w:val="22"/>
        </w:rPr>
        <w:t>climate change will</w:t>
      </w:r>
      <w:r w:rsidR="000F20DE" w:rsidRPr="00CE4C7D">
        <w:rPr>
          <w:rFonts w:asciiTheme="majorHAnsi" w:hAnsiTheme="majorHAnsi" w:cstheme="majorHAnsi"/>
          <w:color w:val="000000" w:themeColor="text1"/>
          <w:sz w:val="22"/>
          <w:szCs w:val="22"/>
        </w:rPr>
        <w:t xml:space="preserve"> inform sectoral and institutional p</w:t>
      </w:r>
      <w:r w:rsidR="00860025" w:rsidRPr="00CE4C7D">
        <w:rPr>
          <w:rFonts w:asciiTheme="majorHAnsi" w:hAnsiTheme="majorHAnsi" w:cstheme="majorHAnsi"/>
          <w:color w:val="000000" w:themeColor="text1"/>
          <w:sz w:val="22"/>
          <w:szCs w:val="22"/>
        </w:rPr>
        <w:t>olicies</w:t>
      </w:r>
      <w:r w:rsidR="000F20DE" w:rsidRPr="00CE4C7D">
        <w:rPr>
          <w:rFonts w:asciiTheme="majorHAnsi" w:hAnsiTheme="majorHAnsi" w:cstheme="majorHAnsi"/>
          <w:color w:val="000000" w:themeColor="text1"/>
          <w:sz w:val="22"/>
          <w:szCs w:val="22"/>
        </w:rPr>
        <w:t>.</w:t>
      </w:r>
      <w:r w:rsidR="00860025" w:rsidRPr="00CE4C7D">
        <w:rPr>
          <w:rFonts w:asciiTheme="majorHAnsi" w:hAnsiTheme="majorHAnsi" w:cstheme="majorHAnsi"/>
          <w:color w:val="000000" w:themeColor="text1"/>
          <w:sz w:val="22"/>
          <w:szCs w:val="22"/>
        </w:rPr>
        <w:t xml:space="preserve"> We take a deliberately broad understanding of policy, that includes plans, </w:t>
      </w:r>
      <w:r w:rsidR="00860025" w:rsidRPr="00CE4C7D">
        <w:rPr>
          <w:rFonts w:asciiTheme="majorHAnsi" w:eastAsia="Times New Roman" w:hAnsiTheme="majorHAnsi" w:cs="Times New Roman"/>
          <w:sz w:val="22"/>
          <w:szCs w:val="22"/>
          <w:lang w:val="en-US"/>
        </w:rPr>
        <w:t xml:space="preserve">protocols, performance indicators, </w:t>
      </w:r>
      <w:r w:rsidR="00DF4F57" w:rsidRPr="00CE4C7D">
        <w:rPr>
          <w:rFonts w:asciiTheme="majorHAnsi" w:eastAsia="Times New Roman" w:hAnsiTheme="majorHAnsi" w:cs="Times New Roman"/>
          <w:sz w:val="22"/>
          <w:szCs w:val="22"/>
          <w:lang w:val="en-US"/>
        </w:rPr>
        <w:t xml:space="preserve">rules, </w:t>
      </w:r>
      <w:r w:rsidR="00860025" w:rsidRPr="00CE4C7D">
        <w:rPr>
          <w:rFonts w:asciiTheme="majorHAnsi" w:eastAsia="Times New Roman" w:hAnsiTheme="majorHAnsi" w:cs="Times New Roman"/>
          <w:sz w:val="22"/>
          <w:szCs w:val="22"/>
          <w:lang w:val="en-US"/>
        </w:rPr>
        <w:t>standards and guidelines, that are used to establish, encode and enact an organi</w:t>
      </w:r>
      <w:r w:rsidR="0029692E" w:rsidRPr="00CE4C7D">
        <w:rPr>
          <w:rFonts w:asciiTheme="majorHAnsi" w:eastAsia="Times New Roman" w:hAnsiTheme="majorHAnsi" w:cs="Times New Roman"/>
          <w:sz w:val="22"/>
          <w:szCs w:val="22"/>
          <w:lang w:val="en-US"/>
        </w:rPr>
        <w:t>z</w:t>
      </w:r>
      <w:r w:rsidR="00860025" w:rsidRPr="00CE4C7D">
        <w:rPr>
          <w:rFonts w:asciiTheme="majorHAnsi" w:eastAsia="Times New Roman" w:hAnsiTheme="majorHAnsi" w:cs="Times New Roman"/>
          <w:sz w:val="22"/>
          <w:szCs w:val="22"/>
          <w:lang w:val="en-US"/>
        </w:rPr>
        <w:t>ation’s goals (see Royston et al., 2018 for further discussion of policies).</w:t>
      </w:r>
    </w:p>
    <w:p w14:paraId="5099FEB1" w14:textId="77777777" w:rsidR="00C5400C" w:rsidRPr="00CE4C7D" w:rsidRDefault="00C5400C" w:rsidP="00F25A95">
      <w:pPr>
        <w:rPr>
          <w:rFonts w:asciiTheme="majorHAnsi" w:hAnsiTheme="majorHAnsi" w:cstheme="majorHAnsi"/>
          <w:color w:val="000000" w:themeColor="text1"/>
          <w:sz w:val="22"/>
          <w:szCs w:val="22"/>
        </w:rPr>
      </w:pPr>
    </w:p>
    <w:p w14:paraId="09FDAFFB" w14:textId="39D449C3" w:rsidR="00917D24" w:rsidRPr="00CE4C7D" w:rsidRDefault="008A6B83" w:rsidP="00F25A95">
      <w:pPr>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 xml:space="preserve">The term </w:t>
      </w:r>
      <w:r w:rsidR="005B384A"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energy policies</w:t>
      </w:r>
      <w:r w:rsidR="005B384A"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 xml:space="preserve"> generally means policies</w:t>
      </w:r>
      <w:r w:rsidR="00917D24" w:rsidRPr="00CE4C7D">
        <w:rPr>
          <w:rFonts w:asciiTheme="majorHAnsi" w:hAnsiTheme="majorHAnsi" w:cstheme="majorHAnsi"/>
          <w:color w:val="000000" w:themeColor="text1"/>
          <w:sz w:val="22"/>
          <w:szCs w:val="22"/>
        </w:rPr>
        <w:t xml:space="preserve"> </w:t>
      </w:r>
      <w:r w:rsidR="00DB1A80" w:rsidRPr="00CE4C7D">
        <w:rPr>
          <w:rFonts w:asciiTheme="majorHAnsi" w:hAnsiTheme="majorHAnsi" w:cstheme="majorHAnsi"/>
          <w:color w:val="000000" w:themeColor="text1"/>
          <w:sz w:val="22"/>
          <w:szCs w:val="22"/>
        </w:rPr>
        <w:t xml:space="preserve">directly relating to </w:t>
      </w:r>
      <w:r w:rsidR="00917D24" w:rsidRPr="00CE4C7D">
        <w:rPr>
          <w:rFonts w:asciiTheme="majorHAnsi" w:hAnsiTheme="majorHAnsi" w:cstheme="majorHAnsi"/>
          <w:color w:val="000000" w:themeColor="text1"/>
          <w:sz w:val="22"/>
          <w:szCs w:val="22"/>
        </w:rPr>
        <w:t>the production, distribution and consumption</w:t>
      </w:r>
      <w:r w:rsidR="00854EB4" w:rsidRPr="00CE4C7D">
        <w:rPr>
          <w:rFonts w:asciiTheme="majorHAnsi" w:hAnsiTheme="majorHAnsi" w:cstheme="majorHAnsi"/>
          <w:color w:val="000000" w:themeColor="text1"/>
          <w:sz w:val="22"/>
          <w:szCs w:val="22"/>
        </w:rPr>
        <w:t xml:space="preserve"> of energy</w:t>
      </w:r>
      <w:r w:rsidR="00917D24" w:rsidRPr="00CE4C7D">
        <w:rPr>
          <w:rFonts w:asciiTheme="majorHAnsi" w:hAnsiTheme="majorHAnsi" w:cstheme="majorHAnsi"/>
          <w:color w:val="000000" w:themeColor="text1"/>
          <w:sz w:val="22"/>
          <w:szCs w:val="22"/>
        </w:rPr>
        <w:t xml:space="preserve">. </w:t>
      </w:r>
      <w:r w:rsidR="008477C5" w:rsidRPr="00CE4C7D">
        <w:rPr>
          <w:rFonts w:asciiTheme="majorHAnsi" w:hAnsiTheme="majorHAnsi" w:cstheme="majorHAnsi"/>
          <w:color w:val="000000" w:themeColor="text1"/>
          <w:sz w:val="22"/>
          <w:szCs w:val="22"/>
        </w:rPr>
        <w:t>In theory</w:t>
      </w:r>
      <w:r w:rsidR="00917D24" w:rsidRPr="00CE4C7D">
        <w:rPr>
          <w:rFonts w:asciiTheme="majorHAnsi" w:hAnsiTheme="majorHAnsi" w:cstheme="majorHAnsi"/>
          <w:color w:val="000000" w:themeColor="text1"/>
          <w:sz w:val="22"/>
          <w:szCs w:val="22"/>
        </w:rPr>
        <w:t>, defi</w:t>
      </w:r>
      <w:r w:rsidR="008477C5" w:rsidRPr="00CE4C7D">
        <w:rPr>
          <w:rFonts w:asciiTheme="majorHAnsi" w:hAnsiTheme="majorHAnsi" w:cstheme="majorHAnsi"/>
          <w:color w:val="000000" w:themeColor="text1"/>
          <w:sz w:val="22"/>
          <w:szCs w:val="22"/>
        </w:rPr>
        <w:t>nitions of energy policy generally</w:t>
      </w:r>
      <w:r w:rsidR="00917D24" w:rsidRPr="00CE4C7D">
        <w:rPr>
          <w:rFonts w:asciiTheme="majorHAnsi" w:hAnsiTheme="majorHAnsi" w:cstheme="majorHAnsi"/>
          <w:color w:val="000000" w:themeColor="text1"/>
          <w:sz w:val="22"/>
          <w:szCs w:val="22"/>
        </w:rPr>
        <w:t xml:space="preserve"> give equal weight</w:t>
      </w:r>
      <w:r w:rsidR="008477C5" w:rsidRPr="00CE4C7D">
        <w:rPr>
          <w:rFonts w:asciiTheme="majorHAnsi" w:hAnsiTheme="majorHAnsi" w:cstheme="majorHAnsi"/>
          <w:color w:val="000000" w:themeColor="text1"/>
          <w:sz w:val="22"/>
          <w:szCs w:val="22"/>
        </w:rPr>
        <w:t xml:space="preserve"> to issue</w:t>
      </w:r>
      <w:r w:rsidR="00917D24" w:rsidRPr="00CE4C7D">
        <w:rPr>
          <w:rFonts w:asciiTheme="majorHAnsi" w:hAnsiTheme="majorHAnsi" w:cstheme="majorHAnsi"/>
          <w:color w:val="000000" w:themeColor="text1"/>
          <w:sz w:val="22"/>
          <w:szCs w:val="22"/>
        </w:rPr>
        <w:t xml:space="preserve">s of supply and </w:t>
      </w:r>
      <w:r w:rsidR="008477C5" w:rsidRPr="00CE4C7D">
        <w:rPr>
          <w:rFonts w:asciiTheme="majorHAnsi" w:hAnsiTheme="majorHAnsi" w:cstheme="majorHAnsi"/>
          <w:color w:val="000000" w:themeColor="text1"/>
          <w:sz w:val="22"/>
          <w:szCs w:val="22"/>
        </w:rPr>
        <w:t>issues of demand; however,</w:t>
      </w:r>
      <w:r w:rsidR="00917D24" w:rsidRPr="00CE4C7D">
        <w:rPr>
          <w:rFonts w:asciiTheme="majorHAnsi" w:hAnsiTheme="majorHAnsi" w:cstheme="majorHAnsi"/>
          <w:color w:val="000000" w:themeColor="text1"/>
          <w:sz w:val="22"/>
          <w:szCs w:val="22"/>
        </w:rPr>
        <w:t xml:space="preserve"> this is </w:t>
      </w:r>
      <w:r w:rsidR="008477C5" w:rsidRPr="00CE4C7D">
        <w:rPr>
          <w:rFonts w:asciiTheme="majorHAnsi" w:hAnsiTheme="majorHAnsi" w:cstheme="majorHAnsi"/>
          <w:color w:val="000000" w:themeColor="text1"/>
          <w:sz w:val="22"/>
          <w:szCs w:val="22"/>
        </w:rPr>
        <w:t xml:space="preserve">not always the </w:t>
      </w:r>
      <w:proofErr w:type="gramStart"/>
      <w:r w:rsidR="008477C5" w:rsidRPr="00CE4C7D">
        <w:rPr>
          <w:rFonts w:asciiTheme="majorHAnsi" w:hAnsiTheme="majorHAnsi" w:cstheme="majorHAnsi"/>
          <w:color w:val="000000" w:themeColor="text1"/>
          <w:sz w:val="22"/>
          <w:szCs w:val="22"/>
        </w:rPr>
        <w:t>case in reality</w:t>
      </w:r>
      <w:proofErr w:type="gramEnd"/>
      <w:r w:rsidR="00917D24" w:rsidRPr="00CE4C7D">
        <w:rPr>
          <w:rFonts w:asciiTheme="majorHAnsi" w:hAnsiTheme="majorHAnsi" w:cstheme="majorHAnsi"/>
          <w:color w:val="000000" w:themeColor="text1"/>
          <w:sz w:val="22"/>
          <w:szCs w:val="22"/>
        </w:rPr>
        <w:t xml:space="preserve">. </w:t>
      </w:r>
      <w:r w:rsidR="00C5400C" w:rsidRPr="00CE4C7D">
        <w:rPr>
          <w:rFonts w:asciiTheme="majorHAnsi" w:hAnsiTheme="majorHAnsi" w:cstheme="majorHAnsi"/>
          <w:color w:val="000000" w:themeColor="text1"/>
          <w:sz w:val="22"/>
          <w:szCs w:val="22"/>
        </w:rPr>
        <w:t>To give one (somewhat extreme)</w:t>
      </w:r>
      <w:r w:rsidR="008477C5" w:rsidRPr="00CE4C7D">
        <w:rPr>
          <w:rFonts w:asciiTheme="majorHAnsi" w:hAnsiTheme="majorHAnsi" w:cstheme="majorHAnsi"/>
          <w:color w:val="000000" w:themeColor="text1"/>
          <w:sz w:val="22"/>
          <w:szCs w:val="22"/>
        </w:rPr>
        <w:t xml:space="preserve"> example, a</w:t>
      </w:r>
      <w:r w:rsidR="00917D24" w:rsidRPr="00CE4C7D">
        <w:rPr>
          <w:rFonts w:asciiTheme="majorHAnsi" w:hAnsiTheme="majorHAnsi" w:cstheme="majorHAnsi"/>
          <w:color w:val="000000" w:themeColor="text1"/>
          <w:sz w:val="22"/>
          <w:szCs w:val="22"/>
        </w:rPr>
        <w:t xml:space="preserve"> textbook entitled ‘Understanding energy and energy polic</w:t>
      </w:r>
      <w:r w:rsidR="008477C5" w:rsidRPr="00CE4C7D">
        <w:rPr>
          <w:rFonts w:asciiTheme="majorHAnsi" w:hAnsiTheme="majorHAnsi" w:cstheme="majorHAnsi"/>
          <w:color w:val="000000" w:themeColor="text1"/>
          <w:sz w:val="22"/>
          <w:szCs w:val="22"/>
        </w:rPr>
        <w:t>y’ (Braun and Glidden, 2014) includes</w:t>
      </w:r>
      <w:r w:rsidR="00917D24" w:rsidRPr="00CE4C7D">
        <w:rPr>
          <w:rFonts w:asciiTheme="majorHAnsi" w:hAnsiTheme="majorHAnsi" w:cstheme="majorHAnsi"/>
          <w:color w:val="000000" w:themeColor="text1"/>
          <w:sz w:val="22"/>
          <w:szCs w:val="22"/>
        </w:rPr>
        <w:t xml:space="preserve"> seven </w:t>
      </w:r>
      <w:r w:rsidR="008477C5" w:rsidRPr="00CE4C7D">
        <w:rPr>
          <w:rFonts w:asciiTheme="majorHAnsi" w:hAnsiTheme="majorHAnsi" w:cstheme="majorHAnsi"/>
          <w:color w:val="000000" w:themeColor="text1"/>
          <w:sz w:val="22"/>
          <w:szCs w:val="22"/>
        </w:rPr>
        <w:t>chapters focused on energy supply, but</w:t>
      </w:r>
      <w:r w:rsidR="00917D24" w:rsidRPr="00CE4C7D">
        <w:rPr>
          <w:rFonts w:asciiTheme="majorHAnsi" w:hAnsiTheme="majorHAnsi" w:cstheme="majorHAnsi"/>
          <w:color w:val="000000" w:themeColor="text1"/>
          <w:sz w:val="22"/>
          <w:szCs w:val="22"/>
        </w:rPr>
        <w:t xml:space="preserve"> none on energy demand. </w:t>
      </w:r>
      <w:r w:rsidR="008477C5" w:rsidRPr="00CE4C7D">
        <w:rPr>
          <w:rFonts w:asciiTheme="majorHAnsi" w:hAnsiTheme="majorHAnsi" w:cstheme="majorHAnsi"/>
          <w:color w:val="000000" w:themeColor="text1"/>
          <w:sz w:val="22"/>
          <w:szCs w:val="22"/>
        </w:rPr>
        <w:t xml:space="preserve">The same trend can be observed in the policy sphere, </w:t>
      </w:r>
      <w:r w:rsidR="0096225D" w:rsidRPr="00CE4C7D">
        <w:rPr>
          <w:rFonts w:asciiTheme="majorHAnsi" w:hAnsiTheme="majorHAnsi" w:cstheme="majorHAnsi"/>
          <w:color w:val="000000" w:themeColor="text1"/>
          <w:sz w:val="22"/>
          <w:szCs w:val="22"/>
        </w:rPr>
        <w:t xml:space="preserve">and </w:t>
      </w:r>
      <w:r w:rsidR="008477C5" w:rsidRPr="00CE4C7D">
        <w:rPr>
          <w:rFonts w:asciiTheme="majorHAnsi" w:hAnsiTheme="majorHAnsi" w:cstheme="majorHAnsi"/>
          <w:color w:val="000000" w:themeColor="text1"/>
          <w:sz w:val="22"/>
          <w:szCs w:val="22"/>
        </w:rPr>
        <w:t>the demand side has been called</w:t>
      </w:r>
      <w:r w:rsidR="00917D24" w:rsidRPr="00CE4C7D">
        <w:rPr>
          <w:rFonts w:asciiTheme="majorHAnsi" w:hAnsiTheme="majorHAnsi" w:cstheme="majorHAnsi"/>
          <w:color w:val="000000" w:themeColor="text1"/>
          <w:sz w:val="22"/>
          <w:szCs w:val="22"/>
        </w:rPr>
        <w:t xml:space="preserve"> ‘the Cinderella of energy policy, receiving scant policy attention and limited financial support when compared to energy supply’ (Smith, 2009, p. 64-65). </w:t>
      </w:r>
      <w:r w:rsidR="009C0DFC" w:rsidRPr="00CE4C7D">
        <w:rPr>
          <w:rFonts w:asciiTheme="majorHAnsi" w:hAnsiTheme="majorHAnsi" w:cstheme="majorHAnsi"/>
          <w:color w:val="000000" w:themeColor="text1"/>
          <w:sz w:val="22"/>
          <w:szCs w:val="22"/>
        </w:rPr>
        <w:t>In 2018 t</w:t>
      </w:r>
      <w:r w:rsidR="00917D24" w:rsidRPr="00CE4C7D">
        <w:rPr>
          <w:rFonts w:asciiTheme="majorHAnsi" w:hAnsiTheme="majorHAnsi" w:cstheme="majorHAnsi"/>
          <w:color w:val="000000" w:themeColor="text1"/>
          <w:sz w:val="22"/>
          <w:szCs w:val="22"/>
        </w:rPr>
        <w:t xml:space="preserve">he UK </w:t>
      </w:r>
      <w:r w:rsidR="009541B4" w:rsidRPr="00CE4C7D">
        <w:rPr>
          <w:rFonts w:asciiTheme="majorHAnsi" w:hAnsiTheme="majorHAnsi" w:cstheme="majorHAnsi"/>
          <w:color w:val="000000" w:themeColor="text1"/>
          <w:sz w:val="22"/>
          <w:szCs w:val="22"/>
        </w:rPr>
        <w:t>G</w:t>
      </w:r>
      <w:r w:rsidR="00917D24" w:rsidRPr="00CE4C7D">
        <w:rPr>
          <w:rFonts w:asciiTheme="majorHAnsi" w:hAnsiTheme="majorHAnsi" w:cstheme="majorHAnsi"/>
          <w:color w:val="000000" w:themeColor="text1"/>
          <w:sz w:val="22"/>
          <w:szCs w:val="22"/>
        </w:rPr>
        <w:t xml:space="preserve">overnment's </w:t>
      </w:r>
      <w:r w:rsidR="009C0DFC" w:rsidRPr="00CE4C7D">
        <w:rPr>
          <w:rStyle w:val="Emphasis"/>
          <w:rFonts w:asciiTheme="majorHAnsi" w:hAnsiTheme="majorHAnsi" w:cstheme="majorHAnsi"/>
          <w:color w:val="000000" w:themeColor="text1"/>
          <w:sz w:val="22"/>
          <w:szCs w:val="22"/>
        </w:rPr>
        <w:t xml:space="preserve">Cost of Energy Review </w:t>
      </w:r>
      <w:r w:rsidR="009C0DFC" w:rsidRPr="00CE4C7D">
        <w:rPr>
          <w:rStyle w:val="Emphasis"/>
          <w:rFonts w:asciiTheme="majorHAnsi" w:hAnsiTheme="majorHAnsi" w:cstheme="majorHAnsi"/>
          <w:i w:val="0"/>
          <w:color w:val="000000" w:themeColor="text1"/>
          <w:sz w:val="22"/>
          <w:szCs w:val="22"/>
        </w:rPr>
        <w:t>was</w:t>
      </w:r>
      <w:r w:rsidR="00487F20" w:rsidRPr="00CE4C7D">
        <w:rPr>
          <w:rStyle w:val="Emphasis"/>
          <w:rFonts w:asciiTheme="majorHAnsi" w:hAnsiTheme="majorHAnsi" w:cstheme="majorHAnsi"/>
          <w:i w:val="0"/>
          <w:color w:val="000000" w:themeColor="text1"/>
          <w:sz w:val="22"/>
          <w:szCs w:val="22"/>
        </w:rPr>
        <w:t xml:space="preserve"> described</w:t>
      </w:r>
      <w:r w:rsidR="00917D24" w:rsidRPr="00CE4C7D">
        <w:rPr>
          <w:rStyle w:val="Emphasis"/>
          <w:rFonts w:asciiTheme="majorHAnsi" w:hAnsiTheme="majorHAnsi" w:cstheme="majorHAnsi"/>
          <w:i w:val="0"/>
          <w:color w:val="000000" w:themeColor="text1"/>
          <w:sz w:val="22"/>
          <w:szCs w:val="22"/>
        </w:rPr>
        <w:t xml:space="preserve"> as</w:t>
      </w:r>
      <w:r w:rsidR="00917D24" w:rsidRPr="00CE4C7D">
        <w:rPr>
          <w:rStyle w:val="Emphasis"/>
          <w:rFonts w:asciiTheme="majorHAnsi" w:hAnsiTheme="majorHAnsi" w:cstheme="majorHAnsi"/>
          <w:color w:val="000000" w:themeColor="text1"/>
          <w:sz w:val="22"/>
          <w:szCs w:val="22"/>
        </w:rPr>
        <w:t xml:space="preserve"> </w:t>
      </w:r>
      <w:r w:rsidR="00917D24" w:rsidRPr="00CE4C7D">
        <w:rPr>
          <w:rFonts w:asciiTheme="majorHAnsi" w:hAnsiTheme="majorHAnsi" w:cstheme="majorHAnsi"/>
          <w:color w:val="000000" w:themeColor="text1"/>
          <w:sz w:val="22"/>
          <w:szCs w:val="22"/>
        </w:rPr>
        <w:t>‘highly skewed towards considering supply-side issues and away from demand side policy’</w:t>
      </w:r>
      <w:r w:rsidR="00917D24" w:rsidRPr="00CE4C7D">
        <w:rPr>
          <w:rFonts w:asciiTheme="majorHAnsi" w:hAnsiTheme="majorHAnsi" w:cstheme="majorHAnsi"/>
          <w:i/>
          <w:color w:val="000000" w:themeColor="text1"/>
          <w:sz w:val="22"/>
          <w:szCs w:val="22"/>
        </w:rPr>
        <w:t xml:space="preserve"> </w:t>
      </w:r>
      <w:r w:rsidR="00917D24" w:rsidRPr="00CE4C7D">
        <w:rPr>
          <w:rFonts w:asciiTheme="majorHAnsi" w:hAnsiTheme="majorHAnsi" w:cstheme="majorHAnsi"/>
          <w:color w:val="000000" w:themeColor="text1"/>
          <w:sz w:val="22"/>
          <w:szCs w:val="22"/>
        </w:rPr>
        <w:t>(End Use Energy Demand Centres, 2018)</w:t>
      </w:r>
      <w:r w:rsidR="00245D38" w:rsidRPr="00CE4C7D">
        <w:rPr>
          <w:rFonts w:asciiTheme="majorHAnsi" w:hAnsiTheme="majorHAnsi" w:cstheme="majorHAnsi"/>
          <w:color w:val="000000" w:themeColor="text1"/>
          <w:sz w:val="22"/>
          <w:szCs w:val="22"/>
        </w:rPr>
        <w:t>, while the Committee on Climate Change (2018) highlighted some significant policy gaps regarding the demand side in their evaluation of the UK</w:t>
      </w:r>
      <w:r w:rsidR="005949E2" w:rsidRPr="00CE4C7D">
        <w:rPr>
          <w:rFonts w:asciiTheme="majorHAnsi" w:hAnsiTheme="majorHAnsi" w:cstheme="majorHAnsi"/>
          <w:color w:val="000000" w:themeColor="text1"/>
          <w:sz w:val="22"/>
          <w:szCs w:val="22"/>
        </w:rPr>
        <w:t>’</w:t>
      </w:r>
      <w:r w:rsidR="00245D38" w:rsidRPr="00CE4C7D">
        <w:rPr>
          <w:rFonts w:asciiTheme="majorHAnsi" w:hAnsiTheme="majorHAnsi" w:cstheme="majorHAnsi"/>
          <w:color w:val="000000" w:themeColor="text1"/>
          <w:sz w:val="22"/>
          <w:szCs w:val="22"/>
        </w:rPr>
        <w:t xml:space="preserve">s 2017 Clean Growth Strategy.  </w:t>
      </w:r>
    </w:p>
    <w:p w14:paraId="37713415" w14:textId="77777777" w:rsidR="00487F20" w:rsidRPr="00CE4C7D" w:rsidRDefault="00487F20" w:rsidP="00F25A95">
      <w:pPr>
        <w:rPr>
          <w:rFonts w:asciiTheme="majorHAnsi" w:hAnsiTheme="majorHAnsi" w:cstheme="majorHAnsi"/>
          <w:color w:val="943634" w:themeColor="accent2" w:themeShade="BF"/>
          <w:sz w:val="22"/>
          <w:szCs w:val="22"/>
        </w:rPr>
      </w:pPr>
    </w:p>
    <w:p w14:paraId="7ED019C2" w14:textId="12247891" w:rsidR="00917D24" w:rsidRPr="00CE4C7D" w:rsidRDefault="00487F20" w:rsidP="00F25A95">
      <w:pPr>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Furthermore, when energy policies do tackle issues of demand, they often adopt a narrow framing of demand</w:t>
      </w:r>
      <w:r w:rsidR="00276F49" w:rsidRPr="00CE4C7D">
        <w:rPr>
          <w:rFonts w:asciiTheme="majorHAnsi" w:hAnsiTheme="majorHAnsi" w:cstheme="majorHAnsi"/>
          <w:color w:val="000000" w:themeColor="text1"/>
          <w:sz w:val="22"/>
          <w:szCs w:val="22"/>
        </w:rPr>
        <w:t xml:space="preserve">. </w:t>
      </w:r>
      <w:r w:rsidRPr="00CE4C7D">
        <w:rPr>
          <w:rFonts w:asciiTheme="majorHAnsi" w:hAnsiTheme="majorHAnsi" w:cstheme="majorHAnsi"/>
          <w:color w:val="000000" w:themeColor="text1"/>
          <w:sz w:val="22"/>
          <w:szCs w:val="22"/>
        </w:rPr>
        <w:t>‘D</w:t>
      </w:r>
      <w:r w:rsidR="00917D24" w:rsidRPr="00CE4C7D">
        <w:rPr>
          <w:rFonts w:asciiTheme="majorHAnsi" w:hAnsiTheme="majorHAnsi" w:cstheme="majorHAnsi"/>
          <w:color w:val="000000" w:themeColor="text1"/>
          <w:sz w:val="22"/>
          <w:szCs w:val="22"/>
        </w:rPr>
        <w:t xml:space="preserve">emand-side’ policy </w:t>
      </w:r>
      <w:r w:rsidRPr="00CE4C7D">
        <w:rPr>
          <w:rFonts w:asciiTheme="majorHAnsi" w:hAnsiTheme="majorHAnsi" w:cstheme="majorHAnsi"/>
          <w:color w:val="000000" w:themeColor="text1"/>
          <w:sz w:val="22"/>
          <w:szCs w:val="22"/>
        </w:rPr>
        <w:t xml:space="preserve">tends to translate largely into </w:t>
      </w:r>
      <w:r w:rsidR="00917D24" w:rsidRPr="00CE4C7D">
        <w:rPr>
          <w:rFonts w:asciiTheme="majorHAnsi" w:hAnsiTheme="majorHAnsi" w:cstheme="majorHAnsi"/>
          <w:i/>
          <w:color w:val="000000" w:themeColor="text1"/>
          <w:sz w:val="22"/>
          <w:szCs w:val="22"/>
        </w:rPr>
        <w:t>efficiency</w:t>
      </w:r>
      <w:r w:rsidRPr="00CE4C7D">
        <w:rPr>
          <w:rFonts w:asciiTheme="majorHAnsi" w:hAnsiTheme="majorHAnsi" w:cstheme="majorHAnsi"/>
          <w:color w:val="000000" w:themeColor="text1"/>
          <w:sz w:val="22"/>
          <w:szCs w:val="22"/>
        </w:rPr>
        <w:t xml:space="preserve"> policy. This is apparent in the framing used by the </w:t>
      </w:r>
      <w:r w:rsidR="00917D24" w:rsidRPr="00CE4C7D">
        <w:rPr>
          <w:rFonts w:asciiTheme="majorHAnsi" w:hAnsiTheme="majorHAnsi" w:cstheme="majorHAnsi"/>
          <w:color w:val="000000" w:themeColor="text1"/>
          <w:sz w:val="22"/>
          <w:szCs w:val="22"/>
        </w:rPr>
        <w:t>UK Committee on Climate Chang</w:t>
      </w:r>
      <w:r w:rsidRPr="00CE4C7D">
        <w:rPr>
          <w:rFonts w:asciiTheme="majorHAnsi" w:hAnsiTheme="majorHAnsi" w:cstheme="majorHAnsi"/>
          <w:color w:val="000000" w:themeColor="text1"/>
          <w:sz w:val="22"/>
          <w:szCs w:val="22"/>
        </w:rPr>
        <w:t>e, which splits measures for reducing emissions into two group</w:t>
      </w:r>
      <w:r w:rsidR="00917D24" w:rsidRPr="00CE4C7D">
        <w:rPr>
          <w:rFonts w:asciiTheme="majorHAnsi" w:hAnsiTheme="majorHAnsi" w:cstheme="majorHAnsi"/>
          <w:color w:val="000000" w:themeColor="text1"/>
          <w:sz w:val="22"/>
          <w:szCs w:val="22"/>
        </w:rPr>
        <w:t xml:space="preserve">s: ‘Using energy more efficiently’ and ‘Switching to low-carbon fuels’ (Committee on Climate Change, </w:t>
      </w:r>
      <w:r w:rsidR="00C92CB1" w:rsidRPr="00CE4C7D">
        <w:rPr>
          <w:rFonts w:asciiTheme="majorHAnsi" w:hAnsiTheme="majorHAnsi" w:cstheme="majorHAnsi"/>
          <w:color w:val="000000" w:themeColor="text1"/>
          <w:sz w:val="22"/>
          <w:szCs w:val="22"/>
        </w:rPr>
        <w:t>undated</w:t>
      </w:r>
      <w:r w:rsidR="00917D24" w:rsidRPr="00CE4C7D">
        <w:rPr>
          <w:rFonts w:asciiTheme="majorHAnsi" w:hAnsiTheme="majorHAnsi" w:cstheme="majorHAnsi"/>
          <w:color w:val="000000" w:themeColor="text1"/>
          <w:sz w:val="22"/>
          <w:szCs w:val="22"/>
        </w:rPr>
        <w:t xml:space="preserve">). </w:t>
      </w:r>
      <w:r w:rsidR="00860400" w:rsidRPr="00CE4C7D">
        <w:rPr>
          <w:rFonts w:asciiTheme="majorHAnsi" w:hAnsiTheme="majorHAnsi" w:cstheme="majorHAnsi"/>
          <w:color w:val="000000" w:themeColor="text1"/>
          <w:sz w:val="22"/>
          <w:szCs w:val="22"/>
        </w:rPr>
        <w:t xml:space="preserve"> </w:t>
      </w:r>
      <w:r w:rsidR="00EF23DA" w:rsidRPr="00CE4C7D">
        <w:rPr>
          <w:rFonts w:asciiTheme="majorHAnsi" w:hAnsiTheme="majorHAnsi" w:cstheme="majorHAnsi"/>
          <w:color w:val="000000" w:themeColor="text1"/>
          <w:sz w:val="22"/>
          <w:szCs w:val="22"/>
        </w:rPr>
        <w:t xml:space="preserve">Technical efficiency policies </w:t>
      </w:r>
      <w:r w:rsidR="003B5EAD" w:rsidRPr="00CE4C7D">
        <w:rPr>
          <w:rFonts w:asciiTheme="majorHAnsi" w:hAnsiTheme="majorHAnsi" w:cstheme="majorHAnsi"/>
          <w:color w:val="000000" w:themeColor="text1"/>
          <w:sz w:val="22"/>
          <w:szCs w:val="22"/>
        </w:rPr>
        <w:t xml:space="preserve">can play a part in reducing </w:t>
      </w:r>
      <w:r w:rsidR="00650AD4" w:rsidRPr="00CE4C7D">
        <w:rPr>
          <w:rFonts w:asciiTheme="majorHAnsi" w:hAnsiTheme="majorHAnsi" w:cstheme="majorHAnsi"/>
          <w:color w:val="000000" w:themeColor="text1"/>
          <w:sz w:val="22"/>
          <w:szCs w:val="22"/>
        </w:rPr>
        <w:t xml:space="preserve">energy </w:t>
      </w:r>
      <w:r w:rsidR="00EF23DA" w:rsidRPr="00CE4C7D">
        <w:rPr>
          <w:rFonts w:asciiTheme="majorHAnsi" w:hAnsiTheme="majorHAnsi" w:cstheme="majorHAnsi"/>
          <w:color w:val="000000" w:themeColor="text1"/>
          <w:sz w:val="22"/>
          <w:szCs w:val="22"/>
        </w:rPr>
        <w:t xml:space="preserve">use; for example, </w:t>
      </w:r>
      <w:proofErr w:type="spellStart"/>
      <w:r w:rsidR="00EF23DA" w:rsidRPr="00CE4C7D">
        <w:rPr>
          <w:rFonts w:asciiTheme="majorHAnsi" w:hAnsiTheme="majorHAnsi" w:cstheme="majorHAnsi"/>
          <w:color w:val="000000" w:themeColor="text1"/>
          <w:sz w:val="22"/>
          <w:szCs w:val="22"/>
        </w:rPr>
        <w:t>Rosenow</w:t>
      </w:r>
      <w:proofErr w:type="spellEnd"/>
      <w:r w:rsidR="00EF23DA" w:rsidRPr="00CE4C7D">
        <w:rPr>
          <w:rFonts w:asciiTheme="majorHAnsi" w:hAnsiTheme="majorHAnsi" w:cstheme="majorHAnsi"/>
          <w:color w:val="000000" w:themeColor="text1"/>
          <w:sz w:val="22"/>
          <w:szCs w:val="22"/>
        </w:rPr>
        <w:t xml:space="preserve"> and Galvin (2013) </w:t>
      </w:r>
      <w:r w:rsidR="00650AD4" w:rsidRPr="00CE4C7D">
        <w:rPr>
          <w:rFonts w:asciiTheme="majorHAnsi" w:hAnsiTheme="majorHAnsi" w:cstheme="majorHAnsi"/>
          <w:color w:val="000000" w:themeColor="text1"/>
          <w:sz w:val="22"/>
          <w:szCs w:val="22"/>
        </w:rPr>
        <w:t xml:space="preserve">have </w:t>
      </w:r>
      <w:r w:rsidR="00EF23DA" w:rsidRPr="00CE4C7D">
        <w:rPr>
          <w:rFonts w:asciiTheme="majorHAnsi" w:hAnsiTheme="majorHAnsi" w:cstheme="majorHAnsi"/>
          <w:color w:val="000000" w:themeColor="text1"/>
          <w:sz w:val="22"/>
          <w:szCs w:val="22"/>
        </w:rPr>
        <w:t>estim</w:t>
      </w:r>
      <w:r w:rsidR="00650AD4" w:rsidRPr="00CE4C7D">
        <w:rPr>
          <w:rFonts w:asciiTheme="majorHAnsi" w:hAnsiTheme="majorHAnsi" w:cstheme="majorHAnsi"/>
          <w:color w:val="000000" w:themeColor="text1"/>
          <w:sz w:val="22"/>
          <w:szCs w:val="22"/>
        </w:rPr>
        <w:t>ated</w:t>
      </w:r>
      <w:r w:rsidR="00D02BC6" w:rsidRPr="00CE4C7D">
        <w:rPr>
          <w:rFonts w:asciiTheme="majorHAnsi" w:hAnsiTheme="majorHAnsi" w:cstheme="majorHAnsi"/>
          <w:color w:val="000000" w:themeColor="text1"/>
          <w:sz w:val="22"/>
          <w:szCs w:val="22"/>
        </w:rPr>
        <w:t xml:space="preserve"> that a German l</w:t>
      </w:r>
      <w:r w:rsidR="00650AD4" w:rsidRPr="00CE4C7D">
        <w:rPr>
          <w:rFonts w:asciiTheme="majorHAnsi" w:hAnsiTheme="majorHAnsi" w:cstheme="majorHAnsi"/>
          <w:color w:val="000000" w:themeColor="text1"/>
          <w:sz w:val="22"/>
          <w:szCs w:val="22"/>
        </w:rPr>
        <w:t xml:space="preserve">oan scheme for domestic </w:t>
      </w:r>
      <w:r w:rsidR="00EF23DA" w:rsidRPr="00CE4C7D">
        <w:rPr>
          <w:rFonts w:asciiTheme="majorHAnsi" w:hAnsiTheme="majorHAnsi" w:cstheme="majorHAnsi"/>
          <w:color w:val="000000" w:themeColor="text1"/>
          <w:sz w:val="22"/>
          <w:szCs w:val="22"/>
        </w:rPr>
        <w:t xml:space="preserve">energy efficiency improvements </w:t>
      </w:r>
      <w:r w:rsidR="00D02BC6" w:rsidRPr="00CE4C7D">
        <w:rPr>
          <w:rFonts w:asciiTheme="majorHAnsi" w:hAnsiTheme="majorHAnsi" w:cstheme="majorHAnsi"/>
          <w:color w:val="000000" w:themeColor="text1"/>
          <w:sz w:val="22"/>
          <w:szCs w:val="22"/>
        </w:rPr>
        <w:t>produc</w:t>
      </w:r>
      <w:r w:rsidR="00EF23DA" w:rsidRPr="00CE4C7D">
        <w:rPr>
          <w:rFonts w:asciiTheme="majorHAnsi" w:hAnsiTheme="majorHAnsi" w:cstheme="majorHAnsi"/>
          <w:color w:val="000000" w:themeColor="text1"/>
          <w:sz w:val="22"/>
          <w:szCs w:val="22"/>
        </w:rPr>
        <w:t>ed an average saving of 27</w:t>
      </w:r>
      <w:r w:rsidR="002B3966" w:rsidRPr="00CE4C7D">
        <w:rPr>
          <w:rFonts w:asciiTheme="majorHAnsi" w:hAnsiTheme="majorHAnsi" w:cstheme="majorHAnsi"/>
          <w:color w:val="000000" w:themeColor="text1"/>
          <w:sz w:val="22"/>
          <w:szCs w:val="22"/>
        </w:rPr>
        <w:t xml:space="preserve"> per cent </w:t>
      </w:r>
      <w:r w:rsidR="00EF23DA" w:rsidRPr="00CE4C7D">
        <w:rPr>
          <w:rFonts w:asciiTheme="majorHAnsi" w:hAnsiTheme="majorHAnsi" w:cstheme="majorHAnsi"/>
          <w:color w:val="000000" w:themeColor="text1"/>
          <w:sz w:val="22"/>
          <w:szCs w:val="22"/>
        </w:rPr>
        <w:t xml:space="preserve">of pre-refurbishment </w:t>
      </w:r>
      <w:r w:rsidR="00A01C79" w:rsidRPr="00CE4C7D">
        <w:rPr>
          <w:rFonts w:asciiTheme="majorHAnsi" w:hAnsiTheme="majorHAnsi" w:cstheme="majorHAnsi"/>
          <w:color w:val="000000" w:themeColor="text1"/>
          <w:sz w:val="22"/>
          <w:szCs w:val="22"/>
        </w:rPr>
        <w:t>energy consumption</w:t>
      </w:r>
      <w:r w:rsidR="00EF23DA" w:rsidRPr="00CE4C7D">
        <w:rPr>
          <w:rFonts w:asciiTheme="majorHAnsi" w:hAnsiTheme="majorHAnsi" w:cstheme="majorHAnsi"/>
          <w:color w:val="000000" w:themeColor="text1"/>
          <w:sz w:val="22"/>
          <w:szCs w:val="22"/>
        </w:rPr>
        <w:t>.</w:t>
      </w:r>
      <w:r w:rsidR="00A01C79" w:rsidRPr="00CE4C7D">
        <w:rPr>
          <w:rFonts w:asciiTheme="majorHAnsi" w:hAnsiTheme="majorHAnsi" w:cstheme="majorHAnsi"/>
          <w:color w:val="000000" w:themeColor="text1"/>
          <w:sz w:val="22"/>
          <w:szCs w:val="22"/>
        </w:rPr>
        <w:t xml:space="preserve"> However, if policies focus solely on technical efficiency measures, any gains they make may easily be wiped out by </w:t>
      </w:r>
      <w:r w:rsidR="0096225D" w:rsidRPr="00CE4C7D">
        <w:rPr>
          <w:rFonts w:asciiTheme="majorHAnsi" w:hAnsiTheme="majorHAnsi" w:cstheme="majorHAnsi"/>
          <w:color w:val="000000" w:themeColor="text1"/>
          <w:sz w:val="22"/>
          <w:szCs w:val="22"/>
        </w:rPr>
        <w:t xml:space="preserve">escalating </w:t>
      </w:r>
      <w:r w:rsidR="00A01C79" w:rsidRPr="00CE4C7D">
        <w:rPr>
          <w:rFonts w:asciiTheme="majorHAnsi" w:hAnsiTheme="majorHAnsi" w:cstheme="majorHAnsi"/>
          <w:color w:val="000000" w:themeColor="text1"/>
          <w:sz w:val="22"/>
          <w:szCs w:val="22"/>
        </w:rPr>
        <w:t>consumption norms.</w:t>
      </w:r>
      <w:r w:rsidR="00F52660" w:rsidRPr="00CE4C7D">
        <w:rPr>
          <w:rFonts w:asciiTheme="majorHAnsi" w:hAnsiTheme="majorHAnsi" w:cstheme="majorHAnsi"/>
          <w:color w:val="000000" w:themeColor="text1"/>
          <w:sz w:val="22"/>
          <w:szCs w:val="22"/>
        </w:rPr>
        <w:t xml:space="preserve"> </w:t>
      </w:r>
      <w:r w:rsidR="00633670" w:rsidRPr="00CE4C7D">
        <w:rPr>
          <w:rFonts w:asciiTheme="majorHAnsi" w:hAnsiTheme="majorHAnsi" w:cstheme="majorHAnsi"/>
          <w:color w:val="000000" w:themeColor="text1"/>
          <w:sz w:val="22"/>
          <w:szCs w:val="22"/>
        </w:rPr>
        <w:t>Work drawing on theories of social practice</w:t>
      </w:r>
      <w:r w:rsidR="00F52660" w:rsidRPr="00CE4C7D">
        <w:rPr>
          <w:rFonts w:asciiTheme="majorHAnsi" w:hAnsiTheme="majorHAnsi" w:cstheme="majorHAnsi"/>
          <w:color w:val="000000" w:themeColor="text1"/>
          <w:sz w:val="22"/>
          <w:szCs w:val="22"/>
        </w:rPr>
        <w:t xml:space="preserve"> (see </w:t>
      </w:r>
      <w:r w:rsidR="002B0D17" w:rsidRPr="00CE4C7D">
        <w:rPr>
          <w:rFonts w:asciiTheme="majorHAnsi" w:hAnsiTheme="majorHAnsi" w:cstheme="majorHAnsi"/>
          <w:color w:val="000000" w:themeColor="text1"/>
          <w:sz w:val="22"/>
          <w:szCs w:val="22"/>
        </w:rPr>
        <w:t>Morley, Chapter 5 for a description of Social Practice Theory</w:t>
      </w:r>
      <w:r w:rsidR="00F52660" w:rsidRPr="00CE4C7D">
        <w:rPr>
          <w:rFonts w:asciiTheme="majorHAnsi" w:hAnsiTheme="majorHAnsi" w:cstheme="majorHAnsi"/>
          <w:color w:val="000000" w:themeColor="text1"/>
          <w:sz w:val="22"/>
          <w:szCs w:val="22"/>
        </w:rPr>
        <w:t>) suggest</w:t>
      </w:r>
      <w:r w:rsidR="00633670" w:rsidRPr="00CE4C7D">
        <w:rPr>
          <w:rFonts w:asciiTheme="majorHAnsi" w:hAnsiTheme="majorHAnsi" w:cstheme="majorHAnsi"/>
          <w:color w:val="000000" w:themeColor="text1"/>
          <w:sz w:val="22"/>
          <w:szCs w:val="22"/>
        </w:rPr>
        <w:t>s</w:t>
      </w:r>
      <w:r w:rsidR="00F52660" w:rsidRPr="00CE4C7D">
        <w:rPr>
          <w:rFonts w:asciiTheme="majorHAnsi" w:hAnsiTheme="majorHAnsi" w:cstheme="majorHAnsi"/>
          <w:color w:val="000000" w:themeColor="text1"/>
          <w:sz w:val="22"/>
          <w:szCs w:val="22"/>
        </w:rPr>
        <w:t xml:space="preserve"> that </w:t>
      </w:r>
      <w:r w:rsidR="00C23747" w:rsidRPr="00CE4C7D">
        <w:rPr>
          <w:rFonts w:asciiTheme="majorHAnsi" w:hAnsiTheme="majorHAnsi" w:cstheme="majorHAnsi"/>
          <w:color w:val="000000" w:themeColor="text1"/>
          <w:sz w:val="22"/>
          <w:szCs w:val="22"/>
        </w:rPr>
        <w:t xml:space="preserve">rather than pursuing technical </w:t>
      </w:r>
      <w:r w:rsidR="00136FFB" w:rsidRPr="00CE4C7D">
        <w:rPr>
          <w:rFonts w:asciiTheme="majorHAnsi" w:hAnsiTheme="majorHAnsi" w:cstheme="majorHAnsi"/>
          <w:color w:val="000000" w:themeColor="text1"/>
          <w:sz w:val="22"/>
          <w:szCs w:val="22"/>
        </w:rPr>
        <w:t>efficiency alone</w:t>
      </w:r>
      <w:r w:rsidR="00C23747" w:rsidRPr="00CE4C7D">
        <w:rPr>
          <w:rFonts w:asciiTheme="majorHAnsi" w:hAnsiTheme="majorHAnsi" w:cstheme="majorHAnsi"/>
          <w:color w:val="000000" w:themeColor="text1"/>
          <w:sz w:val="22"/>
          <w:szCs w:val="22"/>
        </w:rPr>
        <w:t xml:space="preserve">, </w:t>
      </w:r>
      <w:r w:rsidR="00F52660" w:rsidRPr="00CE4C7D">
        <w:rPr>
          <w:rFonts w:asciiTheme="majorHAnsi" w:hAnsiTheme="majorHAnsi" w:cstheme="majorHAnsi"/>
          <w:color w:val="000000" w:themeColor="text1"/>
          <w:sz w:val="22"/>
          <w:szCs w:val="22"/>
        </w:rPr>
        <w:t xml:space="preserve">we need to understand </w:t>
      </w:r>
      <w:r w:rsidR="00C23747" w:rsidRPr="00CE4C7D">
        <w:rPr>
          <w:rFonts w:asciiTheme="majorHAnsi" w:hAnsiTheme="majorHAnsi" w:cstheme="majorHAnsi"/>
          <w:i/>
          <w:iCs/>
          <w:color w:val="000000" w:themeColor="text1"/>
          <w:sz w:val="22"/>
          <w:szCs w:val="22"/>
        </w:rPr>
        <w:t xml:space="preserve">what energy is for </w:t>
      </w:r>
      <w:r w:rsidR="008E49E5" w:rsidRPr="00CE4C7D">
        <w:rPr>
          <w:rFonts w:asciiTheme="majorHAnsi" w:hAnsiTheme="majorHAnsi" w:cstheme="majorHAnsi"/>
          <w:color w:val="000000" w:themeColor="text1"/>
          <w:sz w:val="22"/>
          <w:szCs w:val="22"/>
        </w:rPr>
        <w:t>(</w:t>
      </w:r>
      <w:proofErr w:type="spellStart"/>
      <w:r w:rsidR="008E49E5" w:rsidRPr="00CE4C7D">
        <w:rPr>
          <w:rFonts w:asciiTheme="majorHAnsi" w:hAnsiTheme="majorHAnsi" w:cstheme="majorHAnsi"/>
          <w:color w:val="000000" w:themeColor="text1"/>
          <w:sz w:val="22"/>
          <w:szCs w:val="22"/>
        </w:rPr>
        <w:t>Rinkinen</w:t>
      </w:r>
      <w:proofErr w:type="spellEnd"/>
      <w:r w:rsidR="008E49E5" w:rsidRPr="00CE4C7D">
        <w:rPr>
          <w:rFonts w:asciiTheme="majorHAnsi" w:hAnsiTheme="majorHAnsi" w:cstheme="majorHAnsi"/>
          <w:color w:val="000000" w:themeColor="text1"/>
          <w:sz w:val="22"/>
          <w:szCs w:val="22"/>
        </w:rPr>
        <w:t xml:space="preserve"> et al., 2020</w:t>
      </w:r>
      <w:r w:rsidR="00EA1616" w:rsidRPr="00CE4C7D">
        <w:rPr>
          <w:rFonts w:asciiTheme="majorHAnsi" w:hAnsiTheme="majorHAnsi" w:cstheme="majorHAnsi"/>
          <w:color w:val="000000" w:themeColor="text1"/>
          <w:sz w:val="22"/>
          <w:szCs w:val="22"/>
        </w:rPr>
        <w:t>; Shove, 2018</w:t>
      </w:r>
      <w:r w:rsidR="008E49E5" w:rsidRPr="00CE4C7D">
        <w:rPr>
          <w:rFonts w:asciiTheme="majorHAnsi" w:hAnsiTheme="majorHAnsi" w:cstheme="majorHAnsi"/>
          <w:color w:val="000000" w:themeColor="text1"/>
          <w:sz w:val="22"/>
          <w:szCs w:val="22"/>
        </w:rPr>
        <w:t xml:space="preserve">). </w:t>
      </w:r>
      <w:r w:rsidR="00C23747" w:rsidRPr="00CE4C7D">
        <w:rPr>
          <w:rFonts w:asciiTheme="majorHAnsi" w:hAnsiTheme="majorHAnsi" w:cstheme="majorHAnsi"/>
          <w:color w:val="000000" w:themeColor="text1"/>
          <w:sz w:val="22"/>
          <w:szCs w:val="22"/>
        </w:rPr>
        <w:t>Work within this field emphasi</w:t>
      </w:r>
      <w:r w:rsidR="000A25B3" w:rsidRPr="00CE4C7D">
        <w:rPr>
          <w:rFonts w:asciiTheme="majorHAnsi" w:hAnsiTheme="majorHAnsi" w:cstheme="majorHAnsi"/>
          <w:color w:val="000000" w:themeColor="text1"/>
          <w:sz w:val="22"/>
          <w:szCs w:val="22"/>
        </w:rPr>
        <w:t>z</w:t>
      </w:r>
      <w:r w:rsidR="00C23747" w:rsidRPr="00CE4C7D">
        <w:rPr>
          <w:rFonts w:asciiTheme="majorHAnsi" w:hAnsiTheme="majorHAnsi" w:cstheme="majorHAnsi"/>
          <w:color w:val="000000" w:themeColor="text1"/>
          <w:sz w:val="22"/>
          <w:szCs w:val="22"/>
        </w:rPr>
        <w:t xml:space="preserve">es that energy is not used for its own sake, but rather as part of fulfilling </w:t>
      </w:r>
      <w:proofErr w:type="gramStart"/>
      <w:r w:rsidR="00C23747" w:rsidRPr="00CE4C7D">
        <w:rPr>
          <w:rFonts w:asciiTheme="majorHAnsi" w:hAnsiTheme="majorHAnsi" w:cstheme="majorHAnsi"/>
          <w:color w:val="000000" w:themeColor="text1"/>
          <w:sz w:val="22"/>
          <w:szCs w:val="22"/>
        </w:rPr>
        <w:t>socially-constructed</w:t>
      </w:r>
      <w:proofErr w:type="gramEnd"/>
      <w:r w:rsidR="00C23747" w:rsidRPr="00CE4C7D">
        <w:rPr>
          <w:rFonts w:asciiTheme="majorHAnsi" w:hAnsiTheme="majorHAnsi" w:cstheme="majorHAnsi"/>
          <w:color w:val="000000" w:themeColor="text1"/>
          <w:sz w:val="22"/>
          <w:szCs w:val="22"/>
        </w:rPr>
        <w:t xml:space="preserve"> needs and</w:t>
      </w:r>
      <w:r w:rsidR="00216D94" w:rsidRPr="00CE4C7D">
        <w:rPr>
          <w:rFonts w:asciiTheme="majorHAnsi" w:hAnsiTheme="majorHAnsi" w:cstheme="majorHAnsi"/>
          <w:color w:val="000000" w:themeColor="text1"/>
          <w:sz w:val="22"/>
          <w:szCs w:val="22"/>
        </w:rPr>
        <w:t xml:space="preserve"> performing </w:t>
      </w:r>
      <w:r w:rsidR="00816878" w:rsidRPr="00CE4C7D">
        <w:rPr>
          <w:rFonts w:asciiTheme="majorHAnsi" w:hAnsiTheme="majorHAnsi" w:cstheme="majorHAnsi"/>
          <w:color w:val="000000" w:themeColor="text1"/>
          <w:sz w:val="22"/>
          <w:szCs w:val="22"/>
        </w:rPr>
        <w:t>largely-</w:t>
      </w:r>
      <w:r w:rsidR="00216D94" w:rsidRPr="00CE4C7D">
        <w:rPr>
          <w:rFonts w:asciiTheme="majorHAnsi" w:hAnsiTheme="majorHAnsi" w:cstheme="majorHAnsi"/>
          <w:color w:val="000000" w:themeColor="text1"/>
          <w:sz w:val="22"/>
          <w:szCs w:val="22"/>
        </w:rPr>
        <w:t>routin</w:t>
      </w:r>
      <w:r w:rsidR="00816878" w:rsidRPr="00CE4C7D">
        <w:rPr>
          <w:rFonts w:asciiTheme="majorHAnsi" w:hAnsiTheme="majorHAnsi" w:cstheme="majorHAnsi"/>
          <w:color w:val="000000" w:themeColor="text1"/>
          <w:sz w:val="22"/>
          <w:szCs w:val="22"/>
        </w:rPr>
        <w:t>i</w:t>
      </w:r>
      <w:r w:rsidR="000A25B3" w:rsidRPr="00CE4C7D">
        <w:rPr>
          <w:rFonts w:asciiTheme="majorHAnsi" w:hAnsiTheme="majorHAnsi" w:cstheme="majorHAnsi"/>
          <w:color w:val="000000" w:themeColor="text1"/>
          <w:sz w:val="22"/>
          <w:szCs w:val="22"/>
        </w:rPr>
        <w:t>z</w:t>
      </w:r>
      <w:r w:rsidR="00216D94" w:rsidRPr="00CE4C7D">
        <w:rPr>
          <w:rFonts w:asciiTheme="majorHAnsi" w:hAnsiTheme="majorHAnsi" w:cstheme="majorHAnsi"/>
          <w:color w:val="000000" w:themeColor="text1"/>
          <w:sz w:val="22"/>
          <w:szCs w:val="22"/>
        </w:rPr>
        <w:t>ed daily activities (practices)</w:t>
      </w:r>
      <w:r w:rsidR="00C23747" w:rsidRPr="00CE4C7D">
        <w:rPr>
          <w:rFonts w:asciiTheme="majorHAnsi" w:hAnsiTheme="majorHAnsi" w:cstheme="majorHAnsi"/>
          <w:color w:val="000000" w:themeColor="text1"/>
          <w:sz w:val="22"/>
          <w:szCs w:val="22"/>
        </w:rPr>
        <w:t xml:space="preserve">. In this sense, all energy use is </w:t>
      </w:r>
      <w:r w:rsidR="00F93B9A" w:rsidRPr="00CE4C7D">
        <w:rPr>
          <w:rFonts w:asciiTheme="majorHAnsi" w:hAnsiTheme="majorHAnsi" w:cstheme="majorHAnsi"/>
          <w:color w:val="000000" w:themeColor="text1"/>
          <w:sz w:val="22"/>
          <w:szCs w:val="22"/>
        </w:rPr>
        <w:t>‘</w:t>
      </w:r>
      <w:r w:rsidR="00C23747" w:rsidRPr="00CE4C7D">
        <w:rPr>
          <w:rFonts w:asciiTheme="majorHAnsi" w:hAnsiTheme="majorHAnsi" w:cstheme="majorHAnsi"/>
          <w:color w:val="000000" w:themeColor="text1"/>
          <w:sz w:val="22"/>
          <w:szCs w:val="22"/>
        </w:rPr>
        <w:t>derived demand</w:t>
      </w:r>
      <w:r w:rsidR="00F93B9A" w:rsidRPr="00CE4C7D">
        <w:rPr>
          <w:rFonts w:asciiTheme="majorHAnsi" w:hAnsiTheme="majorHAnsi" w:cstheme="majorHAnsi"/>
          <w:color w:val="000000" w:themeColor="text1"/>
          <w:sz w:val="22"/>
          <w:szCs w:val="22"/>
        </w:rPr>
        <w:t>’</w:t>
      </w:r>
      <w:r w:rsidR="00C23747" w:rsidRPr="00CE4C7D">
        <w:rPr>
          <w:rFonts w:asciiTheme="majorHAnsi" w:hAnsiTheme="majorHAnsi" w:cstheme="majorHAnsi"/>
          <w:color w:val="000000" w:themeColor="text1"/>
          <w:sz w:val="22"/>
          <w:szCs w:val="22"/>
        </w:rPr>
        <w:t xml:space="preserve">. </w:t>
      </w:r>
    </w:p>
    <w:p w14:paraId="19F2F365" w14:textId="77777777" w:rsidR="00AA3FC7" w:rsidRPr="00CE4C7D" w:rsidRDefault="00AA3FC7" w:rsidP="00F25A95">
      <w:pPr>
        <w:rPr>
          <w:rFonts w:asciiTheme="majorHAnsi" w:hAnsiTheme="majorHAnsi" w:cstheme="majorHAnsi"/>
          <w:color w:val="000000" w:themeColor="text1"/>
          <w:sz w:val="22"/>
          <w:szCs w:val="22"/>
        </w:rPr>
      </w:pPr>
    </w:p>
    <w:p w14:paraId="531F44E3" w14:textId="1271EED1" w:rsidR="006E19E3" w:rsidRDefault="00AC6114" w:rsidP="002735C0">
      <w:pPr>
        <w:autoSpaceDE w:val="0"/>
        <w:autoSpaceDN w:val="0"/>
        <w:adjustRightInd w:val="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 xml:space="preserve">In summary, </w:t>
      </w:r>
      <w:r w:rsidR="00494266" w:rsidRPr="00CE4C7D">
        <w:rPr>
          <w:rFonts w:asciiTheme="majorHAnsi" w:hAnsiTheme="majorHAnsi" w:cstheme="majorHAnsi"/>
          <w:color w:val="000000" w:themeColor="text1"/>
          <w:sz w:val="22"/>
          <w:szCs w:val="22"/>
        </w:rPr>
        <w:t>when researchers and</w:t>
      </w:r>
      <w:r w:rsidRPr="00CE4C7D">
        <w:rPr>
          <w:rFonts w:asciiTheme="majorHAnsi" w:hAnsiTheme="majorHAnsi" w:cstheme="majorHAnsi"/>
          <w:color w:val="000000" w:themeColor="text1"/>
          <w:sz w:val="22"/>
          <w:szCs w:val="22"/>
        </w:rPr>
        <w:t xml:space="preserve"> </w:t>
      </w:r>
      <w:proofErr w:type="gramStart"/>
      <w:r w:rsidRPr="00CE4C7D">
        <w:rPr>
          <w:rFonts w:asciiTheme="majorHAnsi" w:hAnsiTheme="majorHAnsi" w:cstheme="majorHAnsi"/>
          <w:color w:val="000000" w:themeColor="text1"/>
          <w:sz w:val="22"/>
          <w:szCs w:val="22"/>
        </w:rPr>
        <w:t>policy-makers</w:t>
      </w:r>
      <w:proofErr w:type="gramEnd"/>
      <w:r w:rsidRPr="00CE4C7D">
        <w:rPr>
          <w:rFonts w:asciiTheme="majorHAnsi" w:hAnsiTheme="majorHAnsi" w:cstheme="majorHAnsi"/>
          <w:color w:val="000000" w:themeColor="text1"/>
          <w:sz w:val="22"/>
          <w:szCs w:val="22"/>
        </w:rPr>
        <w:t xml:space="preserve"> speak of </w:t>
      </w:r>
      <w:r w:rsidR="00917D24" w:rsidRPr="00CE4C7D">
        <w:rPr>
          <w:rFonts w:asciiTheme="majorHAnsi" w:hAnsiTheme="majorHAnsi" w:cstheme="majorHAnsi"/>
          <w:color w:val="000000" w:themeColor="text1"/>
          <w:sz w:val="22"/>
          <w:szCs w:val="22"/>
        </w:rPr>
        <w:t>energ</w:t>
      </w:r>
      <w:r w:rsidRPr="00CE4C7D">
        <w:rPr>
          <w:rFonts w:asciiTheme="majorHAnsi" w:hAnsiTheme="majorHAnsi" w:cstheme="majorHAnsi"/>
          <w:color w:val="000000" w:themeColor="text1"/>
          <w:sz w:val="22"/>
          <w:szCs w:val="22"/>
        </w:rPr>
        <w:t>y policies, they generally mean policies that are</w:t>
      </w:r>
      <w:r w:rsidR="00AF0A34" w:rsidRPr="00CE4C7D">
        <w:rPr>
          <w:rFonts w:asciiTheme="majorHAnsi" w:hAnsiTheme="majorHAnsi" w:cstheme="majorHAnsi"/>
          <w:color w:val="000000" w:themeColor="text1"/>
          <w:sz w:val="22"/>
          <w:szCs w:val="22"/>
        </w:rPr>
        <w:t xml:space="preserve">: 1) explicitly focused on energy as a distinct topic; 2) mostly centred on the </w:t>
      </w:r>
      <w:r w:rsidR="00917D24" w:rsidRPr="00CE4C7D">
        <w:rPr>
          <w:rFonts w:asciiTheme="majorHAnsi" w:hAnsiTheme="majorHAnsi" w:cstheme="majorHAnsi"/>
          <w:color w:val="000000" w:themeColor="text1"/>
          <w:sz w:val="22"/>
          <w:szCs w:val="22"/>
        </w:rPr>
        <w:t>supply</w:t>
      </w:r>
      <w:r w:rsidR="00AF0A34" w:rsidRPr="00CE4C7D">
        <w:rPr>
          <w:rFonts w:asciiTheme="majorHAnsi" w:hAnsiTheme="majorHAnsi" w:cstheme="majorHAnsi"/>
          <w:color w:val="000000" w:themeColor="text1"/>
          <w:sz w:val="22"/>
          <w:szCs w:val="22"/>
        </w:rPr>
        <w:t xml:space="preserve"> side</w:t>
      </w:r>
      <w:r w:rsidR="00494266" w:rsidRPr="00CE4C7D">
        <w:rPr>
          <w:rFonts w:asciiTheme="majorHAnsi" w:hAnsiTheme="majorHAnsi" w:cstheme="majorHAnsi"/>
          <w:color w:val="000000" w:themeColor="text1"/>
          <w:sz w:val="22"/>
          <w:szCs w:val="22"/>
        </w:rPr>
        <w:t>; and 3) when they consider</w:t>
      </w:r>
      <w:r w:rsidR="00917D24" w:rsidRPr="00CE4C7D">
        <w:rPr>
          <w:rFonts w:asciiTheme="majorHAnsi" w:hAnsiTheme="majorHAnsi" w:cstheme="majorHAnsi"/>
          <w:color w:val="000000" w:themeColor="text1"/>
          <w:sz w:val="22"/>
          <w:szCs w:val="22"/>
        </w:rPr>
        <w:t xml:space="preserve"> </w:t>
      </w:r>
      <w:r w:rsidR="00494266" w:rsidRPr="00CE4C7D">
        <w:rPr>
          <w:rFonts w:asciiTheme="majorHAnsi" w:hAnsiTheme="majorHAnsi" w:cstheme="majorHAnsi"/>
          <w:color w:val="000000" w:themeColor="text1"/>
          <w:sz w:val="22"/>
          <w:szCs w:val="22"/>
        </w:rPr>
        <w:t>demand, then largel</w:t>
      </w:r>
      <w:r w:rsidR="00917D24" w:rsidRPr="00CE4C7D">
        <w:rPr>
          <w:rFonts w:asciiTheme="majorHAnsi" w:hAnsiTheme="majorHAnsi" w:cstheme="majorHAnsi"/>
          <w:color w:val="000000" w:themeColor="text1"/>
          <w:sz w:val="22"/>
          <w:szCs w:val="22"/>
        </w:rPr>
        <w:t xml:space="preserve">y focusing on </w:t>
      </w:r>
      <w:r w:rsidR="00494266" w:rsidRPr="00CE4C7D">
        <w:rPr>
          <w:rFonts w:asciiTheme="majorHAnsi" w:hAnsiTheme="majorHAnsi" w:cstheme="majorHAnsi"/>
          <w:color w:val="000000" w:themeColor="text1"/>
          <w:sz w:val="22"/>
          <w:szCs w:val="22"/>
        </w:rPr>
        <w:t>technical efficiency measures.</w:t>
      </w:r>
      <w:r w:rsidR="00363179" w:rsidRPr="00CE4C7D">
        <w:rPr>
          <w:rFonts w:asciiTheme="majorHAnsi" w:hAnsiTheme="majorHAnsi" w:cstheme="majorHAnsi"/>
          <w:color w:val="000000" w:themeColor="text1"/>
          <w:sz w:val="22"/>
          <w:szCs w:val="22"/>
        </w:rPr>
        <w:t xml:space="preserve"> This represents a very narrow </w:t>
      </w:r>
      <w:r w:rsidR="00CA73A4" w:rsidRPr="00CE4C7D">
        <w:rPr>
          <w:rFonts w:asciiTheme="majorHAnsi" w:hAnsiTheme="majorHAnsi" w:cstheme="majorHAnsi"/>
          <w:color w:val="000000" w:themeColor="text1"/>
          <w:sz w:val="22"/>
          <w:szCs w:val="22"/>
        </w:rPr>
        <w:t>sub</w:t>
      </w:r>
      <w:r w:rsidR="00363179" w:rsidRPr="00CE4C7D">
        <w:rPr>
          <w:rFonts w:asciiTheme="majorHAnsi" w:hAnsiTheme="majorHAnsi" w:cstheme="majorHAnsi"/>
          <w:color w:val="000000" w:themeColor="text1"/>
          <w:sz w:val="22"/>
          <w:szCs w:val="22"/>
        </w:rPr>
        <w:t xml:space="preserve">set of the policies that </w:t>
      </w:r>
      <w:proofErr w:type="gramStart"/>
      <w:r w:rsidR="00363179" w:rsidRPr="00CE4C7D">
        <w:rPr>
          <w:rFonts w:asciiTheme="majorHAnsi" w:hAnsiTheme="majorHAnsi" w:cstheme="majorHAnsi"/>
          <w:color w:val="000000" w:themeColor="text1"/>
          <w:sz w:val="22"/>
          <w:szCs w:val="22"/>
        </w:rPr>
        <w:t>actually steer</w:t>
      </w:r>
      <w:proofErr w:type="gramEnd"/>
      <w:r w:rsidR="00363179" w:rsidRPr="00CE4C7D">
        <w:rPr>
          <w:rFonts w:asciiTheme="majorHAnsi" w:hAnsiTheme="majorHAnsi" w:cstheme="majorHAnsi"/>
          <w:color w:val="000000" w:themeColor="text1"/>
          <w:sz w:val="22"/>
          <w:szCs w:val="22"/>
        </w:rPr>
        <w:t xml:space="preserve"> demand for energy.</w:t>
      </w:r>
    </w:p>
    <w:p w14:paraId="37E383B8" w14:textId="77777777" w:rsidR="002735C0" w:rsidRPr="002735C0" w:rsidRDefault="002735C0" w:rsidP="002735C0">
      <w:pPr>
        <w:autoSpaceDE w:val="0"/>
        <w:autoSpaceDN w:val="0"/>
        <w:adjustRightInd w:val="0"/>
        <w:rPr>
          <w:rFonts w:asciiTheme="majorHAnsi" w:hAnsiTheme="majorHAnsi" w:cstheme="majorHAnsi"/>
          <w:color w:val="000000" w:themeColor="text1"/>
          <w:sz w:val="22"/>
          <w:szCs w:val="22"/>
        </w:rPr>
      </w:pPr>
    </w:p>
    <w:p w14:paraId="16C624D2" w14:textId="3A0A9C9B" w:rsidR="00AC425D" w:rsidRPr="00CE4C7D" w:rsidRDefault="00AD41D4" w:rsidP="002735C0">
      <w:pPr>
        <w:pStyle w:val="Heading1"/>
      </w:pPr>
      <w:r w:rsidRPr="00CE4C7D">
        <w:t xml:space="preserve">&lt;a&gt; </w:t>
      </w:r>
      <w:r w:rsidR="00AC425D" w:rsidRPr="00CE4C7D">
        <w:t xml:space="preserve">How do </w:t>
      </w:r>
      <w:r w:rsidR="007F4575" w:rsidRPr="00CE4C7D">
        <w:t xml:space="preserve">‘non-energy </w:t>
      </w:r>
      <w:r w:rsidR="00AC425D" w:rsidRPr="00CE4C7D">
        <w:t>policies</w:t>
      </w:r>
      <w:r w:rsidR="007F4575" w:rsidRPr="00CE4C7D">
        <w:t>’</w:t>
      </w:r>
      <w:r w:rsidR="001F471B" w:rsidRPr="00CE4C7D">
        <w:t xml:space="preserve"> matter for energy demand?</w:t>
      </w:r>
    </w:p>
    <w:p w14:paraId="4DF2DD21" w14:textId="77777777" w:rsidR="00F6057A" w:rsidRPr="00CE4C7D" w:rsidRDefault="00F6057A" w:rsidP="00F25A95">
      <w:pPr>
        <w:rPr>
          <w:rFonts w:asciiTheme="majorHAnsi" w:hAnsiTheme="majorHAnsi" w:cstheme="majorHAnsi"/>
          <w:sz w:val="22"/>
          <w:szCs w:val="22"/>
        </w:rPr>
      </w:pPr>
    </w:p>
    <w:p w14:paraId="5CDDA8C3" w14:textId="757C4FC1" w:rsidR="00694DEA" w:rsidRPr="00CE4C7D" w:rsidRDefault="00AC22F3" w:rsidP="00F25A95">
      <w:pPr>
        <w:rPr>
          <w:rFonts w:asciiTheme="majorHAnsi" w:hAnsiTheme="majorHAnsi" w:cstheme="majorHAnsi"/>
          <w:color w:val="943634" w:themeColor="accent2" w:themeShade="BF"/>
          <w:sz w:val="22"/>
          <w:szCs w:val="22"/>
        </w:rPr>
      </w:pPr>
      <w:r w:rsidRPr="00CE4C7D">
        <w:rPr>
          <w:rFonts w:asciiTheme="majorHAnsi" w:hAnsiTheme="majorHAnsi" w:cstheme="majorHAnsi"/>
          <w:sz w:val="22"/>
          <w:szCs w:val="22"/>
        </w:rPr>
        <w:t xml:space="preserve">This section explains some of the ways in which so-called ‘non-energy policies’ </w:t>
      </w:r>
      <w:proofErr w:type="gramStart"/>
      <w:r w:rsidR="004346AD" w:rsidRPr="00CE4C7D">
        <w:rPr>
          <w:rFonts w:asciiTheme="majorHAnsi" w:hAnsiTheme="majorHAnsi" w:cstheme="majorHAnsi"/>
          <w:sz w:val="22"/>
          <w:szCs w:val="22"/>
        </w:rPr>
        <w:t xml:space="preserve">actually </w:t>
      </w:r>
      <w:r w:rsidRPr="00CE4C7D">
        <w:rPr>
          <w:rFonts w:asciiTheme="majorHAnsi" w:hAnsiTheme="majorHAnsi" w:cstheme="majorHAnsi"/>
          <w:sz w:val="22"/>
          <w:szCs w:val="22"/>
        </w:rPr>
        <w:t>matter</w:t>
      </w:r>
      <w:proofErr w:type="gramEnd"/>
      <w:r w:rsidRPr="00CE4C7D">
        <w:rPr>
          <w:rFonts w:asciiTheme="majorHAnsi" w:hAnsiTheme="majorHAnsi" w:cstheme="majorHAnsi"/>
          <w:sz w:val="22"/>
          <w:szCs w:val="22"/>
        </w:rPr>
        <w:t xml:space="preserve"> for energy demand</w:t>
      </w:r>
      <w:r w:rsidR="001D6289" w:rsidRPr="00CE4C7D">
        <w:rPr>
          <w:rFonts w:asciiTheme="majorHAnsi" w:hAnsiTheme="majorHAnsi" w:cstheme="majorHAnsi"/>
          <w:sz w:val="22"/>
          <w:szCs w:val="22"/>
        </w:rPr>
        <w:t xml:space="preserve"> (drawing on Royston et al., 2018)</w:t>
      </w:r>
      <w:r w:rsidRPr="00CE4C7D">
        <w:rPr>
          <w:rFonts w:asciiTheme="majorHAnsi" w:hAnsiTheme="majorHAnsi" w:cstheme="majorHAnsi"/>
          <w:sz w:val="22"/>
          <w:szCs w:val="22"/>
        </w:rPr>
        <w:t>.</w:t>
      </w:r>
      <w:r w:rsidR="00C60584" w:rsidRPr="00CE4C7D">
        <w:rPr>
          <w:rFonts w:asciiTheme="majorHAnsi" w:hAnsiTheme="majorHAnsi" w:cstheme="majorHAnsi"/>
          <w:sz w:val="22"/>
          <w:szCs w:val="22"/>
        </w:rPr>
        <w:t xml:space="preserve"> </w:t>
      </w:r>
      <w:r w:rsidR="006868AD" w:rsidRPr="00CE4C7D">
        <w:rPr>
          <w:rFonts w:asciiTheme="majorHAnsi" w:hAnsiTheme="majorHAnsi" w:cstheme="majorHAnsi"/>
          <w:sz w:val="22"/>
          <w:szCs w:val="22"/>
        </w:rPr>
        <w:t xml:space="preserve">This is inevitably </w:t>
      </w:r>
      <w:r w:rsidR="000D2D5C" w:rsidRPr="00CE4C7D">
        <w:rPr>
          <w:rFonts w:asciiTheme="majorHAnsi" w:hAnsiTheme="majorHAnsi" w:cstheme="majorHAnsi"/>
          <w:sz w:val="22"/>
          <w:szCs w:val="22"/>
        </w:rPr>
        <w:t xml:space="preserve">a </w:t>
      </w:r>
      <w:r w:rsidR="006868AD" w:rsidRPr="00CE4C7D">
        <w:rPr>
          <w:rFonts w:asciiTheme="majorHAnsi" w:hAnsiTheme="majorHAnsi" w:cstheme="majorHAnsi"/>
          <w:sz w:val="22"/>
          <w:szCs w:val="22"/>
        </w:rPr>
        <w:t>partial</w:t>
      </w:r>
      <w:r w:rsidR="000D2D5C" w:rsidRPr="00CE4C7D">
        <w:rPr>
          <w:rFonts w:asciiTheme="majorHAnsi" w:hAnsiTheme="majorHAnsi" w:cstheme="majorHAnsi"/>
          <w:sz w:val="22"/>
          <w:szCs w:val="22"/>
        </w:rPr>
        <w:t xml:space="preserve"> account</w:t>
      </w:r>
      <w:r w:rsidR="006868AD" w:rsidRPr="00CE4C7D">
        <w:rPr>
          <w:rFonts w:asciiTheme="majorHAnsi" w:hAnsiTheme="majorHAnsi" w:cstheme="majorHAnsi"/>
          <w:sz w:val="22"/>
          <w:szCs w:val="22"/>
        </w:rPr>
        <w:t xml:space="preserve">, since there are myriad </w:t>
      </w:r>
      <w:r w:rsidR="00337C44" w:rsidRPr="00CE4C7D">
        <w:rPr>
          <w:rFonts w:asciiTheme="majorHAnsi" w:hAnsiTheme="majorHAnsi" w:cstheme="majorHAnsi"/>
          <w:sz w:val="22"/>
          <w:szCs w:val="22"/>
        </w:rPr>
        <w:t xml:space="preserve">effects of these policies on energy </w:t>
      </w:r>
      <w:r w:rsidR="00337C44" w:rsidRPr="00CE4C7D">
        <w:rPr>
          <w:rFonts w:asciiTheme="majorHAnsi" w:hAnsiTheme="majorHAnsi" w:cstheme="majorHAnsi"/>
          <w:color w:val="000000" w:themeColor="text1"/>
          <w:sz w:val="22"/>
          <w:szCs w:val="22"/>
        </w:rPr>
        <w:t>demand: in fact, it is difficult to imagine a</w:t>
      </w:r>
      <w:r w:rsidR="004346AD" w:rsidRPr="00CE4C7D">
        <w:rPr>
          <w:rFonts w:asciiTheme="majorHAnsi" w:hAnsiTheme="majorHAnsi" w:cstheme="majorHAnsi"/>
          <w:color w:val="000000" w:themeColor="text1"/>
          <w:sz w:val="22"/>
          <w:szCs w:val="22"/>
        </w:rPr>
        <w:t>ny</w:t>
      </w:r>
      <w:r w:rsidR="00337C44" w:rsidRPr="00CE4C7D">
        <w:rPr>
          <w:rFonts w:asciiTheme="majorHAnsi" w:hAnsiTheme="majorHAnsi" w:cstheme="majorHAnsi"/>
          <w:color w:val="000000" w:themeColor="text1"/>
          <w:sz w:val="22"/>
          <w:szCs w:val="22"/>
        </w:rPr>
        <w:t xml:space="preserve"> policy which has no implication at all for how energy is used. A </w:t>
      </w:r>
      <w:r w:rsidR="00924844" w:rsidRPr="00CE4C7D">
        <w:rPr>
          <w:rFonts w:asciiTheme="majorHAnsi" w:hAnsiTheme="majorHAnsi" w:cstheme="majorHAnsi"/>
          <w:color w:val="000000" w:themeColor="text1"/>
          <w:sz w:val="22"/>
          <w:szCs w:val="22"/>
        </w:rPr>
        <w:t xml:space="preserve">scoping literature </w:t>
      </w:r>
      <w:r w:rsidR="00337C44" w:rsidRPr="00CE4C7D">
        <w:rPr>
          <w:rFonts w:asciiTheme="majorHAnsi" w:hAnsiTheme="majorHAnsi" w:cstheme="majorHAnsi"/>
          <w:color w:val="000000" w:themeColor="text1"/>
          <w:sz w:val="22"/>
          <w:szCs w:val="22"/>
        </w:rPr>
        <w:t xml:space="preserve">review </w:t>
      </w:r>
      <w:r w:rsidR="00924844" w:rsidRPr="00CE4C7D">
        <w:rPr>
          <w:rFonts w:asciiTheme="majorHAnsi" w:hAnsiTheme="majorHAnsi" w:cstheme="majorHAnsi"/>
          <w:color w:val="000000" w:themeColor="text1"/>
          <w:sz w:val="22"/>
          <w:szCs w:val="22"/>
        </w:rPr>
        <w:t xml:space="preserve">carried out </w:t>
      </w:r>
      <w:r w:rsidR="00337C44" w:rsidRPr="00CE4C7D">
        <w:rPr>
          <w:rFonts w:asciiTheme="majorHAnsi" w:hAnsiTheme="majorHAnsi" w:cstheme="majorHAnsi"/>
          <w:color w:val="000000" w:themeColor="text1"/>
          <w:sz w:val="22"/>
          <w:szCs w:val="22"/>
        </w:rPr>
        <w:t xml:space="preserve">by Cox et al. </w:t>
      </w:r>
      <w:r w:rsidR="00694DEA" w:rsidRPr="00CE4C7D">
        <w:rPr>
          <w:rFonts w:asciiTheme="majorHAnsi" w:hAnsiTheme="majorHAnsi" w:cstheme="majorHAnsi"/>
          <w:color w:val="000000" w:themeColor="text1"/>
          <w:sz w:val="22"/>
          <w:szCs w:val="22"/>
        </w:rPr>
        <w:t>(2016) found that energy dem</w:t>
      </w:r>
      <w:r w:rsidR="00924844" w:rsidRPr="00CE4C7D">
        <w:rPr>
          <w:rFonts w:asciiTheme="majorHAnsi" w:hAnsiTheme="majorHAnsi" w:cstheme="majorHAnsi"/>
          <w:color w:val="000000" w:themeColor="text1"/>
          <w:sz w:val="22"/>
          <w:szCs w:val="22"/>
        </w:rPr>
        <w:t xml:space="preserve">and (and </w:t>
      </w:r>
      <w:r w:rsidR="007F4575" w:rsidRPr="00CE4C7D">
        <w:rPr>
          <w:rFonts w:asciiTheme="majorHAnsi" w:hAnsiTheme="majorHAnsi" w:cstheme="majorHAnsi"/>
          <w:color w:val="000000" w:themeColor="text1"/>
          <w:sz w:val="22"/>
          <w:szCs w:val="22"/>
        </w:rPr>
        <w:t xml:space="preserve">indeed </w:t>
      </w:r>
      <w:r w:rsidR="00924844" w:rsidRPr="00CE4C7D">
        <w:rPr>
          <w:rFonts w:asciiTheme="majorHAnsi" w:hAnsiTheme="majorHAnsi" w:cstheme="majorHAnsi"/>
          <w:color w:val="000000" w:themeColor="text1"/>
          <w:sz w:val="22"/>
          <w:szCs w:val="22"/>
        </w:rPr>
        <w:t xml:space="preserve">supply) may be impacted by policies within </w:t>
      </w:r>
      <w:r w:rsidR="00DA547F" w:rsidRPr="00CE4C7D">
        <w:rPr>
          <w:rFonts w:asciiTheme="majorHAnsi" w:hAnsiTheme="majorHAnsi" w:cstheme="majorHAnsi"/>
          <w:color w:val="000000" w:themeColor="text1"/>
          <w:sz w:val="22"/>
          <w:szCs w:val="22"/>
        </w:rPr>
        <w:t>virtually every policy sector.</w:t>
      </w:r>
    </w:p>
    <w:p w14:paraId="5680F582" w14:textId="2C576E7E" w:rsidR="00662373" w:rsidRPr="00CE4C7D" w:rsidRDefault="00662373" w:rsidP="00F25A95">
      <w:pPr>
        <w:pStyle w:val="NoSpacing"/>
        <w:rPr>
          <w:rFonts w:asciiTheme="majorHAnsi" w:hAnsiTheme="majorHAnsi" w:cstheme="majorHAnsi"/>
          <w:color w:val="000000" w:themeColor="text1"/>
        </w:rPr>
      </w:pPr>
    </w:p>
    <w:p w14:paraId="14990F47" w14:textId="26A9B6D3" w:rsidR="00F9155B" w:rsidRPr="00CE4C7D" w:rsidRDefault="000D2D5C" w:rsidP="00F25A95">
      <w:pPr>
        <w:rPr>
          <w:rFonts w:asciiTheme="majorHAnsi" w:hAnsiTheme="majorHAnsi" w:cstheme="majorHAnsi"/>
          <w:color w:val="5F497A" w:themeColor="accent4" w:themeShade="BF"/>
          <w:sz w:val="22"/>
          <w:szCs w:val="22"/>
        </w:rPr>
      </w:pPr>
      <w:r w:rsidRPr="00CE4C7D">
        <w:rPr>
          <w:rFonts w:asciiTheme="majorHAnsi" w:hAnsiTheme="majorHAnsi" w:cstheme="majorHAnsi"/>
          <w:color w:val="000000" w:themeColor="text1"/>
          <w:sz w:val="22"/>
          <w:szCs w:val="22"/>
        </w:rPr>
        <w:t xml:space="preserve">A first point to note is that, as </w:t>
      </w:r>
      <w:r w:rsidR="00C14EA0" w:rsidRPr="00CE4C7D">
        <w:rPr>
          <w:rFonts w:asciiTheme="majorHAnsi" w:hAnsiTheme="majorHAnsi" w:cstheme="majorHAnsi"/>
          <w:color w:val="000000" w:themeColor="text1"/>
          <w:sz w:val="22"/>
          <w:szCs w:val="22"/>
        </w:rPr>
        <w:t>hig</w:t>
      </w:r>
      <w:r w:rsidR="00080419" w:rsidRPr="00CE4C7D">
        <w:rPr>
          <w:rFonts w:asciiTheme="majorHAnsi" w:hAnsiTheme="majorHAnsi" w:cstheme="majorHAnsi"/>
          <w:color w:val="000000" w:themeColor="text1"/>
          <w:sz w:val="22"/>
          <w:szCs w:val="22"/>
        </w:rPr>
        <w:t>h</w:t>
      </w:r>
      <w:r w:rsidR="00C14EA0" w:rsidRPr="00CE4C7D">
        <w:rPr>
          <w:rFonts w:asciiTheme="majorHAnsi" w:hAnsiTheme="majorHAnsi" w:cstheme="majorHAnsi"/>
          <w:color w:val="000000" w:themeColor="text1"/>
          <w:sz w:val="22"/>
          <w:szCs w:val="22"/>
        </w:rPr>
        <w:t xml:space="preserve">lighted </w:t>
      </w:r>
      <w:r w:rsidRPr="00CE4C7D">
        <w:rPr>
          <w:rFonts w:asciiTheme="majorHAnsi" w:hAnsiTheme="majorHAnsi" w:cstheme="majorHAnsi"/>
          <w:color w:val="000000" w:themeColor="text1"/>
          <w:sz w:val="22"/>
          <w:szCs w:val="22"/>
        </w:rPr>
        <w:t>above, policies affecting energy occur</w:t>
      </w:r>
      <w:r w:rsidR="00662373" w:rsidRPr="00CE4C7D">
        <w:rPr>
          <w:rFonts w:asciiTheme="majorHAnsi" w:hAnsiTheme="majorHAnsi" w:cstheme="majorHAnsi"/>
          <w:color w:val="000000" w:themeColor="text1"/>
          <w:sz w:val="22"/>
          <w:szCs w:val="22"/>
        </w:rPr>
        <w:t xml:space="preserve"> across multiple spatial</w:t>
      </w:r>
      <w:r w:rsidRPr="00CE4C7D">
        <w:rPr>
          <w:rFonts w:asciiTheme="majorHAnsi" w:hAnsiTheme="majorHAnsi" w:cstheme="majorHAnsi"/>
          <w:color w:val="000000" w:themeColor="text1"/>
          <w:sz w:val="22"/>
          <w:szCs w:val="22"/>
        </w:rPr>
        <w:t xml:space="preserve"> </w:t>
      </w:r>
      <w:r w:rsidR="00662373" w:rsidRPr="00CE4C7D">
        <w:rPr>
          <w:rFonts w:asciiTheme="majorHAnsi" w:hAnsiTheme="majorHAnsi" w:cstheme="majorHAnsi"/>
          <w:color w:val="000000" w:themeColor="text1"/>
          <w:sz w:val="22"/>
          <w:szCs w:val="22"/>
        </w:rPr>
        <w:t>scales</w:t>
      </w:r>
      <w:r w:rsidR="004346AD" w:rsidRPr="00CE4C7D">
        <w:rPr>
          <w:rFonts w:asciiTheme="majorHAnsi" w:hAnsiTheme="majorHAnsi" w:cstheme="majorHAnsi"/>
          <w:color w:val="000000" w:themeColor="text1"/>
          <w:sz w:val="22"/>
          <w:szCs w:val="22"/>
        </w:rPr>
        <w:t xml:space="preserve"> and policy actors</w:t>
      </w:r>
      <w:r w:rsidR="00BA5221" w:rsidRPr="00CE4C7D">
        <w:rPr>
          <w:rFonts w:asciiTheme="majorHAnsi" w:hAnsiTheme="majorHAnsi" w:cstheme="majorHAnsi"/>
          <w:color w:val="000000" w:themeColor="text1"/>
          <w:sz w:val="22"/>
          <w:szCs w:val="22"/>
        </w:rPr>
        <w:t>, including</w:t>
      </w:r>
      <w:r w:rsidR="00662373" w:rsidRPr="00CE4C7D">
        <w:rPr>
          <w:rFonts w:asciiTheme="majorHAnsi" w:hAnsiTheme="majorHAnsi" w:cstheme="majorHAnsi"/>
          <w:color w:val="000000" w:themeColor="text1"/>
          <w:sz w:val="22"/>
          <w:szCs w:val="22"/>
        </w:rPr>
        <w:t xml:space="preserve"> </w:t>
      </w:r>
      <w:r w:rsidRPr="00CE4C7D">
        <w:rPr>
          <w:rFonts w:asciiTheme="majorHAnsi" w:hAnsiTheme="majorHAnsi" w:cstheme="majorHAnsi"/>
          <w:color w:val="000000" w:themeColor="text1"/>
          <w:sz w:val="22"/>
          <w:szCs w:val="22"/>
        </w:rPr>
        <w:t>states,</w:t>
      </w:r>
      <w:r w:rsidR="002B0F16" w:rsidRPr="00CE4C7D">
        <w:rPr>
          <w:rFonts w:asciiTheme="majorHAnsi" w:hAnsiTheme="majorHAnsi" w:cstheme="majorHAnsi"/>
          <w:color w:val="000000" w:themeColor="text1"/>
          <w:sz w:val="22"/>
          <w:szCs w:val="22"/>
        </w:rPr>
        <w:t xml:space="preserve"> </w:t>
      </w:r>
      <w:r w:rsidR="00BA5221" w:rsidRPr="00CE4C7D">
        <w:rPr>
          <w:rFonts w:asciiTheme="majorHAnsi" w:hAnsiTheme="majorHAnsi" w:cstheme="majorHAnsi"/>
          <w:color w:val="000000" w:themeColor="text1"/>
          <w:sz w:val="22"/>
          <w:szCs w:val="22"/>
        </w:rPr>
        <w:t xml:space="preserve">transnational institutions, </w:t>
      </w:r>
      <w:r w:rsidR="000465BF" w:rsidRPr="00CE4C7D">
        <w:rPr>
          <w:rFonts w:asciiTheme="majorHAnsi" w:hAnsiTheme="majorHAnsi" w:cstheme="majorHAnsi"/>
          <w:color w:val="000000" w:themeColor="text1"/>
          <w:sz w:val="22"/>
          <w:szCs w:val="22"/>
        </w:rPr>
        <w:t xml:space="preserve">devolved </w:t>
      </w:r>
      <w:r w:rsidR="00BA5221" w:rsidRPr="00CE4C7D">
        <w:rPr>
          <w:rFonts w:asciiTheme="majorHAnsi" w:hAnsiTheme="majorHAnsi" w:cstheme="majorHAnsi"/>
          <w:color w:val="000000" w:themeColor="text1"/>
          <w:sz w:val="22"/>
          <w:szCs w:val="22"/>
        </w:rPr>
        <w:t xml:space="preserve">and regional </w:t>
      </w:r>
      <w:r w:rsidR="000465BF" w:rsidRPr="00CE4C7D">
        <w:rPr>
          <w:rFonts w:asciiTheme="majorHAnsi" w:hAnsiTheme="majorHAnsi" w:cstheme="majorHAnsi"/>
          <w:color w:val="000000" w:themeColor="text1"/>
          <w:sz w:val="22"/>
          <w:szCs w:val="22"/>
        </w:rPr>
        <w:t xml:space="preserve">bodies, </w:t>
      </w:r>
      <w:r w:rsidR="00BA5221" w:rsidRPr="00CE4C7D">
        <w:rPr>
          <w:rFonts w:asciiTheme="majorHAnsi" w:hAnsiTheme="majorHAnsi" w:cstheme="majorHAnsi"/>
          <w:color w:val="000000" w:themeColor="text1"/>
          <w:sz w:val="22"/>
          <w:szCs w:val="22"/>
        </w:rPr>
        <w:t xml:space="preserve">and local </w:t>
      </w:r>
      <w:r w:rsidR="002850B7" w:rsidRPr="00CE4C7D">
        <w:rPr>
          <w:rFonts w:asciiTheme="majorHAnsi" w:hAnsiTheme="majorHAnsi" w:cstheme="majorHAnsi"/>
          <w:color w:val="000000" w:themeColor="text1"/>
          <w:sz w:val="22"/>
          <w:szCs w:val="22"/>
        </w:rPr>
        <w:t xml:space="preserve">institutions such as universities </w:t>
      </w:r>
      <w:r w:rsidR="00662373" w:rsidRPr="00CE4C7D">
        <w:rPr>
          <w:rFonts w:asciiTheme="majorHAnsi" w:hAnsiTheme="majorHAnsi" w:cstheme="majorHAnsi"/>
          <w:color w:val="000000" w:themeColor="text1"/>
          <w:sz w:val="22"/>
          <w:szCs w:val="22"/>
        </w:rPr>
        <w:t>and</w:t>
      </w:r>
      <w:r w:rsidR="002850B7" w:rsidRPr="00CE4C7D">
        <w:rPr>
          <w:rFonts w:asciiTheme="majorHAnsi" w:hAnsiTheme="majorHAnsi" w:cstheme="majorHAnsi"/>
          <w:color w:val="000000" w:themeColor="text1"/>
          <w:sz w:val="22"/>
          <w:szCs w:val="22"/>
        </w:rPr>
        <w:t xml:space="preserve"> </w:t>
      </w:r>
      <w:r w:rsidR="002B0F16" w:rsidRPr="00CE4C7D">
        <w:rPr>
          <w:rFonts w:asciiTheme="majorHAnsi" w:hAnsiTheme="majorHAnsi" w:cstheme="majorHAnsi"/>
          <w:color w:val="000000" w:themeColor="text1"/>
          <w:sz w:val="22"/>
          <w:szCs w:val="22"/>
        </w:rPr>
        <w:t>hospitals. All of these play a part in steering demand for energy</w:t>
      </w:r>
      <w:r w:rsidR="00F9155B" w:rsidRPr="00CE4C7D">
        <w:rPr>
          <w:rFonts w:asciiTheme="majorHAnsi" w:hAnsiTheme="majorHAnsi" w:cstheme="majorHAnsi"/>
          <w:color w:val="000000" w:themeColor="text1"/>
          <w:sz w:val="22"/>
          <w:szCs w:val="22"/>
        </w:rPr>
        <w:t>, to a greater or lesser extent.</w:t>
      </w:r>
      <w:r w:rsidR="004346AD" w:rsidRPr="00CE4C7D">
        <w:rPr>
          <w:rFonts w:asciiTheme="majorHAnsi" w:hAnsiTheme="majorHAnsi" w:cstheme="majorHAnsi"/>
          <w:color w:val="000000" w:themeColor="text1"/>
          <w:sz w:val="22"/>
          <w:szCs w:val="22"/>
        </w:rPr>
        <w:t xml:space="preserve"> There are also agendas that span many different policy sectors, which have especially wide-ranging </w:t>
      </w:r>
      <w:r w:rsidR="004346AD" w:rsidRPr="00CE4C7D">
        <w:rPr>
          <w:rFonts w:asciiTheme="majorHAnsi" w:hAnsiTheme="majorHAnsi" w:cstheme="majorHAnsi"/>
          <w:sz w:val="22"/>
          <w:szCs w:val="22"/>
        </w:rPr>
        <w:t>effects</w:t>
      </w:r>
      <w:r w:rsidR="00130DE6" w:rsidRPr="00CE4C7D">
        <w:rPr>
          <w:rFonts w:asciiTheme="majorHAnsi" w:hAnsiTheme="majorHAnsi" w:cstheme="majorHAnsi"/>
          <w:sz w:val="22"/>
          <w:szCs w:val="22"/>
        </w:rPr>
        <w:t xml:space="preserve">.  One of the most important is the </w:t>
      </w:r>
      <w:r w:rsidR="00267F68" w:rsidRPr="00CE4C7D">
        <w:rPr>
          <w:rFonts w:asciiTheme="majorHAnsi" w:hAnsiTheme="majorHAnsi" w:cstheme="majorHAnsi"/>
          <w:sz w:val="22"/>
          <w:szCs w:val="22"/>
        </w:rPr>
        <w:t>dominant</w:t>
      </w:r>
      <w:r w:rsidR="00130DE6" w:rsidRPr="00CE4C7D">
        <w:rPr>
          <w:rFonts w:asciiTheme="majorHAnsi" w:hAnsiTheme="majorHAnsi" w:cstheme="majorHAnsi"/>
          <w:sz w:val="22"/>
          <w:szCs w:val="22"/>
        </w:rPr>
        <w:t xml:space="preserve"> commitment to economic growth, along with related strategies (among many policy actors) of </w:t>
      </w:r>
      <w:r w:rsidR="0053116B" w:rsidRPr="00CE4C7D">
        <w:rPr>
          <w:rFonts w:asciiTheme="majorHAnsi" w:hAnsiTheme="majorHAnsi" w:cstheme="majorHAnsi"/>
          <w:sz w:val="22"/>
          <w:szCs w:val="22"/>
        </w:rPr>
        <w:t>liberali</w:t>
      </w:r>
      <w:r w:rsidR="0029692E" w:rsidRPr="00CE4C7D">
        <w:rPr>
          <w:rFonts w:asciiTheme="majorHAnsi" w:hAnsiTheme="majorHAnsi" w:cstheme="majorHAnsi"/>
          <w:sz w:val="22"/>
          <w:szCs w:val="22"/>
        </w:rPr>
        <w:t>z</w:t>
      </w:r>
      <w:r w:rsidR="0053116B" w:rsidRPr="00CE4C7D">
        <w:rPr>
          <w:rFonts w:asciiTheme="majorHAnsi" w:hAnsiTheme="majorHAnsi" w:cstheme="majorHAnsi"/>
          <w:sz w:val="22"/>
          <w:szCs w:val="22"/>
        </w:rPr>
        <w:t>ation</w:t>
      </w:r>
      <w:r w:rsidR="00130DE6" w:rsidRPr="00CE4C7D">
        <w:rPr>
          <w:rFonts w:asciiTheme="majorHAnsi" w:hAnsiTheme="majorHAnsi" w:cstheme="majorHAnsi"/>
          <w:sz w:val="22"/>
          <w:szCs w:val="22"/>
        </w:rPr>
        <w:t xml:space="preserve"> and marketi</w:t>
      </w:r>
      <w:r w:rsidR="0029692E" w:rsidRPr="00CE4C7D">
        <w:rPr>
          <w:rFonts w:asciiTheme="majorHAnsi" w:hAnsiTheme="majorHAnsi" w:cstheme="majorHAnsi"/>
          <w:sz w:val="22"/>
          <w:szCs w:val="22"/>
        </w:rPr>
        <w:t>z</w:t>
      </w:r>
      <w:r w:rsidR="00130DE6" w:rsidRPr="00CE4C7D">
        <w:rPr>
          <w:rFonts w:asciiTheme="majorHAnsi" w:hAnsiTheme="majorHAnsi" w:cstheme="majorHAnsi"/>
          <w:sz w:val="22"/>
          <w:szCs w:val="22"/>
        </w:rPr>
        <w:t xml:space="preserve">ation. </w:t>
      </w:r>
      <w:r w:rsidR="002C3123" w:rsidRPr="00CE4C7D">
        <w:rPr>
          <w:rFonts w:asciiTheme="majorHAnsi" w:hAnsiTheme="majorHAnsi" w:cstheme="majorHAnsi"/>
          <w:sz w:val="22"/>
          <w:szCs w:val="22"/>
        </w:rPr>
        <w:t>Liberali</w:t>
      </w:r>
      <w:r w:rsidR="0029692E" w:rsidRPr="00CE4C7D">
        <w:rPr>
          <w:rFonts w:asciiTheme="majorHAnsi" w:hAnsiTheme="majorHAnsi" w:cstheme="majorHAnsi"/>
          <w:sz w:val="22"/>
          <w:szCs w:val="22"/>
        </w:rPr>
        <w:t>z</w:t>
      </w:r>
      <w:r w:rsidR="002C3123" w:rsidRPr="00CE4C7D">
        <w:rPr>
          <w:rFonts w:asciiTheme="majorHAnsi" w:hAnsiTheme="majorHAnsi" w:cstheme="majorHAnsi"/>
          <w:sz w:val="22"/>
          <w:szCs w:val="22"/>
        </w:rPr>
        <w:t>ation</w:t>
      </w:r>
      <w:r w:rsidR="004A3DE6" w:rsidRPr="00CE4C7D">
        <w:rPr>
          <w:rFonts w:asciiTheme="majorHAnsi" w:hAnsiTheme="majorHAnsi" w:cstheme="majorHAnsi"/>
          <w:sz w:val="22"/>
          <w:szCs w:val="22"/>
        </w:rPr>
        <w:t xml:space="preserve"> </w:t>
      </w:r>
      <w:r w:rsidR="002C3123" w:rsidRPr="00CE4C7D">
        <w:rPr>
          <w:rFonts w:asciiTheme="majorHAnsi" w:hAnsiTheme="majorHAnsi" w:cstheme="majorHAnsi"/>
          <w:sz w:val="22"/>
          <w:szCs w:val="22"/>
        </w:rPr>
        <w:t xml:space="preserve">here </w:t>
      </w:r>
      <w:r w:rsidR="004A3DE6" w:rsidRPr="00CE4C7D">
        <w:rPr>
          <w:rFonts w:asciiTheme="majorHAnsi" w:hAnsiTheme="majorHAnsi" w:cstheme="majorHAnsi"/>
          <w:sz w:val="22"/>
          <w:szCs w:val="22"/>
        </w:rPr>
        <w:t>refers to</w:t>
      </w:r>
      <w:r w:rsidR="00E97AB8" w:rsidRPr="00CE4C7D">
        <w:rPr>
          <w:rFonts w:asciiTheme="majorHAnsi" w:hAnsiTheme="majorHAnsi" w:cstheme="majorHAnsi"/>
          <w:sz w:val="22"/>
          <w:szCs w:val="22"/>
        </w:rPr>
        <w:t xml:space="preserve"> a shift away from governmental provision, funding</w:t>
      </w:r>
      <w:r w:rsidR="002C3123" w:rsidRPr="00CE4C7D">
        <w:rPr>
          <w:rFonts w:asciiTheme="majorHAnsi" w:hAnsiTheme="majorHAnsi" w:cstheme="majorHAnsi"/>
          <w:sz w:val="22"/>
          <w:szCs w:val="22"/>
        </w:rPr>
        <w:t>,</w:t>
      </w:r>
      <w:r w:rsidR="00E97AB8" w:rsidRPr="00CE4C7D">
        <w:rPr>
          <w:rFonts w:asciiTheme="majorHAnsi" w:hAnsiTheme="majorHAnsi" w:cstheme="majorHAnsi"/>
          <w:sz w:val="22"/>
          <w:szCs w:val="22"/>
        </w:rPr>
        <w:t xml:space="preserve"> management </w:t>
      </w:r>
      <w:r w:rsidR="002C3123" w:rsidRPr="00CE4C7D">
        <w:rPr>
          <w:rFonts w:asciiTheme="majorHAnsi" w:hAnsiTheme="majorHAnsi" w:cstheme="majorHAnsi"/>
          <w:sz w:val="22"/>
          <w:szCs w:val="22"/>
        </w:rPr>
        <w:t xml:space="preserve">and control </w:t>
      </w:r>
      <w:r w:rsidR="00E97AB8" w:rsidRPr="00CE4C7D">
        <w:rPr>
          <w:rFonts w:asciiTheme="majorHAnsi" w:hAnsiTheme="majorHAnsi" w:cstheme="majorHAnsi"/>
          <w:sz w:val="22"/>
          <w:szCs w:val="22"/>
        </w:rPr>
        <w:t xml:space="preserve">of services, and towards </w:t>
      </w:r>
      <w:r w:rsidR="002C3123" w:rsidRPr="00CE4C7D">
        <w:rPr>
          <w:rFonts w:asciiTheme="majorHAnsi" w:hAnsiTheme="majorHAnsi" w:cstheme="majorHAnsi"/>
          <w:sz w:val="22"/>
          <w:szCs w:val="22"/>
        </w:rPr>
        <w:t xml:space="preserve">increasing roles and freedoms for </w:t>
      </w:r>
      <w:r w:rsidR="00E97AB8" w:rsidRPr="00CE4C7D">
        <w:rPr>
          <w:rFonts w:asciiTheme="majorHAnsi" w:hAnsiTheme="majorHAnsi" w:cstheme="majorHAnsi"/>
          <w:sz w:val="22"/>
          <w:szCs w:val="22"/>
        </w:rPr>
        <w:t xml:space="preserve">private </w:t>
      </w:r>
      <w:r w:rsidR="002C3123" w:rsidRPr="00CE4C7D">
        <w:rPr>
          <w:rFonts w:asciiTheme="majorHAnsi" w:hAnsiTheme="majorHAnsi" w:cstheme="majorHAnsi"/>
          <w:sz w:val="22"/>
          <w:szCs w:val="22"/>
        </w:rPr>
        <w:t>service-provider</w:t>
      </w:r>
      <w:r w:rsidR="00E97AB8" w:rsidRPr="00CE4C7D">
        <w:rPr>
          <w:rFonts w:asciiTheme="majorHAnsi" w:hAnsiTheme="majorHAnsi" w:cstheme="majorHAnsi"/>
          <w:sz w:val="22"/>
          <w:szCs w:val="22"/>
        </w:rPr>
        <w:t>s</w:t>
      </w:r>
      <w:r w:rsidR="002C3123" w:rsidRPr="00CE4C7D">
        <w:rPr>
          <w:rFonts w:asciiTheme="majorHAnsi" w:hAnsiTheme="majorHAnsi" w:cstheme="majorHAnsi"/>
          <w:sz w:val="22"/>
          <w:szCs w:val="22"/>
        </w:rPr>
        <w:t>. Within this, marketi</w:t>
      </w:r>
      <w:r w:rsidR="0029692E" w:rsidRPr="00CE4C7D">
        <w:rPr>
          <w:rFonts w:asciiTheme="majorHAnsi" w:hAnsiTheme="majorHAnsi" w:cstheme="majorHAnsi"/>
          <w:sz w:val="22"/>
          <w:szCs w:val="22"/>
        </w:rPr>
        <w:t>z</w:t>
      </w:r>
      <w:r w:rsidR="002C3123" w:rsidRPr="00CE4C7D">
        <w:rPr>
          <w:rFonts w:asciiTheme="majorHAnsi" w:hAnsiTheme="majorHAnsi" w:cstheme="majorHAnsi"/>
          <w:sz w:val="22"/>
          <w:szCs w:val="22"/>
        </w:rPr>
        <w:t xml:space="preserve">ation specifically refers to the development of markets in sectors that previously did not operate as markets. </w:t>
      </w:r>
      <w:r w:rsidR="00130DE6" w:rsidRPr="00CE4C7D">
        <w:rPr>
          <w:rFonts w:asciiTheme="majorHAnsi" w:hAnsiTheme="majorHAnsi" w:cstheme="majorHAnsi"/>
          <w:sz w:val="22"/>
          <w:szCs w:val="22"/>
        </w:rPr>
        <w:t>Th</w:t>
      </w:r>
      <w:r w:rsidR="002C3123" w:rsidRPr="00CE4C7D">
        <w:rPr>
          <w:rFonts w:asciiTheme="majorHAnsi" w:hAnsiTheme="majorHAnsi" w:cstheme="majorHAnsi"/>
          <w:sz w:val="22"/>
          <w:szCs w:val="22"/>
        </w:rPr>
        <w:t>e</w:t>
      </w:r>
      <w:r w:rsidR="00130DE6" w:rsidRPr="00CE4C7D">
        <w:rPr>
          <w:rFonts w:asciiTheme="majorHAnsi" w:hAnsiTheme="majorHAnsi" w:cstheme="majorHAnsi"/>
          <w:sz w:val="22"/>
          <w:szCs w:val="22"/>
        </w:rPr>
        <w:t>s</w:t>
      </w:r>
      <w:r w:rsidR="002C3123" w:rsidRPr="00CE4C7D">
        <w:rPr>
          <w:rFonts w:asciiTheme="majorHAnsi" w:hAnsiTheme="majorHAnsi" w:cstheme="majorHAnsi"/>
          <w:sz w:val="22"/>
          <w:szCs w:val="22"/>
        </w:rPr>
        <w:t>e</w:t>
      </w:r>
      <w:r w:rsidR="00130DE6" w:rsidRPr="00CE4C7D">
        <w:rPr>
          <w:rFonts w:asciiTheme="majorHAnsi" w:hAnsiTheme="majorHAnsi" w:cstheme="majorHAnsi"/>
          <w:sz w:val="22"/>
          <w:szCs w:val="22"/>
        </w:rPr>
        <w:t xml:space="preserve"> agenda</w:t>
      </w:r>
      <w:r w:rsidR="002C3123" w:rsidRPr="00CE4C7D">
        <w:rPr>
          <w:rFonts w:asciiTheme="majorHAnsi" w:hAnsiTheme="majorHAnsi" w:cstheme="majorHAnsi"/>
          <w:sz w:val="22"/>
          <w:szCs w:val="22"/>
        </w:rPr>
        <w:t>s</w:t>
      </w:r>
      <w:r w:rsidR="006C080D" w:rsidRPr="00CE4C7D">
        <w:rPr>
          <w:rFonts w:asciiTheme="majorHAnsi" w:hAnsiTheme="majorHAnsi" w:cstheme="majorHAnsi"/>
          <w:sz w:val="22"/>
          <w:szCs w:val="22"/>
        </w:rPr>
        <w:t xml:space="preserve"> recur</w:t>
      </w:r>
      <w:r w:rsidR="00130DE6" w:rsidRPr="00CE4C7D">
        <w:rPr>
          <w:rFonts w:asciiTheme="majorHAnsi" w:hAnsiTheme="majorHAnsi" w:cstheme="majorHAnsi"/>
          <w:sz w:val="22"/>
          <w:szCs w:val="22"/>
        </w:rPr>
        <w:t xml:space="preserve"> through many of the examples discussed below.</w:t>
      </w:r>
    </w:p>
    <w:p w14:paraId="23AA2328" w14:textId="511369C1" w:rsidR="00694DEA" w:rsidRPr="00CE4C7D" w:rsidRDefault="00694DEA" w:rsidP="00F25A95">
      <w:pPr>
        <w:pStyle w:val="NoSpacing"/>
        <w:rPr>
          <w:rFonts w:asciiTheme="majorHAnsi" w:hAnsiTheme="majorHAnsi" w:cstheme="majorHAnsi"/>
        </w:rPr>
      </w:pPr>
    </w:p>
    <w:p w14:paraId="4115B31F" w14:textId="10696FF1" w:rsidR="003573CD" w:rsidRPr="00CE4C7D" w:rsidRDefault="004A1402" w:rsidP="00F25A95">
      <w:pPr>
        <w:autoSpaceDE w:val="0"/>
        <w:autoSpaceDN w:val="0"/>
        <w:adjustRightInd w:val="0"/>
        <w:rPr>
          <w:rFonts w:asciiTheme="majorHAnsi" w:hAnsiTheme="majorHAnsi" w:cstheme="majorHAnsi"/>
          <w:color w:val="5F497A" w:themeColor="accent4" w:themeShade="BF"/>
          <w:sz w:val="22"/>
          <w:szCs w:val="22"/>
        </w:rPr>
      </w:pPr>
      <w:r w:rsidRPr="00CE4C7D">
        <w:rPr>
          <w:rFonts w:asciiTheme="majorHAnsi" w:hAnsiTheme="majorHAnsi" w:cstheme="majorHAnsi"/>
          <w:sz w:val="22"/>
          <w:szCs w:val="22"/>
        </w:rPr>
        <w:t xml:space="preserve">Secondly, </w:t>
      </w:r>
      <w:r w:rsidR="00694DEA" w:rsidRPr="00CE4C7D">
        <w:rPr>
          <w:rFonts w:asciiTheme="majorHAnsi" w:hAnsiTheme="majorHAnsi" w:cstheme="majorHAnsi"/>
          <w:sz w:val="22"/>
          <w:szCs w:val="22"/>
        </w:rPr>
        <w:t xml:space="preserve">the effect </w:t>
      </w:r>
      <w:r w:rsidRPr="00CE4C7D">
        <w:rPr>
          <w:rFonts w:asciiTheme="majorHAnsi" w:hAnsiTheme="majorHAnsi" w:cstheme="majorHAnsi"/>
          <w:sz w:val="22"/>
          <w:szCs w:val="22"/>
        </w:rPr>
        <w:t xml:space="preserve">of policies on energy demand </w:t>
      </w:r>
      <w:r w:rsidR="00694DEA" w:rsidRPr="00CE4C7D">
        <w:rPr>
          <w:rFonts w:asciiTheme="majorHAnsi" w:hAnsiTheme="majorHAnsi" w:cstheme="majorHAnsi"/>
          <w:sz w:val="22"/>
          <w:szCs w:val="22"/>
        </w:rPr>
        <w:t xml:space="preserve">may be </w:t>
      </w:r>
      <w:proofErr w:type="gramStart"/>
      <w:r w:rsidRPr="00CE4C7D">
        <w:rPr>
          <w:rFonts w:asciiTheme="majorHAnsi" w:hAnsiTheme="majorHAnsi" w:cstheme="majorHAnsi"/>
          <w:sz w:val="22"/>
          <w:szCs w:val="22"/>
        </w:rPr>
        <w:t>fairly</w:t>
      </w:r>
      <w:r w:rsidR="00694DEA" w:rsidRPr="00CE4C7D">
        <w:rPr>
          <w:rFonts w:asciiTheme="majorHAnsi" w:hAnsiTheme="majorHAnsi" w:cstheme="majorHAnsi"/>
          <w:sz w:val="22"/>
          <w:szCs w:val="22"/>
        </w:rPr>
        <w:t xml:space="preserve"> direct</w:t>
      </w:r>
      <w:proofErr w:type="gramEnd"/>
      <w:r w:rsidR="00694DEA" w:rsidRPr="00CE4C7D">
        <w:rPr>
          <w:rFonts w:asciiTheme="majorHAnsi" w:hAnsiTheme="majorHAnsi" w:cstheme="majorHAnsi"/>
          <w:sz w:val="22"/>
          <w:szCs w:val="22"/>
        </w:rPr>
        <w:t xml:space="preserve"> </w:t>
      </w:r>
      <w:r w:rsidRPr="00CE4C7D">
        <w:rPr>
          <w:rFonts w:asciiTheme="majorHAnsi" w:hAnsiTheme="majorHAnsi" w:cstheme="majorHAnsi"/>
          <w:sz w:val="22"/>
          <w:szCs w:val="22"/>
        </w:rPr>
        <w:t>or</w:t>
      </w:r>
      <w:r w:rsidR="00694DEA" w:rsidRPr="00CE4C7D">
        <w:rPr>
          <w:rFonts w:asciiTheme="majorHAnsi" w:hAnsiTheme="majorHAnsi" w:cstheme="majorHAnsi"/>
          <w:sz w:val="22"/>
          <w:szCs w:val="22"/>
        </w:rPr>
        <w:t xml:space="preserve"> immediate; for example, if </w:t>
      </w:r>
      <w:r w:rsidRPr="00CE4C7D">
        <w:rPr>
          <w:rFonts w:asciiTheme="majorHAnsi" w:hAnsiTheme="majorHAnsi" w:cstheme="majorHAnsi"/>
          <w:sz w:val="22"/>
          <w:szCs w:val="22"/>
        </w:rPr>
        <w:t>a business decides to cut operating costs by turning off all lights at night, this will affect energy use as soon as it is implemented.</w:t>
      </w:r>
      <w:r w:rsidR="00A86913" w:rsidRPr="00CE4C7D">
        <w:rPr>
          <w:rFonts w:asciiTheme="majorHAnsi" w:hAnsiTheme="majorHAnsi" w:cstheme="majorHAnsi"/>
          <w:sz w:val="22"/>
          <w:szCs w:val="22"/>
        </w:rPr>
        <w:t xml:space="preserve"> </w:t>
      </w:r>
      <w:r w:rsidR="003573CD" w:rsidRPr="00CE4C7D">
        <w:rPr>
          <w:rFonts w:asciiTheme="majorHAnsi" w:hAnsiTheme="majorHAnsi" w:cstheme="majorHAnsi"/>
          <w:sz w:val="22"/>
          <w:szCs w:val="22"/>
        </w:rPr>
        <w:t>More typically, though</w:t>
      </w:r>
      <w:r w:rsidR="00694DEA" w:rsidRPr="00CE4C7D">
        <w:rPr>
          <w:rFonts w:asciiTheme="majorHAnsi" w:hAnsiTheme="majorHAnsi" w:cstheme="majorHAnsi"/>
          <w:sz w:val="22"/>
          <w:szCs w:val="22"/>
        </w:rPr>
        <w:t xml:space="preserve">, the </w:t>
      </w:r>
      <w:r w:rsidR="00A86913" w:rsidRPr="00CE4C7D">
        <w:rPr>
          <w:rFonts w:asciiTheme="majorHAnsi" w:hAnsiTheme="majorHAnsi" w:cstheme="majorHAnsi"/>
          <w:sz w:val="22"/>
          <w:szCs w:val="22"/>
        </w:rPr>
        <w:t xml:space="preserve">impact </w:t>
      </w:r>
      <w:r w:rsidR="003573CD" w:rsidRPr="00CE4C7D">
        <w:rPr>
          <w:rFonts w:asciiTheme="majorHAnsi" w:hAnsiTheme="majorHAnsi" w:cstheme="majorHAnsi"/>
          <w:sz w:val="22"/>
          <w:szCs w:val="22"/>
        </w:rPr>
        <w:t xml:space="preserve">of policy decisions </w:t>
      </w:r>
      <w:r w:rsidR="00A86913" w:rsidRPr="00CE4C7D">
        <w:rPr>
          <w:rFonts w:asciiTheme="majorHAnsi" w:hAnsiTheme="majorHAnsi" w:cstheme="majorHAnsi"/>
          <w:sz w:val="22"/>
          <w:szCs w:val="22"/>
        </w:rPr>
        <w:t xml:space="preserve">may be less </w:t>
      </w:r>
      <w:r w:rsidR="00694DEA" w:rsidRPr="00CE4C7D">
        <w:rPr>
          <w:rFonts w:asciiTheme="majorHAnsi" w:hAnsiTheme="majorHAnsi" w:cstheme="majorHAnsi"/>
          <w:sz w:val="22"/>
          <w:szCs w:val="22"/>
        </w:rPr>
        <w:t>direct, delayed</w:t>
      </w:r>
      <w:r w:rsidR="00A86913" w:rsidRPr="00CE4C7D">
        <w:rPr>
          <w:rFonts w:asciiTheme="majorHAnsi" w:hAnsiTheme="majorHAnsi" w:cstheme="majorHAnsi"/>
          <w:sz w:val="22"/>
          <w:szCs w:val="22"/>
        </w:rPr>
        <w:t>,</w:t>
      </w:r>
      <w:r w:rsidR="00694DEA" w:rsidRPr="00CE4C7D">
        <w:rPr>
          <w:rFonts w:asciiTheme="majorHAnsi" w:hAnsiTheme="majorHAnsi" w:cstheme="majorHAnsi"/>
          <w:sz w:val="22"/>
          <w:szCs w:val="22"/>
        </w:rPr>
        <w:t xml:space="preserve"> or occur </w:t>
      </w:r>
      <w:r w:rsidR="00A86913" w:rsidRPr="00CE4C7D">
        <w:rPr>
          <w:rFonts w:asciiTheme="majorHAnsi" w:hAnsiTheme="majorHAnsi" w:cstheme="majorHAnsi"/>
          <w:sz w:val="22"/>
          <w:szCs w:val="22"/>
        </w:rPr>
        <w:t xml:space="preserve">over a longer </w:t>
      </w:r>
      <w:proofErr w:type="gramStart"/>
      <w:r w:rsidR="00A86913" w:rsidRPr="00CE4C7D">
        <w:rPr>
          <w:rFonts w:asciiTheme="majorHAnsi" w:hAnsiTheme="majorHAnsi" w:cstheme="majorHAnsi"/>
          <w:sz w:val="22"/>
          <w:szCs w:val="22"/>
        </w:rPr>
        <w:t>time-scale</w:t>
      </w:r>
      <w:proofErr w:type="gramEnd"/>
      <w:r w:rsidR="00A86913" w:rsidRPr="00CE4C7D">
        <w:rPr>
          <w:rFonts w:asciiTheme="majorHAnsi" w:hAnsiTheme="majorHAnsi" w:cstheme="majorHAnsi"/>
          <w:sz w:val="22"/>
          <w:szCs w:val="22"/>
        </w:rPr>
        <w:t xml:space="preserve"> or </w:t>
      </w:r>
      <w:r w:rsidR="00694DEA" w:rsidRPr="00CE4C7D">
        <w:rPr>
          <w:rFonts w:asciiTheme="majorHAnsi" w:hAnsiTheme="majorHAnsi" w:cstheme="majorHAnsi"/>
          <w:sz w:val="22"/>
          <w:szCs w:val="22"/>
        </w:rPr>
        <w:t xml:space="preserve">at a distance. </w:t>
      </w:r>
      <w:r w:rsidR="003573CD" w:rsidRPr="00CE4C7D">
        <w:rPr>
          <w:rFonts w:asciiTheme="majorHAnsi" w:hAnsiTheme="majorHAnsi" w:cstheme="majorHAnsi"/>
          <w:sz w:val="22"/>
          <w:szCs w:val="22"/>
        </w:rPr>
        <w:t>P</w:t>
      </w:r>
      <w:r w:rsidR="006250B4" w:rsidRPr="00CE4C7D">
        <w:rPr>
          <w:rFonts w:asciiTheme="majorHAnsi" w:hAnsiTheme="majorHAnsi" w:cstheme="majorHAnsi"/>
          <w:sz w:val="22"/>
          <w:szCs w:val="22"/>
        </w:rPr>
        <w:t xml:space="preserve">olicy </w:t>
      </w:r>
      <w:proofErr w:type="gramStart"/>
      <w:r w:rsidR="006250B4" w:rsidRPr="00CE4C7D">
        <w:rPr>
          <w:rFonts w:asciiTheme="majorHAnsi" w:hAnsiTheme="majorHAnsi" w:cstheme="majorHAnsi"/>
          <w:sz w:val="22"/>
          <w:szCs w:val="22"/>
        </w:rPr>
        <w:t>change</w:t>
      </w:r>
      <w:proofErr w:type="gramEnd"/>
      <w:r w:rsidR="003573CD" w:rsidRPr="00CE4C7D">
        <w:rPr>
          <w:rFonts w:asciiTheme="majorHAnsi" w:hAnsiTheme="majorHAnsi" w:cstheme="majorHAnsi"/>
          <w:sz w:val="22"/>
          <w:szCs w:val="22"/>
        </w:rPr>
        <w:t xml:space="preserve"> usually</w:t>
      </w:r>
      <w:r w:rsidR="006250B4" w:rsidRPr="00CE4C7D">
        <w:rPr>
          <w:rFonts w:asciiTheme="majorHAnsi" w:hAnsiTheme="majorHAnsi" w:cstheme="majorHAnsi"/>
          <w:sz w:val="22"/>
          <w:szCs w:val="22"/>
        </w:rPr>
        <w:t xml:space="preserve"> </w:t>
      </w:r>
      <w:r w:rsidR="003573CD" w:rsidRPr="00CE4C7D">
        <w:rPr>
          <w:rFonts w:asciiTheme="majorHAnsi" w:hAnsiTheme="majorHAnsi" w:cstheme="majorHAnsi"/>
          <w:sz w:val="22"/>
          <w:szCs w:val="22"/>
        </w:rPr>
        <w:t xml:space="preserve">represents just one </w:t>
      </w:r>
      <w:r w:rsidR="006250B4" w:rsidRPr="00CE4C7D">
        <w:rPr>
          <w:rFonts w:asciiTheme="majorHAnsi" w:hAnsiTheme="majorHAnsi" w:cstheme="majorHAnsi"/>
          <w:sz w:val="22"/>
          <w:szCs w:val="22"/>
        </w:rPr>
        <w:t>moment in</w:t>
      </w:r>
      <w:r w:rsidR="003573CD" w:rsidRPr="00CE4C7D">
        <w:rPr>
          <w:rFonts w:asciiTheme="majorHAnsi" w:hAnsiTheme="majorHAnsi" w:cstheme="majorHAnsi"/>
          <w:sz w:val="22"/>
          <w:szCs w:val="22"/>
        </w:rPr>
        <w:t xml:space="preserve"> ongoing </w:t>
      </w:r>
      <w:r w:rsidR="006250B4" w:rsidRPr="00CE4C7D">
        <w:rPr>
          <w:rFonts w:asciiTheme="majorHAnsi" w:hAnsiTheme="majorHAnsi" w:cstheme="majorHAnsi"/>
          <w:sz w:val="22"/>
          <w:szCs w:val="22"/>
        </w:rPr>
        <w:t>process</w:t>
      </w:r>
      <w:r w:rsidR="003573CD" w:rsidRPr="00CE4C7D">
        <w:rPr>
          <w:rFonts w:asciiTheme="majorHAnsi" w:hAnsiTheme="majorHAnsi" w:cstheme="majorHAnsi"/>
          <w:sz w:val="22"/>
          <w:szCs w:val="22"/>
        </w:rPr>
        <w:t>es</w:t>
      </w:r>
      <w:r w:rsidR="006250B4" w:rsidRPr="00CE4C7D">
        <w:rPr>
          <w:rFonts w:asciiTheme="majorHAnsi" w:hAnsiTheme="majorHAnsi" w:cstheme="majorHAnsi"/>
          <w:sz w:val="22"/>
          <w:szCs w:val="22"/>
        </w:rPr>
        <w:t xml:space="preserve"> of </w:t>
      </w:r>
      <w:r w:rsidR="003573CD" w:rsidRPr="00CE4C7D">
        <w:rPr>
          <w:rFonts w:asciiTheme="majorHAnsi" w:hAnsiTheme="majorHAnsi" w:cstheme="majorHAnsi"/>
          <w:sz w:val="22"/>
          <w:szCs w:val="22"/>
        </w:rPr>
        <w:t xml:space="preserve">social and technical </w:t>
      </w:r>
      <w:r w:rsidR="006250B4" w:rsidRPr="00CE4C7D">
        <w:rPr>
          <w:rFonts w:asciiTheme="majorHAnsi" w:hAnsiTheme="majorHAnsi" w:cstheme="majorHAnsi"/>
          <w:sz w:val="22"/>
          <w:szCs w:val="22"/>
        </w:rPr>
        <w:t>transition</w:t>
      </w:r>
      <w:r w:rsidR="003573CD" w:rsidRPr="00CE4C7D">
        <w:rPr>
          <w:rFonts w:asciiTheme="majorHAnsi" w:hAnsiTheme="majorHAnsi" w:cstheme="majorHAnsi"/>
          <w:sz w:val="22"/>
          <w:szCs w:val="22"/>
        </w:rPr>
        <w:t>, and impacts on energy demand generally materiali</w:t>
      </w:r>
      <w:r w:rsidR="000A25B3" w:rsidRPr="00CE4C7D">
        <w:rPr>
          <w:rFonts w:asciiTheme="majorHAnsi" w:hAnsiTheme="majorHAnsi" w:cstheme="majorHAnsi"/>
          <w:sz w:val="22"/>
          <w:szCs w:val="22"/>
        </w:rPr>
        <w:t>z</w:t>
      </w:r>
      <w:r w:rsidR="003573CD" w:rsidRPr="00CE4C7D">
        <w:rPr>
          <w:rFonts w:asciiTheme="majorHAnsi" w:hAnsiTheme="majorHAnsi" w:cstheme="majorHAnsi"/>
          <w:sz w:val="22"/>
          <w:szCs w:val="22"/>
        </w:rPr>
        <w:t>e when, where and insofar as policies become embodied within infrastructures and social practices. For example, the growth of out</w:t>
      </w:r>
      <w:r w:rsidR="00DB75C1" w:rsidRPr="00CE4C7D">
        <w:rPr>
          <w:rFonts w:asciiTheme="majorHAnsi" w:hAnsiTheme="majorHAnsi" w:cstheme="majorHAnsi"/>
          <w:sz w:val="22"/>
          <w:szCs w:val="22"/>
        </w:rPr>
        <w:t>-</w:t>
      </w:r>
      <w:r w:rsidR="003573CD" w:rsidRPr="00CE4C7D">
        <w:rPr>
          <w:rFonts w:asciiTheme="majorHAnsi" w:hAnsiTheme="majorHAnsi" w:cstheme="majorHAnsi"/>
          <w:sz w:val="22"/>
          <w:szCs w:val="22"/>
        </w:rPr>
        <w:t>of</w:t>
      </w:r>
      <w:r w:rsidR="00DB75C1" w:rsidRPr="00CE4C7D">
        <w:rPr>
          <w:rFonts w:asciiTheme="majorHAnsi" w:hAnsiTheme="majorHAnsi" w:cstheme="majorHAnsi"/>
          <w:sz w:val="22"/>
          <w:szCs w:val="22"/>
        </w:rPr>
        <w:t>-</w:t>
      </w:r>
      <w:r w:rsidR="003573CD" w:rsidRPr="00CE4C7D">
        <w:rPr>
          <w:rFonts w:asciiTheme="majorHAnsi" w:hAnsiTheme="majorHAnsi" w:cstheme="majorHAnsi"/>
          <w:sz w:val="22"/>
          <w:szCs w:val="22"/>
        </w:rPr>
        <w:t xml:space="preserve">town shopping centres has been driven by land use policy decisions (both locally and nationally) and has contributed to significant growth in transport-related energy use over several decades </w:t>
      </w:r>
      <w:r w:rsidR="003573CD" w:rsidRPr="00CE4C7D">
        <w:rPr>
          <w:rFonts w:asciiTheme="majorHAnsi" w:hAnsiTheme="majorHAnsi" w:cstheme="majorHAnsi"/>
          <w:noProof/>
          <w:sz w:val="22"/>
          <w:szCs w:val="22"/>
        </w:rPr>
        <w:t>(Banister, 1999)</w:t>
      </w:r>
      <w:r w:rsidR="003573CD" w:rsidRPr="00CE4C7D">
        <w:rPr>
          <w:rFonts w:asciiTheme="majorHAnsi" w:hAnsiTheme="majorHAnsi" w:cstheme="majorHAnsi"/>
          <w:sz w:val="22"/>
          <w:szCs w:val="22"/>
        </w:rPr>
        <w:t>.</w:t>
      </w:r>
      <w:r w:rsidR="003F3E9F" w:rsidRPr="00CE4C7D">
        <w:rPr>
          <w:rFonts w:asciiTheme="majorHAnsi" w:hAnsiTheme="majorHAnsi" w:cstheme="majorHAnsi"/>
          <w:sz w:val="22"/>
          <w:szCs w:val="22"/>
        </w:rPr>
        <w:t xml:space="preserve"> Equally, if they do become embedded in infrastructures and conventions, policy decisions can trigger path-dependent trajectories in energy demand, which may not be easy to reverse.</w:t>
      </w:r>
    </w:p>
    <w:p w14:paraId="5F9C0D7F" w14:textId="00BEB7CA" w:rsidR="007F028D" w:rsidRPr="00CE4C7D" w:rsidRDefault="007F028D" w:rsidP="00F25A95">
      <w:pPr>
        <w:rPr>
          <w:rFonts w:asciiTheme="majorHAnsi" w:hAnsiTheme="majorHAnsi" w:cstheme="majorHAnsi"/>
          <w:b/>
          <w:bCs/>
          <w:color w:val="943634" w:themeColor="accent2" w:themeShade="BF"/>
          <w:sz w:val="22"/>
          <w:szCs w:val="22"/>
        </w:rPr>
      </w:pPr>
    </w:p>
    <w:p w14:paraId="6DC7552E" w14:textId="23570E5F" w:rsidR="00616442" w:rsidRPr="00CE4C7D" w:rsidRDefault="007F028D" w:rsidP="00F25A95">
      <w:pPr>
        <w:rPr>
          <w:rFonts w:asciiTheme="majorHAnsi" w:hAnsiTheme="majorHAnsi" w:cstheme="majorHAnsi"/>
          <w:sz w:val="22"/>
          <w:szCs w:val="22"/>
        </w:rPr>
      </w:pPr>
      <w:r w:rsidRPr="00CE4C7D">
        <w:rPr>
          <w:rFonts w:asciiTheme="majorHAnsi" w:hAnsiTheme="majorHAnsi" w:cstheme="majorHAnsi"/>
          <w:sz w:val="22"/>
          <w:szCs w:val="22"/>
        </w:rPr>
        <w:t xml:space="preserve">A third feature of non-energy policies is that they can contribute </w:t>
      </w:r>
      <w:r w:rsidR="008E3CA2" w:rsidRPr="00CE4C7D">
        <w:rPr>
          <w:rFonts w:asciiTheme="majorHAnsi" w:hAnsiTheme="majorHAnsi" w:cstheme="majorHAnsi"/>
          <w:sz w:val="22"/>
          <w:szCs w:val="22"/>
        </w:rPr>
        <w:t>either</w:t>
      </w:r>
      <w:r w:rsidRPr="00CE4C7D">
        <w:rPr>
          <w:rFonts w:asciiTheme="majorHAnsi" w:hAnsiTheme="majorHAnsi" w:cstheme="majorHAnsi"/>
          <w:sz w:val="22"/>
          <w:szCs w:val="22"/>
        </w:rPr>
        <w:t xml:space="preserve"> to increasing</w:t>
      </w:r>
      <w:r w:rsidR="008E3CA2" w:rsidRPr="00CE4C7D">
        <w:rPr>
          <w:rFonts w:asciiTheme="majorHAnsi" w:hAnsiTheme="majorHAnsi" w:cstheme="majorHAnsi"/>
          <w:sz w:val="22"/>
          <w:szCs w:val="22"/>
        </w:rPr>
        <w:t xml:space="preserve"> or </w:t>
      </w:r>
      <w:r w:rsidRPr="00CE4C7D">
        <w:rPr>
          <w:rFonts w:asciiTheme="majorHAnsi" w:hAnsiTheme="majorHAnsi" w:cstheme="majorHAnsi"/>
          <w:sz w:val="22"/>
          <w:szCs w:val="22"/>
        </w:rPr>
        <w:t>decreasing energy demand.</w:t>
      </w:r>
      <w:r w:rsidR="00467E08" w:rsidRPr="00CE4C7D">
        <w:rPr>
          <w:rFonts w:asciiTheme="majorHAnsi" w:hAnsiTheme="majorHAnsi" w:cstheme="majorHAnsi"/>
          <w:sz w:val="22"/>
          <w:szCs w:val="22"/>
        </w:rPr>
        <w:t xml:space="preserve"> Many </w:t>
      </w:r>
      <w:r w:rsidR="00616442" w:rsidRPr="00CE4C7D">
        <w:rPr>
          <w:rFonts w:asciiTheme="majorHAnsi" w:hAnsiTheme="majorHAnsi" w:cstheme="majorHAnsi"/>
          <w:sz w:val="22"/>
          <w:szCs w:val="22"/>
        </w:rPr>
        <w:t>non-energy polic</w:t>
      </w:r>
      <w:r w:rsidR="00467E08" w:rsidRPr="00CE4C7D">
        <w:rPr>
          <w:rFonts w:asciiTheme="majorHAnsi" w:hAnsiTheme="majorHAnsi" w:cstheme="majorHAnsi"/>
          <w:sz w:val="22"/>
          <w:szCs w:val="22"/>
        </w:rPr>
        <w:t xml:space="preserve">ies unintentionally </w:t>
      </w:r>
      <w:r w:rsidR="00616442" w:rsidRPr="00CE4C7D">
        <w:rPr>
          <w:rFonts w:asciiTheme="majorHAnsi" w:hAnsiTheme="majorHAnsi" w:cstheme="majorHAnsi"/>
          <w:sz w:val="22"/>
          <w:szCs w:val="22"/>
        </w:rPr>
        <w:t xml:space="preserve">contribute to </w:t>
      </w:r>
      <w:r w:rsidR="00467E08" w:rsidRPr="00CE4C7D">
        <w:rPr>
          <w:rFonts w:asciiTheme="majorHAnsi" w:hAnsiTheme="majorHAnsi" w:cstheme="majorHAnsi"/>
          <w:sz w:val="22"/>
          <w:szCs w:val="22"/>
        </w:rPr>
        <w:t>rising demand</w:t>
      </w:r>
      <w:r w:rsidR="00616442" w:rsidRPr="00CE4C7D">
        <w:rPr>
          <w:rFonts w:asciiTheme="majorHAnsi" w:hAnsiTheme="majorHAnsi" w:cstheme="majorHAnsi"/>
          <w:sz w:val="22"/>
          <w:szCs w:val="22"/>
        </w:rPr>
        <w:t>: for example, the recent preference within</w:t>
      </w:r>
      <w:r w:rsidR="00467E08" w:rsidRPr="00CE4C7D">
        <w:rPr>
          <w:rFonts w:asciiTheme="majorHAnsi" w:hAnsiTheme="majorHAnsi" w:cstheme="majorHAnsi"/>
          <w:sz w:val="22"/>
          <w:szCs w:val="22"/>
        </w:rPr>
        <w:t xml:space="preserve"> some</w:t>
      </w:r>
      <w:r w:rsidR="00616442" w:rsidRPr="00CE4C7D">
        <w:rPr>
          <w:rFonts w:asciiTheme="majorHAnsi" w:hAnsiTheme="majorHAnsi" w:cstheme="majorHAnsi"/>
          <w:sz w:val="22"/>
          <w:szCs w:val="22"/>
        </w:rPr>
        <w:t xml:space="preserve"> UK health authorities</w:t>
      </w:r>
      <w:r w:rsidR="00467E08" w:rsidRPr="00CE4C7D">
        <w:rPr>
          <w:rFonts w:asciiTheme="majorHAnsi" w:hAnsiTheme="majorHAnsi" w:cstheme="majorHAnsi"/>
          <w:sz w:val="22"/>
          <w:szCs w:val="22"/>
        </w:rPr>
        <w:t xml:space="preserve"> </w:t>
      </w:r>
      <w:r w:rsidR="00616442" w:rsidRPr="00CE4C7D">
        <w:rPr>
          <w:rFonts w:asciiTheme="majorHAnsi" w:hAnsiTheme="majorHAnsi" w:cstheme="majorHAnsi"/>
          <w:sz w:val="22"/>
          <w:szCs w:val="22"/>
        </w:rPr>
        <w:t>for</w:t>
      </w:r>
      <w:r w:rsidR="00467E08" w:rsidRPr="00CE4C7D">
        <w:rPr>
          <w:rFonts w:asciiTheme="majorHAnsi" w:hAnsiTheme="majorHAnsi" w:cstheme="majorHAnsi"/>
          <w:sz w:val="22"/>
          <w:szCs w:val="22"/>
        </w:rPr>
        <w:t xml:space="preserve"> hospital</w:t>
      </w:r>
      <w:r w:rsidR="00616442" w:rsidRPr="00CE4C7D">
        <w:rPr>
          <w:rFonts w:asciiTheme="majorHAnsi" w:hAnsiTheme="majorHAnsi" w:cstheme="majorHAnsi"/>
          <w:sz w:val="22"/>
          <w:szCs w:val="22"/>
        </w:rPr>
        <w:t xml:space="preserve"> patient</w:t>
      </w:r>
      <w:r w:rsidR="00467E08" w:rsidRPr="00CE4C7D">
        <w:rPr>
          <w:rFonts w:asciiTheme="majorHAnsi" w:hAnsiTheme="majorHAnsi" w:cstheme="majorHAnsi"/>
          <w:sz w:val="22"/>
          <w:szCs w:val="22"/>
        </w:rPr>
        <w:t>s to have individual rooms</w:t>
      </w:r>
      <w:r w:rsidR="00616442" w:rsidRPr="00CE4C7D">
        <w:rPr>
          <w:rFonts w:asciiTheme="majorHAnsi" w:hAnsiTheme="majorHAnsi" w:cstheme="majorHAnsi"/>
          <w:sz w:val="22"/>
          <w:szCs w:val="22"/>
        </w:rPr>
        <w:t xml:space="preserve"> </w:t>
      </w:r>
      <w:r w:rsidR="00467E08" w:rsidRPr="00CE4C7D">
        <w:rPr>
          <w:rFonts w:asciiTheme="majorHAnsi" w:hAnsiTheme="majorHAnsi" w:cstheme="majorHAnsi"/>
          <w:sz w:val="22"/>
          <w:szCs w:val="22"/>
        </w:rPr>
        <w:t xml:space="preserve">(driven </w:t>
      </w:r>
      <w:r w:rsidR="00616442" w:rsidRPr="00CE4C7D">
        <w:rPr>
          <w:rFonts w:asciiTheme="majorHAnsi" w:hAnsiTheme="majorHAnsi" w:cstheme="majorHAnsi"/>
          <w:sz w:val="22"/>
          <w:szCs w:val="22"/>
        </w:rPr>
        <w:t xml:space="preserve">by </w:t>
      </w:r>
      <w:r w:rsidR="00467E08" w:rsidRPr="00CE4C7D">
        <w:rPr>
          <w:rFonts w:asciiTheme="majorHAnsi" w:hAnsiTheme="majorHAnsi" w:cstheme="majorHAnsi"/>
          <w:sz w:val="22"/>
          <w:szCs w:val="22"/>
        </w:rPr>
        <w:t xml:space="preserve">agendas around </w:t>
      </w:r>
      <w:r w:rsidR="00616442" w:rsidRPr="00CE4C7D">
        <w:rPr>
          <w:rFonts w:asciiTheme="majorHAnsi" w:hAnsiTheme="majorHAnsi" w:cstheme="majorHAnsi"/>
          <w:sz w:val="22"/>
          <w:szCs w:val="22"/>
        </w:rPr>
        <w:t>infection and privacy</w:t>
      </w:r>
      <w:r w:rsidR="00467E08" w:rsidRPr="00CE4C7D">
        <w:rPr>
          <w:rFonts w:asciiTheme="majorHAnsi" w:hAnsiTheme="majorHAnsi" w:cstheme="majorHAnsi"/>
          <w:sz w:val="22"/>
          <w:szCs w:val="22"/>
        </w:rPr>
        <w:t>)</w:t>
      </w:r>
      <w:r w:rsidR="00616442" w:rsidRPr="00CE4C7D">
        <w:rPr>
          <w:rFonts w:asciiTheme="majorHAnsi" w:hAnsiTheme="majorHAnsi" w:cstheme="majorHAnsi"/>
          <w:sz w:val="22"/>
          <w:szCs w:val="22"/>
        </w:rPr>
        <w:t xml:space="preserve"> is </w:t>
      </w:r>
      <w:r w:rsidR="00467E08" w:rsidRPr="00CE4C7D">
        <w:rPr>
          <w:rFonts w:asciiTheme="majorHAnsi" w:hAnsiTheme="majorHAnsi" w:cstheme="majorHAnsi"/>
          <w:sz w:val="22"/>
          <w:szCs w:val="22"/>
        </w:rPr>
        <w:t>leading to greater use of power</w:t>
      </w:r>
      <w:r w:rsidR="00616442" w:rsidRPr="00CE4C7D">
        <w:rPr>
          <w:rFonts w:asciiTheme="majorHAnsi" w:hAnsiTheme="majorHAnsi" w:cstheme="majorHAnsi"/>
          <w:sz w:val="22"/>
          <w:szCs w:val="22"/>
        </w:rPr>
        <w:t>-</w:t>
      </w:r>
      <w:r w:rsidR="00467E08" w:rsidRPr="00CE4C7D">
        <w:rPr>
          <w:rFonts w:asciiTheme="majorHAnsi" w:hAnsiTheme="majorHAnsi" w:cstheme="majorHAnsi"/>
          <w:sz w:val="22"/>
          <w:szCs w:val="22"/>
        </w:rPr>
        <w:t xml:space="preserve">demanding </w:t>
      </w:r>
      <w:r w:rsidR="00616442" w:rsidRPr="00CE4C7D">
        <w:rPr>
          <w:rFonts w:asciiTheme="majorHAnsi" w:hAnsiTheme="majorHAnsi" w:cstheme="majorHAnsi"/>
          <w:sz w:val="22"/>
          <w:szCs w:val="22"/>
        </w:rPr>
        <w:t>equipment to facilitate monitoring</w:t>
      </w:r>
      <w:r w:rsidR="00467E08" w:rsidRPr="00CE4C7D">
        <w:rPr>
          <w:rFonts w:asciiTheme="majorHAnsi" w:hAnsiTheme="majorHAnsi" w:cstheme="majorHAnsi"/>
          <w:sz w:val="22"/>
          <w:szCs w:val="22"/>
        </w:rPr>
        <w:t xml:space="preserve"> when </w:t>
      </w:r>
      <w:r w:rsidR="00616442" w:rsidRPr="00CE4C7D">
        <w:rPr>
          <w:rFonts w:asciiTheme="majorHAnsi" w:hAnsiTheme="majorHAnsi" w:cstheme="majorHAnsi"/>
          <w:sz w:val="22"/>
          <w:szCs w:val="22"/>
        </w:rPr>
        <w:t>patients are less easily visible</w:t>
      </w:r>
      <w:r w:rsidR="00467E08" w:rsidRPr="00CE4C7D">
        <w:rPr>
          <w:rFonts w:asciiTheme="majorHAnsi" w:hAnsiTheme="majorHAnsi" w:cstheme="majorHAnsi"/>
          <w:sz w:val="22"/>
          <w:szCs w:val="22"/>
        </w:rPr>
        <w:t>, as well as managing loneliness</w:t>
      </w:r>
      <w:r w:rsidR="00616442" w:rsidRPr="00CE4C7D">
        <w:rPr>
          <w:rFonts w:asciiTheme="majorHAnsi" w:hAnsiTheme="majorHAnsi" w:cstheme="majorHAnsi"/>
          <w:sz w:val="22"/>
          <w:szCs w:val="22"/>
        </w:rPr>
        <w:t xml:space="preserve"> (Bradford, 2015;</w:t>
      </w:r>
      <w:r w:rsidR="00912B65" w:rsidRPr="00CE4C7D">
        <w:rPr>
          <w:rFonts w:asciiTheme="majorHAnsi" w:hAnsiTheme="majorHAnsi" w:cstheme="majorHAnsi"/>
          <w:sz w:val="22"/>
          <w:szCs w:val="22"/>
        </w:rPr>
        <w:t xml:space="preserve"> </w:t>
      </w:r>
      <w:r w:rsidR="00616442" w:rsidRPr="00CE4C7D">
        <w:rPr>
          <w:rFonts w:asciiTheme="majorHAnsi" w:hAnsiTheme="majorHAnsi" w:cstheme="majorHAnsi"/>
          <w:sz w:val="22"/>
          <w:szCs w:val="22"/>
        </w:rPr>
        <w:t>Department of Health, 2013; Pennington and Isles, 2013; Reid et al.,</w:t>
      </w:r>
      <w:r w:rsidR="00912B65" w:rsidRPr="00CE4C7D">
        <w:rPr>
          <w:rFonts w:asciiTheme="majorHAnsi" w:hAnsiTheme="majorHAnsi" w:cstheme="majorHAnsi"/>
          <w:sz w:val="22"/>
          <w:szCs w:val="22"/>
        </w:rPr>
        <w:t xml:space="preserve"> </w:t>
      </w:r>
      <w:r w:rsidR="00616442" w:rsidRPr="00CE4C7D">
        <w:rPr>
          <w:rFonts w:asciiTheme="majorHAnsi" w:hAnsiTheme="majorHAnsi" w:cstheme="majorHAnsi"/>
          <w:sz w:val="22"/>
          <w:szCs w:val="22"/>
        </w:rPr>
        <w:t xml:space="preserve">2015). Policies </w:t>
      </w:r>
      <w:r w:rsidR="00DE3315" w:rsidRPr="00CE4C7D">
        <w:rPr>
          <w:rFonts w:asciiTheme="majorHAnsi" w:hAnsiTheme="majorHAnsi" w:cstheme="majorHAnsi"/>
          <w:sz w:val="22"/>
          <w:szCs w:val="22"/>
        </w:rPr>
        <w:t xml:space="preserve">can also create or reproduce barriers to </w:t>
      </w:r>
      <w:r w:rsidR="00616442" w:rsidRPr="00CE4C7D">
        <w:rPr>
          <w:rFonts w:asciiTheme="majorHAnsi" w:hAnsiTheme="majorHAnsi" w:cstheme="majorHAnsi"/>
          <w:sz w:val="22"/>
          <w:szCs w:val="22"/>
        </w:rPr>
        <w:t>energy efficiency</w:t>
      </w:r>
      <w:r w:rsidR="00467E08" w:rsidRPr="00CE4C7D">
        <w:rPr>
          <w:rFonts w:asciiTheme="majorHAnsi" w:hAnsiTheme="majorHAnsi" w:cstheme="majorHAnsi"/>
          <w:sz w:val="22"/>
          <w:szCs w:val="22"/>
        </w:rPr>
        <w:t xml:space="preserve"> </w:t>
      </w:r>
      <w:r w:rsidR="00616442" w:rsidRPr="00CE4C7D">
        <w:rPr>
          <w:rFonts w:asciiTheme="majorHAnsi" w:hAnsiTheme="majorHAnsi" w:cstheme="majorHAnsi"/>
          <w:sz w:val="22"/>
          <w:szCs w:val="22"/>
        </w:rPr>
        <w:t>investment</w:t>
      </w:r>
      <w:r w:rsidR="00E873B1" w:rsidRPr="00CE4C7D">
        <w:rPr>
          <w:rFonts w:asciiTheme="majorHAnsi" w:hAnsiTheme="majorHAnsi" w:cstheme="majorHAnsi"/>
          <w:sz w:val="22"/>
          <w:szCs w:val="22"/>
        </w:rPr>
        <w:t>; for example, building heritage and conservation policies can obstruct insulation plans (</w:t>
      </w:r>
      <w:r w:rsidR="00AB6262" w:rsidRPr="00CE4C7D">
        <w:rPr>
          <w:rFonts w:asciiTheme="majorHAnsi" w:hAnsiTheme="majorHAnsi" w:cstheme="majorHAnsi"/>
          <w:sz w:val="22"/>
          <w:szCs w:val="22"/>
        </w:rPr>
        <w:t>Vera, 2014</w:t>
      </w:r>
      <w:r w:rsidR="00E873B1" w:rsidRPr="00CE4C7D">
        <w:rPr>
          <w:rFonts w:asciiTheme="majorHAnsi" w:hAnsiTheme="majorHAnsi" w:cstheme="majorHAnsi"/>
          <w:sz w:val="22"/>
          <w:szCs w:val="22"/>
        </w:rPr>
        <w:t>).</w:t>
      </w:r>
      <w:r w:rsidR="0037182E" w:rsidRPr="00CE4C7D">
        <w:rPr>
          <w:rFonts w:asciiTheme="majorHAnsi" w:hAnsiTheme="majorHAnsi" w:cstheme="majorHAnsi"/>
          <w:sz w:val="22"/>
          <w:szCs w:val="22"/>
        </w:rPr>
        <w:t xml:space="preserve"> </w:t>
      </w:r>
    </w:p>
    <w:p w14:paraId="7CA8C334" w14:textId="71558E89" w:rsidR="00467E08" w:rsidRPr="00CE4C7D" w:rsidRDefault="00467E08" w:rsidP="00F25A95">
      <w:pPr>
        <w:autoSpaceDE w:val="0"/>
        <w:autoSpaceDN w:val="0"/>
        <w:adjustRightInd w:val="0"/>
        <w:rPr>
          <w:rFonts w:asciiTheme="majorHAnsi" w:hAnsiTheme="majorHAnsi" w:cstheme="majorHAnsi"/>
          <w:color w:val="5F497A" w:themeColor="accent4" w:themeShade="BF"/>
          <w:sz w:val="22"/>
          <w:szCs w:val="22"/>
        </w:rPr>
      </w:pPr>
    </w:p>
    <w:p w14:paraId="6068EB90" w14:textId="22ABEAD8" w:rsidR="00616442" w:rsidRPr="00CE4C7D" w:rsidRDefault="00E873B1" w:rsidP="00F25A95">
      <w:pPr>
        <w:autoSpaceDE w:val="0"/>
        <w:autoSpaceDN w:val="0"/>
        <w:adjustRightInd w:val="0"/>
        <w:rPr>
          <w:rFonts w:asciiTheme="majorHAnsi" w:hAnsiTheme="majorHAnsi" w:cstheme="majorHAnsi"/>
          <w:sz w:val="22"/>
          <w:szCs w:val="22"/>
        </w:rPr>
      </w:pPr>
      <w:r w:rsidRPr="00CE4C7D">
        <w:rPr>
          <w:rFonts w:asciiTheme="majorHAnsi" w:hAnsiTheme="majorHAnsi" w:cstheme="majorHAnsi"/>
          <w:sz w:val="22"/>
          <w:szCs w:val="22"/>
        </w:rPr>
        <w:t xml:space="preserve">But in certain circumstances, non-energy policies </w:t>
      </w:r>
      <w:r w:rsidR="00616442" w:rsidRPr="00CE4C7D">
        <w:rPr>
          <w:rFonts w:asciiTheme="majorHAnsi" w:hAnsiTheme="majorHAnsi" w:cstheme="majorHAnsi"/>
          <w:sz w:val="22"/>
          <w:szCs w:val="22"/>
        </w:rPr>
        <w:t xml:space="preserve">can also </w:t>
      </w:r>
      <w:r w:rsidRPr="00CE4C7D">
        <w:rPr>
          <w:rFonts w:asciiTheme="majorHAnsi" w:hAnsiTheme="majorHAnsi" w:cstheme="majorHAnsi"/>
          <w:sz w:val="22"/>
          <w:szCs w:val="22"/>
        </w:rPr>
        <w:t xml:space="preserve">help </w:t>
      </w:r>
      <w:r w:rsidR="00616442" w:rsidRPr="00CE4C7D">
        <w:rPr>
          <w:rFonts w:asciiTheme="majorHAnsi" w:hAnsiTheme="majorHAnsi" w:cstheme="majorHAnsi"/>
          <w:sz w:val="22"/>
          <w:szCs w:val="22"/>
        </w:rPr>
        <w:t>reduce</w:t>
      </w:r>
      <w:r w:rsidR="00912B65" w:rsidRPr="00CE4C7D">
        <w:rPr>
          <w:rFonts w:asciiTheme="majorHAnsi" w:hAnsiTheme="majorHAnsi" w:cstheme="majorHAnsi"/>
          <w:sz w:val="22"/>
          <w:szCs w:val="22"/>
        </w:rPr>
        <w:t xml:space="preserve"> </w:t>
      </w:r>
      <w:r w:rsidR="00616442" w:rsidRPr="00CE4C7D">
        <w:rPr>
          <w:rFonts w:asciiTheme="majorHAnsi" w:hAnsiTheme="majorHAnsi" w:cstheme="majorHAnsi"/>
          <w:sz w:val="22"/>
          <w:szCs w:val="22"/>
        </w:rPr>
        <w:t xml:space="preserve">demand. </w:t>
      </w:r>
      <w:r w:rsidRPr="00CE4C7D">
        <w:rPr>
          <w:rFonts w:asciiTheme="majorHAnsi" w:hAnsiTheme="majorHAnsi" w:cstheme="majorHAnsi"/>
          <w:sz w:val="22"/>
          <w:szCs w:val="22"/>
        </w:rPr>
        <w:t xml:space="preserve">One area where this is quite often true is in </w:t>
      </w:r>
      <w:r w:rsidR="004B0693" w:rsidRPr="00CE4C7D">
        <w:rPr>
          <w:rFonts w:asciiTheme="majorHAnsi" w:hAnsiTheme="majorHAnsi" w:cstheme="majorHAnsi"/>
          <w:sz w:val="22"/>
          <w:szCs w:val="22"/>
        </w:rPr>
        <w:t xml:space="preserve">the field of </w:t>
      </w:r>
      <w:r w:rsidRPr="00CE4C7D">
        <w:rPr>
          <w:rFonts w:asciiTheme="majorHAnsi" w:hAnsiTheme="majorHAnsi" w:cstheme="majorHAnsi"/>
          <w:sz w:val="22"/>
          <w:szCs w:val="22"/>
        </w:rPr>
        <w:t xml:space="preserve">environmental policies; </w:t>
      </w:r>
      <w:r w:rsidR="0014397F" w:rsidRPr="00CE4C7D">
        <w:rPr>
          <w:rFonts w:asciiTheme="majorHAnsi" w:hAnsiTheme="majorHAnsi" w:cstheme="majorHAnsi"/>
          <w:sz w:val="22"/>
          <w:szCs w:val="22"/>
        </w:rPr>
        <w:t>i</w:t>
      </w:r>
      <w:r w:rsidR="00EF3841" w:rsidRPr="00CE4C7D">
        <w:rPr>
          <w:rFonts w:asciiTheme="majorHAnsi" w:hAnsiTheme="majorHAnsi" w:cstheme="majorHAnsi"/>
          <w:sz w:val="22"/>
          <w:szCs w:val="22"/>
        </w:rPr>
        <w:t>ntegrating policies on</w:t>
      </w:r>
      <w:r w:rsidR="00283344" w:rsidRPr="00CE4C7D">
        <w:rPr>
          <w:rFonts w:asciiTheme="majorHAnsi" w:hAnsiTheme="majorHAnsi" w:cstheme="majorHAnsi"/>
          <w:sz w:val="22"/>
          <w:szCs w:val="22"/>
        </w:rPr>
        <w:t xml:space="preserve"> climate change</w:t>
      </w:r>
      <w:r w:rsidR="00EF3841" w:rsidRPr="00CE4C7D">
        <w:rPr>
          <w:rFonts w:asciiTheme="majorHAnsi" w:hAnsiTheme="majorHAnsi" w:cstheme="majorHAnsi"/>
          <w:sz w:val="22"/>
          <w:szCs w:val="22"/>
        </w:rPr>
        <w:t>, air pollution and energy security</w:t>
      </w:r>
      <w:r w:rsidR="00283344" w:rsidRPr="00CE4C7D">
        <w:rPr>
          <w:rFonts w:asciiTheme="majorHAnsi" w:hAnsiTheme="majorHAnsi" w:cstheme="majorHAnsi"/>
          <w:sz w:val="22"/>
          <w:szCs w:val="22"/>
        </w:rPr>
        <w:t xml:space="preserve"> </w:t>
      </w:r>
      <w:r w:rsidR="00EF3841" w:rsidRPr="00CE4C7D">
        <w:rPr>
          <w:rFonts w:asciiTheme="majorHAnsi" w:hAnsiTheme="majorHAnsi" w:cstheme="majorHAnsi"/>
          <w:sz w:val="22"/>
          <w:szCs w:val="22"/>
        </w:rPr>
        <w:t>can</w:t>
      </w:r>
      <w:r w:rsidR="00867C81" w:rsidRPr="00CE4C7D">
        <w:rPr>
          <w:rFonts w:asciiTheme="majorHAnsi" w:hAnsiTheme="majorHAnsi" w:cstheme="majorHAnsi"/>
          <w:sz w:val="22"/>
          <w:szCs w:val="22"/>
        </w:rPr>
        <w:t xml:space="preserve"> create ‘win-wins’</w:t>
      </w:r>
      <w:r w:rsidR="00EF3841" w:rsidRPr="00CE4C7D">
        <w:rPr>
          <w:rFonts w:asciiTheme="majorHAnsi" w:hAnsiTheme="majorHAnsi" w:cstheme="majorHAnsi"/>
          <w:sz w:val="22"/>
          <w:szCs w:val="22"/>
        </w:rPr>
        <w:t xml:space="preserve"> </w:t>
      </w:r>
      <w:r w:rsidR="00867C81" w:rsidRPr="00CE4C7D">
        <w:rPr>
          <w:rFonts w:asciiTheme="majorHAnsi" w:hAnsiTheme="majorHAnsi" w:cstheme="majorHAnsi"/>
          <w:sz w:val="22"/>
          <w:szCs w:val="22"/>
        </w:rPr>
        <w:t xml:space="preserve">and </w:t>
      </w:r>
      <w:r w:rsidR="00E25026" w:rsidRPr="00CE4C7D">
        <w:rPr>
          <w:rFonts w:asciiTheme="majorHAnsi" w:hAnsiTheme="majorHAnsi" w:cstheme="majorHAnsi"/>
          <w:sz w:val="22"/>
          <w:szCs w:val="22"/>
        </w:rPr>
        <w:t>improve outcomes across</w:t>
      </w:r>
      <w:r w:rsidR="00EF3841" w:rsidRPr="00CE4C7D">
        <w:rPr>
          <w:rFonts w:asciiTheme="majorHAnsi" w:hAnsiTheme="majorHAnsi" w:cstheme="majorHAnsi"/>
          <w:sz w:val="22"/>
          <w:szCs w:val="22"/>
        </w:rPr>
        <w:t xml:space="preserve"> energy demand</w:t>
      </w:r>
      <w:r w:rsidR="00E25026" w:rsidRPr="00CE4C7D">
        <w:rPr>
          <w:rFonts w:asciiTheme="majorHAnsi" w:hAnsiTheme="majorHAnsi" w:cstheme="majorHAnsi"/>
          <w:sz w:val="22"/>
          <w:szCs w:val="22"/>
        </w:rPr>
        <w:t>, carbon emissions</w:t>
      </w:r>
      <w:r w:rsidR="00EF3841" w:rsidRPr="00CE4C7D">
        <w:rPr>
          <w:rFonts w:asciiTheme="majorHAnsi" w:hAnsiTheme="majorHAnsi" w:cstheme="majorHAnsi"/>
          <w:sz w:val="22"/>
          <w:szCs w:val="22"/>
        </w:rPr>
        <w:t xml:space="preserve"> and health</w:t>
      </w:r>
      <w:r w:rsidR="00987D82" w:rsidRPr="00CE4C7D">
        <w:rPr>
          <w:rFonts w:asciiTheme="majorHAnsi" w:hAnsiTheme="majorHAnsi" w:cstheme="majorHAnsi"/>
          <w:sz w:val="22"/>
          <w:szCs w:val="22"/>
        </w:rPr>
        <w:t>, for example</w:t>
      </w:r>
      <w:r w:rsidR="00EF3841" w:rsidRPr="00CE4C7D">
        <w:rPr>
          <w:rFonts w:asciiTheme="majorHAnsi" w:hAnsiTheme="majorHAnsi" w:cstheme="majorHAnsi"/>
          <w:sz w:val="22"/>
          <w:szCs w:val="22"/>
        </w:rPr>
        <w:t xml:space="preserve"> </w:t>
      </w:r>
      <w:r w:rsidR="00283344" w:rsidRPr="00CE4C7D">
        <w:rPr>
          <w:rFonts w:asciiTheme="majorHAnsi" w:hAnsiTheme="majorHAnsi" w:cstheme="majorHAnsi"/>
          <w:sz w:val="22"/>
          <w:szCs w:val="22"/>
        </w:rPr>
        <w:t>(</w:t>
      </w:r>
      <w:proofErr w:type="spellStart"/>
      <w:r w:rsidR="00283344" w:rsidRPr="00CE4C7D">
        <w:rPr>
          <w:rFonts w:asciiTheme="majorHAnsi" w:hAnsiTheme="majorHAnsi" w:cstheme="majorHAnsi"/>
          <w:sz w:val="22"/>
          <w:szCs w:val="22"/>
        </w:rPr>
        <w:t>Bollen</w:t>
      </w:r>
      <w:proofErr w:type="spellEnd"/>
      <w:r w:rsidR="00283344" w:rsidRPr="00CE4C7D">
        <w:rPr>
          <w:rFonts w:asciiTheme="majorHAnsi" w:hAnsiTheme="majorHAnsi" w:cstheme="majorHAnsi"/>
          <w:sz w:val="22"/>
          <w:szCs w:val="22"/>
        </w:rPr>
        <w:t xml:space="preserve"> et al., 2010</w:t>
      </w:r>
      <w:r w:rsidR="00BE5713" w:rsidRPr="00CE4C7D">
        <w:rPr>
          <w:rFonts w:asciiTheme="majorHAnsi" w:hAnsiTheme="majorHAnsi" w:cstheme="majorHAnsi"/>
          <w:sz w:val="22"/>
          <w:szCs w:val="22"/>
        </w:rPr>
        <w:t xml:space="preserve">). Thinking more widely, other policies that act to limit various kinds of consumption or </w:t>
      </w:r>
      <w:r w:rsidR="00BE5713" w:rsidRPr="00CE4C7D">
        <w:rPr>
          <w:rFonts w:asciiTheme="majorHAnsi" w:hAnsiTheme="majorHAnsi" w:cstheme="majorHAnsi"/>
          <w:sz w:val="22"/>
          <w:szCs w:val="22"/>
        </w:rPr>
        <w:lastRenderedPageBreak/>
        <w:t xml:space="preserve">production can have unintended downward effects on energy demand. For example, </w:t>
      </w:r>
      <w:r w:rsidR="00616442" w:rsidRPr="00CE4C7D">
        <w:rPr>
          <w:rFonts w:asciiTheme="majorHAnsi" w:hAnsiTheme="majorHAnsi" w:cstheme="majorHAnsi"/>
          <w:sz w:val="22"/>
          <w:szCs w:val="22"/>
        </w:rPr>
        <w:t xml:space="preserve">China's one-child policy between 1979 and 2016 </w:t>
      </w:r>
      <w:r w:rsidR="00BE5713" w:rsidRPr="00CE4C7D">
        <w:rPr>
          <w:rFonts w:asciiTheme="majorHAnsi" w:hAnsiTheme="majorHAnsi" w:cstheme="majorHAnsi"/>
          <w:sz w:val="22"/>
          <w:szCs w:val="22"/>
        </w:rPr>
        <w:t xml:space="preserve">significantly reduced </w:t>
      </w:r>
      <w:r w:rsidR="00616442" w:rsidRPr="00CE4C7D">
        <w:rPr>
          <w:rFonts w:asciiTheme="majorHAnsi" w:hAnsiTheme="majorHAnsi" w:cstheme="majorHAnsi"/>
          <w:sz w:val="22"/>
          <w:szCs w:val="22"/>
        </w:rPr>
        <w:t xml:space="preserve">population growth and </w:t>
      </w:r>
      <w:r w:rsidR="00BE5713" w:rsidRPr="00CE4C7D">
        <w:rPr>
          <w:rFonts w:asciiTheme="majorHAnsi" w:hAnsiTheme="majorHAnsi" w:cstheme="majorHAnsi"/>
          <w:sz w:val="22"/>
          <w:szCs w:val="22"/>
        </w:rPr>
        <w:t xml:space="preserve">consequently </w:t>
      </w:r>
      <w:r w:rsidR="00CF4C06" w:rsidRPr="00CE4C7D">
        <w:rPr>
          <w:rFonts w:asciiTheme="majorHAnsi" w:hAnsiTheme="majorHAnsi" w:cstheme="majorHAnsi"/>
          <w:sz w:val="22"/>
          <w:szCs w:val="22"/>
        </w:rPr>
        <w:t xml:space="preserve">slowed growth in </w:t>
      </w:r>
      <w:r w:rsidR="00616442" w:rsidRPr="00CE4C7D">
        <w:rPr>
          <w:rFonts w:asciiTheme="majorHAnsi" w:hAnsiTheme="majorHAnsi" w:cstheme="majorHAnsi"/>
          <w:sz w:val="22"/>
          <w:szCs w:val="22"/>
        </w:rPr>
        <w:t>energy demand</w:t>
      </w:r>
      <w:r w:rsidR="00BE5713" w:rsidRPr="00CE4C7D">
        <w:rPr>
          <w:rFonts w:asciiTheme="majorHAnsi" w:hAnsiTheme="majorHAnsi" w:cstheme="majorHAnsi"/>
          <w:sz w:val="22"/>
          <w:szCs w:val="22"/>
        </w:rPr>
        <w:t xml:space="preserve"> </w:t>
      </w:r>
      <w:r w:rsidR="00616442" w:rsidRPr="00CE4C7D">
        <w:rPr>
          <w:rFonts w:asciiTheme="majorHAnsi" w:hAnsiTheme="majorHAnsi" w:cstheme="majorHAnsi"/>
          <w:sz w:val="22"/>
          <w:szCs w:val="22"/>
        </w:rPr>
        <w:t xml:space="preserve">(Eccleston and </w:t>
      </w:r>
      <w:proofErr w:type="gramStart"/>
      <w:r w:rsidR="00616442" w:rsidRPr="00CE4C7D">
        <w:rPr>
          <w:rFonts w:asciiTheme="majorHAnsi" w:hAnsiTheme="majorHAnsi" w:cstheme="majorHAnsi"/>
          <w:sz w:val="22"/>
          <w:szCs w:val="22"/>
        </w:rPr>
        <w:t>March,</w:t>
      </w:r>
      <w:proofErr w:type="gramEnd"/>
      <w:r w:rsidR="00616442" w:rsidRPr="00CE4C7D">
        <w:rPr>
          <w:rFonts w:asciiTheme="majorHAnsi" w:hAnsiTheme="majorHAnsi" w:cstheme="majorHAnsi"/>
          <w:sz w:val="22"/>
          <w:szCs w:val="22"/>
        </w:rPr>
        <w:t xml:space="preserve"> 2011; Zhuang, 2008). </w:t>
      </w:r>
      <w:r w:rsidRPr="00CE4C7D">
        <w:rPr>
          <w:rFonts w:asciiTheme="majorHAnsi" w:hAnsiTheme="majorHAnsi" w:cstheme="majorHAnsi"/>
          <w:sz w:val="22"/>
          <w:szCs w:val="22"/>
        </w:rPr>
        <w:t xml:space="preserve"> </w:t>
      </w:r>
      <w:r w:rsidR="00BE5713" w:rsidRPr="00CE4C7D">
        <w:rPr>
          <w:rFonts w:asciiTheme="majorHAnsi" w:hAnsiTheme="majorHAnsi" w:cstheme="majorHAnsi"/>
          <w:sz w:val="22"/>
          <w:szCs w:val="22"/>
        </w:rPr>
        <w:t>More recently, a</w:t>
      </w:r>
      <w:r w:rsidRPr="00CE4C7D">
        <w:rPr>
          <w:rFonts w:asciiTheme="majorHAnsi" w:hAnsiTheme="majorHAnsi" w:cstheme="majorHAnsi"/>
          <w:sz w:val="22"/>
          <w:szCs w:val="22"/>
        </w:rPr>
        <w:t xml:space="preserve">usterity policies </w:t>
      </w:r>
      <w:r w:rsidR="00BE5713" w:rsidRPr="00CE4C7D">
        <w:rPr>
          <w:rFonts w:asciiTheme="majorHAnsi" w:hAnsiTheme="majorHAnsi" w:cstheme="majorHAnsi"/>
          <w:sz w:val="22"/>
          <w:szCs w:val="22"/>
        </w:rPr>
        <w:t xml:space="preserve">implemented </w:t>
      </w:r>
      <w:r w:rsidRPr="00CE4C7D">
        <w:rPr>
          <w:rFonts w:asciiTheme="majorHAnsi" w:hAnsiTheme="majorHAnsi" w:cstheme="majorHAnsi"/>
          <w:sz w:val="22"/>
          <w:szCs w:val="22"/>
        </w:rPr>
        <w:t>in E</w:t>
      </w:r>
      <w:r w:rsidR="00C14EA0" w:rsidRPr="00CE4C7D">
        <w:rPr>
          <w:rFonts w:asciiTheme="majorHAnsi" w:hAnsiTheme="majorHAnsi" w:cstheme="majorHAnsi"/>
          <w:sz w:val="22"/>
          <w:szCs w:val="22"/>
        </w:rPr>
        <w:t xml:space="preserve">uropean </w:t>
      </w:r>
      <w:r w:rsidRPr="00CE4C7D">
        <w:rPr>
          <w:rFonts w:asciiTheme="majorHAnsi" w:hAnsiTheme="majorHAnsi" w:cstheme="majorHAnsi"/>
          <w:sz w:val="22"/>
          <w:szCs w:val="22"/>
        </w:rPr>
        <w:t>U</w:t>
      </w:r>
      <w:r w:rsidR="00C14EA0" w:rsidRPr="00CE4C7D">
        <w:rPr>
          <w:rFonts w:asciiTheme="majorHAnsi" w:hAnsiTheme="majorHAnsi" w:cstheme="majorHAnsi"/>
          <w:sz w:val="22"/>
          <w:szCs w:val="22"/>
        </w:rPr>
        <w:t>nion</w:t>
      </w:r>
      <w:r w:rsidRPr="00CE4C7D">
        <w:rPr>
          <w:rFonts w:asciiTheme="majorHAnsi" w:hAnsiTheme="majorHAnsi" w:cstheme="majorHAnsi"/>
          <w:sz w:val="22"/>
          <w:szCs w:val="22"/>
        </w:rPr>
        <w:t xml:space="preserve"> </w:t>
      </w:r>
      <w:r w:rsidR="00BE5713" w:rsidRPr="00CE4C7D">
        <w:rPr>
          <w:rFonts w:asciiTheme="majorHAnsi" w:hAnsiTheme="majorHAnsi" w:cstheme="majorHAnsi"/>
          <w:sz w:val="22"/>
          <w:szCs w:val="22"/>
        </w:rPr>
        <w:t xml:space="preserve">nations </w:t>
      </w:r>
      <w:r w:rsidRPr="00CE4C7D">
        <w:rPr>
          <w:rFonts w:asciiTheme="majorHAnsi" w:hAnsiTheme="majorHAnsi" w:cstheme="majorHAnsi"/>
          <w:sz w:val="22"/>
          <w:szCs w:val="22"/>
        </w:rPr>
        <w:t>following the</w:t>
      </w:r>
      <w:r w:rsidR="00BE5713" w:rsidRPr="00CE4C7D">
        <w:rPr>
          <w:rFonts w:asciiTheme="majorHAnsi" w:hAnsiTheme="majorHAnsi" w:cstheme="majorHAnsi"/>
          <w:sz w:val="22"/>
          <w:szCs w:val="22"/>
        </w:rPr>
        <w:t xml:space="preserve"> financial crisis of</w:t>
      </w:r>
      <w:r w:rsidRPr="00CE4C7D">
        <w:rPr>
          <w:rFonts w:asciiTheme="majorHAnsi" w:hAnsiTheme="majorHAnsi" w:cstheme="majorHAnsi"/>
          <w:sz w:val="22"/>
          <w:szCs w:val="22"/>
        </w:rPr>
        <w:t xml:space="preserve"> 2007–</w:t>
      </w:r>
      <w:r w:rsidR="00BE5713" w:rsidRPr="00CE4C7D">
        <w:rPr>
          <w:rFonts w:asciiTheme="majorHAnsi" w:hAnsiTheme="majorHAnsi" w:cstheme="majorHAnsi"/>
          <w:sz w:val="22"/>
          <w:szCs w:val="22"/>
        </w:rPr>
        <w:t>20</w:t>
      </w:r>
      <w:r w:rsidRPr="00CE4C7D">
        <w:rPr>
          <w:rFonts w:asciiTheme="majorHAnsi" w:hAnsiTheme="majorHAnsi" w:cstheme="majorHAnsi"/>
          <w:sz w:val="22"/>
          <w:szCs w:val="22"/>
        </w:rPr>
        <w:t xml:space="preserve">08 </w:t>
      </w:r>
      <w:r w:rsidR="00BE5713" w:rsidRPr="00CE4C7D">
        <w:rPr>
          <w:rFonts w:asciiTheme="majorHAnsi" w:hAnsiTheme="majorHAnsi" w:cstheme="majorHAnsi"/>
          <w:sz w:val="22"/>
          <w:szCs w:val="22"/>
        </w:rPr>
        <w:t>contributed to major</w:t>
      </w:r>
      <w:r w:rsidRPr="00CE4C7D">
        <w:rPr>
          <w:rFonts w:asciiTheme="majorHAnsi" w:hAnsiTheme="majorHAnsi" w:cstheme="majorHAnsi"/>
          <w:sz w:val="22"/>
          <w:szCs w:val="22"/>
        </w:rPr>
        <w:t xml:space="preserve"> declines in energy</w:t>
      </w:r>
      <w:r w:rsidR="000712C1" w:rsidRPr="00CE4C7D">
        <w:rPr>
          <w:rFonts w:asciiTheme="majorHAnsi" w:hAnsiTheme="majorHAnsi" w:cstheme="majorHAnsi"/>
          <w:sz w:val="22"/>
          <w:szCs w:val="22"/>
        </w:rPr>
        <w:t xml:space="preserve"> use</w:t>
      </w:r>
      <w:r w:rsidRPr="00CE4C7D">
        <w:rPr>
          <w:rFonts w:asciiTheme="majorHAnsi" w:hAnsiTheme="majorHAnsi" w:cstheme="majorHAnsi"/>
          <w:sz w:val="22"/>
          <w:szCs w:val="22"/>
        </w:rPr>
        <w:t>, while in the U</w:t>
      </w:r>
      <w:r w:rsidR="00C14EA0" w:rsidRPr="00CE4C7D">
        <w:rPr>
          <w:rFonts w:asciiTheme="majorHAnsi" w:hAnsiTheme="majorHAnsi" w:cstheme="majorHAnsi"/>
          <w:sz w:val="22"/>
          <w:szCs w:val="22"/>
        </w:rPr>
        <w:t xml:space="preserve">nited </w:t>
      </w:r>
      <w:r w:rsidRPr="00CE4C7D">
        <w:rPr>
          <w:rFonts w:asciiTheme="majorHAnsi" w:hAnsiTheme="majorHAnsi" w:cstheme="majorHAnsi"/>
          <w:sz w:val="22"/>
          <w:szCs w:val="22"/>
        </w:rPr>
        <w:t>S</w:t>
      </w:r>
      <w:r w:rsidR="00C14EA0" w:rsidRPr="00CE4C7D">
        <w:rPr>
          <w:rFonts w:asciiTheme="majorHAnsi" w:hAnsiTheme="majorHAnsi" w:cstheme="majorHAnsi"/>
          <w:sz w:val="22"/>
          <w:szCs w:val="22"/>
        </w:rPr>
        <w:t>tates</w:t>
      </w:r>
      <w:r w:rsidRPr="00CE4C7D">
        <w:rPr>
          <w:rFonts w:asciiTheme="majorHAnsi" w:hAnsiTheme="majorHAnsi" w:cstheme="majorHAnsi"/>
          <w:sz w:val="22"/>
          <w:szCs w:val="22"/>
        </w:rPr>
        <w:t xml:space="preserve"> a more Keynesian </w:t>
      </w:r>
      <w:r w:rsidR="00BE5713" w:rsidRPr="00CE4C7D">
        <w:rPr>
          <w:rFonts w:asciiTheme="majorHAnsi" w:hAnsiTheme="majorHAnsi" w:cstheme="majorHAnsi"/>
          <w:sz w:val="22"/>
          <w:szCs w:val="22"/>
        </w:rPr>
        <w:t>approach to policy led to</w:t>
      </w:r>
      <w:r w:rsidRPr="00CE4C7D">
        <w:rPr>
          <w:rFonts w:asciiTheme="majorHAnsi" w:hAnsiTheme="majorHAnsi" w:cstheme="majorHAnsi"/>
          <w:sz w:val="22"/>
          <w:szCs w:val="22"/>
        </w:rPr>
        <w:t xml:space="preserve"> very different </w:t>
      </w:r>
      <w:r w:rsidR="007931FA" w:rsidRPr="00CE4C7D">
        <w:rPr>
          <w:rFonts w:asciiTheme="majorHAnsi" w:hAnsiTheme="majorHAnsi" w:cstheme="majorHAnsi"/>
          <w:sz w:val="22"/>
          <w:szCs w:val="22"/>
        </w:rPr>
        <w:t>outcomes</w:t>
      </w:r>
      <w:r w:rsidR="00BE5713" w:rsidRPr="00CE4C7D">
        <w:rPr>
          <w:rFonts w:asciiTheme="majorHAnsi" w:hAnsiTheme="majorHAnsi" w:cstheme="majorHAnsi"/>
          <w:sz w:val="22"/>
          <w:szCs w:val="22"/>
        </w:rPr>
        <w:t xml:space="preserve"> for the economy, and thus for </w:t>
      </w:r>
      <w:r w:rsidRPr="00CE4C7D">
        <w:rPr>
          <w:rFonts w:asciiTheme="majorHAnsi" w:hAnsiTheme="majorHAnsi" w:cstheme="majorHAnsi"/>
          <w:sz w:val="22"/>
          <w:szCs w:val="22"/>
        </w:rPr>
        <w:t xml:space="preserve">energy </w:t>
      </w:r>
      <w:r w:rsidR="000712C1" w:rsidRPr="00CE4C7D">
        <w:rPr>
          <w:rFonts w:asciiTheme="majorHAnsi" w:hAnsiTheme="majorHAnsi" w:cstheme="majorHAnsi"/>
          <w:sz w:val="22"/>
          <w:szCs w:val="22"/>
        </w:rPr>
        <w:t xml:space="preserve">consumption </w:t>
      </w:r>
      <w:r w:rsidRPr="00CE4C7D">
        <w:rPr>
          <w:rFonts w:asciiTheme="majorHAnsi" w:hAnsiTheme="majorHAnsi" w:cstheme="majorHAnsi"/>
          <w:sz w:val="22"/>
          <w:szCs w:val="22"/>
        </w:rPr>
        <w:t xml:space="preserve">(Bel and Joseph, 2015; </w:t>
      </w:r>
      <w:proofErr w:type="spellStart"/>
      <w:r w:rsidRPr="00CE4C7D">
        <w:rPr>
          <w:rFonts w:asciiTheme="majorHAnsi" w:hAnsiTheme="majorHAnsi" w:cstheme="majorHAnsi"/>
          <w:sz w:val="22"/>
          <w:szCs w:val="22"/>
        </w:rPr>
        <w:t>Weisbrot</w:t>
      </w:r>
      <w:proofErr w:type="spellEnd"/>
      <w:r w:rsidRPr="00CE4C7D">
        <w:rPr>
          <w:rFonts w:asciiTheme="majorHAnsi" w:hAnsiTheme="majorHAnsi" w:cstheme="majorHAnsi"/>
          <w:sz w:val="22"/>
          <w:szCs w:val="22"/>
        </w:rPr>
        <w:t>, 2014).</w:t>
      </w:r>
      <w:r w:rsidR="00273C8D" w:rsidRPr="00CE4C7D">
        <w:rPr>
          <w:rFonts w:asciiTheme="majorHAnsi" w:hAnsiTheme="majorHAnsi" w:cstheme="majorHAnsi"/>
          <w:sz w:val="22"/>
          <w:szCs w:val="22"/>
        </w:rPr>
        <w:t xml:space="preserve"> This is not an argument that population control or austerity are appropriate methods for reducing demand. Rather, we wish to demonstrate the diversity of potential effects of non-energy policies on energy systems.</w:t>
      </w:r>
    </w:p>
    <w:p w14:paraId="4D37137B" w14:textId="77777777" w:rsidR="00616442" w:rsidRPr="00CE4C7D" w:rsidRDefault="00616442" w:rsidP="00F25A95">
      <w:pPr>
        <w:rPr>
          <w:rFonts w:asciiTheme="majorHAnsi" w:hAnsiTheme="majorHAnsi" w:cstheme="majorHAnsi"/>
          <w:color w:val="943634" w:themeColor="accent2" w:themeShade="BF"/>
          <w:sz w:val="22"/>
          <w:szCs w:val="22"/>
        </w:rPr>
      </w:pPr>
    </w:p>
    <w:p w14:paraId="1DFC98AA" w14:textId="747746AD" w:rsidR="00694DEA" w:rsidRPr="00CE4C7D" w:rsidRDefault="00A94E27" w:rsidP="00F25A95">
      <w:pPr>
        <w:rPr>
          <w:rFonts w:asciiTheme="majorHAnsi" w:hAnsiTheme="majorHAnsi" w:cstheme="majorHAnsi"/>
          <w:color w:val="943634" w:themeColor="accent2" w:themeShade="BF"/>
          <w:sz w:val="22"/>
          <w:szCs w:val="22"/>
        </w:rPr>
      </w:pPr>
      <w:r w:rsidRPr="00CE4C7D">
        <w:rPr>
          <w:rFonts w:asciiTheme="majorHAnsi" w:hAnsiTheme="majorHAnsi" w:cstheme="majorHAnsi"/>
          <w:sz w:val="22"/>
          <w:szCs w:val="22"/>
        </w:rPr>
        <w:t xml:space="preserve">The fourth point to note about non-energy policies is that they do not only affect the overall amount of energy demand, but also </w:t>
      </w:r>
      <w:r w:rsidR="00265A35" w:rsidRPr="00CE4C7D">
        <w:rPr>
          <w:rFonts w:asciiTheme="majorHAnsi" w:hAnsiTheme="majorHAnsi" w:cstheme="majorHAnsi"/>
          <w:sz w:val="22"/>
          <w:szCs w:val="22"/>
        </w:rPr>
        <w:t xml:space="preserve">its </w:t>
      </w:r>
      <w:r w:rsidRPr="00CE4C7D">
        <w:rPr>
          <w:rFonts w:asciiTheme="majorHAnsi" w:hAnsiTheme="majorHAnsi" w:cstheme="majorHAnsi"/>
          <w:sz w:val="22"/>
          <w:szCs w:val="22"/>
        </w:rPr>
        <w:t>timing (which is relevant for provision infrastructures, especially in relation to peak times, as well as to pricing policies). Non</w:t>
      </w:r>
      <w:r w:rsidR="00265A35" w:rsidRPr="00CE4C7D">
        <w:rPr>
          <w:rFonts w:asciiTheme="majorHAnsi" w:hAnsiTheme="majorHAnsi" w:cstheme="majorHAnsi"/>
          <w:sz w:val="22"/>
          <w:szCs w:val="22"/>
        </w:rPr>
        <w:t>-</w:t>
      </w:r>
      <w:r w:rsidRPr="00CE4C7D">
        <w:rPr>
          <w:rFonts w:asciiTheme="majorHAnsi" w:hAnsiTheme="majorHAnsi" w:cstheme="majorHAnsi"/>
          <w:sz w:val="22"/>
          <w:szCs w:val="22"/>
        </w:rPr>
        <w:t>energy policies can affect temporal aspects of the practices</w:t>
      </w:r>
      <w:r w:rsidR="00694DEA" w:rsidRPr="00CE4C7D">
        <w:rPr>
          <w:rFonts w:asciiTheme="majorHAnsi" w:hAnsiTheme="majorHAnsi" w:cstheme="majorHAnsi"/>
          <w:sz w:val="22"/>
          <w:szCs w:val="22"/>
        </w:rPr>
        <w:t xml:space="preserve"> that result in energy demand</w:t>
      </w:r>
      <w:r w:rsidRPr="00CE4C7D">
        <w:rPr>
          <w:rFonts w:asciiTheme="majorHAnsi" w:hAnsiTheme="majorHAnsi" w:cstheme="majorHAnsi"/>
          <w:sz w:val="22"/>
          <w:szCs w:val="22"/>
        </w:rPr>
        <w:t xml:space="preserve">, including </w:t>
      </w:r>
      <w:r w:rsidR="00694DEA" w:rsidRPr="00CE4C7D">
        <w:rPr>
          <w:rFonts w:asciiTheme="majorHAnsi" w:hAnsiTheme="majorHAnsi" w:cstheme="majorHAnsi"/>
          <w:sz w:val="22"/>
          <w:szCs w:val="22"/>
        </w:rPr>
        <w:t xml:space="preserve">when they </w:t>
      </w:r>
      <w:r w:rsidRPr="00CE4C7D">
        <w:rPr>
          <w:rFonts w:asciiTheme="majorHAnsi" w:hAnsiTheme="majorHAnsi" w:cstheme="majorHAnsi"/>
          <w:sz w:val="22"/>
          <w:szCs w:val="22"/>
        </w:rPr>
        <w:t xml:space="preserve">occur, </w:t>
      </w:r>
      <w:r w:rsidR="00694DEA" w:rsidRPr="00CE4C7D">
        <w:rPr>
          <w:rFonts w:asciiTheme="majorHAnsi" w:hAnsiTheme="majorHAnsi" w:cstheme="majorHAnsi"/>
          <w:sz w:val="22"/>
          <w:szCs w:val="22"/>
        </w:rPr>
        <w:t>how</w:t>
      </w:r>
      <w:r w:rsidRPr="00CE4C7D">
        <w:rPr>
          <w:rFonts w:asciiTheme="majorHAnsi" w:hAnsiTheme="majorHAnsi" w:cstheme="majorHAnsi"/>
          <w:sz w:val="22"/>
          <w:szCs w:val="22"/>
        </w:rPr>
        <w:t xml:space="preserve"> often</w:t>
      </w:r>
      <w:r w:rsidR="00694DEA" w:rsidRPr="00CE4C7D">
        <w:rPr>
          <w:rFonts w:asciiTheme="majorHAnsi" w:hAnsiTheme="majorHAnsi" w:cstheme="majorHAnsi"/>
          <w:sz w:val="22"/>
          <w:szCs w:val="22"/>
        </w:rPr>
        <w:t xml:space="preserve">, for </w:t>
      </w:r>
      <w:r w:rsidRPr="00CE4C7D">
        <w:rPr>
          <w:rFonts w:asciiTheme="majorHAnsi" w:hAnsiTheme="majorHAnsi" w:cstheme="majorHAnsi"/>
          <w:sz w:val="22"/>
          <w:szCs w:val="22"/>
        </w:rPr>
        <w:t>how long,</w:t>
      </w:r>
      <w:r w:rsidR="00694DEA" w:rsidRPr="00CE4C7D">
        <w:rPr>
          <w:rFonts w:asciiTheme="majorHAnsi" w:hAnsiTheme="majorHAnsi" w:cstheme="majorHAnsi"/>
          <w:sz w:val="22"/>
          <w:szCs w:val="22"/>
        </w:rPr>
        <w:t xml:space="preserve"> and in what order. For example, Blue (2017) </w:t>
      </w:r>
      <w:r w:rsidRPr="00CE4C7D">
        <w:rPr>
          <w:rFonts w:asciiTheme="majorHAnsi" w:hAnsiTheme="majorHAnsi" w:cstheme="majorHAnsi"/>
          <w:sz w:val="22"/>
          <w:szCs w:val="22"/>
        </w:rPr>
        <w:t xml:space="preserve">describes the changing rhythms involved in English hospital </w:t>
      </w:r>
      <w:proofErr w:type="gramStart"/>
      <w:r w:rsidRPr="00CE4C7D">
        <w:rPr>
          <w:rFonts w:asciiTheme="majorHAnsi" w:hAnsiTheme="majorHAnsi" w:cstheme="majorHAnsi"/>
          <w:sz w:val="22"/>
          <w:szCs w:val="22"/>
        </w:rPr>
        <w:t>life, and</w:t>
      </w:r>
      <w:proofErr w:type="gramEnd"/>
      <w:r w:rsidRPr="00CE4C7D">
        <w:rPr>
          <w:rFonts w:asciiTheme="majorHAnsi" w:hAnsiTheme="majorHAnsi" w:cstheme="majorHAnsi"/>
          <w:sz w:val="22"/>
          <w:szCs w:val="22"/>
        </w:rPr>
        <w:t xml:space="preserve"> discusses</w:t>
      </w:r>
      <w:r w:rsidR="00694DEA" w:rsidRPr="00CE4C7D">
        <w:rPr>
          <w:rFonts w:asciiTheme="majorHAnsi" w:hAnsiTheme="majorHAnsi" w:cstheme="majorHAnsi"/>
          <w:sz w:val="22"/>
          <w:szCs w:val="22"/>
        </w:rPr>
        <w:t xml:space="preserve"> how</w:t>
      </w:r>
      <w:r w:rsidRPr="00CE4C7D">
        <w:rPr>
          <w:rFonts w:asciiTheme="majorHAnsi" w:hAnsiTheme="majorHAnsi" w:cstheme="majorHAnsi"/>
          <w:sz w:val="22"/>
          <w:szCs w:val="22"/>
        </w:rPr>
        <w:t xml:space="preserve"> healthcare agendas and targets </w:t>
      </w:r>
      <w:r w:rsidR="00694DEA" w:rsidRPr="00CE4C7D">
        <w:rPr>
          <w:rFonts w:asciiTheme="majorHAnsi" w:hAnsiTheme="majorHAnsi" w:cstheme="majorHAnsi"/>
          <w:sz w:val="22"/>
          <w:szCs w:val="22"/>
        </w:rPr>
        <w:t>(such as promoting a ‘one-stop shop’ approach to cancer treatment) have shifted the timings of appointments</w:t>
      </w:r>
      <w:r w:rsidRPr="00CE4C7D">
        <w:rPr>
          <w:rFonts w:asciiTheme="majorHAnsi" w:hAnsiTheme="majorHAnsi" w:cstheme="majorHAnsi"/>
          <w:sz w:val="22"/>
          <w:szCs w:val="22"/>
        </w:rPr>
        <w:t xml:space="preserve"> and care pathways.  These changes have had ramifications for </w:t>
      </w:r>
      <w:r w:rsidR="00694DEA" w:rsidRPr="00CE4C7D">
        <w:rPr>
          <w:rFonts w:asciiTheme="majorHAnsi" w:hAnsiTheme="majorHAnsi" w:cstheme="majorHAnsi"/>
          <w:sz w:val="22"/>
          <w:szCs w:val="22"/>
        </w:rPr>
        <w:t>the resources used for patient care, including space</w:t>
      </w:r>
      <w:r w:rsidRPr="00CE4C7D">
        <w:rPr>
          <w:rFonts w:asciiTheme="majorHAnsi" w:hAnsiTheme="majorHAnsi" w:cstheme="majorHAnsi"/>
          <w:sz w:val="22"/>
          <w:szCs w:val="22"/>
        </w:rPr>
        <w:t>-heating</w:t>
      </w:r>
      <w:r w:rsidR="00694DEA" w:rsidRPr="00CE4C7D">
        <w:rPr>
          <w:rFonts w:asciiTheme="majorHAnsi" w:hAnsiTheme="majorHAnsi" w:cstheme="majorHAnsi"/>
          <w:sz w:val="22"/>
          <w:szCs w:val="22"/>
        </w:rPr>
        <w:t xml:space="preserve"> and clinical equipment</w:t>
      </w:r>
      <w:r w:rsidRPr="00CE4C7D">
        <w:rPr>
          <w:rFonts w:asciiTheme="majorHAnsi" w:hAnsiTheme="majorHAnsi" w:cstheme="majorHAnsi"/>
          <w:sz w:val="22"/>
          <w:szCs w:val="22"/>
        </w:rPr>
        <w:t>, as well as affecting</w:t>
      </w:r>
      <w:r w:rsidR="00694DEA" w:rsidRPr="00CE4C7D">
        <w:rPr>
          <w:rFonts w:asciiTheme="majorHAnsi" w:hAnsiTheme="majorHAnsi" w:cstheme="majorHAnsi"/>
          <w:sz w:val="22"/>
          <w:szCs w:val="22"/>
        </w:rPr>
        <w:t xml:space="preserve"> when </w:t>
      </w:r>
      <w:r w:rsidRPr="00CE4C7D">
        <w:rPr>
          <w:rFonts w:asciiTheme="majorHAnsi" w:hAnsiTheme="majorHAnsi" w:cstheme="majorHAnsi"/>
          <w:sz w:val="22"/>
          <w:szCs w:val="22"/>
        </w:rPr>
        <w:t>the associat</w:t>
      </w:r>
      <w:r w:rsidR="00694DEA" w:rsidRPr="00CE4C7D">
        <w:rPr>
          <w:rFonts w:asciiTheme="majorHAnsi" w:hAnsiTheme="majorHAnsi" w:cstheme="majorHAnsi"/>
          <w:sz w:val="22"/>
          <w:szCs w:val="22"/>
        </w:rPr>
        <w:t xml:space="preserve">ed forms of energy demand occur. </w:t>
      </w:r>
    </w:p>
    <w:p w14:paraId="7E796F58" w14:textId="77777777" w:rsidR="00694DEA" w:rsidRPr="00CE4C7D" w:rsidRDefault="00694DEA" w:rsidP="00F25A95">
      <w:pPr>
        <w:rPr>
          <w:rFonts w:asciiTheme="majorHAnsi" w:hAnsiTheme="majorHAnsi" w:cstheme="majorHAnsi"/>
          <w:sz w:val="22"/>
          <w:szCs w:val="22"/>
        </w:rPr>
      </w:pPr>
    </w:p>
    <w:p w14:paraId="13B18F03" w14:textId="57D787A8" w:rsidR="00694DEA" w:rsidRPr="00CE4C7D" w:rsidRDefault="009D32D2" w:rsidP="00F25A95">
      <w:pPr>
        <w:rPr>
          <w:rFonts w:asciiTheme="majorHAnsi" w:hAnsiTheme="majorHAnsi" w:cstheme="majorHAnsi"/>
          <w:sz w:val="22"/>
          <w:szCs w:val="22"/>
        </w:rPr>
      </w:pPr>
      <w:r w:rsidRPr="00CE4C7D">
        <w:rPr>
          <w:rFonts w:asciiTheme="majorHAnsi" w:hAnsiTheme="majorHAnsi" w:cstheme="majorHAnsi"/>
          <w:sz w:val="22"/>
          <w:szCs w:val="22"/>
        </w:rPr>
        <w:t xml:space="preserve">Fifth, </w:t>
      </w:r>
      <w:r w:rsidR="00694DEA" w:rsidRPr="00CE4C7D">
        <w:rPr>
          <w:rFonts w:asciiTheme="majorHAnsi" w:hAnsiTheme="majorHAnsi" w:cstheme="majorHAnsi"/>
          <w:sz w:val="22"/>
          <w:szCs w:val="22"/>
        </w:rPr>
        <w:t xml:space="preserve">non-energy policies </w:t>
      </w:r>
      <w:r w:rsidRPr="00CE4C7D">
        <w:rPr>
          <w:rFonts w:asciiTheme="majorHAnsi" w:hAnsiTheme="majorHAnsi" w:cstheme="majorHAnsi"/>
          <w:sz w:val="22"/>
          <w:szCs w:val="22"/>
        </w:rPr>
        <w:t xml:space="preserve">can of course </w:t>
      </w:r>
      <w:r w:rsidR="00694DEA" w:rsidRPr="00CE4C7D">
        <w:rPr>
          <w:rFonts w:asciiTheme="majorHAnsi" w:hAnsiTheme="majorHAnsi" w:cstheme="majorHAnsi"/>
          <w:sz w:val="22"/>
          <w:szCs w:val="22"/>
        </w:rPr>
        <w:t xml:space="preserve">affect the spatial characteristics of </w:t>
      </w:r>
      <w:r w:rsidRPr="00CE4C7D">
        <w:rPr>
          <w:rFonts w:asciiTheme="majorHAnsi" w:hAnsiTheme="majorHAnsi" w:cstheme="majorHAnsi"/>
          <w:sz w:val="22"/>
          <w:szCs w:val="22"/>
        </w:rPr>
        <w:t>practice</w:t>
      </w:r>
      <w:r w:rsidR="00694DEA" w:rsidRPr="00CE4C7D">
        <w:rPr>
          <w:rFonts w:asciiTheme="majorHAnsi" w:hAnsiTheme="majorHAnsi" w:cstheme="majorHAnsi"/>
          <w:sz w:val="22"/>
          <w:szCs w:val="22"/>
        </w:rPr>
        <w:t>s</w:t>
      </w:r>
      <w:r w:rsidRPr="00CE4C7D">
        <w:rPr>
          <w:rFonts w:asciiTheme="majorHAnsi" w:hAnsiTheme="majorHAnsi" w:cstheme="majorHAnsi"/>
          <w:sz w:val="22"/>
          <w:szCs w:val="22"/>
        </w:rPr>
        <w:t>, affecting</w:t>
      </w:r>
      <w:r w:rsidR="00694DEA" w:rsidRPr="00CE4C7D">
        <w:rPr>
          <w:rFonts w:asciiTheme="majorHAnsi" w:hAnsiTheme="majorHAnsi" w:cstheme="majorHAnsi"/>
          <w:sz w:val="22"/>
          <w:szCs w:val="22"/>
        </w:rPr>
        <w:t xml:space="preserve"> where energy demands arise, </w:t>
      </w:r>
      <w:r w:rsidRPr="00CE4C7D">
        <w:rPr>
          <w:rFonts w:asciiTheme="majorHAnsi" w:hAnsiTheme="majorHAnsi" w:cstheme="majorHAnsi"/>
          <w:sz w:val="22"/>
          <w:szCs w:val="22"/>
        </w:rPr>
        <w:t xml:space="preserve">and </w:t>
      </w:r>
      <w:r w:rsidR="00694DEA" w:rsidRPr="00CE4C7D">
        <w:rPr>
          <w:rFonts w:asciiTheme="majorHAnsi" w:hAnsiTheme="majorHAnsi" w:cstheme="majorHAnsi"/>
          <w:sz w:val="22"/>
          <w:szCs w:val="22"/>
        </w:rPr>
        <w:t>at what scale</w:t>
      </w:r>
      <w:r w:rsidRPr="00CE4C7D">
        <w:rPr>
          <w:rFonts w:asciiTheme="majorHAnsi" w:hAnsiTheme="majorHAnsi" w:cstheme="majorHAnsi"/>
          <w:sz w:val="22"/>
          <w:szCs w:val="22"/>
        </w:rPr>
        <w:t>, as well as what kinds of mobility (of people and things) is demanded</w:t>
      </w:r>
      <w:r w:rsidR="00694DEA" w:rsidRPr="00CE4C7D">
        <w:rPr>
          <w:rFonts w:asciiTheme="majorHAnsi" w:hAnsiTheme="majorHAnsi" w:cstheme="majorHAnsi"/>
          <w:sz w:val="22"/>
          <w:szCs w:val="22"/>
        </w:rPr>
        <w:t xml:space="preserve">. For example, education policies that </w:t>
      </w:r>
      <w:r w:rsidRPr="00CE4C7D">
        <w:rPr>
          <w:rFonts w:asciiTheme="majorHAnsi" w:hAnsiTheme="majorHAnsi" w:cstheme="majorHAnsi"/>
          <w:sz w:val="22"/>
          <w:szCs w:val="22"/>
        </w:rPr>
        <w:t>give parents more options regarding</w:t>
      </w:r>
      <w:r w:rsidR="00694DEA" w:rsidRPr="00CE4C7D">
        <w:rPr>
          <w:rFonts w:asciiTheme="majorHAnsi" w:hAnsiTheme="majorHAnsi" w:cstheme="majorHAnsi"/>
          <w:sz w:val="22"/>
          <w:szCs w:val="22"/>
        </w:rPr>
        <w:t xml:space="preserve"> school</w:t>
      </w:r>
      <w:r w:rsidRPr="00CE4C7D">
        <w:rPr>
          <w:rFonts w:asciiTheme="majorHAnsi" w:hAnsiTheme="majorHAnsi" w:cstheme="majorHAnsi"/>
          <w:sz w:val="22"/>
          <w:szCs w:val="22"/>
        </w:rPr>
        <w:t xml:space="preserve"> choice</w:t>
      </w:r>
      <w:r w:rsidR="00694DEA" w:rsidRPr="00CE4C7D">
        <w:rPr>
          <w:rFonts w:asciiTheme="majorHAnsi" w:hAnsiTheme="majorHAnsi" w:cstheme="majorHAnsi"/>
          <w:sz w:val="22"/>
          <w:szCs w:val="22"/>
        </w:rPr>
        <w:t xml:space="preserve"> have led to children travelling </w:t>
      </w:r>
      <w:r w:rsidRPr="00CE4C7D">
        <w:rPr>
          <w:rFonts w:asciiTheme="majorHAnsi" w:hAnsiTheme="majorHAnsi" w:cstheme="majorHAnsi"/>
          <w:sz w:val="22"/>
          <w:szCs w:val="22"/>
        </w:rPr>
        <w:t xml:space="preserve">greater distances </w:t>
      </w:r>
      <w:r w:rsidR="00694DEA" w:rsidRPr="00CE4C7D">
        <w:rPr>
          <w:rFonts w:asciiTheme="majorHAnsi" w:hAnsiTheme="majorHAnsi" w:cstheme="majorHAnsi"/>
          <w:sz w:val="22"/>
          <w:szCs w:val="22"/>
        </w:rPr>
        <w:t>to</w:t>
      </w:r>
      <w:r w:rsidRPr="00CE4C7D">
        <w:rPr>
          <w:rFonts w:asciiTheme="majorHAnsi" w:hAnsiTheme="majorHAnsi" w:cstheme="majorHAnsi"/>
          <w:sz w:val="22"/>
          <w:szCs w:val="22"/>
        </w:rPr>
        <w:t xml:space="preserve"> school</w:t>
      </w:r>
      <w:r w:rsidR="00694DEA" w:rsidRPr="00CE4C7D">
        <w:rPr>
          <w:rFonts w:asciiTheme="majorHAnsi" w:hAnsiTheme="majorHAnsi" w:cstheme="majorHAnsi"/>
          <w:sz w:val="22"/>
          <w:szCs w:val="22"/>
        </w:rPr>
        <w:t xml:space="preserve"> (He and Giuliano, 2017; Marshall et al., 2010). </w:t>
      </w:r>
      <w:r w:rsidRPr="00CE4C7D">
        <w:rPr>
          <w:rFonts w:asciiTheme="majorHAnsi" w:hAnsiTheme="majorHAnsi" w:cstheme="majorHAnsi"/>
          <w:sz w:val="22"/>
          <w:szCs w:val="22"/>
        </w:rPr>
        <w:t xml:space="preserve">Globally, </w:t>
      </w:r>
      <w:r w:rsidR="00694DEA" w:rsidRPr="00CE4C7D">
        <w:rPr>
          <w:rFonts w:asciiTheme="majorHAnsi" w:hAnsiTheme="majorHAnsi" w:cstheme="majorHAnsi"/>
          <w:sz w:val="22"/>
          <w:szCs w:val="22"/>
        </w:rPr>
        <w:t>trade liberali</w:t>
      </w:r>
      <w:r w:rsidR="0029692E" w:rsidRPr="00CE4C7D">
        <w:rPr>
          <w:rFonts w:asciiTheme="majorHAnsi" w:hAnsiTheme="majorHAnsi" w:cstheme="majorHAnsi"/>
          <w:sz w:val="22"/>
          <w:szCs w:val="22"/>
        </w:rPr>
        <w:t>z</w:t>
      </w:r>
      <w:r w:rsidR="00694DEA" w:rsidRPr="00CE4C7D">
        <w:rPr>
          <w:rFonts w:asciiTheme="majorHAnsi" w:hAnsiTheme="majorHAnsi" w:cstheme="majorHAnsi"/>
          <w:sz w:val="22"/>
          <w:szCs w:val="22"/>
        </w:rPr>
        <w:t xml:space="preserve">ation policies </w:t>
      </w:r>
      <w:r w:rsidRPr="00CE4C7D">
        <w:rPr>
          <w:rFonts w:asciiTheme="majorHAnsi" w:hAnsiTheme="majorHAnsi" w:cstheme="majorHAnsi"/>
          <w:sz w:val="22"/>
          <w:szCs w:val="22"/>
        </w:rPr>
        <w:t xml:space="preserve">promoting </w:t>
      </w:r>
      <w:r w:rsidR="00694DEA" w:rsidRPr="00CE4C7D">
        <w:rPr>
          <w:rFonts w:asciiTheme="majorHAnsi" w:hAnsiTheme="majorHAnsi" w:cstheme="majorHAnsi"/>
          <w:sz w:val="22"/>
          <w:szCs w:val="22"/>
        </w:rPr>
        <w:t xml:space="preserve">the </w:t>
      </w:r>
      <w:r w:rsidRPr="00CE4C7D">
        <w:rPr>
          <w:rFonts w:asciiTheme="majorHAnsi" w:hAnsiTheme="majorHAnsi" w:cstheme="majorHAnsi"/>
          <w:sz w:val="22"/>
          <w:szCs w:val="22"/>
        </w:rPr>
        <w:t>outsourcing</w:t>
      </w:r>
      <w:r w:rsidR="00694DEA" w:rsidRPr="00CE4C7D">
        <w:rPr>
          <w:rFonts w:asciiTheme="majorHAnsi" w:hAnsiTheme="majorHAnsi" w:cstheme="majorHAnsi"/>
          <w:sz w:val="22"/>
          <w:szCs w:val="22"/>
        </w:rPr>
        <w:t xml:space="preserve"> of heavy industrial production to less developed countries have had </w:t>
      </w:r>
      <w:r w:rsidRPr="00CE4C7D">
        <w:rPr>
          <w:rFonts w:asciiTheme="majorHAnsi" w:hAnsiTheme="majorHAnsi" w:cstheme="majorHAnsi"/>
          <w:sz w:val="22"/>
          <w:szCs w:val="22"/>
        </w:rPr>
        <w:t>major impacts on</w:t>
      </w:r>
      <w:r w:rsidR="00694DEA" w:rsidRPr="00CE4C7D">
        <w:rPr>
          <w:rFonts w:asciiTheme="majorHAnsi" w:hAnsiTheme="majorHAnsi" w:cstheme="majorHAnsi"/>
          <w:sz w:val="22"/>
          <w:szCs w:val="22"/>
        </w:rPr>
        <w:t xml:space="preserve"> where energy is consumed</w:t>
      </w:r>
      <w:r w:rsidRPr="00CE4C7D">
        <w:rPr>
          <w:rFonts w:asciiTheme="majorHAnsi" w:hAnsiTheme="majorHAnsi" w:cstheme="majorHAnsi"/>
          <w:sz w:val="22"/>
          <w:szCs w:val="22"/>
        </w:rPr>
        <w:t xml:space="preserve"> in industrial production</w:t>
      </w:r>
      <w:r w:rsidR="00694DEA" w:rsidRPr="00CE4C7D">
        <w:rPr>
          <w:rFonts w:asciiTheme="majorHAnsi" w:hAnsiTheme="majorHAnsi" w:cstheme="majorHAnsi"/>
          <w:sz w:val="22"/>
          <w:szCs w:val="22"/>
        </w:rPr>
        <w:t xml:space="preserve"> (Morgan, 2011). </w:t>
      </w:r>
      <w:r w:rsidR="00054FA7" w:rsidRPr="00CE4C7D">
        <w:rPr>
          <w:rFonts w:asciiTheme="majorHAnsi" w:hAnsiTheme="majorHAnsi" w:cstheme="majorHAnsi"/>
          <w:sz w:val="22"/>
          <w:szCs w:val="22"/>
        </w:rPr>
        <w:t>These</w:t>
      </w:r>
      <w:r w:rsidR="00694DEA" w:rsidRPr="00CE4C7D">
        <w:rPr>
          <w:rFonts w:asciiTheme="majorHAnsi" w:hAnsiTheme="majorHAnsi" w:cstheme="majorHAnsi"/>
          <w:sz w:val="22"/>
          <w:szCs w:val="22"/>
        </w:rPr>
        <w:t xml:space="preserve"> policies also </w:t>
      </w:r>
      <w:r w:rsidR="00054FA7" w:rsidRPr="00CE4C7D">
        <w:rPr>
          <w:rFonts w:asciiTheme="majorHAnsi" w:hAnsiTheme="majorHAnsi" w:cstheme="majorHAnsi"/>
          <w:sz w:val="22"/>
          <w:szCs w:val="22"/>
        </w:rPr>
        <w:t xml:space="preserve">drive up </w:t>
      </w:r>
      <w:r w:rsidR="00694DEA" w:rsidRPr="00CE4C7D">
        <w:rPr>
          <w:rFonts w:asciiTheme="majorHAnsi" w:hAnsiTheme="majorHAnsi" w:cstheme="majorHAnsi"/>
          <w:sz w:val="22"/>
          <w:szCs w:val="22"/>
        </w:rPr>
        <w:t xml:space="preserve">the </w:t>
      </w:r>
      <w:r w:rsidR="00054FA7" w:rsidRPr="00CE4C7D">
        <w:rPr>
          <w:rFonts w:asciiTheme="majorHAnsi" w:hAnsiTheme="majorHAnsi" w:cstheme="majorHAnsi"/>
          <w:sz w:val="22"/>
          <w:szCs w:val="22"/>
        </w:rPr>
        <w:t xml:space="preserve">overall quantity </w:t>
      </w:r>
      <w:r w:rsidR="00694DEA" w:rsidRPr="00CE4C7D">
        <w:rPr>
          <w:rFonts w:asciiTheme="majorHAnsi" w:hAnsiTheme="majorHAnsi" w:cstheme="majorHAnsi"/>
          <w:sz w:val="22"/>
          <w:szCs w:val="22"/>
        </w:rPr>
        <w:t>of goods transported</w:t>
      </w:r>
      <w:r w:rsidR="00054FA7" w:rsidRPr="00CE4C7D">
        <w:rPr>
          <w:rFonts w:asciiTheme="majorHAnsi" w:hAnsiTheme="majorHAnsi" w:cstheme="majorHAnsi"/>
          <w:sz w:val="22"/>
          <w:szCs w:val="22"/>
        </w:rPr>
        <w:t xml:space="preserve"> internationally</w:t>
      </w:r>
      <w:r w:rsidR="00694DEA" w:rsidRPr="00CE4C7D">
        <w:rPr>
          <w:rFonts w:asciiTheme="majorHAnsi" w:hAnsiTheme="majorHAnsi" w:cstheme="majorHAnsi"/>
          <w:sz w:val="22"/>
          <w:szCs w:val="22"/>
        </w:rPr>
        <w:t>,</w:t>
      </w:r>
      <w:r w:rsidR="00054FA7" w:rsidRPr="00CE4C7D">
        <w:rPr>
          <w:rFonts w:asciiTheme="majorHAnsi" w:hAnsiTheme="majorHAnsi" w:cstheme="majorHAnsi"/>
          <w:sz w:val="22"/>
          <w:szCs w:val="22"/>
        </w:rPr>
        <w:t xml:space="preserve"> affecting fuel demand</w:t>
      </w:r>
      <w:r w:rsidR="00694DEA" w:rsidRPr="00CE4C7D">
        <w:rPr>
          <w:rFonts w:asciiTheme="majorHAnsi" w:hAnsiTheme="majorHAnsi" w:cstheme="majorHAnsi"/>
          <w:sz w:val="22"/>
          <w:szCs w:val="22"/>
        </w:rPr>
        <w:t>.</w:t>
      </w:r>
      <w:r w:rsidR="00407B30" w:rsidRPr="00CE4C7D">
        <w:rPr>
          <w:rFonts w:asciiTheme="majorHAnsi" w:hAnsiTheme="majorHAnsi" w:cstheme="majorHAnsi"/>
          <w:sz w:val="22"/>
          <w:szCs w:val="22"/>
        </w:rPr>
        <w:t xml:space="preserve"> Returning to the health sector, policies that aim to deliver care to patients in their homes (for example, in-home dialysis), rather than in hospital settings, transfer the location of </w:t>
      </w:r>
      <w:r w:rsidR="005C0624" w:rsidRPr="00CE4C7D">
        <w:rPr>
          <w:rFonts w:asciiTheme="majorHAnsi" w:hAnsiTheme="majorHAnsi" w:cstheme="majorHAnsi"/>
          <w:sz w:val="22"/>
          <w:szCs w:val="22"/>
        </w:rPr>
        <w:t xml:space="preserve">the associated </w:t>
      </w:r>
      <w:r w:rsidR="00407B30" w:rsidRPr="00CE4C7D">
        <w:rPr>
          <w:rFonts w:asciiTheme="majorHAnsi" w:hAnsiTheme="majorHAnsi" w:cstheme="majorHAnsi"/>
          <w:sz w:val="22"/>
          <w:szCs w:val="22"/>
        </w:rPr>
        <w:t>energy demand to these decentrali</w:t>
      </w:r>
      <w:r w:rsidR="000A25B3" w:rsidRPr="00CE4C7D">
        <w:rPr>
          <w:rFonts w:asciiTheme="majorHAnsi" w:hAnsiTheme="majorHAnsi" w:cstheme="majorHAnsi"/>
          <w:sz w:val="22"/>
          <w:szCs w:val="22"/>
        </w:rPr>
        <w:t>z</w:t>
      </w:r>
      <w:r w:rsidR="00407B30" w:rsidRPr="00CE4C7D">
        <w:rPr>
          <w:rFonts w:asciiTheme="majorHAnsi" w:hAnsiTheme="majorHAnsi" w:cstheme="majorHAnsi"/>
          <w:sz w:val="22"/>
          <w:szCs w:val="22"/>
        </w:rPr>
        <w:t>ed locations</w:t>
      </w:r>
      <w:r w:rsidR="00D22069" w:rsidRPr="00CE4C7D">
        <w:rPr>
          <w:rFonts w:asciiTheme="majorHAnsi" w:hAnsiTheme="majorHAnsi" w:cstheme="majorHAnsi"/>
          <w:sz w:val="22"/>
          <w:szCs w:val="22"/>
        </w:rPr>
        <w:t xml:space="preserve"> (</w:t>
      </w:r>
      <w:r w:rsidR="004C5E8B" w:rsidRPr="00CE4C7D">
        <w:rPr>
          <w:rFonts w:asciiTheme="majorHAnsi" w:hAnsiTheme="majorHAnsi" w:cstheme="majorHAnsi"/>
          <w:sz w:val="22"/>
          <w:szCs w:val="22"/>
        </w:rPr>
        <w:t>see, for example, British Renal Society, 2015</w:t>
      </w:r>
      <w:r w:rsidR="00D22069" w:rsidRPr="00CE4C7D">
        <w:rPr>
          <w:rFonts w:asciiTheme="majorHAnsi" w:hAnsiTheme="majorHAnsi" w:cstheme="majorHAnsi"/>
          <w:sz w:val="22"/>
          <w:szCs w:val="22"/>
        </w:rPr>
        <w:t>)</w:t>
      </w:r>
      <w:r w:rsidR="00407B30" w:rsidRPr="00CE4C7D">
        <w:rPr>
          <w:rFonts w:asciiTheme="majorHAnsi" w:hAnsiTheme="majorHAnsi" w:cstheme="majorHAnsi"/>
          <w:sz w:val="22"/>
          <w:szCs w:val="22"/>
        </w:rPr>
        <w:t>.</w:t>
      </w:r>
    </w:p>
    <w:p w14:paraId="5BE1E812" w14:textId="77777777" w:rsidR="00137B47" w:rsidRPr="00CE4C7D" w:rsidRDefault="00137B47" w:rsidP="00F25A95">
      <w:pPr>
        <w:rPr>
          <w:rFonts w:asciiTheme="majorHAnsi" w:hAnsiTheme="majorHAnsi" w:cstheme="majorHAnsi"/>
          <w:sz w:val="22"/>
          <w:szCs w:val="22"/>
        </w:rPr>
      </w:pPr>
    </w:p>
    <w:p w14:paraId="1AB3480C" w14:textId="1AA4E55D" w:rsidR="000A2C9D" w:rsidRPr="00CE4C7D" w:rsidRDefault="00137B47" w:rsidP="00F25A95">
      <w:pPr>
        <w:autoSpaceDE w:val="0"/>
        <w:autoSpaceDN w:val="0"/>
        <w:adjustRightInd w:val="0"/>
        <w:rPr>
          <w:rFonts w:asciiTheme="majorHAnsi" w:hAnsiTheme="majorHAnsi" w:cstheme="majorHAnsi"/>
          <w:color w:val="76923C" w:themeColor="accent3" w:themeShade="BF"/>
          <w:sz w:val="22"/>
          <w:szCs w:val="22"/>
        </w:rPr>
      </w:pPr>
      <w:r w:rsidRPr="00CE4C7D">
        <w:rPr>
          <w:rFonts w:asciiTheme="majorHAnsi" w:hAnsiTheme="majorHAnsi" w:cstheme="majorHAnsi"/>
          <w:sz w:val="22"/>
          <w:szCs w:val="22"/>
        </w:rPr>
        <w:t>Lastly, it is worth noting that the effects of these policies on energy are often entangled and interacting</w:t>
      </w:r>
      <w:r w:rsidR="00B06FA7" w:rsidRPr="00CE4C7D">
        <w:rPr>
          <w:rFonts w:asciiTheme="majorHAnsi" w:hAnsiTheme="majorHAnsi" w:cstheme="majorHAnsi"/>
          <w:sz w:val="22"/>
          <w:szCs w:val="22"/>
        </w:rPr>
        <w:t xml:space="preserve">, not least because </w:t>
      </w:r>
      <w:r w:rsidR="00DF57A2" w:rsidRPr="00CE4C7D">
        <w:rPr>
          <w:rFonts w:asciiTheme="majorHAnsi" w:hAnsiTheme="majorHAnsi" w:cstheme="majorHAnsi"/>
          <w:sz w:val="22"/>
          <w:szCs w:val="22"/>
        </w:rPr>
        <w:t xml:space="preserve">there are </w:t>
      </w:r>
      <w:r w:rsidR="00B06FA7" w:rsidRPr="00CE4C7D">
        <w:rPr>
          <w:rFonts w:asciiTheme="majorHAnsi" w:hAnsiTheme="majorHAnsi" w:cstheme="majorHAnsi"/>
          <w:sz w:val="22"/>
          <w:szCs w:val="22"/>
        </w:rPr>
        <w:t>multiple intersecting agendas</w:t>
      </w:r>
      <w:r w:rsidR="00DF57A2" w:rsidRPr="00CE4C7D">
        <w:rPr>
          <w:rFonts w:asciiTheme="majorHAnsi" w:hAnsiTheme="majorHAnsi" w:cstheme="majorHAnsi"/>
          <w:sz w:val="22"/>
          <w:szCs w:val="22"/>
        </w:rPr>
        <w:t xml:space="preserve"> in any policy sector, and indeed, within any policy actor</w:t>
      </w:r>
      <w:r w:rsidRPr="00CE4C7D">
        <w:rPr>
          <w:rFonts w:asciiTheme="majorHAnsi" w:hAnsiTheme="majorHAnsi" w:cstheme="majorHAnsi"/>
          <w:sz w:val="22"/>
          <w:szCs w:val="22"/>
        </w:rPr>
        <w:t xml:space="preserve">. </w:t>
      </w:r>
      <w:r w:rsidR="00B0163F" w:rsidRPr="00CE4C7D">
        <w:rPr>
          <w:rFonts w:asciiTheme="majorHAnsi" w:hAnsiTheme="majorHAnsi" w:cstheme="majorHAnsi"/>
          <w:sz w:val="22"/>
          <w:szCs w:val="22"/>
        </w:rPr>
        <w:t xml:space="preserve">Fundamentally, since every </w:t>
      </w:r>
      <w:r w:rsidR="00694DEA" w:rsidRPr="00CE4C7D">
        <w:rPr>
          <w:rFonts w:asciiTheme="majorHAnsi" w:hAnsiTheme="majorHAnsi" w:cstheme="majorHAnsi"/>
          <w:sz w:val="22"/>
          <w:szCs w:val="22"/>
        </w:rPr>
        <w:t>polic</w:t>
      </w:r>
      <w:r w:rsidR="00B0163F" w:rsidRPr="00CE4C7D">
        <w:rPr>
          <w:rFonts w:asciiTheme="majorHAnsi" w:hAnsiTheme="majorHAnsi" w:cstheme="majorHAnsi"/>
          <w:sz w:val="22"/>
          <w:szCs w:val="22"/>
        </w:rPr>
        <w:t>y</w:t>
      </w:r>
      <w:r w:rsidR="00694DEA" w:rsidRPr="00CE4C7D">
        <w:rPr>
          <w:rFonts w:asciiTheme="majorHAnsi" w:hAnsiTheme="majorHAnsi" w:cstheme="majorHAnsi"/>
          <w:sz w:val="22"/>
          <w:szCs w:val="22"/>
        </w:rPr>
        <w:t xml:space="preserve"> interact</w:t>
      </w:r>
      <w:r w:rsidR="00B0163F" w:rsidRPr="00CE4C7D">
        <w:rPr>
          <w:rFonts w:asciiTheme="majorHAnsi" w:hAnsiTheme="majorHAnsi" w:cstheme="majorHAnsi"/>
          <w:sz w:val="22"/>
          <w:szCs w:val="22"/>
        </w:rPr>
        <w:t>s</w:t>
      </w:r>
      <w:r w:rsidR="00694DEA" w:rsidRPr="00CE4C7D">
        <w:rPr>
          <w:rFonts w:asciiTheme="majorHAnsi" w:hAnsiTheme="majorHAnsi" w:cstheme="majorHAnsi"/>
          <w:sz w:val="22"/>
          <w:szCs w:val="22"/>
        </w:rPr>
        <w:t xml:space="preserve"> with social, technical and economic</w:t>
      </w:r>
      <w:r w:rsidR="00B0163F" w:rsidRPr="00CE4C7D">
        <w:rPr>
          <w:rFonts w:asciiTheme="majorHAnsi" w:hAnsiTheme="majorHAnsi" w:cstheme="majorHAnsi"/>
          <w:sz w:val="22"/>
          <w:szCs w:val="22"/>
        </w:rPr>
        <w:t xml:space="preserve"> processes</w:t>
      </w:r>
      <w:r w:rsidR="00694DEA" w:rsidRPr="00CE4C7D">
        <w:rPr>
          <w:rFonts w:asciiTheme="majorHAnsi" w:hAnsiTheme="majorHAnsi" w:cstheme="majorHAnsi"/>
          <w:sz w:val="22"/>
          <w:szCs w:val="22"/>
        </w:rPr>
        <w:t xml:space="preserve"> (which are themselves often </w:t>
      </w:r>
      <w:r w:rsidR="00B0163F" w:rsidRPr="00CE4C7D">
        <w:rPr>
          <w:rFonts w:asciiTheme="majorHAnsi" w:hAnsiTheme="majorHAnsi" w:cstheme="majorHAnsi"/>
          <w:sz w:val="22"/>
          <w:szCs w:val="22"/>
        </w:rPr>
        <w:t>connecte</w:t>
      </w:r>
      <w:r w:rsidR="00694DEA" w:rsidRPr="00CE4C7D">
        <w:rPr>
          <w:rFonts w:asciiTheme="majorHAnsi" w:hAnsiTheme="majorHAnsi" w:cstheme="majorHAnsi"/>
          <w:sz w:val="22"/>
          <w:szCs w:val="22"/>
        </w:rPr>
        <w:t>d to other policies) it is</w:t>
      </w:r>
      <w:r w:rsidR="00265A35" w:rsidRPr="00CE4C7D">
        <w:rPr>
          <w:rFonts w:asciiTheme="majorHAnsi" w:hAnsiTheme="majorHAnsi" w:cstheme="majorHAnsi"/>
          <w:sz w:val="22"/>
          <w:szCs w:val="22"/>
        </w:rPr>
        <w:t xml:space="preserve"> often</w:t>
      </w:r>
      <w:r w:rsidR="00694DEA" w:rsidRPr="00CE4C7D">
        <w:rPr>
          <w:rFonts w:asciiTheme="majorHAnsi" w:hAnsiTheme="majorHAnsi" w:cstheme="majorHAnsi"/>
          <w:sz w:val="22"/>
          <w:szCs w:val="22"/>
        </w:rPr>
        <w:t xml:space="preserve"> </w:t>
      </w:r>
      <w:r w:rsidR="00DF57A2" w:rsidRPr="00CE4C7D">
        <w:rPr>
          <w:rFonts w:asciiTheme="majorHAnsi" w:hAnsiTheme="majorHAnsi" w:cstheme="majorHAnsi"/>
          <w:sz w:val="22"/>
          <w:szCs w:val="22"/>
        </w:rPr>
        <w:t xml:space="preserve">extremely </w:t>
      </w:r>
      <w:r w:rsidR="00F1506C" w:rsidRPr="00CE4C7D">
        <w:rPr>
          <w:rFonts w:asciiTheme="majorHAnsi" w:hAnsiTheme="majorHAnsi" w:cstheme="majorHAnsi"/>
          <w:sz w:val="22"/>
          <w:szCs w:val="22"/>
        </w:rPr>
        <w:t>difficult</w:t>
      </w:r>
      <w:r w:rsidR="00694DEA" w:rsidRPr="00CE4C7D">
        <w:rPr>
          <w:rFonts w:asciiTheme="majorHAnsi" w:hAnsiTheme="majorHAnsi" w:cstheme="majorHAnsi"/>
          <w:sz w:val="22"/>
          <w:szCs w:val="22"/>
        </w:rPr>
        <w:t xml:space="preserve"> to identify</w:t>
      </w:r>
      <w:r w:rsidR="006D359C" w:rsidRPr="00CE4C7D">
        <w:rPr>
          <w:rFonts w:asciiTheme="majorHAnsi" w:hAnsiTheme="majorHAnsi" w:cstheme="majorHAnsi"/>
          <w:sz w:val="22"/>
          <w:szCs w:val="22"/>
        </w:rPr>
        <w:t xml:space="preserve"> and describe</w:t>
      </w:r>
      <w:r w:rsidR="00F1506C" w:rsidRPr="00CE4C7D">
        <w:rPr>
          <w:rFonts w:asciiTheme="majorHAnsi" w:hAnsiTheme="majorHAnsi" w:cstheme="majorHAnsi"/>
          <w:sz w:val="22"/>
          <w:szCs w:val="22"/>
        </w:rPr>
        <w:t>,</w:t>
      </w:r>
      <w:r w:rsidR="00694DEA" w:rsidRPr="00CE4C7D">
        <w:rPr>
          <w:rFonts w:asciiTheme="majorHAnsi" w:hAnsiTheme="majorHAnsi" w:cstheme="majorHAnsi"/>
          <w:sz w:val="22"/>
          <w:szCs w:val="22"/>
        </w:rPr>
        <w:t xml:space="preserve"> </w:t>
      </w:r>
      <w:r w:rsidR="00F1506C" w:rsidRPr="00CE4C7D">
        <w:rPr>
          <w:rFonts w:asciiTheme="majorHAnsi" w:hAnsiTheme="majorHAnsi" w:cstheme="majorHAnsi"/>
          <w:sz w:val="22"/>
          <w:szCs w:val="22"/>
        </w:rPr>
        <w:t>let alone to</w:t>
      </w:r>
      <w:r w:rsidR="00694DEA" w:rsidRPr="00CE4C7D">
        <w:rPr>
          <w:rFonts w:asciiTheme="majorHAnsi" w:hAnsiTheme="majorHAnsi" w:cstheme="majorHAnsi"/>
          <w:sz w:val="22"/>
          <w:szCs w:val="22"/>
        </w:rPr>
        <w:t xml:space="preserve"> quantify</w:t>
      </w:r>
      <w:r w:rsidR="00F1506C" w:rsidRPr="00CE4C7D">
        <w:rPr>
          <w:rFonts w:asciiTheme="majorHAnsi" w:hAnsiTheme="majorHAnsi" w:cstheme="majorHAnsi"/>
          <w:sz w:val="22"/>
          <w:szCs w:val="22"/>
        </w:rPr>
        <w:t>,</w:t>
      </w:r>
      <w:r w:rsidR="00694DEA" w:rsidRPr="00CE4C7D">
        <w:rPr>
          <w:rFonts w:asciiTheme="majorHAnsi" w:hAnsiTheme="majorHAnsi" w:cstheme="majorHAnsi"/>
          <w:sz w:val="22"/>
          <w:szCs w:val="22"/>
        </w:rPr>
        <w:t xml:space="preserve"> </w:t>
      </w:r>
      <w:r w:rsidR="00DF57A2" w:rsidRPr="00CE4C7D">
        <w:rPr>
          <w:rFonts w:asciiTheme="majorHAnsi" w:hAnsiTheme="majorHAnsi" w:cstheme="majorHAnsi"/>
          <w:sz w:val="22"/>
          <w:szCs w:val="22"/>
        </w:rPr>
        <w:t>policies’</w:t>
      </w:r>
      <w:r w:rsidR="00694DEA" w:rsidRPr="00CE4C7D">
        <w:rPr>
          <w:rFonts w:asciiTheme="majorHAnsi" w:hAnsiTheme="majorHAnsi" w:cstheme="majorHAnsi"/>
          <w:sz w:val="22"/>
          <w:szCs w:val="22"/>
        </w:rPr>
        <w:t xml:space="preserve"> </w:t>
      </w:r>
      <w:r w:rsidR="00F1506C" w:rsidRPr="00CE4C7D">
        <w:rPr>
          <w:rFonts w:asciiTheme="majorHAnsi" w:hAnsiTheme="majorHAnsi" w:cstheme="majorHAnsi"/>
          <w:sz w:val="22"/>
          <w:szCs w:val="22"/>
        </w:rPr>
        <w:t>effects</w:t>
      </w:r>
      <w:r w:rsidR="00694DEA" w:rsidRPr="00CE4C7D">
        <w:rPr>
          <w:rFonts w:asciiTheme="majorHAnsi" w:hAnsiTheme="majorHAnsi" w:cstheme="majorHAnsi"/>
          <w:sz w:val="22"/>
          <w:szCs w:val="22"/>
        </w:rPr>
        <w:t xml:space="preserve"> on energy demand. </w:t>
      </w:r>
    </w:p>
    <w:p w14:paraId="1041322D" w14:textId="6ADFA775" w:rsidR="0042328E" w:rsidRPr="00CE4C7D" w:rsidRDefault="0042328E" w:rsidP="00F25A95">
      <w:pPr>
        <w:rPr>
          <w:rFonts w:asciiTheme="majorHAnsi" w:hAnsiTheme="majorHAnsi" w:cstheme="majorHAnsi"/>
          <w:sz w:val="22"/>
          <w:szCs w:val="22"/>
        </w:rPr>
      </w:pPr>
    </w:p>
    <w:p w14:paraId="4A7F5844" w14:textId="027C0B0E" w:rsidR="00AC425D" w:rsidRPr="00CE4C7D" w:rsidRDefault="00AD41D4" w:rsidP="002735C0">
      <w:pPr>
        <w:pStyle w:val="Heading1"/>
      </w:pPr>
      <w:r w:rsidRPr="00CE4C7D">
        <w:t xml:space="preserve">&lt;a&gt; </w:t>
      </w:r>
      <w:r w:rsidR="00AC425D" w:rsidRPr="00CE4C7D">
        <w:t>Case study: marketi</w:t>
      </w:r>
      <w:r w:rsidR="0029692E" w:rsidRPr="00CE4C7D">
        <w:t>z</w:t>
      </w:r>
      <w:r w:rsidR="00AC425D" w:rsidRPr="00CE4C7D">
        <w:t xml:space="preserve">ation in </w:t>
      </w:r>
      <w:r w:rsidR="00C60584" w:rsidRPr="00CE4C7D">
        <w:t xml:space="preserve">UK </w:t>
      </w:r>
      <w:r w:rsidR="00AC425D" w:rsidRPr="00CE4C7D">
        <w:t>H</w:t>
      </w:r>
      <w:r w:rsidR="008649E4" w:rsidRPr="00CE4C7D">
        <w:t>igher Education</w:t>
      </w:r>
    </w:p>
    <w:p w14:paraId="787BDC7D" w14:textId="39918341" w:rsidR="000A2C9D" w:rsidRPr="00CE4C7D" w:rsidRDefault="000A2C9D" w:rsidP="00F25A95">
      <w:pPr>
        <w:pStyle w:val="ListParagraph"/>
        <w:rPr>
          <w:rFonts w:asciiTheme="majorHAnsi" w:hAnsiTheme="majorHAnsi" w:cstheme="majorHAnsi"/>
          <w:sz w:val="22"/>
          <w:szCs w:val="22"/>
        </w:rPr>
      </w:pPr>
    </w:p>
    <w:p w14:paraId="663C9517" w14:textId="6BC0D573" w:rsidR="00CB3A48" w:rsidRPr="00CE4C7D" w:rsidRDefault="008649E4" w:rsidP="00F25A95">
      <w:pPr>
        <w:rPr>
          <w:rFonts w:asciiTheme="majorHAnsi" w:hAnsiTheme="majorHAnsi" w:cstheme="majorHAnsi"/>
          <w:sz w:val="22"/>
          <w:szCs w:val="22"/>
        </w:rPr>
      </w:pPr>
      <w:r w:rsidRPr="00CE4C7D">
        <w:rPr>
          <w:rFonts w:asciiTheme="majorHAnsi" w:hAnsiTheme="majorHAnsi" w:cstheme="majorHAnsi"/>
          <w:sz w:val="22"/>
          <w:szCs w:val="22"/>
        </w:rPr>
        <w:t>This section</w:t>
      </w:r>
      <w:r w:rsidR="00E44574" w:rsidRPr="00CE4C7D">
        <w:rPr>
          <w:rFonts w:asciiTheme="majorHAnsi" w:hAnsiTheme="majorHAnsi" w:cstheme="majorHAnsi"/>
          <w:sz w:val="22"/>
          <w:szCs w:val="22"/>
        </w:rPr>
        <w:t xml:space="preserve"> serves to illustrate some of the points raised in section </w:t>
      </w:r>
      <w:r w:rsidR="002A7B79" w:rsidRPr="00CE4C7D">
        <w:rPr>
          <w:rFonts w:asciiTheme="majorHAnsi" w:hAnsiTheme="majorHAnsi" w:cstheme="majorHAnsi"/>
          <w:sz w:val="22"/>
          <w:szCs w:val="22"/>
        </w:rPr>
        <w:t>19.</w:t>
      </w:r>
      <w:r w:rsidR="00E44574" w:rsidRPr="00CE4C7D">
        <w:rPr>
          <w:rFonts w:asciiTheme="majorHAnsi" w:hAnsiTheme="majorHAnsi" w:cstheme="majorHAnsi"/>
          <w:sz w:val="22"/>
          <w:szCs w:val="22"/>
        </w:rPr>
        <w:t>3,</w:t>
      </w:r>
      <w:r w:rsidR="006911C4" w:rsidRPr="00CE4C7D">
        <w:rPr>
          <w:rFonts w:asciiTheme="majorHAnsi" w:hAnsiTheme="majorHAnsi" w:cstheme="majorHAnsi"/>
          <w:sz w:val="22"/>
          <w:szCs w:val="22"/>
        </w:rPr>
        <w:t xml:space="preserve"> by</w:t>
      </w:r>
      <w:r w:rsidRPr="00CE4C7D">
        <w:rPr>
          <w:rFonts w:asciiTheme="majorHAnsi" w:hAnsiTheme="majorHAnsi" w:cstheme="majorHAnsi"/>
          <w:sz w:val="22"/>
          <w:szCs w:val="22"/>
        </w:rPr>
        <w:t xml:space="preserve"> explor</w:t>
      </w:r>
      <w:r w:rsidR="006911C4" w:rsidRPr="00CE4C7D">
        <w:rPr>
          <w:rFonts w:asciiTheme="majorHAnsi" w:hAnsiTheme="majorHAnsi" w:cstheme="majorHAnsi"/>
          <w:sz w:val="22"/>
          <w:szCs w:val="22"/>
        </w:rPr>
        <w:t xml:space="preserve">ing energy demand impacts of </w:t>
      </w:r>
      <w:r w:rsidR="00E561C4" w:rsidRPr="00CE4C7D">
        <w:rPr>
          <w:rFonts w:asciiTheme="majorHAnsi" w:hAnsiTheme="majorHAnsi" w:cstheme="majorHAnsi"/>
          <w:sz w:val="22"/>
          <w:szCs w:val="22"/>
        </w:rPr>
        <w:t>marketi</w:t>
      </w:r>
      <w:r w:rsidR="0029692E" w:rsidRPr="00CE4C7D">
        <w:rPr>
          <w:rFonts w:asciiTheme="majorHAnsi" w:hAnsiTheme="majorHAnsi" w:cstheme="majorHAnsi"/>
          <w:sz w:val="22"/>
          <w:szCs w:val="22"/>
        </w:rPr>
        <w:t>z</w:t>
      </w:r>
      <w:r w:rsidR="00E561C4" w:rsidRPr="00CE4C7D">
        <w:rPr>
          <w:rFonts w:asciiTheme="majorHAnsi" w:hAnsiTheme="majorHAnsi" w:cstheme="majorHAnsi"/>
          <w:sz w:val="22"/>
          <w:szCs w:val="22"/>
        </w:rPr>
        <w:t>ation</w:t>
      </w:r>
      <w:r w:rsidR="00CB3A48" w:rsidRPr="00CE4C7D">
        <w:rPr>
          <w:rFonts w:asciiTheme="majorHAnsi" w:hAnsiTheme="majorHAnsi" w:cstheme="majorHAnsi"/>
          <w:sz w:val="22"/>
          <w:szCs w:val="22"/>
        </w:rPr>
        <w:t xml:space="preserve"> in </w:t>
      </w:r>
      <w:r w:rsidR="000F646E" w:rsidRPr="00CE4C7D">
        <w:rPr>
          <w:rFonts w:asciiTheme="majorHAnsi" w:hAnsiTheme="majorHAnsi" w:cstheme="majorHAnsi"/>
          <w:sz w:val="22"/>
          <w:szCs w:val="22"/>
        </w:rPr>
        <w:t>English</w:t>
      </w:r>
      <w:r w:rsidR="00CB3A48" w:rsidRPr="00CE4C7D">
        <w:rPr>
          <w:rFonts w:asciiTheme="majorHAnsi" w:hAnsiTheme="majorHAnsi" w:cstheme="majorHAnsi"/>
          <w:sz w:val="22"/>
          <w:szCs w:val="22"/>
        </w:rPr>
        <w:t xml:space="preserve"> </w:t>
      </w:r>
      <w:r w:rsidR="00810C8B" w:rsidRPr="00CE4C7D">
        <w:rPr>
          <w:rFonts w:asciiTheme="majorHAnsi" w:hAnsiTheme="majorHAnsi" w:cstheme="majorHAnsi"/>
          <w:sz w:val="22"/>
          <w:szCs w:val="22"/>
        </w:rPr>
        <w:t>Higher Education (</w:t>
      </w:r>
      <w:r w:rsidR="00CB3A48" w:rsidRPr="00CE4C7D">
        <w:rPr>
          <w:rFonts w:asciiTheme="majorHAnsi" w:hAnsiTheme="majorHAnsi" w:cstheme="majorHAnsi"/>
          <w:sz w:val="22"/>
          <w:szCs w:val="22"/>
        </w:rPr>
        <w:t>HE</w:t>
      </w:r>
      <w:r w:rsidR="00810C8B" w:rsidRPr="00CE4C7D">
        <w:rPr>
          <w:rFonts w:asciiTheme="majorHAnsi" w:hAnsiTheme="majorHAnsi" w:cstheme="majorHAnsi"/>
          <w:sz w:val="22"/>
          <w:szCs w:val="22"/>
        </w:rPr>
        <w:t>)</w:t>
      </w:r>
      <w:r w:rsidR="00CB3A48" w:rsidRPr="00CE4C7D">
        <w:rPr>
          <w:rFonts w:asciiTheme="majorHAnsi" w:hAnsiTheme="majorHAnsi" w:cstheme="majorHAnsi"/>
          <w:sz w:val="22"/>
          <w:szCs w:val="22"/>
        </w:rPr>
        <w:t xml:space="preserve"> since 2010.</w:t>
      </w:r>
      <w:r w:rsidR="00271C23" w:rsidRPr="00CE4C7D">
        <w:rPr>
          <w:rFonts w:asciiTheme="majorHAnsi" w:hAnsiTheme="majorHAnsi" w:cstheme="majorHAnsi"/>
          <w:sz w:val="22"/>
          <w:szCs w:val="22"/>
        </w:rPr>
        <w:t xml:space="preserve"> We draw on </w:t>
      </w:r>
      <w:r w:rsidR="000F646E" w:rsidRPr="00CE4C7D">
        <w:rPr>
          <w:rFonts w:asciiTheme="majorHAnsi" w:hAnsiTheme="majorHAnsi" w:cstheme="majorHAnsi"/>
          <w:sz w:val="22"/>
          <w:szCs w:val="22"/>
        </w:rPr>
        <w:t xml:space="preserve">research </w:t>
      </w:r>
      <w:r w:rsidR="00271C23" w:rsidRPr="00CE4C7D">
        <w:rPr>
          <w:rFonts w:asciiTheme="majorHAnsi" w:hAnsiTheme="majorHAnsi" w:cstheme="majorHAnsi"/>
          <w:sz w:val="22"/>
          <w:szCs w:val="22"/>
        </w:rPr>
        <w:t xml:space="preserve">conducted </w:t>
      </w:r>
      <w:r w:rsidR="002F1986" w:rsidRPr="00CE4C7D">
        <w:rPr>
          <w:rFonts w:asciiTheme="majorHAnsi" w:hAnsiTheme="majorHAnsi" w:cstheme="majorHAnsi"/>
          <w:sz w:val="22"/>
          <w:szCs w:val="22"/>
        </w:rPr>
        <w:t xml:space="preserve">within </w:t>
      </w:r>
      <w:r w:rsidR="00271C23" w:rsidRPr="00CE4C7D">
        <w:rPr>
          <w:rFonts w:asciiTheme="majorHAnsi" w:hAnsiTheme="majorHAnsi" w:cstheme="majorHAnsi"/>
          <w:sz w:val="22"/>
          <w:szCs w:val="22"/>
        </w:rPr>
        <w:t>the DEMAND centre, 2015-2019</w:t>
      </w:r>
      <w:r w:rsidR="007D368A" w:rsidRPr="00CE4C7D">
        <w:rPr>
          <w:rStyle w:val="EndnoteReference"/>
          <w:rFonts w:asciiTheme="majorHAnsi" w:hAnsiTheme="majorHAnsi" w:cstheme="majorHAnsi"/>
          <w:sz w:val="22"/>
          <w:szCs w:val="22"/>
        </w:rPr>
        <w:endnoteReference w:id="1"/>
      </w:r>
      <w:r w:rsidR="007D368A" w:rsidRPr="00CE4C7D">
        <w:rPr>
          <w:rFonts w:asciiTheme="majorHAnsi" w:hAnsiTheme="majorHAnsi" w:cstheme="majorHAnsi"/>
          <w:sz w:val="22"/>
          <w:szCs w:val="22"/>
        </w:rPr>
        <w:t xml:space="preserve"> </w:t>
      </w:r>
      <w:r w:rsidR="00723609" w:rsidRPr="00CE4C7D">
        <w:rPr>
          <w:rFonts w:asciiTheme="majorHAnsi" w:hAnsiTheme="majorHAnsi" w:cstheme="majorHAnsi"/>
          <w:sz w:val="22"/>
          <w:szCs w:val="22"/>
        </w:rPr>
        <w:t xml:space="preserve">on English universities. </w:t>
      </w:r>
      <w:r w:rsidR="000F646E" w:rsidRPr="00CE4C7D">
        <w:rPr>
          <w:rFonts w:asciiTheme="majorHAnsi" w:hAnsiTheme="majorHAnsi" w:cstheme="majorHAnsi"/>
          <w:sz w:val="22"/>
          <w:szCs w:val="22"/>
        </w:rPr>
        <w:t>This involve</w:t>
      </w:r>
      <w:r w:rsidR="00723609" w:rsidRPr="00CE4C7D">
        <w:rPr>
          <w:rFonts w:asciiTheme="majorHAnsi" w:hAnsiTheme="majorHAnsi" w:cstheme="majorHAnsi"/>
          <w:sz w:val="22"/>
          <w:szCs w:val="22"/>
        </w:rPr>
        <w:t>d</w:t>
      </w:r>
      <w:r w:rsidR="00712782" w:rsidRPr="00CE4C7D">
        <w:rPr>
          <w:rFonts w:asciiTheme="majorHAnsi" w:hAnsiTheme="majorHAnsi" w:cstheme="majorHAnsi"/>
          <w:sz w:val="22"/>
          <w:szCs w:val="22"/>
        </w:rPr>
        <w:t xml:space="preserve"> semi-structured interviews </w:t>
      </w:r>
      <w:proofErr w:type="gramStart"/>
      <w:r w:rsidR="00712782" w:rsidRPr="00CE4C7D">
        <w:rPr>
          <w:rFonts w:asciiTheme="majorHAnsi" w:hAnsiTheme="majorHAnsi" w:cstheme="majorHAnsi"/>
          <w:sz w:val="22"/>
          <w:szCs w:val="22"/>
        </w:rPr>
        <w:t>with</w:t>
      </w:r>
      <w:r w:rsidR="00723609" w:rsidRPr="00CE4C7D">
        <w:rPr>
          <w:rFonts w:asciiTheme="majorHAnsi" w:hAnsiTheme="majorHAnsi" w:cstheme="majorHAnsi"/>
          <w:sz w:val="22"/>
          <w:szCs w:val="22"/>
        </w:rPr>
        <w:t>:</w:t>
      </w:r>
      <w:proofErr w:type="gramEnd"/>
      <w:r w:rsidR="000F646E" w:rsidRPr="00CE4C7D">
        <w:rPr>
          <w:rFonts w:asciiTheme="majorHAnsi" w:hAnsiTheme="majorHAnsi" w:cstheme="majorHAnsi"/>
          <w:sz w:val="22"/>
          <w:szCs w:val="22"/>
        </w:rPr>
        <w:t xml:space="preserve"> sustainability managers</w:t>
      </w:r>
      <w:r w:rsidR="00723609" w:rsidRPr="00CE4C7D">
        <w:rPr>
          <w:rFonts w:asciiTheme="majorHAnsi" w:hAnsiTheme="majorHAnsi" w:cstheme="majorHAnsi"/>
          <w:sz w:val="22"/>
          <w:szCs w:val="22"/>
        </w:rPr>
        <w:t xml:space="preserve">; </w:t>
      </w:r>
      <w:r w:rsidR="000F646E" w:rsidRPr="00CE4C7D">
        <w:rPr>
          <w:rFonts w:asciiTheme="majorHAnsi" w:hAnsiTheme="majorHAnsi" w:cstheme="majorHAnsi"/>
          <w:sz w:val="22"/>
          <w:szCs w:val="22"/>
        </w:rPr>
        <w:t xml:space="preserve">other </w:t>
      </w:r>
      <w:r w:rsidR="00712782" w:rsidRPr="00CE4C7D">
        <w:rPr>
          <w:rFonts w:asciiTheme="majorHAnsi" w:hAnsiTheme="majorHAnsi" w:cstheme="majorHAnsi"/>
          <w:sz w:val="22"/>
          <w:szCs w:val="22"/>
        </w:rPr>
        <w:t>senior and middle managers such as Directors of IT, of Services and of Finance</w:t>
      </w:r>
      <w:r w:rsidR="00723609" w:rsidRPr="00CE4C7D">
        <w:rPr>
          <w:rFonts w:asciiTheme="majorHAnsi" w:hAnsiTheme="majorHAnsi" w:cstheme="majorHAnsi"/>
          <w:sz w:val="22"/>
          <w:szCs w:val="22"/>
        </w:rPr>
        <w:t xml:space="preserve">; and </w:t>
      </w:r>
      <w:r w:rsidR="00712782" w:rsidRPr="00CE4C7D">
        <w:rPr>
          <w:rFonts w:asciiTheme="majorHAnsi" w:hAnsiTheme="majorHAnsi" w:cstheme="majorHAnsi"/>
          <w:sz w:val="22"/>
          <w:szCs w:val="22"/>
        </w:rPr>
        <w:t xml:space="preserve">with sustainability professionals in policy bodies. </w:t>
      </w:r>
      <w:r w:rsidR="000F646E" w:rsidRPr="00CE4C7D">
        <w:rPr>
          <w:rFonts w:asciiTheme="majorHAnsi" w:hAnsiTheme="majorHAnsi" w:cstheme="majorHAnsi"/>
          <w:sz w:val="22"/>
          <w:szCs w:val="22"/>
        </w:rPr>
        <w:t xml:space="preserve">Interviews focused both on participants’ direct engagement with energy issues, but also wider changes occurring in their work which might affect energy </w:t>
      </w:r>
      <w:r w:rsidR="000F646E" w:rsidRPr="00CE4C7D">
        <w:rPr>
          <w:rFonts w:asciiTheme="majorHAnsi" w:hAnsiTheme="majorHAnsi" w:cstheme="majorHAnsi"/>
          <w:sz w:val="22"/>
          <w:szCs w:val="22"/>
        </w:rPr>
        <w:lastRenderedPageBreak/>
        <w:t xml:space="preserve">use. </w:t>
      </w:r>
      <w:r w:rsidR="00712782" w:rsidRPr="00CE4C7D">
        <w:rPr>
          <w:rFonts w:asciiTheme="majorHAnsi" w:hAnsiTheme="majorHAnsi" w:cstheme="majorHAnsi"/>
          <w:sz w:val="22"/>
          <w:szCs w:val="22"/>
        </w:rPr>
        <w:t>We</w:t>
      </w:r>
      <w:r w:rsidR="000F646E" w:rsidRPr="00CE4C7D">
        <w:rPr>
          <w:rFonts w:asciiTheme="majorHAnsi" w:hAnsiTheme="majorHAnsi" w:cstheme="majorHAnsi"/>
          <w:sz w:val="22"/>
          <w:szCs w:val="22"/>
        </w:rPr>
        <w:t xml:space="preserve"> also</w:t>
      </w:r>
      <w:r w:rsidR="00712782" w:rsidRPr="00CE4C7D">
        <w:rPr>
          <w:rFonts w:asciiTheme="majorHAnsi" w:hAnsiTheme="majorHAnsi" w:cstheme="majorHAnsi"/>
          <w:sz w:val="22"/>
          <w:szCs w:val="22"/>
        </w:rPr>
        <w:t xml:space="preserve"> analys</w:t>
      </w:r>
      <w:r w:rsidR="000F646E" w:rsidRPr="00CE4C7D">
        <w:rPr>
          <w:rFonts w:asciiTheme="majorHAnsi" w:hAnsiTheme="majorHAnsi" w:cstheme="majorHAnsi"/>
          <w:sz w:val="22"/>
          <w:szCs w:val="22"/>
        </w:rPr>
        <w:t>ed</w:t>
      </w:r>
      <w:r w:rsidR="00712782" w:rsidRPr="00CE4C7D">
        <w:rPr>
          <w:rFonts w:asciiTheme="majorHAnsi" w:hAnsiTheme="majorHAnsi" w:cstheme="majorHAnsi"/>
          <w:sz w:val="22"/>
          <w:szCs w:val="22"/>
        </w:rPr>
        <w:t xml:space="preserve"> </w:t>
      </w:r>
      <w:r w:rsidR="000F646E" w:rsidRPr="00CE4C7D">
        <w:rPr>
          <w:rFonts w:asciiTheme="majorHAnsi" w:hAnsiTheme="majorHAnsi" w:cstheme="majorHAnsi"/>
          <w:sz w:val="22"/>
          <w:szCs w:val="22"/>
        </w:rPr>
        <w:t xml:space="preserve">institutional, </w:t>
      </w:r>
      <w:r w:rsidR="00712782" w:rsidRPr="00CE4C7D">
        <w:rPr>
          <w:rFonts w:asciiTheme="majorHAnsi" w:hAnsiTheme="majorHAnsi" w:cstheme="majorHAnsi"/>
          <w:sz w:val="22"/>
          <w:szCs w:val="22"/>
        </w:rPr>
        <w:t>sectoral and national policy documents</w:t>
      </w:r>
      <w:r w:rsidR="00723609" w:rsidRPr="00CE4C7D">
        <w:rPr>
          <w:rFonts w:asciiTheme="majorHAnsi" w:hAnsiTheme="majorHAnsi" w:cstheme="majorHAnsi"/>
          <w:sz w:val="22"/>
          <w:szCs w:val="22"/>
        </w:rPr>
        <w:t>,</w:t>
      </w:r>
      <w:r w:rsidR="00712782" w:rsidRPr="00CE4C7D">
        <w:rPr>
          <w:rFonts w:asciiTheme="majorHAnsi" w:hAnsiTheme="majorHAnsi" w:cstheme="majorHAnsi"/>
          <w:sz w:val="22"/>
          <w:szCs w:val="22"/>
        </w:rPr>
        <w:t xml:space="preserve"> and </w:t>
      </w:r>
      <w:r w:rsidR="00723609" w:rsidRPr="00CE4C7D">
        <w:rPr>
          <w:rFonts w:asciiTheme="majorHAnsi" w:hAnsiTheme="majorHAnsi" w:cstheme="majorHAnsi"/>
          <w:sz w:val="22"/>
          <w:szCs w:val="22"/>
        </w:rPr>
        <w:t>national</w:t>
      </w:r>
      <w:r w:rsidR="00712782" w:rsidRPr="00CE4C7D">
        <w:rPr>
          <w:rFonts w:asciiTheme="majorHAnsi" w:hAnsiTheme="majorHAnsi" w:cstheme="majorHAnsi"/>
          <w:sz w:val="22"/>
          <w:szCs w:val="22"/>
        </w:rPr>
        <w:t xml:space="preserve"> datasets. </w:t>
      </w:r>
      <w:r w:rsidR="000F646E" w:rsidRPr="00CE4C7D">
        <w:rPr>
          <w:rFonts w:asciiTheme="majorHAnsi" w:hAnsiTheme="majorHAnsi" w:cstheme="majorHAnsi"/>
          <w:sz w:val="22"/>
          <w:szCs w:val="22"/>
        </w:rPr>
        <w:t>This mixed methodology aimed to provide rich detail on institutional energy governance, complemented by a wider view of socio-technical changes steering UK energy demand.</w:t>
      </w:r>
      <w:r w:rsidR="00494C83" w:rsidRPr="00CE4C7D">
        <w:rPr>
          <w:rFonts w:asciiTheme="majorHAnsi" w:hAnsiTheme="majorHAnsi" w:cstheme="majorHAnsi"/>
          <w:sz w:val="22"/>
          <w:szCs w:val="22"/>
        </w:rPr>
        <w:t xml:space="preserve"> </w:t>
      </w:r>
      <w:r w:rsidR="0062416F" w:rsidRPr="00CE4C7D">
        <w:rPr>
          <w:rFonts w:asciiTheme="majorHAnsi" w:hAnsiTheme="majorHAnsi" w:cstheme="majorHAnsi"/>
          <w:sz w:val="22"/>
          <w:szCs w:val="22"/>
        </w:rPr>
        <w:t>Please see Royston</w:t>
      </w:r>
      <w:r w:rsidR="00712782" w:rsidRPr="00CE4C7D">
        <w:rPr>
          <w:rFonts w:asciiTheme="majorHAnsi" w:hAnsiTheme="majorHAnsi" w:cstheme="majorHAnsi"/>
          <w:sz w:val="22"/>
          <w:szCs w:val="22"/>
        </w:rPr>
        <w:t xml:space="preserve">, Selby and </w:t>
      </w:r>
      <w:proofErr w:type="spellStart"/>
      <w:r w:rsidR="00712782" w:rsidRPr="00CE4C7D">
        <w:rPr>
          <w:rFonts w:asciiTheme="majorHAnsi" w:hAnsiTheme="majorHAnsi" w:cstheme="majorHAnsi"/>
          <w:sz w:val="22"/>
          <w:szCs w:val="22"/>
        </w:rPr>
        <w:t>Kesidou</w:t>
      </w:r>
      <w:proofErr w:type="spellEnd"/>
      <w:r w:rsidR="00712782" w:rsidRPr="00CE4C7D">
        <w:rPr>
          <w:rFonts w:asciiTheme="majorHAnsi" w:hAnsiTheme="majorHAnsi" w:cstheme="majorHAnsi"/>
          <w:sz w:val="22"/>
          <w:szCs w:val="22"/>
        </w:rPr>
        <w:t xml:space="preserve"> (2020)</w:t>
      </w:r>
      <w:r w:rsidR="0062416F" w:rsidRPr="00CE4C7D">
        <w:rPr>
          <w:rFonts w:asciiTheme="majorHAnsi" w:hAnsiTheme="majorHAnsi" w:cstheme="majorHAnsi"/>
          <w:sz w:val="22"/>
          <w:szCs w:val="22"/>
        </w:rPr>
        <w:t xml:space="preserve"> for further details.</w:t>
      </w:r>
    </w:p>
    <w:p w14:paraId="51B1F626" w14:textId="77777777" w:rsidR="00F25A95" w:rsidRPr="00CE4C7D" w:rsidRDefault="00F25A95" w:rsidP="00F25A95">
      <w:pPr>
        <w:rPr>
          <w:rFonts w:asciiTheme="majorHAnsi" w:hAnsiTheme="majorHAnsi" w:cstheme="majorHAnsi"/>
          <w:sz w:val="22"/>
          <w:szCs w:val="22"/>
        </w:rPr>
      </w:pPr>
    </w:p>
    <w:p w14:paraId="5A483B35" w14:textId="461CC1CC" w:rsidR="007D368A" w:rsidRPr="00CE4C7D" w:rsidRDefault="005511A0" w:rsidP="00F25A95">
      <w:pPr>
        <w:pStyle w:val="NoSpacing"/>
        <w:rPr>
          <w:rFonts w:asciiTheme="majorHAnsi" w:hAnsiTheme="majorHAnsi" w:cstheme="majorHAnsi"/>
        </w:rPr>
      </w:pPr>
      <w:r w:rsidRPr="00CE4C7D">
        <w:rPr>
          <w:rFonts w:asciiTheme="majorHAnsi" w:hAnsiTheme="majorHAnsi" w:cstheme="majorHAnsi"/>
        </w:rPr>
        <w:t xml:space="preserve">The UK HE sector is a major energy consumer, using 714 </w:t>
      </w:r>
      <w:proofErr w:type="spellStart"/>
      <w:r w:rsidRPr="00CE4C7D">
        <w:rPr>
          <w:rFonts w:asciiTheme="majorHAnsi" w:hAnsiTheme="majorHAnsi" w:cstheme="majorHAnsi"/>
        </w:rPr>
        <w:t>ktoe</w:t>
      </w:r>
      <w:proofErr w:type="spellEnd"/>
      <w:r w:rsidRPr="00CE4C7D">
        <w:rPr>
          <w:rFonts w:asciiTheme="majorHAnsi" w:hAnsiTheme="majorHAnsi" w:cstheme="majorHAnsi"/>
        </w:rPr>
        <w:t xml:space="preserve"> in 2018 (BEIS, 2019)</w:t>
      </w:r>
      <w:r w:rsidR="00465E2C" w:rsidRPr="00CE4C7D">
        <w:rPr>
          <w:rFonts w:asciiTheme="majorHAnsi" w:hAnsiTheme="majorHAnsi" w:cstheme="majorHAnsi"/>
        </w:rPr>
        <w:t xml:space="preserve">. </w:t>
      </w:r>
      <w:r w:rsidR="00FD1B0C" w:rsidRPr="00CE4C7D">
        <w:rPr>
          <w:rFonts w:asciiTheme="majorHAnsi" w:hAnsiTheme="majorHAnsi" w:cstheme="majorHAnsi"/>
        </w:rPr>
        <w:t>Until 2012, the main funder of English universities was the Higher Education Funding Council for England (HEFCE). In 2010 HEFCE published a carbon reduction strategy, which set the sector a 43</w:t>
      </w:r>
      <w:r w:rsidR="002B3966" w:rsidRPr="00CE4C7D">
        <w:rPr>
          <w:rFonts w:asciiTheme="majorHAnsi" w:hAnsiTheme="majorHAnsi" w:cstheme="majorHAnsi"/>
        </w:rPr>
        <w:t xml:space="preserve"> per cent</w:t>
      </w:r>
      <w:r w:rsidR="00FD1B0C" w:rsidRPr="00CE4C7D">
        <w:rPr>
          <w:rFonts w:asciiTheme="majorHAnsi" w:hAnsiTheme="majorHAnsi" w:cstheme="majorHAnsi"/>
        </w:rPr>
        <w:t xml:space="preserve"> carbon reduction target by 2020, against a 2005 baseline</w:t>
      </w:r>
      <w:r w:rsidR="00DA1C36" w:rsidRPr="00CE4C7D">
        <w:rPr>
          <w:rFonts w:asciiTheme="majorHAnsi" w:hAnsiTheme="majorHAnsi" w:cstheme="majorHAnsi"/>
        </w:rPr>
        <w:t>,</w:t>
      </w:r>
      <w:r w:rsidR="00FD1B0C" w:rsidRPr="00CE4C7D">
        <w:rPr>
          <w:rFonts w:asciiTheme="majorHAnsi" w:hAnsiTheme="majorHAnsi" w:cstheme="majorHAnsi"/>
        </w:rPr>
        <w:t xml:space="preserve"> in line with the 2008 Climate Change Act (with similar sectoral strategies adopted in other UK nations). HEFCE began to link its funding to universities’ compliance with carbon policies. However, from 2012 HEFCE’s funding role was significantly reduced</w:t>
      </w:r>
      <w:r w:rsidR="006C4B36" w:rsidRPr="00CE4C7D">
        <w:rPr>
          <w:rFonts w:asciiTheme="majorHAnsi" w:hAnsiTheme="majorHAnsi" w:cstheme="majorHAnsi"/>
        </w:rPr>
        <w:t>, and i</w:t>
      </w:r>
      <w:r w:rsidR="00FD1B0C" w:rsidRPr="00CE4C7D">
        <w:rPr>
          <w:rFonts w:asciiTheme="majorHAnsi" w:hAnsiTheme="majorHAnsi" w:cstheme="majorHAnsi"/>
        </w:rPr>
        <w:t xml:space="preserve">n the ensuing policy vacuum some universities removed their absolute carbon targets, adopted lower targets, and/or stopped updating carbon plans. </w:t>
      </w:r>
      <w:r w:rsidR="0003200F" w:rsidRPr="00CE4C7D">
        <w:rPr>
          <w:rFonts w:asciiTheme="majorHAnsi" w:hAnsiTheme="majorHAnsi" w:cstheme="majorHAnsi"/>
        </w:rPr>
        <w:t>HEFCE was abolished in 2018, and at</w:t>
      </w:r>
      <w:r w:rsidR="00FD1B0C" w:rsidRPr="00CE4C7D">
        <w:rPr>
          <w:rFonts w:asciiTheme="majorHAnsi" w:hAnsiTheme="majorHAnsi"/>
        </w:rPr>
        <w:t xml:space="preserve"> time of writing in 2020, sustainability strategies are still under development by the two new regulators</w:t>
      </w:r>
      <w:r w:rsidR="00D5721B" w:rsidRPr="00CE4C7D">
        <w:rPr>
          <w:rFonts w:asciiTheme="majorHAnsi" w:hAnsiTheme="majorHAnsi"/>
        </w:rPr>
        <w:t xml:space="preserve"> (the Office for Students and UK Research and Innovation)</w:t>
      </w:r>
      <w:r w:rsidR="00FD1B0C" w:rsidRPr="00CE4C7D">
        <w:rPr>
          <w:rFonts w:asciiTheme="majorHAnsi" w:hAnsiTheme="majorHAnsi"/>
        </w:rPr>
        <w:t>.</w:t>
      </w:r>
      <w:r w:rsidR="0003200F" w:rsidRPr="00CE4C7D">
        <w:rPr>
          <w:rFonts w:asciiTheme="majorHAnsi" w:hAnsiTheme="majorHAnsi" w:cstheme="majorHAnsi"/>
        </w:rPr>
        <w:t xml:space="preserve"> B</w:t>
      </w:r>
      <w:r w:rsidR="00FD1B0C" w:rsidRPr="00CE4C7D">
        <w:rPr>
          <w:rFonts w:asciiTheme="majorHAnsi" w:hAnsiTheme="majorHAnsi" w:cstheme="majorHAnsi"/>
        </w:rPr>
        <w:t xml:space="preserve">ased on the latest UK data (for 2017/18), </w:t>
      </w:r>
      <w:r w:rsidR="004B315E" w:rsidRPr="00CE4C7D">
        <w:rPr>
          <w:rFonts w:asciiTheme="majorHAnsi" w:hAnsiTheme="majorHAnsi" w:cstheme="majorHAnsi"/>
        </w:rPr>
        <w:t>the sector has achieved a</w:t>
      </w:r>
      <w:r w:rsidR="0003200F" w:rsidRPr="00CE4C7D">
        <w:rPr>
          <w:rFonts w:asciiTheme="majorHAnsi" w:hAnsiTheme="majorHAnsi" w:cstheme="majorHAnsi"/>
        </w:rPr>
        <w:t xml:space="preserve"> cut of </w:t>
      </w:r>
      <w:r w:rsidR="00FD1B0C" w:rsidRPr="00CE4C7D">
        <w:rPr>
          <w:rFonts w:asciiTheme="majorHAnsi" w:hAnsiTheme="majorHAnsi" w:cstheme="majorHAnsi"/>
        </w:rPr>
        <w:t>only around 29</w:t>
      </w:r>
      <w:r w:rsidR="002B3966" w:rsidRPr="00CE4C7D">
        <w:rPr>
          <w:rFonts w:asciiTheme="majorHAnsi" w:hAnsiTheme="majorHAnsi" w:cstheme="majorHAnsi"/>
        </w:rPr>
        <w:t xml:space="preserve"> per cent</w:t>
      </w:r>
      <w:r w:rsidR="007D368A" w:rsidRPr="00CE4C7D">
        <w:rPr>
          <w:rStyle w:val="EndnoteReference"/>
          <w:rFonts w:asciiTheme="majorHAnsi" w:hAnsiTheme="majorHAnsi" w:cstheme="majorHAnsi"/>
        </w:rPr>
        <w:endnoteReference w:id="2"/>
      </w:r>
      <w:r w:rsidR="007D368A" w:rsidRPr="00CE4C7D">
        <w:rPr>
          <w:rFonts w:asciiTheme="majorHAnsi" w:hAnsiTheme="majorHAnsi" w:cstheme="majorHAnsi"/>
        </w:rPr>
        <w:t>. The progress reported so far has been largely through national grid decarboni</w:t>
      </w:r>
      <w:r w:rsidR="0029692E" w:rsidRPr="00CE4C7D">
        <w:rPr>
          <w:rFonts w:asciiTheme="majorHAnsi" w:hAnsiTheme="majorHAnsi" w:cstheme="majorHAnsi"/>
        </w:rPr>
        <w:t>z</w:t>
      </w:r>
      <w:r w:rsidR="007D368A" w:rsidRPr="00CE4C7D">
        <w:rPr>
          <w:rFonts w:asciiTheme="majorHAnsi" w:hAnsiTheme="majorHAnsi" w:cstheme="majorHAnsi"/>
        </w:rPr>
        <w:t>ation and changes in supply chains (</w:t>
      </w:r>
      <w:proofErr w:type="spellStart"/>
      <w:r w:rsidR="007D368A" w:rsidRPr="00CE4C7D">
        <w:rPr>
          <w:rFonts w:asciiTheme="majorHAnsi" w:hAnsiTheme="majorHAnsi" w:cstheme="majorHAnsi"/>
        </w:rPr>
        <w:t>Brite</w:t>
      </w:r>
      <w:proofErr w:type="spellEnd"/>
      <w:r w:rsidR="007D368A" w:rsidRPr="00CE4C7D">
        <w:rPr>
          <w:rFonts w:asciiTheme="majorHAnsi" w:hAnsiTheme="majorHAnsi" w:cstheme="majorHAnsi"/>
        </w:rPr>
        <w:t xml:space="preserve"> Green, 2017). </w:t>
      </w:r>
    </w:p>
    <w:p w14:paraId="333CFB07" w14:textId="77777777" w:rsidR="007D368A" w:rsidRPr="00CE4C7D" w:rsidRDefault="007D368A" w:rsidP="00F25A95">
      <w:pPr>
        <w:pStyle w:val="NoSpacing"/>
        <w:rPr>
          <w:rFonts w:asciiTheme="majorHAnsi" w:hAnsiTheme="majorHAnsi"/>
        </w:rPr>
      </w:pPr>
    </w:p>
    <w:p w14:paraId="7B348A0E" w14:textId="387AC9C4" w:rsidR="007D368A" w:rsidRPr="00CE4C7D" w:rsidRDefault="007D368A" w:rsidP="00F25A95">
      <w:pPr>
        <w:pStyle w:val="NoSpacing"/>
        <w:rPr>
          <w:rFonts w:asciiTheme="majorHAnsi" w:hAnsiTheme="majorHAnsi" w:cstheme="majorHAnsi"/>
        </w:rPr>
      </w:pPr>
      <w:r w:rsidRPr="00CE4C7D">
        <w:rPr>
          <w:rFonts w:asciiTheme="majorHAnsi" w:hAnsiTheme="majorHAnsi" w:cstheme="majorHAnsi"/>
        </w:rPr>
        <w:t xml:space="preserve">Many policies not conventionally seen as energy policies play a role in steering energy demand in universities.  The most important </w:t>
      </w:r>
      <w:r w:rsidR="00F93B9A" w:rsidRPr="00CE4C7D">
        <w:rPr>
          <w:rFonts w:asciiTheme="majorHAnsi" w:hAnsiTheme="majorHAnsi" w:cstheme="majorHAnsi"/>
        </w:rPr>
        <w:t>‘</w:t>
      </w:r>
      <w:r w:rsidRPr="00CE4C7D">
        <w:rPr>
          <w:rFonts w:asciiTheme="majorHAnsi" w:hAnsiTheme="majorHAnsi" w:cstheme="majorHAnsi"/>
        </w:rPr>
        <w:t>non-energy</w:t>
      </w:r>
      <w:r w:rsidR="00F93B9A" w:rsidRPr="00CE4C7D">
        <w:rPr>
          <w:rFonts w:asciiTheme="majorHAnsi" w:hAnsiTheme="majorHAnsi" w:cstheme="majorHAnsi"/>
        </w:rPr>
        <w:t>’</w:t>
      </w:r>
      <w:r w:rsidRPr="00CE4C7D">
        <w:rPr>
          <w:rFonts w:asciiTheme="majorHAnsi" w:hAnsiTheme="majorHAnsi" w:cstheme="majorHAnsi"/>
        </w:rPr>
        <w:t xml:space="preserve"> change currently occurring in UK HE concerns </w:t>
      </w:r>
      <w:r w:rsidRPr="00CE4C7D">
        <w:rPr>
          <w:rFonts w:asciiTheme="majorHAnsi" w:hAnsiTheme="majorHAnsi" w:cstheme="majorHAnsi"/>
          <w:lang w:val="en-US"/>
        </w:rPr>
        <w:t xml:space="preserve">an agenda of </w:t>
      </w:r>
      <w:r w:rsidRPr="00CE4C7D">
        <w:rPr>
          <w:rFonts w:asciiTheme="majorHAnsi" w:hAnsiTheme="majorHAnsi" w:cstheme="majorHAnsi"/>
        </w:rPr>
        <w:t>marketi</w:t>
      </w:r>
      <w:r w:rsidR="0029692E" w:rsidRPr="00CE4C7D">
        <w:rPr>
          <w:rFonts w:asciiTheme="majorHAnsi" w:hAnsiTheme="majorHAnsi" w:cstheme="majorHAnsi"/>
        </w:rPr>
        <w:t>z</w:t>
      </w:r>
      <w:r w:rsidRPr="00CE4C7D">
        <w:rPr>
          <w:rFonts w:asciiTheme="majorHAnsi" w:hAnsiTheme="majorHAnsi" w:cstheme="majorHAnsi"/>
        </w:rPr>
        <w:t>ation and liberali</w:t>
      </w:r>
      <w:r w:rsidR="0029692E" w:rsidRPr="00CE4C7D">
        <w:rPr>
          <w:rFonts w:asciiTheme="majorHAnsi" w:hAnsiTheme="majorHAnsi" w:cstheme="majorHAnsi"/>
        </w:rPr>
        <w:t>z</w:t>
      </w:r>
      <w:r w:rsidRPr="00CE4C7D">
        <w:rPr>
          <w:rFonts w:asciiTheme="majorHAnsi" w:hAnsiTheme="majorHAnsi" w:cstheme="majorHAnsi"/>
        </w:rPr>
        <w:t xml:space="preserve">ation, as summed up in a 2015 Green Paper which set out aims to </w:t>
      </w:r>
      <w:r w:rsidR="00F93B9A" w:rsidRPr="00CE4C7D">
        <w:rPr>
          <w:rFonts w:asciiTheme="majorHAnsi" w:hAnsiTheme="majorHAnsi" w:cstheme="majorHAnsi"/>
        </w:rPr>
        <w:t>‘</w:t>
      </w:r>
      <w:r w:rsidRPr="00CE4C7D">
        <w:rPr>
          <w:rFonts w:asciiTheme="majorHAnsi" w:hAnsiTheme="majorHAnsi" w:cstheme="majorHAnsi"/>
          <w:i/>
        </w:rPr>
        <w:t>empower students, strengthen competition, drive quality, eliminate unnecessary bureaucracy and save taxpayer money</w:t>
      </w:r>
      <w:r w:rsidR="00F93B9A" w:rsidRPr="00CE4C7D">
        <w:rPr>
          <w:rFonts w:asciiTheme="majorHAnsi" w:hAnsiTheme="majorHAnsi" w:cstheme="majorHAnsi"/>
        </w:rPr>
        <w:t>’</w:t>
      </w:r>
      <w:r w:rsidRPr="00CE4C7D">
        <w:rPr>
          <w:rFonts w:asciiTheme="majorHAnsi" w:hAnsiTheme="majorHAnsi" w:cstheme="majorHAnsi"/>
        </w:rPr>
        <w:t xml:space="preserve"> </w:t>
      </w:r>
      <w:r w:rsidRPr="00CE4C7D">
        <w:rPr>
          <w:rFonts w:asciiTheme="majorHAnsi" w:hAnsiTheme="majorHAnsi" w:cstheme="majorHAnsi"/>
        </w:rPr>
        <w:fldChar w:fldCharType="begin"/>
      </w:r>
      <w:r w:rsidRPr="00CE4C7D">
        <w:rPr>
          <w:rFonts w:asciiTheme="majorHAnsi" w:hAnsiTheme="majorHAnsi" w:cstheme="majorHAnsi"/>
        </w:rPr>
        <w:instrText xml:space="preserve"> ADDIN ZOTERO_ITEM CSL_CITATION {"citationID":"1oq5nqo5vg","properties":{"formattedCitation":"(BIS, 2015)","plainCitation":"(BIS, 2015)"},"citationItems":[{"id":34,"uris":["http://zotero.org/users/2775993/items/BZSAMKU9"],"uri":["http://zotero.org/users/2775993/items/BZSAMKU9"],"itemData":{"id":34,"type":"report","title":"Fulfilling our potential: teaching excellence, social mobility and student choice","publisher":"TSO","publisher-place":"London","event-place":"London","author":[{"literal":"BIS"}],"issued":{"date-parts":[["2015"]]}}}],"schema":"https://github.com/citation-style-language/schema/raw/master/csl-citation.json"} </w:instrText>
      </w:r>
      <w:r w:rsidRPr="00CE4C7D">
        <w:rPr>
          <w:rFonts w:asciiTheme="majorHAnsi" w:hAnsiTheme="majorHAnsi" w:cstheme="majorHAnsi"/>
        </w:rPr>
        <w:fldChar w:fldCharType="separate"/>
      </w:r>
      <w:r w:rsidRPr="00CE4C7D">
        <w:rPr>
          <w:rFonts w:asciiTheme="majorHAnsi" w:hAnsiTheme="majorHAnsi" w:cstheme="majorHAnsi"/>
        </w:rPr>
        <w:t xml:space="preserve">(BIS, 2015, </w:t>
      </w:r>
      <w:r w:rsidRPr="00CE4C7D">
        <w:rPr>
          <w:rFonts w:asciiTheme="majorHAnsi" w:hAnsiTheme="majorHAnsi" w:cstheme="majorHAnsi"/>
        </w:rPr>
        <w:fldChar w:fldCharType="end"/>
      </w:r>
      <w:r w:rsidRPr="00CE4C7D">
        <w:rPr>
          <w:rFonts w:asciiTheme="majorHAnsi" w:hAnsiTheme="majorHAnsi" w:cstheme="majorHAnsi"/>
        </w:rPr>
        <w:t>p57).  The trend towards liberali</w:t>
      </w:r>
      <w:r w:rsidR="0029692E" w:rsidRPr="00CE4C7D">
        <w:rPr>
          <w:rFonts w:asciiTheme="majorHAnsi" w:hAnsiTheme="majorHAnsi" w:cstheme="majorHAnsi"/>
        </w:rPr>
        <w:t>z</w:t>
      </w:r>
      <w:r w:rsidRPr="00CE4C7D">
        <w:rPr>
          <w:rFonts w:asciiTheme="majorHAnsi" w:hAnsiTheme="majorHAnsi" w:cstheme="majorHAnsi"/>
        </w:rPr>
        <w:t xml:space="preserve">ation in HE, both in the UK and internationally, has been extensively discussed (e.g. </w:t>
      </w:r>
      <w:r w:rsidRPr="00CE4C7D">
        <w:rPr>
          <w:rFonts w:asciiTheme="majorHAnsi" w:hAnsiTheme="majorHAnsi" w:cstheme="majorHAnsi"/>
        </w:rPr>
        <w:fldChar w:fldCharType="begin"/>
      </w:r>
      <w:r w:rsidRPr="00CE4C7D">
        <w:rPr>
          <w:rFonts w:asciiTheme="majorHAnsi" w:hAnsiTheme="majorHAnsi" w:cstheme="majorHAnsi"/>
        </w:rPr>
        <w:instrText xml:space="preserve"> ADDIN ZOTERO_ITEM CSL_CITATION {"citationID":"V0Hqo1O3","properties":{"formattedCitation":"{\\rtf (Deem &amp; Brehony, 2005; Dill, 1997; Hemsley\\uc0\\u8208{}Brown &amp; Oplatka, 2006; Lynch, 2006; Molesworth, Scullion, &amp; Nixon, 2011)}","plainCitation":"(Deem &amp; Brehony, 2005; Dill, 1997; Hemsley‐Brown &amp; Oplatka, 2006; Lynch, 2006; Molesworth, Scullion, &amp; Nixon, 2011)"},"citationItems":[{"id":13,"uris":["http://zotero.org/users/2775993/items/UTF6VK9U"],"uri":["http://zotero.org/users/2775993/items/UTF6VK9U"],"itemData":{"id":13,"type":"article-journal","title":"Management as ideology: the case of ‘new managerialism’ in higher education","container-title":"Oxford Review of Education","page":"217-235","volume":"31","issue":"2","DOI":"10.1080/03054980500117827","ISSN":"0305-4985","journalAbbreviation":"Oxford Review of Education","author":[{"family":"Deem","given":"Rosemary"},{"family":"Brehony","given":"Kevin J."}],"issued":{"date-parts":[["2005",6,1]]}}},{"id":5,"uris":["http://zotero.org/users/2775993/items/KWMCM2IT"],"uri":["http://zotero.org/users/2775993/items/KWMCM2IT"],"itemData":{"id":5,"type":"article-journal","title":"Higher education markets and public policy","container-title":"Higher Education Policy","page":"167-185","volume":"10","issue":"3-1","source":"IngentaConnect","abstract":"In the major reforms to higher education being introduced throughout the world, market and“market life” policy instruments are assuming increasing importance.Long perceived as a unique charactersticof the U.S system of higher education,experiments with market competition in academic labor markets, institutional finanace,student support, and the allocation of the resarch funds are now evident in the higher education policy of many different nations. Ironically, the overt rationale for these reforms is not only the traditional argument of economic effiency—with itssupposed corollary benefits of institutional adapation and innovation—but increase a resort to market competition as a means of acheving equity in the form of mass higher education. The paper explores the nature of markets in higher education, the policy mechanismsrelated to their implementation,and some emerging questions regarding their impact.© 1997 International Association of Universities. Higher Education Policy Vol. 10, (1997) 167–185","DOI":"10.1057/palgrave.hep.8380082","journalAbbreviation":"Higher Education Policy","author":[{"family":"Dill","given":"David D"}],"issued":{"date-parts":[["1997",9,1]]}}},{"id":6,"uris":["http://zotero.org/users/2775993/items/2MAHU9IG"],"uri":["http://zotero.org/users/2775993/items/2MAHU9IG"],"itemData":{"id":6,"type":"article-journal","title":"Universities in a competitive global marketplace: A systematic review of the literature on higher education marketing","container-title":"International Journal of Public Sector Management","page":"316-338","volume":"19","issue":"4","source":"emeraldinsight.com (Atypon)","DOI":"10.1108/09513550610669176","ISSN":"0951-3558","shortTitle":"Universities in a competitive global marketplace","journalAbbreviation":"Intl Jnl Public Sec Management","author":[{"family":"Hemsley‐Brown","given":"Jane"},{"family":"Oplatka","given":"Izhar"}],"issued":{"date-parts":[["2006",6,1]]}}},{"id":7,"uris":["http://zotero.org/users/2775993/items/K7X6KMJ8"],"uri":["http://zotero.org/users/2775993/items/K7X6KMJ8"],"itemData":{"id":7,"type":"article-journal","title":"Neo-Liberalism and Marketisation: The Implications for Higher Education","container-title":"European Educational Research Journal","page":"1-17","volume":"5","issue":"1","source":"eer.sagepub.com","abstract":"This article is based on a keynote paper presented to the European Conference on Educational Research (ECER), University College Dublin, 5–9 September 2005. The massification of education in European countries over the last 100 years has produced cultures and societies that have benefited greatly from state investment in education. To maintain this level of social and economic development that derives from high quality education requires continual state investment. With the rise of the New Right, neo-liberal agenda, there is an attempt to offload the cost of education, and indeed other public services such as housing, transport, care services etc., on to the individual. There is an increasing attempt to privatise public services, including education, so that citizens will have to buy them at market value rather than have them provided by the state. Europe is no exception to this trend of neo-liberalisation. Recent Organisation for Economic Cooperation and Development (OECD) reports, including one on higher education in Ireland, (2004), concentrate strongly on the role of education in servicing the economy to the neglect of its social and developmental responsibilities. The view that education is simply another market commodity has become normalised in policy and public discourses. Schools run purely as businesses are a growing phenomenon within and without Europe, and there is an increasing expectation in several countries that schools will supplement their income from private sources, even though they are within the state sector. In this article, the writer presents both a critique of the neo-liberal model of marketised education and a challenge to academics to work as public intellectuals both individually and with civil society organisations to develop a counter-hegemonic discourse to neo-liberalism for higher education.","DOI":"10.2304/eerj.2006.5.1.1","ISSN":", 1474-9041","shortTitle":"Neo-Liberalism and Marketisation","journalAbbreviation":"European Educational Research Journal","language":"en","author":[{"family":"Lynch","given":"Kathleen"}],"issued":{"date-parts":[["2006",3,1]]}}},{"id":25,"uris":["http://zotero.org/users/2775993/items/3BJTKMWM"],"uri":["http://zotero.org/users/2775993/items/3BJTKMWM"],"itemData":{"id":25,"type":"book","title":"The Marketisation of Higher Education and the Student as Consumer","publisher":"Routledge","publisher-place":"Abingdon, Oxon ; New York, NY","number-of-pages":"264","source":"Amazon","event-place":"Abingdon, Oxon ; New York, NY","abstract":"Until recently government policy in the UK has encouraged an expansion of Higher Education to increase participation and with an express aim of creating a more educated workforce. This expansion has led to competition between Higher Education institutions, with students increasingly positioned as consumers and institutions working to improve the extent to which they meet ‘consumer demands’. Especially given the latest government funding cuts, the most prevalent outlook in Higher Education today is one of business, forcing institutions to reassess the way they are managed and promoted to ensure maximum efficiency, sales and ‘profits’. Students view the opportunity to gain a degree as a right, and a service which they have paid for, demanding a greater choice and a return on their investment. Changes in higher education have been rapid, and there has been little critical research into the implications. This volume brings together internationally comparative academic perspectives, critical accounts and empirical research to explore fully the issues and experiences of education as a commodity, examining:   the international and financial context of marketisation the new purposes of universities  the implications of university branding and promotion  league tables and student surveys vs. quality of education  the higher education market and distance learning  students as ‘active consumers’ in the co-creation of value  changing student experiences, demands and focus.  With contributions from many of the leading names involved in Higher Education including Ron Barnett, Frank Furedi, Lewis Elton, Roger Brown and also Laurie Taylor in his journalistic guise as an academic at the University of Poppleton, this book will be essential reading for many.","ISBN":"978-0-415-58447-0","language":"English","editor":[{"family":"Molesworth","given":"Mike"},{"family":"Scullion","given":"Richard"},{"family":"Nixon","given":"Elizabeth"}],"issued":{"date-parts":[["2011",9,28]]}}}],"schema":"https://github.com/citation-style-language/schema/raw/master/csl-citation.json"} </w:instrText>
      </w:r>
      <w:r w:rsidRPr="00CE4C7D">
        <w:rPr>
          <w:rFonts w:asciiTheme="majorHAnsi" w:hAnsiTheme="majorHAnsi" w:cstheme="majorHAnsi"/>
        </w:rPr>
        <w:fldChar w:fldCharType="separate"/>
      </w:r>
      <w:r w:rsidRPr="00CE4C7D">
        <w:rPr>
          <w:rFonts w:asciiTheme="majorHAnsi" w:hAnsiTheme="majorHAnsi" w:cstheme="majorHAnsi"/>
        </w:rPr>
        <w:t>Deem &amp; Brehony, 2005; Hemsley‐Brown &amp; Oplatka, 2006; Lynch, 2006; Molesworth et al., 2011)</w:t>
      </w:r>
      <w:r w:rsidRPr="00CE4C7D">
        <w:rPr>
          <w:rFonts w:asciiTheme="majorHAnsi" w:hAnsiTheme="majorHAnsi" w:cstheme="majorHAnsi"/>
        </w:rPr>
        <w:fldChar w:fldCharType="end"/>
      </w:r>
      <w:r w:rsidRPr="00CE4C7D">
        <w:rPr>
          <w:rFonts w:asciiTheme="majorHAnsi" w:hAnsiTheme="majorHAnsi" w:cstheme="majorHAnsi"/>
        </w:rPr>
        <w:t>. This broad agenda encompasses many dimensions, including changes in governance (the abolition of HEFCE, as noted above); professionali</w:t>
      </w:r>
      <w:r w:rsidR="0029692E" w:rsidRPr="00CE4C7D">
        <w:rPr>
          <w:rFonts w:asciiTheme="majorHAnsi" w:hAnsiTheme="majorHAnsi" w:cstheme="majorHAnsi"/>
        </w:rPr>
        <w:t>z</w:t>
      </w:r>
      <w:r w:rsidRPr="00CE4C7D">
        <w:rPr>
          <w:rFonts w:asciiTheme="majorHAnsi" w:hAnsiTheme="majorHAnsi" w:cstheme="majorHAnsi"/>
        </w:rPr>
        <w:t>ation and liberali</w:t>
      </w:r>
      <w:r w:rsidR="0029692E" w:rsidRPr="00CE4C7D">
        <w:rPr>
          <w:rFonts w:asciiTheme="majorHAnsi" w:hAnsiTheme="majorHAnsi" w:cstheme="majorHAnsi"/>
        </w:rPr>
        <w:t>z</w:t>
      </w:r>
      <w:r w:rsidRPr="00CE4C7D">
        <w:rPr>
          <w:rFonts w:asciiTheme="majorHAnsi" w:hAnsiTheme="majorHAnsi" w:cstheme="majorHAnsi"/>
        </w:rPr>
        <w:t>ation within HE institutions' internal services; marketi</w:t>
      </w:r>
      <w:r w:rsidR="0029692E" w:rsidRPr="00CE4C7D">
        <w:rPr>
          <w:rFonts w:asciiTheme="majorHAnsi" w:hAnsiTheme="majorHAnsi" w:cstheme="majorHAnsi"/>
        </w:rPr>
        <w:t>z</w:t>
      </w:r>
      <w:r w:rsidRPr="00CE4C7D">
        <w:rPr>
          <w:rFonts w:asciiTheme="majorHAnsi" w:hAnsiTheme="majorHAnsi" w:cstheme="majorHAnsi"/>
        </w:rPr>
        <w:t>ation and competition across the sector; economic efficiency and austerity; growth; and internationali</w:t>
      </w:r>
      <w:r w:rsidR="0029692E" w:rsidRPr="00CE4C7D">
        <w:rPr>
          <w:rFonts w:asciiTheme="majorHAnsi" w:hAnsiTheme="majorHAnsi" w:cstheme="majorHAnsi"/>
        </w:rPr>
        <w:t>z</w:t>
      </w:r>
      <w:r w:rsidRPr="00CE4C7D">
        <w:rPr>
          <w:rFonts w:asciiTheme="majorHAnsi" w:hAnsiTheme="majorHAnsi" w:cstheme="majorHAnsi"/>
        </w:rPr>
        <w:t xml:space="preserve">ation. Here, we focus on one particularly important policy change </w:t>
      </w:r>
      <w:r w:rsidRPr="00CE4C7D">
        <w:rPr>
          <w:rFonts w:asciiTheme="majorHAnsi" w:hAnsiTheme="majorHAnsi" w:cstheme="majorHAnsi"/>
          <w:lang w:val="en-US"/>
        </w:rPr>
        <w:t xml:space="preserve">to illustrate the diversity of its implications. </w:t>
      </w:r>
      <w:r w:rsidRPr="00CE4C7D">
        <w:rPr>
          <w:rFonts w:asciiTheme="majorHAnsi" w:hAnsiTheme="majorHAnsi" w:cstheme="majorHAnsi"/>
        </w:rPr>
        <w:t xml:space="preserve"> This is </w:t>
      </w:r>
      <w:r w:rsidRPr="00CE4C7D">
        <w:rPr>
          <w:rFonts w:asciiTheme="majorHAnsi" w:hAnsiTheme="majorHAnsi" w:cstheme="majorHAnsi"/>
          <w:lang w:val="en-US"/>
        </w:rPr>
        <w:t>the reduction in state grants to English universities, alongside the shift to higher (£9,000) tuition fees in 2012.</w:t>
      </w:r>
    </w:p>
    <w:p w14:paraId="29A1418C" w14:textId="77777777" w:rsidR="007D368A" w:rsidRPr="00CE4C7D" w:rsidRDefault="007D368A" w:rsidP="00F25A95">
      <w:pPr>
        <w:pStyle w:val="NoSpacing"/>
        <w:rPr>
          <w:rFonts w:asciiTheme="majorHAnsi" w:hAnsiTheme="majorHAnsi" w:cstheme="majorHAnsi"/>
          <w:lang w:val="en-US"/>
        </w:rPr>
      </w:pPr>
    </w:p>
    <w:p w14:paraId="3000A739" w14:textId="6122BBC5" w:rsidR="00AC6685" w:rsidRPr="00CE4C7D" w:rsidRDefault="007D368A" w:rsidP="00CE4C7D">
      <w:pPr>
        <w:pStyle w:val="NoSpacing"/>
        <w:rPr>
          <w:rFonts w:asciiTheme="majorHAnsi" w:hAnsiTheme="majorHAnsi" w:cstheme="majorHAnsi"/>
          <w:i/>
        </w:rPr>
      </w:pPr>
      <w:r w:rsidRPr="00CE4C7D">
        <w:rPr>
          <w:rFonts w:asciiTheme="majorHAnsi" w:hAnsiTheme="majorHAnsi" w:cstheme="majorHAnsi"/>
          <w:lang w:val="en-US"/>
        </w:rPr>
        <w:t>Tuition fees and education contracts now make up 51</w:t>
      </w:r>
      <w:r w:rsidR="002B3966" w:rsidRPr="00CE4C7D">
        <w:rPr>
          <w:rFonts w:asciiTheme="majorHAnsi" w:hAnsiTheme="majorHAnsi" w:cstheme="majorHAnsi"/>
          <w:lang w:val="en-US"/>
        </w:rPr>
        <w:t xml:space="preserve"> per cent</w:t>
      </w:r>
      <w:r w:rsidRPr="00CE4C7D">
        <w:rPr>
          <w:rFonts w:asciiTheme="majorHAnsi" w:hAnsiTheme="majorHAnsi" w:cstheme="majorHAnsi"/>
          <w:lang w:val="en-US"/>
        </w:rPr>
        <w:t xml:space="preserve"> of income for English HE providers, and 49</w:t>
      </w:r>
      <w:r w:rsidR="002B3966" w:rsidRPr="00CE4C7D">
        <w:rPr>
          <w:rFonts w:asciiTheme="majorHAnsi" w:hAnsiTheme="majorHAnsi" w:cstheme="majorHAnsi"/>
          <w:lang w:val="en-US"/>
        </w:rPr>
        <w:t xml:space="preserve"> per cent</w:t>
      </w:r>
      <w:r w:rsidRPr="00CE4C7D">
        <w:rPr>
          <w:rFonts w:asciiTheme="majorHAnsi" w:hAnsiTheme="majorHAnsi" w:cstheme="majorHAnsi"/>
          <w:lang w:val="en-US"/>
        </w:rPr>
        <w:t xml:space="preserve"> for the UK as a whole</w:t>
      </w:r>
      <w:r w:rsidRPr="00CE4C7D">
        <w:rPr>
          <w:rStyle w:val="EndnoteReference"/>
          <w:rFonts w:asciiTheme="majorHAnsi" w:hAnsiTheme="majorHAnsi" w:cstheme="majorHAnsi"/>
          <w:lang w:val="en-US"/>
        </w:rPr>
        <w:endnoteReference w:id="3"/>
      </w:r>
      <w:r w:rsidRPr="00CE4C7D">
        <w:rPr>
          <w:rFonts w:asciiTheme="majorHAnsi" w:hAnsiTheme="majorHAnsi" w:cstheme="majorHAnsi"/>
          <w:lang w:val="en-US"/>
        </w:rPr>
        <w:t>.</w:t>
      </w:r>
      <w:r w:rsidR="009B7D97" w:rsidRPr="00CE4C7D">
        <w:rPr>
          <w:rFonts w:asciiTheme="majorHAnsi" w:hAnsiTheme="majorHAnsi" w:cstheme="majorHAnsi"/>
          <w:lang w:val="en-US"/>
        </w:rPr>
        <w:t xml:space="preserve">  This national-scale policy change has a range of ramifications for institutional policy and practice, many of which may have unrecogni</w:t>
      </w:r>
      <w:r w:rsidR="000A25B3" w:rsidRPr="00CE4C7D">
        <w:rPr>
          <w:rFonts w:asciiTheme="majorHAnsi" w:hAnsiTheme="majorHAnsi" w:cstheme="majorHAnsi"/>
          <w:lang w:val="en-US"/>
        </w:rPr>
        <w:t>z</w:t>
      </w:r>
      <w:r w:rsidR="009B7D97" w:rsidRPr="00CE4C7D">
        <w:rPr>
          <w:rFonts w:asciiTheme="majorHAnsi" w:hAnsiTheme="majorHAnsi" w:cstheme="majorHAnsi"/>
          <w:lang w:val="en-US"/>
        </w:rPr>
        <w:t>ed implications for energy demand.  These include</w:t>
      </w:r>
      <w:r w:rsidR="00E269BB" w:rsidRPr="00CE4C7D">
        <w:rPr>
          <w:rFonts w:asciiTheme="majorHAnsi" w:hAnsiTheme="majorHAnsi" w:cstheme="majorHAnsi"/>
          <w:lang w:val="en-US"/>
        </w:rPr>
        <w:t xml:space="preserve"> the increased prominence of a </w:t>
      </w:r>
      <w:r w:rsidR="00F93B9A" w:rsidRPr="00CE4C7D">
        <w:rPr>
          <w:rFonts w:asciiTheme="majorHAnsi" w:hAnsiTheme="majorHAnsi" w:cstheme="majorHAnsi"/>
          <w:lang w:val="en-US"/>
        </w:rPr>
        <w:t>‘</w:t>
      </w:r>
      <w:r w:rsidR="009B7D97" w:rsidRPr="00CE4C7D">
        <w:rPr>
          <w:rFonts w:asciiTheme="majorHAnsi" w:hAnsiTheme="majorHAnsi" w:cstheme="majorHAnsi"/>
          <w:lang w:val="en-US"/>
        </w:rPr>
        <w:t>student experience</w:t>
      </w:r>
      <w:r w:rsidR="00F93B9A" w:rsidRPr="00CE4C7D">
        <w:rPr>
          <w:rFonts w:asciiTheme="majorHAnsi" w:hAnsiTheme="majorHAnsi" w:cstheme="majorHAnsi"/>
          <w:lang w:val="en-US"/>
        </w:rPr>
        <w:t>’</w:t>
      </w:r>
      <w:r w:rsidR="009B7D97" w:rsidRPr="00CE4C7D">
        <w:rPr>
          <w:rFonts w:asciiTheme="majorHAnsi" w:hAnsiTheme="majorHAnsi" w:cstheme="majorHAnsi"/>
          <w:lang w:val="en-US"/>
        </w:rPr>
        <w:t xml:space="preserve"> agenda</w:t>
      </w:r>
      <w:r w:rsidR="0024081C" w:rsidRPr="00CE4C7D">
        <w:rPr>
          <w:rFonts w:asciiTheme="majorHAnsi" w:hAnsiTheme="majorHAnsi" w:cstheme="majorHAnsi"/>
          <w:lang w:val="en-US"/>
        </w:rPr>
        <w:t>, which emerged as a strong theme from interviews with a</w:t>
      </w:r>
      <w:r w:rsidR="00A71359" w:rsidRPr="00CE4C7D">
        <w:rPr>
          <w:rFonts w:asciiTheme="majorHAnsi" w:hAnsiTheme="majorHAnsi" w:cstheme="majorHAnsi"/>
          <w:lang w:val="en-US"/>
        </w:rPr>
        <w:t xml:space="preserve"> wide range</w:t>
      </w:r>
      <w:r w:rsidR="0024081C" w:rsidRPr="00CE4C7D">
        <w:rPr>
          <w:rFonts w:asciiTheme="majorHAnsi" w:hAnsiTheme="majorHAnsi" w:cstheme="majorHAnsi"/>
          <w:lang w:val="en-US"/>
        </w:rPr>
        <w:t xml:space="preserve"> of university professionals</w:t>
      </w:r>
      <w:r w:rsidR="009B7D97" w:rsidRPr="00CE4C7D">
        <w:rPr>
          <w:rFonts w:asciiTheme="majorHAnsi" w:hAnsiTheme="majorHAnsi" w:cstheme="majorHAnsi"/>
          <w:lang w:val="en-US"/>
        </w:rPr>
        <w:t>.</w:t>
      </w:r>
      <w:r w:rsidR="009B7D97" w:rsidRPr="00CE4C7D">
        <w:rPr>
          <w:rFonts w:asciiTheme="majorHAnsi" w:hAnsiTheme="majorHAnsi" w:cstheme="majorHAnsi"/>
          <w:b/>
          <w:lang w:val="en-US"/>
        </w:rPr>
        <w:t> </w:t>
      </w:r>
      <w:r w:rsidR="009B7D97" w:rsidRPr="00CE4C7D">
        <w:rPr>
          <w:rFonts w:asciiTheme="majorHAnsi" w:hAnsiTheme="majorHAnsi" w:cstheme="majorHAnsi"/>
          <w:lang w:val="en-US"/>
        </w:rPr>
        <w:t xml:space="preserve"> Now that much of </w:t>
      </w:r>
      <w:r w:rsidR="00E24907" w:rsidRPr="00CE4C7D">
        <w:rPr>
          <w:rFonts w:asciiTheme="majorHAnsi" w:hAnsiTheme="majorHAnsi" w:cstheme="majorHAnsi"/>
          <w:lang w:val="en-US"/>
        </w:rPr>
        <w:t>universities</w:t>
      </w:r>
      <w:r w:rsidR="009B7D97" w:rsidRPr="00CE4C7D">
        <w:rPr>
          <w:rFonts w:asciiTheme="majorHAnsi" w:hAnsiTheme="majorHAnsi" w:cstheme="majorHAnsi"/>
          <w:lang w:val="en-US"/>
        </w:rPr>
        <w:t>' income is from tuition fees, recruiting students is essential to their financial survival.  This has made student experience a priority, guiding policy and planning across virtually all university functions, and creating new temporal patterns</w:t>
      </w:r>
      <w:r w:rsidR="006074E0" w:rsidRPr="00CE4C7D">
        <w:rPr>
          <w:rFonts w:asciiTheme="majorHAnsi" w:hAnsiTheme="majorHAnsi" w:cstheme="majorHAnsi"/>
          <w:lang w:val="en-US"/>
        </w:rPr>
        <w:t xml:space="preserve">, such as </w:t>
      </w:r>
      <w:r w:rsidR="009B7D97" w:rsidRPr="00CE4C7D">
        <w:rPr>
          <w:rFonts w:asciiTheme="majorHAnsi" w:hAnsiTheme="majorHAnsi" w:cstheme="majorHAnsi"/>
          <w:lang w:val="en-US"/>
        </w:rPr>
        <w:t xml:space="preserve">the extension of opening hours for libraries, computer rooms, launderettes and </w:t>
      </w:r>
      <w:proofErr w:type="gramStart"/>
      <w:r w:rsidR="009B7D97" w:rsidRPr="00CE4C7D">
        <w:rPr>
          <w:rFonts w:asciiTheme="majorHAnsi" w:hAnsiTheme="majorHAnsi" w:cstheme="majorHAnsi"/>
          <w:lang w:val="en-US"/>
        </w:rPr>
        <w:t>help-desks</w:t>
      </w:r>
      <w:proofErr w:type="gramEnd"/>
      <w:r w:rsidR="009B7D97" w:rsidRPr="00CE4C7D">
        <w:rPr>
          <w:rFonts w:asciiTheme="majorHAnsi" w:hAnsiTheme="majorHAnsi" w:cstheme="majorHAnsi"/>
          <w:lang w:val="en-US"/>
        </w:rPr>
        <w:t xml:space="preserve">.  </w:t>
      </w:r>
      <w:r w:rsidR="00801BF2" w:rsidRPr="00CE4C7D">
        <w:rPr>
          <w:rFonts w:asciiTheme="majorHAnsi" w:hAnsiTheme="majorHAnsi" w:cstheme="majorHAnsi"/>
          <w:lang w:val="en-US"/>
        </w:rPr>
        <w:t>Interviewees also suggested that t</w:t>
      </w:r>
      <w:r w:rsidR="009B7D97" w:rsidRPr="00CE4C7D">
        <w:rPr>
          <w:rFonts w:asciiTheme="majorHAnsi" w:hAnsiTheme="majorHAnsi" w:cstheme="majorHAnsi"/>
          <w:lang w:val="en-US"/>
        </w:rPr>
        <w:t xml:space="preserve">his agenda governs the provision of spaces, facilities and equipment; </w:t>
      </w:r>
      <w:r w:rsidR="006074E0" w:rsidRPr="00CE4C7D">
        <w:rPr>
          <w:rFonts w:asciiTheme="majorHAnsi" w:hAnsiTheme="majorHAnsi" w:cstheme="majorHAnsi"/>
          <w:lang w:val="en-US"/>
        </w:rPr>
        <w:t>for example,</w:t>
      </w:r>
      <w:r w:rsidR="009B7D97" w:rsidRPr="00CE4C7D">
        <w:rPr>
          <w:rFonts w:asciiTheme="majorHAnsi" w:hAnsiTheme="majorHAnsi" w:cstheme="majorHAnsi"/>
          <w:lang w:val="en-US"/>
        </w:rPr>
        <w:t xml:space="preserve"> accommodation is becoming larger, with more </w:t>
      </w:r>
      <w:proofErr w:type="spellStart"/>
      <w:r w:rsidR="009B7D97" w:rsidRPr="00CE4C7D">
        <w:rPr>
          <w:rFonts w:asciiTheme="majorHAnsi" w:hAnsiTheme="majorHAnsi" w:cstheme="majorHAnsi"/>
          <w:lang w:val="en-US"/>
        </w:rPr>
        <w:t>en</w:t>
      </w:r>
      <w:proofErr w:type="spellEnd"/>
      <w:r w:rsidR="009B7D97" w:rsidRPr="00CE4C7D">
        <w:rPr>
          <w:rFonts w:asciiTheme="majorHAnsi" w:hAnsiTheme="majorHAnsi" w:cstheme="majorHAnsi"/>
          <w:lang w:val="en-US"/>
        </w:rPr>
        <w:t xml:space="preserve">-suite bathrooms, and internet connectivity is expected everywhere, all the time. </w:t>
      </w:r>
      <w:r w:rsidR="00801BF2" w:rsidRPr="00CE4C7D">
        <w:rPr>
          <w:rFonts w:asciiTheme="majorHAnsi" w:hAnsiTheme="majorHAnsi" w:cstheme="majorHAnsi"/>
          <w:lang w:val="en-US"/>
        </w:rPr>
        <w:t>O</w:t>
      </w:r>
      <w:r w:rsidR="00F97843" w:rsidRPr="00CE4C7D">
        <w:rPr>
          <w:rFonts w:asciiTheme="majorHAnsi" w:hAnsiTheme="majorHAnsi" w:cstheme="majorHAnsi"/>
          <w:lang w:val="en-US"/>
        </w:rPr>
        <w:t>ne</w:t>
      </w:r>
      <w:r w:rsidR="009B7D97" w:rsidRPr="00CE4C7D">
        <w:rPr>
          <w:rFonts w:asciiTheme="majorHAnsi" w:hAnsiTheme="majorHAnsi" w:cstheme="majorHAnsi"/>
          <w:lang w:val="en-US"/>
        </w:rPr>
        <w:t xml:space="preserve"> senior manager</w:t>
      </w:r>
      <w:r w:rsidR="00F97843" w:rsidRPr="00CE4C7D">
        <w:rPr>
          <w:rFonts w:asciiTheme="majorHAnsi" w:hAnsiTheme="majorHAnsi" w:cstheme="majorHAnsi"/>
          <w:lang w:val="en-US"/>
        </w:rPr>
        <w:t xml:space="preserve"> at a university</w:t>
      </w:r>
      <w:r w:rsidR="009B7D97" w:rsidRPr="00CE4C7D">
        <w:rPr>
          <w:rFonts w:asciiTheme="majorHAnsi" w:hAnsiTheme="majorHAnsi" w:cstheme="majorHAnsi"/>
          <w:lang w:val="en-US"/>
        </w:rPr>
        <w:t xml:space="preserve"> said student expectations have;</w:t>
      </w:r>
      <w:r w:rsidR="00AC6685" w:rsidRPr="00CE4C7D">
        <w:rPr>
          <w:rFonts w:asciiTheme="majorHAnsi" w:hAnsiTheme="majorHAnsi" w:cstheme="majorHAnsi"/>
          <w:lang w:val="en-US"/>
        </w:rPr>
        <w:t xml:space="preserve"> </w:t>
      </w:r>
      <w:r w:rsidR="00F93B9A" w:rsidRPr="00CE4C7D">
        <w:t>‘</w:t>
      </w:r>
      <w:r w:rsidR="009B7D97" w:rsidRPr="00CE4C7D">
        <w:rPr>
          <w:i/>
        </w:rPr>
        <w:t xml:space="preserve">Hugely changed… If </w:t>
      </w:r>
      <w:proofErr w:type="gramStart"/>
      <w:r w:rsidR="009B7D97" w:rsidRPr="00CE4C7D">
        <w:rPr>
          <w:i/>
        </w:rPr>
        <w:t>you're</w:t>
      </w:r>
      <w:proofErr w:type="gramEnd"/>
      <w:r w:rsidR="009B7D97" w:rsidRPr="00CE4C7D">
        <w:rPr>
          <w:i/>
        </w:rPr>
        <w:t xml:space="preserve"> paying £9,000 fees…you have a higher demand on what the facilities at the university are. We see it all the time… People complain… The demand on good facilities is </w:t>
      </w:r>
      <w:proofErr w:type="gramStart"/>
      <w:r w:rsidR="009B7D97" w:rsidRPr="00CE4C7D">
        <w:rPr>
          <w:i/>
        </w:rPr>
        <w:lastRenderedPageBreak/>
        <w:t>really high</w:t>
      </w:r>
      <w:proofErr w:type="gramEnd"/>
      <w:r w:rsidR="00F93B9A" w:rsidRPr="00CE4C7D">
        <w:rPr>
          <w:i/>
        </w:rPr>
        <w:t>’</w:t>
      </w:r>
      <w:r w:rsidR="00AC6685" w:rsidRPr="00CE4C7D">
        <w:rPr>
          <w:i/>
        </w:rPr>
        <w:t>.</w:t>
      </w:r>
      <w:r w:rsidR="00AC6685" w:rsidRPr="00CE4C7D">
        <w:rPr>
          <w:rFonts w:asciiTheme="majorHAnsi" w:hAnsiTheme="majorHAnsi" w:cstheme="majorHAnsi"/>
          <w:lang w:val="en-US"/>
        </w:rPr>
        <w:t xml:space="preserve"> </w:t>
      </w:r>
      <w:r w:rsidR="009B7D97" w:rsidRPr="00CE4C7D">
        <w:rPr>
          <w:rFonts w:asciiTheme="majorHAnsi" w:hAnsiTheme="majorHAnsi" w:cstheme="majorHAnsi"/>
          <w:lang w:val="en-US"/>
        </w:rPr>
        <w:t>Another senior manager said,</w:t>
      </w:r>
      <w:r w:rsidR="00711C48" w:rsidRPr="00CE4C7D">
        <w:rPr>
          <w:rFonts w:asciiTheme="majorHAnsi" w:hAnsiTheme="majorHAnsi" w:cstheme="majorHAnsi"/>
          <w:lang w:val="en-US"/>
        </w:rPr>
        <w:t xml:space="preserve"> </w:t>
      </w:r>
      <w:r w:rsidR="00711C48" w:rsidRPr="00CE4C7D">
        <w:rPr>
          <w:rFonts w:asciiTheme="majorHAnsi" w:hAnsiTheme="majorHAnsi" w:cstheme="majorHAnsi"/>
          <w:i/>
        </w:rPr>
        <w:t xml:space="preserve">‘IT … they want it probably faster than we can conceivably deliver it... And completely on wireless, you </w:t>
      </w:r>
      <w:proofErr w:type="gramStart"/>
      <w:r w:rsidR="00711C48" w:rsidRPr="00CE4C7D">
        <w:rPr>
          <w:rFonts w:asciiTheme="majorHAnsi" w:hAnsiTheme="majorHAnsi" w:cstheme="majorHAnsi"/>
          <w:i/>
        </w:rPr>
        <w:t>can’t</w:t>
      </w:r>
      <w:proofErr w:type="gramEnd"/>
      <w:r w:rsidR="00711C48" w:rsidRPr="00CE4C7D">
        <w:rPr>
          <w:rFonts w:asciiTheme="majorHAnsi" w:hAnsiTheme="majorHAnsi" w:cstheme="majorHAnsi"/>
          <w:i/>
        </w:rPr>
        <w:t xml:space="preserve"> have a dead spot anywhere.’</w:t>
      </w:r>
      <w:r w:rsidR="00AC6685" w:rsidRPr="00CE4C7D">
        <w:rPr>
          <w:rFonts w:asciiTheme="majorHAnsi" w:hAnsiTheme="majorHAnsi" w:cstheme="majorHAnsi"/>
          <w:i/>
        </w:rPr>
        <w:t xml:space="preserve"> </w:t>
      </w:r>
    </w:p>
    <w:p w14:paraId="5F688F40" w14:textId="77777777" w:rsidR="00AC6685" w:rsidRPr="00CE4C7D" w:rsidRDefault="00AC6685" w:rsidP="00CE4C7D">
      <w:pPr>
        <w:pStyle w:val="NoSpacing"/>
        <w:rPr>
          <w:rFonts w:asciiTheme="majorHAnsi" w:hAnsiTheme="majorHAnsi" w:cstheme="majorHAnsi"/>
          <w:i/>
        </w:rPr>
      </w:pPr>
    </w:p>
    <w:p w14:paraId="0962E677" w14:textId="4D206A6A" w:rsidR="00AC6685" w:rsidRPr="00CE4C7D" w:rsidRDefault="00AC6685" w:rsidP="00AC6685">
      <w:pPr>
        <w:autoSpaceDE w:val="0"/>
        <w:autoSpaceDN w:val="0"/>
        <w:adjustRightInd w:val="0"/>
        <w:rPr>
          <w:rFonts w:asciiTheme="majorHAnsi" w:hAnsiTheme="majorHAnsi" w:cstheme="majorHAnsi"/>
          <w:sz w:val="22"/>
          <w:szCs w:val="22"/>
          <w:lang w:val="en-US"/>
        </w:rPr>
      </w:pPr>
      <w:r w:rsidRPr="00CE4C7D">
        <w:rPr>
          <w:rFonts w:asciiTheme="majorHAnsi" w:hAnsiTheme="majorHAnsi" w:cstheme="majorHAnsi"/>
          <w:bCs/>
          <w:sz w:val="22"/>
          <w:szCs w:val="22"/>
          <w:lang w:val="en-US"/>
        </w:rPr>
        <w:t>Student experience is also closely related to a growth agenda.</w:t>
      </w:r>
      <w:r w:rsidRPr="00CE4C7D">
        <w:rPr>
          <w:rFonts w:asciiTheme="majorHAnsi" w:hAnsiTheme="majorHAnsi" w:cstheme="majorHAnsi"/>
          <w:b/>
          <w:sz w:val="22"/>
          <w:szCs w:val="22"/>
          <w:lang w:val="en-US"/>
        </w:rPr>
        <w:t> </w:t>
      </w:r>
      <w:r w:rsidRPr="00CE4C7D">
        <w:rPr>
          <w:rFonts w:asciiTheme="majorHAnsi" w:hAnsiTheme="majorHAnsi" w:cstheme="majorHAnsi"/>
          <w:sz w:val="22"/>
          <w:szCs w:val="22"/>
          <w:lang w:val="en-US"/>
        </w:rPr>
        <w:t xml:space="preserve"> Some universities perceive that to maintain financial stability (both through tuition fees and research income) they need to </w:t>
      </w:r>
      <w:proofErr w:type="gramStart"/>
      <w:r w:rsidRPr="00CE4C7D">
        <w:rPr>
          <w:rFonts w:asciiTheme="majorHAnsi" w:hAnsiTheme="majorHAnsi" w:cstheme="majorHAnsi"/>
          <w:sz w:val="22"/>
          <w:szCs w:val="22"/>
          <w:lang w:val="en-US"/>
        </w:rPr>
        <w:t>grow in size</w:t>
      </w:r>
      <w:proofErr w:type="gramEnd"/>
      <w:r w:rsidRPr="00CE4C7D">
        <w:rPr>
          <w:rFonts w:asciiTheme="majorHAnsi" w:hAnsiTheme="majorHAnsi" w:cstheme="majorHAnsi"/>
          <w:sz w:val="22"/>
          <w:szCs w:val="22"/>
          <w:lang w:val="en-US"/>
        </w:rPr>
        <w:t xml:space="preserve">.  One staff member said, </w:t>
      </w:r>
      <w:r w:rsidRPr="00CE4C7D">
        <w:rPr>
          <w:rFonts w:asciiTheme="majorHAnsi" w:hAnsiTheme="majorHAnsi" w:cstheme="majorHAnsi"/>
          <w:i/>
          <w:sz w:val="22"/>
          <w:szCs w:val="22"/>
        </w:rPr>
        <w:t xml:space="preserve">‘growth is a way of avoiding being swallowed up. It is a way of generating extra revenue. Our student numbers will go up because we need to generate more revenue’. </w:t>
      </w:r>
      <w:r w:rsidRPr="00CE4C7D">
        <w:rPr>
          <w:rFonts w:asciiTheme="majorHAnsi" w:hAnsiTheme="majorHAnsi" w:cstheme="majorHAnsi"/>
          <w:sz w:val="22"/>
          <w:szCs w:val="22"/>
          <w:lang w:val="en-US"/>
        </w:rPr>
        <w:t>Inevitably, more staff and students require more energy, and growth often means constructing new buildings.  New buildings may be more ‘efficient’ in terms of building fabric than older buildings, they may also reflect new expectations about spaces and services (</w:t>
      </w:r>
      <w:proofErr w:type="gramStart"/>
      <w:r w:rsidRPr="00CE4C7D">
        <w:rPr>
          <w:rFonts w:asciiTheme="majorHAnsi" w:hAnsiTheme="majorHAnsi" w:cstheme="majorHAnsi"/>
          <w:sz w:val="22"/>
          <w:szCs w:val="22"/>
          <w:lang w:val="en-US"/>
        </w:rPr>
        <w:t>e.g.</w:t>
      </w:r>
      <w:proofErr w:type="gramEnd"/>
      <w:r w:rsidRPr="00CE4C7D">
        <w:rPr>
          <w:rFonts w:asciiTheme="majorHAnsi" w:hAnsiTheme="majorHAnsi" w:cstheme="majorHAnsi"/>
          <w:sz w:val="22"/>
          <w:szCs w:val="22"/>
          <w:lang w:val="en-US"/>
        </w:rPr>
        <w:t xml:space="preserve"> with greater provision of power sockets).  </w:t>
      </w:r>
      <w:proofErr w:type="spellStart"/>
      <w:r w:rsidRPr="00CE4C7D">
        <w:rPr>
          <w:rFonts w:asciiTheme="majorHAnsi" w:hAnsiTheme="majorHAnsi" w:cstheme="majorHAnsi"/>
          <w:sz w:val="22"/>
          <w:szCs w:val="22"/>
          <w:lang w:val="en-US"/>
        </w:rPr>
        <w:t>Wadud</w:t>
      </w:r>
      <w:proofErr w:type="spellEnd"/>
      <w:r w:rsidRPr="00CE4C7D">
        <w:rPr>
          <w:rFonts w:asciiTheme="majorHAnsi" w:hAnsiTheme="majorHAnsi" w:cstheme="majorHAnsi"/>
          <w:sz w:val="22"/>
          <w:szCs w:val="22"/>
          <w:lang w:val="en-US"/>
        </w:rPr>
        <w:t xml:space="preserve"> et al. (2019, p824) conducted econometric modelling of energy consumption in UK HE and found that if a university’s floor area, income and number of </w:t>
      </w:r>
      <w:proofErr w:type="gramStart"/>
      <w:r w:rsidRPr="00CE4C7D">
        <w:rPr>
          <w:rFonts w:asciiTheme="majorHAnsi" w:hAnsiTheme="majorHAnsi" w:cstheme="majorHAnsi"/>
          <w:sz w:val="22"/>
          <w:szCs w:val="22"/>
          <w:lang w:val="en-US"/>
        </w:rPr>
        <w:t>students/staff</w:t>
      </w:r>
      <w:proofErr w:type="gramEnd"/>
      <w:r w:rsidRPr="00CE4C7D">
        <w:rPr>
          <w:rFonts w:asciiTheme="majorHAnsi" w:hAnsiTheme="majorHAnsi" w:cstheme="majorHAnsi"/>
          <w:sz w:val="22"/>
          <w:szCs w:val="22"/>
          <w:lang w:val="en-US"/>
        </w:rPr>
        <w:t xml:space="preserve"> are each increased by 10</w:t>
      </w:r>
      <w:r w:rsidR="002B3966" w:rsidRPr="00CE4C7D">
        <w:rPr>
          <w:rFonts w:asciiTheme="majorHAnsi" w:hAnsiTheme="majorHAnsi" w:cstheme="majorHAnsi"/>
          <w:sz w:val="22"/>
          <w:szCs w:val="22"/>
          <w:lang w:val="en-US"/>
        </w:rPr>
        <w:t xml:space="preserve"> per cent</w:t>
      </w:r>
      <w:r w:rsidRPr="00CE4C7D">
        <w:rPr>
          <w:rFonts w:asciiTheme="majorHAnsi" w:hAnsiTheme="majorHAnsi" w:cstheme="majorHAnsi"/>
          <w:sz w:val="22"/>
          <w:szCs w:val="22"/>
          <w:lang w:val="en-US"/>
        </w:rPr>
        <w:t>, there is an increase in energy consumption of 6.3</w:t>
      </w:r>
      <w:r w:rsidR="002B3966" w:rsidRPr="00CE4C7D">
        <w:rPr>
          <w:rFonts w:asciiTheme="majorHAnsi" w:hAnsiTheme="majorHAnsi" w:cstheme="majorHAnsi"/>
          <w:sz w:val="22"/>
          <w:szCs w:val="22"/>
          <w:lang w:val="en-US"/>
        </w:rPr>
        <w:t xml:space="preserve"> per cent</w:t>
      </w:r>
      <w:r w:rsidRPr="00CE4C7D">
        <w:rPr>
          <w:rFonts w:asciiTheme="majorHAnsi" w:hAnsiTheme="majorHAnsi" w:cstheme="majorHAnsi"/>
          <w:sz w:val="22"/>
          <w:szCs w:val="22"/>
          <w:lang w:val="en-US"/>
        </w:rPr>
        <w:t>. In other words, there are some ‘economies of scale’ associated with growth, but not nearly enough to offset the overall increase in energy use.</w:t>
      </w:r>
    </w:p>
    <w:p w14:paraId="109D4AD8" w14:textId="77777777" w:rsidR="002405F6" w:rsidRPr="00CE4C7D" w:rsidRDefault="002405F6" w:rsidP="00F25A95">
      <w:pPr>
        <w:widowControl w:val="0"/>
        <w:autoSpaceDE w:val="0"/>
        <w:autoSpaceDN w:val="0"/>
        <w:adjustRightInd w:val="0"/>
        <w:rPr>
          <w:rFonts w:asciiTheme="majorHAnsi" w:hAnsiTheme="majorHAnsi" w:cstheme="majorHAnsi"/>
          <w:sz w:val="22"/>
          <w:szCs w:val="22"/>
          <w:lang w:val="en-US"/>
        </w:rPr>
      </w:pPr>
    </w:p>
    <w:p w14:paraId="7534072A" w14:textId="39E371BF" w:rsidR="00BF0D5E" w:rsidRPr="00CE4C7D" w:rsidRDefault="003178BF" w:rsidP="00F25A95">
      <w:pPr>
        <w:autoSpaceDE w:val="0"/>
        <w:autoSpaceDN w:val="0"/>
        <w:adjustRightInd w:val="0"/>
        <w:rPr>
          <w:rFonts w:asciiTheme="majorHAnsi" w:hAnsiTheme="majorHAnsi" w:cstheme="majorHAnsi"/>
          <w:sz w:val="22"/>
          <w:szCs w:val="22"/>
        </w:rPr>
      </w:pPr>
      <w:r w:rsidRPr="00CE4C7D">
        <w:rPr>
          <w:rFonts w:asciiTheme="majorHAnsi" w:hAnsiTheme="majorHAnsi" w:cstheme="majorHAnsi"/>
          <w:sz w:val="22"/>
          <w:szCs w:val="22"/>
        </w:rPr>
        <w:t xml:space="preserve">While it is extremely difficult to attribute causation, </w:t>
      </w:r>
      <w:r w:rsidR="002555CB" w:rsidRPr="00CE4C7D">
        <w:rPr>
          <w:rFonts w:asciiTheme="majorHAnsi" w:hAnsiTheme="majorHAnsi" w:cstheme="majorHAnsi"/>
          <w:sz w:val="22"/>
          <w:szCs w:val="22"/>
        </w:rPr>
        <w:t xml:space="preserve">and many overlapping social and technical changes are implicated here, </w:t>
      </w:r>
      <w:r w:rsidRPr="00CE4C7D">
        <w:rPr>
          <w:rFonts w:asciiTheme="majorHAnsi" w:hAnsiTheme="majorHAnsi" w:cstheme="majorHAnsi"/>
          <w:sz w:val="22"/>
          <w:szCs w:val="22"/>
        </w:rPr>
        <w:t>t</w:t>
      </w:r>
      <w:r w:rsidR="009B7D97" w:rsidRPr="00CE4C7D">
        <w:rPr>
          <w:rFonts w:asciiTheme="majorHAnsi" w:hAnsiTheme="majorHAnsi" w:cstheme="majorHAnsi"/>
          <w:sz w:val="22"/>
          <w:szCs w:val="22"/>
        </w:rPr>
        <w:t xml:space="preserve">his </w:t>
      </w:r>
      <w:r w:rsidRPr="00CE4C7D">
        <w:rPr>
          <w:rFonts w:asciiTheme="majorHAnsi" w:hAnsiTheme="majorHAnsi" w:cstheme="majorHAnsi"/>
          <w:sz w:val="22"/>
          <w:szCs w:val="22"/>
        </w:rPr>
        <w:t xml:space="preserve">brief overview </w:t>
      </w:r>
      <w:r w:rsidR="009B7D97" w:rsidRPr="00CE4C7D">
        <w:rPr>
          <w:rFonts w:asciiTheme="majorHAnsi" w:hAnsiTheme="majorHAnsi" w:cstheme="majorHAnsi"/>
          <w:sz w:val="22"/>
          <w:szCs w:val="22"/>
        </w:rPr>
        <w:t xml:space="preserve">highlights some of the </w:t>
      </w:r>
      <w:r w:rsidR="00D304FF" w:rsidRPr="00CE4C7D">
        <w:rPr>
          <w:rFonts w:asciiTheme="majorHAnsi" w:hAnsiTheme="majorHAnsi" w:cstheme="majorHAnsi"/>
          <w:sz w:val="22"/>
          <w:szCs w:val="22"/>
        </w:rPr>
        <w:t xml:space="preserve">likely </w:t>
      </w:r>
      <w:r w:rsidR="009B7D97" w:rsidRPr="00CE4C7D">
        <w:rPr>
          <w:rFonts w:asciiTheme="majorHAnsi" w:hAnsiTheme="majorHAnsi" w:cstheme="majorHAnsi"/>
          <w:sz w:val="22"/>
          <w:szCs w:val="22"/>
        </w:rPr>
        <w:t xml:space="preserve">implications of </w:t>
      </w:r>
      <w:r w:rsidR="00E470D0" w:rsidRPr="00CE4C7D">
        <w:rPr>
          <w:rFonts w:asciiTheme="majorHAnsi" w:hAnsiTheme="majorHAnsi" w:cstheme="majorHAnsi"/>
          <w:sz w:val="22"/>
          <w:szCs w:val="22"/>
        </w:rPr>
        <w:t>non-</w:t>
      </w:r>
      <w:r w:rsidR="009B7D97" w:rsidRPr="00CE4C7D">
        <w:rPr>
          <w:rFonts w:asciiTheme="majorHAnsi" w:hAnsiTheme="majorHAnsi" w:cstheme="majorHAnsi"/>
          <w:sz w:val="22"/>
          <w:szCs w:val="22"/>
        </w:rPr>
        <w:t>energy policy</w:t>
      </w:r>
      <w:r w:rsidRPr="00CE4C7D">
        <w:rPr>
          <w:rFonts w:asciiTheme="majorHAnsi" w:hAnsiTheme="majorHAnsi" w:cstheme="majorHAnsi"/>
          <w:sz w:val="22"/>
          <w:szCs w:val="22"/>
        </w:rPr>
        <w:t xml:space="preserve"> for energy demand</w:t>
      </w:r>
      <w:r w:rsidR="009B7D97" w:rsidRPr="00CE4C7D">
        <w:rPr>
          <w:rFonts w:asciiTheme="majorHAnsi" w:hAnsiTheme="majorHAnsi" w:cstheme="majorHAnsi"/>
          <w:sz w:val="22"/>
          <w:szCs w:val="22"/>
        </w:rPr>
        <w:t xml:space="preserve"> within the HE </w:t>
      </w:r>
      <w:proofErr w:type="gramStart"/>
      <w:r w:rsidR="009B7D97" w:rsidRPr="00CE4C7D">
        <w:rPr>
          <w:rFonts w:asciiTheme="majorHAnsi" w:hAnsiTheme="majorHAnsi" w:cstheme="majorHAnsi"/>
          <w:sz w:val="22"/>
          <w:szCs w:val="22"/>
        </w:rPr>
        <w:t>sector</w:t>
      </w:r>
      <w:r w:rsidR="007B17CC" w:rsidRPr="00CE4C7D">
        <w:rPr>
          <w:rFonts w:asciiTheme="majorHAnsi" w:hAnsiTheme="majorHAnsi" w:cstheme="majorHAnsi"/>
          <w:sz w:val="22"/>
          <w:szCs w:val="22"/>
        </w:rPr>
        <w:t>, and</w:t>
      </w:r>
      <w:proofErr w:type="gramEnd"/>
      <w:r w:rsidR="007B17CC" w:rsidRPr="00CE4C7D">
        <w:rPr>
          <w:rFonts w:asciiTheme="majorHAnsi" w:hAnsiTheme="majorHAnsi" w:cstheme="majorHAnsi"/>
          <w:sz w:val="22"/>
          <w:szCs w:val="22"/>
        </w:rPr>
        <w:t xml:space="preserve"> </w:t>
      </w:r>
      <w:r w:rsidR="003A756F" w:rsidRPr="00CE4C7D">
        <w:rPr>
          <w:rFonts w:asciiTheme="majorHAnsi" w:hAnsiTheme="majorHAnsi" w:cstheme="majorHAnsi"/>
          <w:sz w:val="22"/>
          <w:szCs w:val="22"/>
        </w:rPr>
        <w:t xml:space="preserve">illustrates several of the points made in section </w:t>
      </w:r>
      <w:r w:rsidR="002A7B79" w:rsidRPr="00CE4C7D">
        <w:rPr>
          <w:rFonts w:asciiTheme="majorHAnsi" w:hAnsiTheme="majorHAnsi" w:cstheme="majorHAnsi"/>
          <w:sz w:val="22"/>
          <w:szCs w:val="22"/>
        </w:rPr>
        <w:t>19.</w:t>
      </w:r>
      <w:r w:rsidR="003A756F" w:rsidRPr="00CE4C7D">
        <w:rPr>
          <w:rFonts w:asciiTheme="majorHAnsi" w:hAnsiTheme="majorHAnsi" w:cstheme="majorHAnsi"/>
          <w:sz w:val="22"/>
          <w:szCs w:val="22"/>
        </w:rPr>
        <w:t>3</w:t>
      </w:r>
      <w:r w:rsidR="00FD2E8A" w:rsidRPr="00CE4C7D">
        <w:rPr>
          <w:rFonts w:asciiTheme="majorHAnsi" w:hAnsiTheme="majorHAnsi" w:cstheme="majorHAnsi"/>
          <w:sz w:val="22"/>
          <w:szCs w:val="22"/>
        </w:rPr>
        <w:t>.</w:t>
      </w:r>
      <w:r w:rsidR="007B17CC" w:rsidRPr="00CE4C7D">
        <w:rPr>
          <w:rFonts w:asciiTheme="majorHAnsi" w:hAnsiTheme="majorHAnsi" w:cstheme="majorHAnsi"/>
          <w:sz w:val="22"/>
          <w:szCs w:val="22"/>
        </w:rPr>
        <w:t xml:space="preserve"> First, this is a clear example of the ratchetin</w:t>
      </w:r>
      <w:r w:rsidR="00A57138" w:rsidRPr="00CE4C7D">
        <w:rPr>
          <w:rFonts w:asciiTheme="majorHAnsi" w:hAnsiTheme="majorHAnsi" w:cstheme="majorHAnsi"/>
          <w:sz w:val="22"/>
          <w:szCs w:val="22"/>
        </w:rPr>
        <w:t>g of norms of service provision</w:t>
      </w:r>
      <w:r w:rsidR="00247E05" w:rsidRPr="00CE4C7D">
        <w:rPr>
          <w:rFonts w:asciiTheme="majorHAnsi" w:hAnsiTheme="majorHAnsi" w:cstheme="majorHAnsi"/>
          <w:sz w:val="22"/>
          <w:szCs w:val="22"/>
        </w:rPr>
        <w:t xml:space="preserve">. This </w:t>
      </w:r>
      <w:r w:rsidR="006F3820" w:rsidRPr="00CE4C7D">
        <w:rPr>
          <w:rFonts w:asciiTheme="majorHAnsi" w:hAnsiTheme="majorHAnsi" w:cstheme="majorHAnsi"/>
          <w:sz w:val="22"/>
          <w:szCs w:val="22"/>
        </w:rPr>
        <w:t xml:space="preserve">phenomenon </w:t>
      </w:r>
      <w:r w:rsidR="007B17CC" w:rsidRPr="00CE4C7D">
        <w:rPr>
          <w:rFonts w:asciiTheme="majorHAnsi" w:hAnsiTheme="majorHAnsi" w:cstheme="majorHAnsi"/>
          <w:sz w:val="22"/>
          <w:szCs w:val="22"/>
        </w:rPr>
        <w:t>has been highlighted by, for example, Shove (2003)</w:t>
      </w:r>
      <w:r w:rsidR="00FC3DB0" w:rsidRPr="00CE4C7D">
        <w:rPr>
          <w:rFonts w:asciiTheme="majorHAnsi" w:hAnsiTheme="majorHAnsi" w:cstheme="majorHAnsi"/>
          <w:sz w:val="22"/>
          <w:szCs w:val="22"/>
        </w:rPr>
        <w:t>, who explains that shared social expectations (such as those around comfort, cleanliness and convenience) have tended to increase over time</w:t>
      </w:r>
      <w:r w:rsidR="00DB75C1" w:rsidRPr="00CE4C7D">
        <w:rPr>
          <w:rFonts w:asciiTheme="majorHAnsi" w:hAnsiTheme="majorHAnsi" w:cstheme="majorHAnsi"/>
          <w:sz w:val="22"/>
          <w:szCs w:val="22"/>
        </w:rPr>
        <w:t>,</w:t>
      </w:r>
      <w:r w:rsidR="007B17CC" w:rsidRPr="00CE4C7D">
        <w:rPr>
          <w:rFonts w:asciiTheme="majorHAnsi" w:hAnsiTheme="majorHAnsi" w:cstheme="majorHAnsi"/>
          <w:sz w:val="22"/>
          <w:szCs w:val="22"/>
        </w:rPr>
        <w:t xml:space="preserve"> </w:t>
      </w:r>
      <w:r w:rsidR="00FC3DB0" w:rsidRPr="00CE4C7D">
        <w:rPr>
          <w:rFonts w:asciiTheme="majorHAnsi" w:hAnsiTheme="majorHAnsi" w:cstheme="majorHAnsi"/>
          <w:sz w:val="22"/>
          <w:szCs w:val="22"/>
        </w:rPr>
        <w:t>with serious environmental implications. O</w:t>
      </w:r>
      <w:r w:rsidR="007B17CC" w:rsidRPr="00CE4C7D">
        <w:rPr>
          <w:rFonts w:asciiTheme="majorHAnsi" w:hAnsiTheme="majorHAnsi" w:cstheme="majorHAnsi"/>
          <w:sz w:val="22"/>
          <w:szCs w:val="22"/>
        </w:rPr>
        <w:t>ur analysis s</w:t>
      </w:r>
      <w:r w:rsidR="00392FFD" w:rsidRPr="00CE4C7D">
        <w:rPr>
          <w:rFonts w:asciiTheme="majorHAnsi" w:hAnsiTheme="majorHAnsi" w:cstheme="majorHAnsi"/>
          <w:sz w:val="22"/>
          <w:szCs w:val="22"/>
        </w:rPr>
        <w:t>uggests that</w:t>
      </w:r>
      <w:r w:rsidR="007B17CC" w:rsidRPr="00CE4C7D">
        <w:rPr>
          <w:rFonts w:asciiTheme="majorHAnsi" w:hAnsiTheme="majorHAnsi" w:cstheme="majorHAnsi"/>
          <w:sz w:val="22"/>
          <w:szCs w:val="22"/>
        </w:rPr>
        <w:t xml:space="preserve"> this ratcheting can be driven, unintentionally, by specific policies</w:t>
      </w:r>
      <w:r w:rsidR="00C04802" w:rsidRPr="00CE4C7D">
        <w:rPr>
          <w:rFonts w:asciiTheme="majorHAnsi" w:hAnsiTheme="majorHAnsi" w:cstheme="majorHAnsi"/>
          <w:sz w:val="22"/>
          <w:szCs w:val="22"/>
        </w:rPr>
        <w:t xml:space="preserve"> such as marketi</w:t>
      </w:r>
      <w:r w:rsidR="0029692E" w:rsidRPr="00CE4C7D">
        <w:rPr>
          <w:rFonts w:asciiTheme="majorHAnsi" w:hAnsiTheme="majorHAnsi" w:cstheme="majorHAnsi"/>
          <w:sz w:val="22"/>
          <w:szCs w:val="22"/>
        </w:rPr>
        <w:t>z</w:t>
      </w:r>
      <w:r w:rsidR="00C04802" w:rsidRPr="00CE4C7D">
        <w:rPr>
          <w:rFonts w:asciiTheme="majorHAnsi" w:hAnsiTheme="majorHAnsi" w:cstheme="majorHAnsi"/>
          <w:sz w:val="22"/>
          <w:szCs w:val="22"/>
        </w:rPr>
        <w:t>ation</w:t>
      </w:r>
      <w:r w:rsidR="007B17CC" w:rsidRPr="00CE4C7D">
        <w:rPr>
          <w:rFonts w:asciiTheme="majorHAnsi" w:hAnsiTheme="majorHAnsi" w:cstheme="majorHAnsi"/>
          <w:sz w:val="22"/>
          <w:szCs w:val="22"/>
        </w:rPr>
        <w:t xml:space="preserve">. </w:t>
      </w:r>
      <w:r w:rsidR="00E16467" w:rsidRPr="00CE4C7D">
        <w:rPr>
          <w:rFonts w:asciiTheme="majorHAnsi" w:hAnsiTheme="majorHAnsi" w:cstheme="majorHAnsi"/>
          <w:sz w:val="22"/>
          <w:szCs w:val="22"/>
        </w:rPr>
        <w:t xml:space="preserve">As </w:t>
      </w:r>
      <w:proofErr w:type="spellStart"/>
      <w:r w:rsidR="00E16467" w:rsidRPr="00CE4C7D">
        <w:rPr>
          <w:rFonts w:asciiTheme="majorHAnsi" w:hAnsiTheme="majorHAnsi" w:cstheme="majorHAnsi"/>
          <w:sz w:val="22"/>
          <w:szCs w:val="22"/>
        </w:rPr>
        <w:t>Wadud</w:t>
      </w:r>
      <w:proofErr w:type="spellEnd"/>
      <w:r w:rsidR="00E16467" w:rsidRPr="00CE4C7D">
        <w:rPr>
          <w:rFonts w:asciiTheme="majorHAnsi" w:hAnsiTheme="majorHAnsi" w:cstheme="majorHAnsi"/>
          <w:sz w:val="22"/>
          <w:szCs w:val="22"/>
        </w:rPr>
        <w:t xml:space="preserve"> et al. (2019) show, </w:t>
      </w:r>
      <w:r w:rsidR="004E7133" w:rsidRPr="00CE4C7D">
        <w:rPr>
          <w:rFonts w:asciiTheme="majorHAnsi" w:hAnsiTheme="majorHAnsi" w:cstheme="majorHAnsi"/>
          <w:sz w:val="22"/>
          <w:szCs w:val="22"/>
        </w:rPr>
        <w:t>energy use is likely to increase</w:t>
      </w:r>
      <w:r w:rsidR="00E16467" w:rsidRPr="00CE4C7D">
        <w:rPr>
          <w:rFonts w:asciiTheme="majorHAnsi" w:hAnsiTheme="majorHAnsi" w:cstheme="majorHAnsi"/>
          <w:sz w:val="22"/>
          <w:szCs w:val="22"/>
        </w:rPr>
        <w:t xml:space="preserve"> in future unless there is significant change in the policies currently driving growth</w:t>
      </w:r>
      <w:r w:rsidR="004E7133" w:rsidRPr="00CE4C7D">
        <w:rPr>
          <w:rFonts w:asciiTheme="majorHAnsi" w:hAnsiTheme="majorHAnsi" w:cstheme="majorHAnsi"/>
          <w:sz w:val="22"/>
          <w:szCs w:val="22"/>
        </w:rPr>
        <w:t xml:space="preserve"> (of various kinds)</w:t>
      </w:r>
      <w:r w:rsidR="00E16467" w:rsidRPr="00CE4C7D">
        <w:rPr>
          <w:rFonts w:asciiTheme="majorHAnsi" w:hAnsiTheme="majorHAnsi" w:cstheme="majorHAnsi"/>
          <w:sz w:val="22"/>
          <w:szCs w:val="22"/>
        </w:rPr>
        <w:t xml:space="preserve"> in the UK HE </w:t>
      </w:r>
      <w:proofErr w:type="gramStart"/>
      <w:r w:rsidR="00E16467" w:rsidRPr="00CE4C7D">
        <w:rPr>
          <w:rFonts w:asciiTheme="majorHAnsi" w:hAnsiTheme="majorHAnsi" w:cstheme="majorHAnsi"/>
          <w:sz w:val="22"/>
          <w:szCs w:val="22"/>
        </w:rPr>
        <w:t>sector</w:t>
      </w:r>
      <w:proofErr w:type="gramEnd"/>
      <w:r w:rsidR="00E16467" w:rsidRPr="00CE4C7D">
        <w:rPr>
          <w:rFonts w:asciiTheme="majorHAnsi" w:hAnsiTheme="majorHAnsi" w:cstheme="majorHAnsi"/>
          <w:sz w:val="22"/>
          <w:szCs w:val="22"/>
        </w:rPr>
        <w:t>.</w:t>
      </w:r>
      <w:r w:rsidR="00E16467" w:rsidRPr="00CE4C7D">
        <w:rPr>
          <w:rFonts w:asciiTheme="majorHAnsi" w:eastAsia="CharisSIL" w:hAnsiTheme="majorHAnsi" w:cstheme="majorHAnsi"/>
          <w:sz w:val="22"/>
          <w:szCs w:val="22"/>
        </w:rPr>
        <w:t xml:space="preserve"> </w:t>
      </w:r>
      <w:r w:rsidR="007B17CC" w:rsidRPr="00CE4C7D">
        <w:rPr>
          <w:rFonts w:asciiTheme="majorHAnsi" w:hAnsiTheme="majorHAnsi" w:cstheme="majorHAnsi"/>
          <w:sz w:val="22"/>
          <w:szCs w:val="22"/>
        </w:rPr>
        <w:t>Second</w:t>
      </w:r>
      <w:r w:rsidR="00247E05" w:rsidRPr="00CE4C7D">
        <w:rPr>
          <w:rFonts w:asciiTheme="majorHAnsi" w:hAnsiTheme="majorHAnsi" w:cstheme="majorHAnsi"/>
          <w:sz w:val="22"/>
          <w:szCs w:val="22"/>
        </w:rPr>
        <w:t>ly</w:t>
      </w:r>
      <w:r w:rsidR="007B17CC" w:rsidRPr="00CE4C7D">
        <w:rPr>
          <w:rFonts w:asciiTheme="majorHAnsi" w:hAnsiTheme="majorHAnsi" w:cstheme="majorHAnsi"/>
          <w:sz w:val="22"/>
          <w:szCs w:val="22"/>
        </w:rPr>
        <w:t>, it highlights policies’ impacts on temporal dimensions of energy use, for example, through the escalating duration of opening hours</w:t>
      </w:r>
      <w:r w:rsidR="007D368A" w:rsidRPr="00CE4C7D">
        <w:rPr>
          <w:rStyle w:val="EndnoteReference"/>
          <w:rFonts w:asciiTheme="majorHAnsi" w:hAnsiTheme="majorHAnsi" w:cstheme="majorHAnsi"/>
          <w:sz w:val="22"/>
          <w:szCs w:val="22"/>
        </w:rPr>
        <w:endnoteReference w:id="4"/>
      </w:r>
      <w:r w:rsidR="007D368A" w:rsidRPr="00CE4C7D">
        <w:rPr>
          <w:rFonts w:asciiTheme="majorHAnsi" w:hAnsiTheme="majorHAnsi" w:cstheme="majorHAnsi"/>
          <w:sz w:val="22"/>
          <w:szCs w:val="22"/>
        </w:rPr>
        <w:t>.</w:t>
      </w:r>
      <w:r w:rsidR="007B17CC" w:rsidRPr="00CE4C7D">
        <w:rPr>
          <w:rFonts w:asciiTheme="majorHAnsi" w:hAnsiTheme="majorHAnsi" w:cstheme="majorHAnsi"/>
          <w:sz w:val="22"/>
          <w:szCs w:val="22"/>
        </w:rPr>
        <w:t xml:space="preserve">  </w:t>
      </w:r>
      <w:r w:rsidR="00247E05" w:rsidRPr="00CE4C7D">
        <w:rPr>
          <w:rFonts w:asciiTheme="majorHAnsi" w:hAnsiTheme="majorHAnsi" w:cstheme="majorHAnsi"/>
          <w:sz w:val="22"/>
          <w:szCs w:val="22"/>
        </w:rPr>
        <w:t>Thirdly, it illustrates the i</w:t>
      </w:r>
      <w:r w:rsidR="00BF0D5E" w:rsidRPr="00CE4C7D">
        <w:rPr>
          <w:rFonts w:asciiTheme="majorHAnsi" w:hAnsiTheme="majorHAnsi" w:cstheme="majorHAnsi"/>
          <w:sz w:val="22"/>
          <w:szCs w:val="22"/>
        </w:rPr>
        <w:t xml:space="preserve">nterconnected levels of governance </w:t>
      </w:r>
      <w:r w:rsidR="00247E05" w:rsidRPr="00CE4C7D">
        <w:rPr>
          <w:rFonts w:asciiTheme="majorHAnsi" w:hAnsiTheme="majorHAnsi" w:cstheme="majorHAnsi"/>
          <w:sz w:val="22"/>
          <w:szCs w:val="22"/>
        </w:rPr>
        <w:t>that steer energy demand, including</w:t>
      </w:r>
      <w:r w:rsidR="00BF0D5E" w:rsidRPr="00CE4C7D">
        <w:rPr>
          <w:rFonts w:asciiTheme="majorHAnsi" w:hAnsiTheme="majorHAnsi" w:cstheme="majorHAnsi"/>
          <w:sz w:val="22"/>
          <w:szCs w:val="22"/>
        </w:rPr>
        <w:t xml:space="preserve"> building level management, institutional strategy, national policy and transnational agendas. Specifically</w:t>
      </w:r>
      <w:r w:rsidR="00247E05" w:rsidRPr="00CE4C7D">
        <w:rPr>
          <w:rFonts w:asciiTheme="majorHAnsi" w:hAnsiTheme="majorHAnsi" w:cstheme="majorHAnsi"/>
          <w:sz w:val="22"/>
          <w:szCs w:val="22"/>
        </w:rPr>
        <w:t xml:space="preserve">, the agenda underpinning all this change </w:t>
      </w:r>
      <w:r w:rsidR="00392FFD" w:rsidRPr="00CE4C7D">
        <w:rPr>
          <w:rFonts w:asciiTheme="majorHAnsi" w:hAnsiTheme="majorHAnsi" w:cstheme="majorHAnsi"/>
          <w:sz w:val="22"/>
          <w:szCs w:val="22"/>
        </w:rPr>
        <w:t>appear</w:t>
      </w:r>
      <w:r w:rsidR="00247E05" w:rsidRPr="00CE4C7D">
        <w:rPr>
          <w:rFonts w:asciiTheme="majorHAnsi" w:hAnsiTheme="majorHAnsi" w:cstheme="majorHAnsi"/>
          <w:sz w:val="22"/>
          <w:szCs w:val="22"/>
        </w:rPr>
        <w:t>s</w:t>
      </w:r>
      <w:r w:rsidR="00392FFD" w:rsidRPr="00CE4C7D">
        <w:rPr>
          <w:rFonts w:asciiTheme="majorHAnsi" w:hAnsiTheme="majorHAnsi" w:cstheme="majorHAnsi"/>
          <w:sz w:val="22"/>
          <w:szCs w:val="22"/>
        </w:rPr>
        <w:t xml:space="preserve"> to be</w:t>
      </w:r>
      <w:r w:rsidR="00247E05" w:rsidRPr="00CE4C7D">
        <w:rPr>
          <w:rFonts w:asciiTheme="majorHAnsi" w:hAnsiTheme="majorHAnsi" w:cstheme="majorHAnsi"/>
          <w:sz w:val="22"/>
          <w:szCs w:val="22"/>
        </w:rPr>
        <w:t xml:space="preserve"> one of liberali</w:t>
      </w:r>
      <w:r w:rsidR="0029692E" w:rsidRPr="00CE4C7D">
        <w:rPr>
          <w:rFonts w:asciiTheme="majorHAnsi" w:hAnsiTheme="majorHAnsi" w:cstheme="majorHAnsi"/>
          <w:sz w:val="22"/>
          <w:szCs w:val="22"/>
        </w:rPr>
        <w:t>z</w:t>
      </w:r>
      <w:r w:rsidR="00247E05" w:rsidRPr="00CE4C7D">
        <w:rPr>
          <w:rFonts w:asciiTheme="majorHAnsi" w:hAnsiTheme="majorHAnsi" w:cstheme="majorHAnsi"/>
          <w:sz w:val="22"/>
          <w:szCs w:val="22"/>
        </w:rPr>
        <w:t>ation</w:t>
      </w:r>
      <w:r w:rsidR="00BF0D5E" w:rsidRPr="00CE4C7D">
        <w:rPr>
          <w:rFonts w:asciiTheme="majorHAnsi" w:hAnsiTheme="majorHAnsi" w:cstheme="majorHAnsi"/>
          <w:sz w:val="22"/>
          <w:szCs w:val="22"/>
        </w:rPr>
        <w:t>.</w:t>
      </w:r>
      <w:r w:rsidR="00247E05" w:rsidRPr="00CE4C7D">
        <w:rPr>
          <w:rFonts w:asciiTheme="majorHAnsi" w:hAnsiTheme="majorHAnsi" w:cstheme="majorHAnsi"/>
          <w:sz w:val="22"/>
          <w:szCs w:val="22"/>
        </w:rPr>
        <w:t xml:space="preserve"> Since this agenda, and associated policies of marketi</w:t>
      </w:r>
      <w:r w:rsidR="0029692E" w:rsidRPr="00CE4C7D">
        <w:rPr>
          <w:rFonts w:asciiTheme="majorHAnsi" w:hAnsiTheme="majorHAnsi" w:cstheme="majorHAnsi"/>
          <w:sz w:val="22"/>
          <w:szCs w:val="22"/>
        </w:rPr>
        <w:t>z</w:t>
      </w:r>
      <w:r w:rsidR="00247E05" w:rsidRPr="00CE4C7D">
        <w:rPr>
          <w:rFonts w:asciiTheme="majorHAnsi" w:hAnsiTheme="majorHAnsi" w:cstheme="majorHAnsi"/>
          <w:sz w:val="22"/>
          <w:szCs w:val="22"/>
        </w:rPr>
        <w:t>ation, commodification and growth, are extremely pervasive, we might expect to see similar ratcheting effects on energy demand in other sectors</w:t>
      </w:r>
      <w:r w:rsidR="008876BC" w:rsidRPr="00CE4C7D">
        <w:rPr>
          <w:rFonts w:asciiTheme="majorHAnsi" w:hAnsiTheme="majorHAnsi" w:cstheme="majorHAnsi"/>
          <w:sz w:val="22"/>
          <w:szCs w:val="22"/>
        </w:rPr>
        <w:t>.</w:t>
      </w:r>
    </w:p>
    <w:p w14:paraId="12192E6B" w14:textId="77777777" w:rsidR="0043368F" w:rsidRPr="00CE4C7D" w:rsidRDefault="0043368F" w:rsidP="00F25A95">
      <w:pPr>
        <w:rPr>
          <w:rFonts w:asciiTheme="majorHAnsi" w:hAnsiTheme="majorHAnsi" w:cstheme="majorHAnsi"/>
          <w:sz w:val="22"/>
          <w:szCs w:val="22"/>
        </w:rPr>
      </w:pPr>
    </w:p>
    <w:p w14:paraId="0DF0C34F" w14:textId="1BF716E1" w:rsidR="00234705" w:rsidRPr="00CE4C7D" w:rsidRDefault="00AD41D4" w:rsidP="002735C0">
      <w:pPr>
        <w:pStyle w:val="Heading1"/>
      </w:pPr>
      <w:r w:rsidRPr="00CE4C7D">
        <w:t xml:space="preserve">&lt;a&gt; </w:t>
      </w:r>
      <w:r w:rsidR="00234705" w:rsidRPr="00CE4C7D">
        <w:t>W</w:t>
      </w:r>
      <w:r w:rsidR="00AC425D" w:rsidRPr="00CE4C7D">
        <w:t>hy are these policies</w:t>
      </w:r>
      <w:r w:rsidR="002D37E4" w:rsidRPr="00CE4C7D">
        <w:t>’ effects</w:t>
      </w:r>
      <w:r w:rsidR="00AC425D" w:rsidRPr="00CE4C7D">
        <w:t xml:space="preserve"> </w:t>
      </w:r>
      <w:r w:rsidR="002D37E4" w:rsidRPr="00CE4C7D">
        <w:t>‘</w:t>
      </w:r>
      <w:r w:rsidR="00AC425D" w:rsidRPr="00CE4C7D">
        <w:t>invisible</w:t>
      </w:r>
      <w:r w:rsidR="002D37E4" w:rsidRPr="00CE4C7D">
        <w:t>’</w:t>
      </w:r>
      <w:r w:rsidR="00234705" w:rsidRPr="00CE4C7D">
        <w:t xml:space="preserve"> and what can we do about </w:t>
      </w:r>
      <w:r w:rsidR="008B06B3" w:rsidRPr="00CE4C7D">
        <w:t>them</w:t>
      </w:r>
      <w:r w:rsidR="00234705" w:rsidRPr="00CE4C7D">
        <w:t>?</w:t>
      </w:r>
    </w:p>
    <w:p w14:paraId="08FE9404" w14:textId="042F1AB9" w:rsidR="00AC425D" w:rsidRPr="00CE4C7D" w:rsidRDefault="00AC425D" w:rsidP="00F25A95">
      <w:pPr>
        <w:rPr>
          <w:rFonts w:asciiTheme="majorHAnsi" w:hAnsiTheme="majorHAnsi" w:cstheme="majorHAnsi"/>
          <w:sz w:val="22"/>
          <w:szCs w:val="22"/>
        </w:rPr>
      </w:pPr>
    </w:p>
    <w:p w14:paraId="073FD8AB" w14:textId="1F57B88B" w:rsidR="00867353" w:rsidRPr="00CE4C7D" w:rsidRDefault="00234705" w:rsidP="00F25A95">
      <w:pPr>
        <w:autoSpaceDE w:val="0"/>
        <w:autoSpaceDN w:val="0"/>
        <w:adjustRightInd w:val="0"/>
        <w:rPr>
          <w:rFonts w:asciiTheme="majorHAnsi" w:hAnsiTheme="majorHAnsi" w:cstheme="majorHAnsi"/>
          <w:sz w:val="22"/>
          <w:szCs w:val="22"/>
        </w:rPr>
      </w:pPr>
      <w:r w:rsidRPr="00CE4C7D">
        <w:rPr>
          <w:rFonts w:asciiTheme="majorHAnsi" w:hAnsiTheme="majorHAnsi" w:cstheme="majorHAnsi"/>
          <w:sz w:val="22"/>
          <w:szCs w:val="22"/>
        </w:rPr>
        <w:t xml:space="preserve">One reason why the effects of non-energy policies </w:t>
      </w:r>
      <w:r w:rsidR="00DA1C36" w:rsidRPr="00CE4C7D">
        <w:rPr>
          <w:rFonts w:asciiTheme="majorHAnsi" w:hAnsiTheme="majorHAnsi" w:cstheme="majorHAnsi"/>
          <w:sz w:val="22"/>
          <w:szCs w:val="22"/>
        </w:rPr>
        <w:t xml:space="preserve">are </w:t>
      </w:r>
      <w:proofErr w:type="gramStart"/>
      <w:r w:rsidR="00DA1C36" w:rsidRPr="00CE4C7D">
        <w:rPr>
          <w:rFonts w:asciiTheme="majorHAnsi" w:hAnsiTheme="majorHAnsi" w:cstheme="majorHAnsi"/>
          <w:sz w:val="22"/>
          <w:szCs w:val="22"/>
        </w:rPr>
        <w:t>poorly-understood</w:t>
      </w:r>
      <w:proofErr w:type="gramEnd"/>
      <w:r w:rsidR="00DA1C36" w:rsidRPr="00CE4C7D">
        <w:rPr>
          <w:rFonts w:asciiTheme="majorHAnsi" w:hAnsiTheme="majorHAnsi" w:cstheme="majorHAnsi"/>
          <w:sz w:val="22"/>
          <w:szCs w:val="22"/>
        </w:rPr>
        <w:t xml:space="preserve"> </w:t>
      </w:r>
      <w:r w:rsidR="00AD41D4" w:rsidRPr="00CE4C7D">
        <w:rPr>
          <w:rFonts w:asciiTheme="majorHAnsi" w:hAnsiTheme="majorHAnsi" w:cstheme="majorHAnsi"/>
          <w:sz w:val="22"/>
          <w:szCs w:val="22"/>
        </w:rPr>
        <w:t>is that t</w:t>
      </w:r>
      <w:r w:rsidR="004A1DE1" w:rsidRPr="00CE4C7D">
        <w:rPr>
          <w:rFonts w:asciiTheme="majorHAnsi" w:hAnsiTheme="majorHAnsi" w:cstheme="majorHAnsi"/>
          <w:sz w:val="22"/>
          <w:szCs w:val="22"/>
        </w:rPr>
        <w:t xml:space="preserve">ruly interdisciplinary research on energy remains rare, with much work being dominated by technical and economistic agendas and frameworks (as described by Royston and Foulds, 2019). </w:t>
      </w:r>
      <w:r w:rsidR="0045105D" w:rsidRPr="00CE4C7D">
        <w:rPr>
          <w:rFonts w:asciiTheme="majorHAnsi" w:hAnsiTheme="majorHAnsi" w:cstheme="majorHAnsi"/>
          <w:sz w:val="22"/>
          <w:szCs w:val="22"/>
        </w:rPr>
        <w:t>This dominance is also associated with the equation of consumption with demand</w:t>
      </w:r>
      <w:r w:rsidR="00867353" w:rsidRPr="00CE4C7D">
        <w:rPr>
          <w:rFonts w:asciiTheme="majorHAnsi" w:eastAsia="AdvOT596495f2+20" w:hAnsiTheme="majorHAnsi" w:cstheme="majorHAnsi"/>
          <w:sz w:val="22"/>
          <w:szCs w:val="22"/>
        </w:rPr>
        <w:t xml:space="preserve"> </w:t>
      </w:r>
      <w:r w:rsidR="00867353" w:rsidRPr="00CE4C7D">
        <w:rPr>
          <w:rFonts w:asciiTheme="majorHAnsi" w:hAnsiTheme="majorHAnsi" w:cstheme="majorHAnsi"/>
          <w:sz w:val="22"/>
          <w:szCs w:val="22"/>
        </w:rPr>
        <w:t>(Shove, 201</w:t>
      </w:r>
      <w:r w:rsidR="005F103B" w:rsidRPr="00CE4C7D">
        <w:rPr>
          <w:rFonts w:asciiTheme="majorHAnsi" w:hAnsiTheme="majorHAnsi" w:cstheme="majorHAnsi"/>
          <w:sz w:val="22"/>
          <w:szCs w:val="22"/>
        </w:rPr>
        <w:t>8</w:t>
      </w:r>
      <w:r w:rsidR="00867353" w:rsidRPr="00CE4C7D">
        <w:rPr>
          <w:rFonts w:asciiTheme="majorHAnsi" w:hAnsiTheme="majorHAnsi" w:cstheme="majorHAnsi"/>
          <w:sz w:val="22"/>
          <w:szCs w:val="22"/>
        </w:rPr>
        <w:t>)</w:t>
      </w:r>
      <w:r w:rsidR="007739E4" w:rsidRPr="00CE4C7D">
        <w:rPr>
          <w:rFonts w:asciiTheme="majorHAnsi" w:hAnsiTheme="majorHAnsi" w:cstheme="majorHAnsi"/>
          <w:sz w:val="22"/>
          <w:szCs w:val="22"/>
        </w:rPr>
        <w:t xml:space="preserve">; the </w:t>
      </w:r>
      <w:r w:rsidR="0045105D" w:rsidRPr="00CE4C7D">
        <w:rPr>
          <w:rFonts w:asciiTheme="majorHAnsi" w:hAnsiTheme="majorHAnsi" w:cstheme="majorHAnsi"/>
          <w:sz w:val="22"/>
          <w:szCs w:val="22"/>
        </w:rPr>
        <w:t>assum</w:t>
      </w:r>
      <w:r w:rsidR="007739E4" w:rsidRPr="00CE4C7D">
        <w:rPr>
          <w:rFonts w:asciiTheme="majorHAnsi" w:hAnsiTheme="majorHAnsi" w:cstheme="majorHAnsi"/>
          <w:sz w:val="22"/>
          <w:szCs w:val="22"/>
        </w:rPr>
        <w:t>ption</w:t>
      </w:r>
      <w:r w:rsidR="0045105D" w:rsidRPr="00CE4C7D">
        <w:rPr>
          <w:rFonts w:asciiTheme="majorHAnsi" w:hAnsiTheme="majorHAnsi" w:cstheme="majorHAnsi"/>
          <w:sz w:val="22"/>
          <w:szCs w:val="22"/>
        </w:rPr>
        <w:t xml:space="preserve"> </w:t>
      </w:r>
      <w:r w:rsidR="00867353" w:rsidRPr="00CE4C7D">
        <w:rPr>
          <w:rFonts w:asciiTheme="majorHAnsi" w:hAnsiTheme="majorHAnsi" w:cstheme="majorHAnsi"/>
          <w:sz w:val="22"/>
          <w:szCs w:val="22"/>
        </w:rPr>
        <w:t>that people</w:t>
      </w:r>
      <w:r w:rsidR="002A7794" w:rsidRPr="00CE4C7D">
        <w:rPr>
          <w:rFonts w:asciiTheme="majorHAnsi" w:hAnsiTheme="majorHAnsi" w:cstheme="majorHAnsi"/>
          <w:sz w:val="22"/>
          <w:szCs w:val="22"/>
        </w:rPr>
        <w:t xml:space="preserve"> </w:t>
      </w:r>
      <w:r w:rsidR="00867353" w:rsidRPr="00CE4C7D">
        <w:rPr>
          <w:rFonts w:asciiTheme="majorHAnsi" w:hAnsiTheme="majorHAnsi" w:cstheme="majorHAnsi"/>
          <w:sz w:val="22"/>
          <w:szCs w:val="22"/>
        </w:rPr>
        <w:t xml:space="preserve">need energy, </w:t>
      </w:r>
      <w:r w:rsidR="0045105D" w:rsidRPr="00CE4C7D">
        <w:rPr>
          <w:rFonts w:asciiTheme="majorHAnsi" w:hAnsiTheme="majorHAnsi" w:cstheme="majorHAnsi"/>
          <w:sz w:val="22"/>
          <w:szCs w:val="22"/>
        </w:rPr>
        <w:t xml:space="preserve">and </w:t>
      </w:r>
      <w:r w:rsidR="00867353" w:rsidRPr="00CE4C7D">
        <w:rPr>
          <w:rFonts w:asciiTheme="majorHAnsi" w:hAnsiTheme="majorHAnsi" w:cstheme="majorHAnsi"/>
          <w:sz w:val="22"/>
          <w:szCs w:val="22"/>
        </w:rPr>
        <w:t xml:space="preserve">that such needs should </w:t>
      </w:r>
      <w:r w:rsidR="0045105D" w:rsidRPr="00CE4C7D">
        <w:rPr>
          <w:rFonts w:asciiTheme="majorHAnsi" w:hAnsiTheme="majorHAnsi" w:cstheme="majorHAnsi"/>
          <w:sz w:val="22"/>
          <w:szCs w:val="22"/>
        </w:rPr>
        <w:t xml:space="preserve">always </w:t>
      </w:r>
      <w:r w:rsidR="00867353" w:rsidRPr="00CE4C7D">
        <w:rPr>
          <w:rFonts w:asciiTheme="majorHAnsi" w:hAnsiTheme="majorHAnsi" w:cstheme="majorHAnsi"/>
          <w:sz w:val="22"/>
          <w:szCs w:val="22"/>
        </w:rPr>
        <w:t xml:space="preserve">be </w:t>
      </w:r>
      <w:r w:rsidR="0045105D" w:rsidRPr="00CE4C7D">
        <w:rPr>
          <w:rFonts w:asciiTheme="majorHAnsi" w:hAnsiTheme="majorHAnsi" w:cstheme="majorHAnsi"/>
          <w:sz w:val="22"/>
          <w:szCs w:val="22"/>
        </w:rPr>
        <w:t xml:space="preserve">provided for. </w:t>
      </w:r>
      <w:r w:rsidR="007739E4" w:rsidRPr="00CE4C7D">
        <w:rPr>
          <w:rFonts w:asciiTheme="majorHAnsi" w:hAnsiTheme="majorHAnsi" w:cstheme="majorHAnsi"/>
          <w:sz w:val="22"/>
          <w:szCs w:val="22"/>
        </w:rPr>
        <w:t>Such approaches</w:t>
      </w:r>
      <w:r w:rsidR="0045105D" w:rsidRPr="00CE4C7D">
        <w:rPr>
          <w:rFonts w:asciiTheme="majorHAnsi" w:hAnsiTheme="majorHAnsi" w:cstheme="majorHAnsi"/>
          <w:sz w:val="22"/>
          <w:szCs w:val="22"/>
        </w:rPr>
        <w:t xml:space="preserve"> fail to recogni</w:t>
      </w:r>
      <w:r w:rsidR="000A25B3" w:rsidRPr="00CE4C7D">
        <w:rPr>
          <w:rFonts w:asciiTheme="majorHAnsi" w:hAnsiTheme="majorHAnsi" w:cstheme="majorHAnsi"/>
          <w:sz w:val="22"/>
          <w:szCs w:val="22"/>
        </w:rPr>
        <w:t>z</w:t>
      </w:r>
      <w:r w:rsidR="0045105D" w:rsidRPr="00CE4C7D">
        <w:rPr>
          <w:rFonts w:asciiTheme="majorHAnsi" w:hAnsiTheme="majorHAnsi" w:cstheme="majorHAnsi"/>
          <w:sz w:val="22"/>
          <w:szCs w:val="22"/>
        </w:rPr>
        <w:t>e that</w:t>
      </w:r>
      <w:r w:rsidR="00867353" w:rsidRPr="00CE4C7D">
        <w:rPr>
          <w:rFonts w:asciiTheme="majorHAnsi" w:hAnsiTheme="majorHAnsi" w:cstheme="majorHAnsi"/>
          <w:sz w:val="22"/>
          <w:szCs w:val="22"/>
        </w:rPr>
        <w:t xml:space="preserve"> these </w:t>
      </w:r>
      <w:r w:rsidR="0045105D" w:rsidRPr="00CE4C7D">
        <w:rPr>
          <w:rFonts w:asciiTheme="majorHAnsi" w:hAnsiTheme="majorHAnsi" w:cstheme="majorHAnsi"/>
          <w:sz w:val="22"/>
          <w:szCs w:val="22"/>
        </w:rPr>
        <w:t>‘</w:t>
      </w:r>
      <w:r w:rsidR="00867353" w:rsidRPr="00CE4C7D">
        <w:rPr>
          <w:rFonts w:asciiTheme="majorHAnsi" w:hAnsiTheme="majorHAnsi" w:cstheme="majorHAnsi"/>
          <w:sz w:val="22"/>
          <w:szCs w:val="22"/>
        </w:rPr>
        <w:t>needs</w:t>
      </w:r>
      <w:r w:rsidR="0045105D" w:rsidRPr="00CE4C7D">
        <w:rPr>
          <w:rFonts w:asciiTheme="majorHAnsi" w:hAnsiTheme="majorHAnsi" w:cstheme="majorHAnsi"/>
          <w:sz w:val="22"/>
          <w:szCs w:val="22"/>
        </w:rPr>
        <w:t xml:space="preserve">’ are constructed by, and mediated through, </w:t>
      </w:r>
      <w:r w:rsidR="00867353" w:rsidRPr="00CE4C7D">
        <w:rPr>
          <w:rFonts w:asciiTheme="majorHAnsi" w:hAnsiTheme="majorHAnsi" w:cstheme="majorHAnsi"/>
          <w:sz w:val="22"/>
          <w:szCs w:val="22"/>
        </w:rPr>
        <w:t>infrastructures, technologies,</w:t>
      </w:r>
      <w:r w:rsidR="002A7794" w:rsidRPr="00CE4C7D">
        <w:rPr>
          <w:rFonts w:asciiTheme="majorHAnsi" w:hAnsiTheme="majorHAnsi" w:cstheme="majorHAnsi"/>
          <w:sz w:val="22"/>
          <w:szCs w:val="22"/>
        </w:rPr>
        <w:t xml:space="preserve"> </w:t>
      </w:r>
      <w:r w:rsidR="00867353" w:rsidRPr="00CE4C7D">
        <w:rPr>
          <w:rFonts w:asciiTheme="majorHAnsi" w:hAnsiTheme="majorHAnsi" w:cstheme="majorHAnsi"/>
          <w:sz w:val="22"/>
          <w:szCs w:val="22"/>
        </w:rPr>
        <w:t xml:space="preserve">practices </w:t>
      </w:r>
      <w:r w:rsidR="0045105D" w:rsidRPr="00CE4C7D">
        <w:rPr>
          <w:rFonts w:asciiTheme="majorHAnsi" w:hAnsiTheme="majorHAnsi" w:cstheme="majorHAnsi"/>
          <w:sz w:val="22"/>
          <w:szCs w:val="22"/>
        </w:rPr>
        <w:t>and</w:t>
      </w:r>
      <w:r w:rsidR="00867353" w:rsidRPr="00CE4C7D">
        <w:rPr>
          <w:rFonts w:asciiTheme="majorHAnsi" w:hAnsiTheme="majorHAnsi" w:cstheme="majorHAnsi"/>
          <w:sz w:val="22"/>
          <w:szCs w:val="22"/>
        </w:rPr>
        <w:t xml:space="preserve"> policies.</w:t>
      </w:r>
      <w:r w:rsidR="00B91B44" w:rsidRPr="00CE4C7D">
        <w:rPr>
          <w:rFonts w:asciiTheme="majorHAnsi" w:hAnsiTheme="majorHAnsi" w:cstheme="majorHAnsi"/>
          <w:sz w:val="22"/>
          <w:szCs w:val="22"/>
        </w:rPr>
        <w:t xml:space="preserve"> </w:t>
      </w:r>
      <w:r w:rsidR="0016254E" w:rsidRPr="00CE4C7D">
        <w:rPr>
          <w:rFonts w:asciiTheme="majorHAnsi" w:hAnsiTheme="majorHAnsi" w:cstheme="majorHAnsi"/>
          <w:sz w:val="22"/>
          <w:szCs w:val="22"/>
        </w:rPr>
        <w:t>However, while s</w:t>
      </w:r>
      <w:r w:rsidR="00867353" w:rsidRPr="00CE4C7D">
        <w:rPr>
          <w:rFonts w:asciiTheme="majorHAnsi" w:hAnsiTheme="majorHAnsi" w:cstheme="majorHAnsi"/>
          <w:sz w:val="22"/>
          <w:szCs w:val="22"/>
        </w:rPr>
        <w:t xml:space="preserve">ocial scientists </w:t>
      </w:r>
      <w:r w:rsidR="00B91B44" w:rsidRPr="00CE4C7D">
        <w:rPr>
          <w:rFonts w:asciiTheme="majorHAnsi" w:hAnsiTheme="majorHAnsi" w:cstheme="majorHAnsi"/>
          <w:sz w:val="22"/>
          <w:szCs w:val="22"/>
        </w:rPr>
        <w:t>are increasingly</w:t>
      </w:r>
      <w:r w:rsidR="00867353" w:rsidRPr="00CE4C7D">
        <w:rPr>
          <w:rFonts w:asciiTheme="majorHAnsi" w:hAnsiTheme="majorHAnsi" w:cstheme="majorHAnsi"/>
          <w:sz w:val="22"/>
          <w:szCs w:val="22"/>
        </w:rPr>
        <w:t xml:space="preserve"> engag</w:t>
      </w:r>
      <w:r w:rsidR="00B91B44" w:rsidRPr="00CE4C7D">
        <w:rPr>
          <w:rFonts w:asciiTheme="majorHAnsi" w:hAnsiTheme="majorHAnsi" w:cstheme="majorHAnsi"/>
          <w:sz w:val="22"/>
          <w:szCs w:val="22"/>
        </w:rPr>
        <w:t>ing</w:t>
      </w:r>
      <w:r w:rsidR="00867353" w:rsidRPr="00CE4C7D">
        <w:rPr>
          <w:rFonts w:asciiTheme="majorHAnsi" w:hAnsiTheme="majorHAnsi" w:cstheme="majorHAnsi"/>
          <w:sz w:val="22"/>
          <w:szCs w:val="22"/>
        </w:rPr>
        <w:t xml:space="preserve"> with </w:t>
      </w:r>
      <w:r w:rsidR="0016254E" w:rsidRPr="00CE4C7D">
        <w:rPr>
          <w:rFonts w:asciiTheme="majorHAnsi" w:hAnsiTheme="majorHAnsi" w:cstheme="majorHAnsi"/>
          <w:sz w:val="22"/>
          <w:szCs w:val="22"/>
        </w:rPr>
        <w:t xml:space="preserve">energy </w:t>
      </w:r>
      <w:r w:rsidR="00867353" w:rsidRPr="00CE4C7D">
        <w:rPr>
          <w:rFonts w:asciiTheme="majorHAnsi" w:hAnsiTheme="majorHAnsi" w:cstheme="majorHAnsi"/>
          <w:sz w:val="22"/>
          <w:szCs w:val="22"/>
        </w:rPr>
        <w:t>demand as an</w:t>
      </w:r>
      <w:r w:rsidR="0016254E" w:rsidRPr="00CE4C7D">
        <w:rPr>
          <w:rFonts w:asciiTheme="majorHAnsi" w:hAnsiTheme="majorHAnsi" w:cstheme="majorHAnsi"/>
          <w:sz w:val="22"/>
          <w:szCs w:val="22"/>
        </w:rPr>
        <w:t xml:space="preserve"> </w:t>
      </w:r>
      <w:r w:rsidR="00867353" w:rsidRPr="00CE4C7D">
        <w:rPr>
          <w:rFonts w:asciiTheme="majorHAnsi" w:hAnsiTheme="majorHAnsi" w:cstheme="majorHAnsi"/>
          <w:sz w:val="22"/>
          <w:szCs w:val="22"/>
        </w:rPr>
        <w:t>outcome of social practice</w:t>
      </w:r>
      <w:r w:rsidR="0016254E" w:rsidRPr="00CE4C7D">
        <w:rPr>
          <w:rFonts w:asciiTheme="majorHAnsi" w:hAnsiTheme="majorHAnsi" w:cstheme="majorHAnsi"/>
          <w:sz w:val="22"/>
          <w:szCs w:val="22"/>
        </w:rPr>
        <w:t>s</w:t>
      </w:r>
      <w:r w:rsidR="00023C34" w:rsidRPr="00CE4C7D">
        <w:rPr>
          <w:rFonts w:asciiTheme="majorHAnsi" w:hAnsiTheme="majorHAnsi" w:cstheme="majorHAnsi"/>
          <w:sz w:val="22"/>
          <w:szCs w:val="22"/>
        </w:rPr>
        <w:t xml:space="preserve"> (as mentioned above)</w:t>
      </w:r>
      <w:r w:rsidR="0016254E" w:rsidRPr="00CE4C7D">
        <w:rPr>
          <w:rFonts w:asciiTheme="majorHAnsi" w:hAnsiTheme="majorHAnsi" w:cstheme="majorHAnsi"/>
          <w:sz w:val="22"/>
          <w:szCs w:val="22"/>
        </w:rPr>
        <w:t xml:space="preserve">, relatively few of these have so far paid attention to the role of non-energy policies. </w:t>
      </w:r>
    </w:p>
    <w:p w14:paraId="4ADC445F" w14:textId="77777777" w:rsidR="002A7794" w:rsidRPr="00CE4C7D" w:rsidRDefault="002A7794" w:rsidP="00F25A95">
      <w:pPr>
        <w:autoSpaceDE w:val="0"/>
        <w:autoSpaceDN w:val="0"/>
        <w:adjustRightInd w:val="0"/>
        <w:rPr>
          <w:rFonts w:asciiTheme="majorHAnsi" w:hAnsiTheme="majorHAnsi" w:cstheme="majorHAnsi"/>
          <w:color w:val="5F497A" w:themeColor="accent4" w:themeShade="BF"/>
          <w:sz w:val="22"/>
          <w:szCs w:val="22"/>
        </w:rPr>
      </w:pPr>
    </w:p>
    <w:p w14:paraId="541BB5FE" w14:textId="658F9177" w:rsidR="005F0FC5" w:rsidRPr="00CE4C7D" w:rsidRDefault="00AF1CBB" w:rsidP="00F25A95">
      <w:pPr>
        <w:rPr>
          <w:rFonts w:asciiTheme="majorHAnsi" w:hAnsiTheme="majorHAnsi" w:cstheme="majorHAnsi"/>
          <w:sz w:val="22"/>
          <w:szCs w:val="22"/>
        </w:rPr>
      </w:pPr>
      <w:r w:rsidRPr="00CE4C7D">
        <w:rPr>
          <w:rFonts w:asciiTheme="majorHAnsi" w:hAnsiTheme="majorHAnsi" w:cstheme="majorHAnsi"/>
          <w:sz w:val="22"/>
          <w:szCs w:val="22"/>
        </w:rPr>
        <w:t>Another problem is that</w:t>
      </w:r>
      <w:r w:rsidR="00282309" w:rsidRPr="00CE4C7D">
        <w:rPr>
          <w:rFonts w:asciiTheme="majorHAnsi" w:hAnsiTheme="majorHAnsi" w:cstheme="majorHAnsi"/>
          <w:sz w:val="22"/>
          <w:szCs w:val="22"/>
        </w:rPr>
        <w:t xml:space="preserve"> the issue </w:t>
      </w:r>
      <w:r w:rsidR="00867353" w:rsidRPr="00CE4C7D">
        <w:rPr>
          <w:rFonts w:asciiTheme="majorHAnsi" w:hAnsiTheme="majorHAnsi" w:cstheme="majorHAnsi"/>
          <w:sz w:val="22"/>
          <w:szCs w:val="22"/>
        </w:rPr>
        <w:t xml:space="preserve">of </w:t>
      </w:r>
      <w:r w:rsidR="00867353" w:rsidRPr="00CE4C7D">
        <w:rPr>
          <w:rFonts w:asciiTheme="majorHAnsi" w:eastAsia="AdvOT596495f2+20" w:hAnsiTheme="majorHAnsi" w:cstheme="majorHAnsi"/>
          <w:sz w:val="22"/>
          <w:szCs w:val="22"/>
        </w:rPr>
        <w:t>‘</w:t>
      </w:r>
      <w:r w:rsidR="00867353" w:rsidRPr="00CE4C7D">
        <w:rPr>
          <w:rFonts w:asciiTheme="majorHAnsi" w:hAnsiTheme="majorHAnsi" w:cstheme="majorHAnsi"/>
          <w:sz w:val="22"/>
          <w:szCs w:val="22"/>
        </w:rPr>
        <w:t>non-energy</w:t>
      </w:r>
      <w:r w:rsidR="00D81939" w:rsidRPr="00CE4C7D">
        <w:rPr>
          <w:rFonts w:asciiTheme="majorHAnsi" w:hAnsiTheme="majorHAnsi" w:cstheme="majorHAnsi"/>
          <w:sz w:val="22"/>
          <w:szCs w:val="22"/>
        </w:rPr>
        <w:t xml:space="preserve"> </w:t>
      </w:r>
      <w:r w:rsidR="00867353" w:rsidRPr="00CE4C7D">
        <w:rPr>
          <w:rFonts w:asciiTheme="majorHAnsi" w:hAnsiTheme="majorHAnsi" w:cstheme="majorHAnsi"/>
          <w:sz w:val="22"/>
          <w:szCs w:val="22"/>
        </w:rPr>
        <w:t>policy</w:t>
      </w:r>
      <w:r w:rsidR="00867353" w:rsidRPr="00CE4C7D">
        <w:rPr>
          <w:rFonts w:asciiTheme="majorHAnsi" w:eastAsia="AdvOT596495f2+20" w:hAnsiTheme="majorHAnsi" w:cstheme="majorHAnsi"/>
          <w:sz w:val="22"/>
          <w:szCs w:val="22"/>
        </w:rPr>
        <w:t xml:space="preserve">’ </w:t>
      </w:r>
      <w:r w:rsidR="00867353" w:rsidRPr="00CE4C7D">
        <w:rPr>
          <w:rFonts w:asciiTheme="majorHAnsi" w:hAnsiTheme="majorHAnsi" w:cstheme="majorHAnsi"/>
          <w:sz w:val="22"/>
          <w:szCs w:val="22"/>
        </w:rPr>
        <w:t xml:space="preserve">is so </w:t>
      </w:r>
      <w:r w:rsidR="00D81939" w:rsidRPr="00CE4C7D">
        <w:rPr>
          <w:rFonts w:asciiTheme="majorHAnsi" w:hAnsiTheme="majorHAnsi" w:cstheme="majorHAnsi"/>
          <w:sz w:val="22"/>
          <w:szCs w:val="22"/>
        </w:rPr>
        <w:t xml:space="preserve">wide-ranging </w:t>
      </w:r>
      <w:r w:rsidR="00867353" w:rsidRPr="00CE4C7D">
        <w:rPr>
          <w:rFonts w:asciiTheme="majorHAnsi" w:hAnsiTheme="majorHAnsi" w:cstheme="majorHAnsi"/>
          <w:sz w:val="22"/>
          <w:szCs w:val="22"/>
        </w:rPr>
        <w:t xml:space="preserve">and complex that it is difficult </w:t>
      </w:r>
      <w:r w:rsidR="00D81939" w:rsidRPr="00CE4C7D">
        <w:rPr>
          <w:rFonts w:asciiTheme="majorHAnsi" w:hAnsiTheme="majorHAnsi" w:cstheme="majorHAnsi"/>
          <w:sz w:val="22"/>
          <w:szCs w:val="22"/>
        </w:rPr>
        <w:t xml:space="preserve">for researchers and </w:t>
      </w:r>
      <w:proofErr w:type="gramStart"/>
      <w:r w:rsidR="00D81939" w:rsidRPr="00CE4C7D">
        <w:rPr>
          <w:rFonts w:asciiTheme="majorHAnsi" w:hAnsiTheme="majorHAnsi" w:cstheme="majorHAnsi"/>
          <w:sz w:val="22"/>
          <w:szCs w:val="22"/>
        </w:rPr>
        <w:t>policy-makers</w:t>
      </w:r>
      <w:proofErr w:type="gramEnd"/>
      <w:r w:rsidR="00D81939" w:rsidRPr="00CE4C7D">
        <w:rPr>
          <w:rFonts w:asciiTheme="majorHAnsi" w:hAnsiTheme="majorHAnsi" w:cstheme="majorHAnsi"/>
          <w:sz w:val="22"/>
          <w:szCs w:val="22"/>
        </w:rPr>
        <w:t xml:space="preserve"> to find practical action points.  </w:t>
      </w:r>
      <w:r w:rsidR="00595684" w:rsidRPr="00CE4C7D">
        <w:rPr>
          <w:rFonts w:asciiTheme="majorHAnsi" w:hAnsiTheme="majorHAnsi" w:cstheme="majorHAnsi"/>
          <w:sz w:val="22"/>
          <w:szCs w:val="22"/>
        </w:rPr>
        <w:t xml:space="preserve">This is </w:t>
      </w:r>
      <w:r w:rsidR="00595684" w:rsidRPr="00CE4C7D">
        <w:rPr>
          <w:rFonts w:asciiTheme="majorHAnsi" w:hAnsiTheme="majorHAnsi" w:cstheme="majorHAnsi"/>
          <w:sz w:val="22"/>
          <w:szCs w:val="22"/>
        </w:rPr>
        <w:lastRenderedPageBreak/>
        <w:t>compounded by a paucity of data, as highlighted by Cox et al. (2016).  Furthermore, r</w:t>
      </w:r>
      <w:r w:rsidR="00D81939" w:rsidRPr="00CE4C7D">
        <w:rPr>
          <w:rFonts w:asciiTheme="majorHAnsi" w:hAnsiTheme="majorHAnsi" w:cstheme="majorHAnsi"/>
          <w:sz w:val="22"/>
          <w:szCs w:val="22"/>
        </w:rPr>
        <w:t>ecognising the impacts of non-energy policy might mean touching on sensitive priorities, breaking boundaries, and building new cross-organi</w:t>
      </w:r>
      <w:r w:rsidR="0029692E" w:rsidRPr="00CE4C7D">
        <w:rPr>
          <w:rFonts w:asciiTheme="majorHAnsi" w:hAnsiTheme="majorHAnsi" w:cstheme="majorHAnsi"/>
          <w:sz w:val="22"/>
          <w:szCs w:val="22"/>
        </w:rPr>
        <w:t>z</w:t>
      </w:r>
      <w:r w:rsidR="00D81939" w:rsidRPr="00CE4C7D">
        <w:rPr>
          <w:rFonts w:asciiTheme="majorHAnsi" w:hAnsiTheme="majorHAnsi" w:cstheme="majorHAnsi"/>
          <w:sz w:val="22"/>
          <w:szCs w:val="22"/>
        </w:rPr>
        <w:t xml:space="preserve">ational ways of working: these are not simple tasks. </w:t>
      </w:r>
      <w:r w:rsidR="00DA1C36" w:rsidRPr="00CE4C7D">
        <w:rPr>
          <w:rFonts w:asciiTheme="majorHAnsi" w:hAnsiTheme="majorHAnsi" w:cstheme="majorHAnsi"/>
          <w:sz w:val="22"/>
          <w:szCs w:val="22"/>
        </w:rPr>
        <w:t>P</w:t>
      </w:r>
      <w:r w:rsidR="00D81939" w:rsidRPr="00CE4C7D">
        <w:rPr>
          <w:rFonts w:asciiTheme="majorHAnsi" w:hAnsiTheme="majorHAnsi" w:cstheme="majorHAnsi"/>
          <w:sz w:val="22"/>
          <w:szCs w:val="22"/>
        </w:rPr>
        <w:t>rofessionals tasked with managing energy demand</w:t>
      </w:r>
      <w:r w:rsidR="00B91B44" w:rsidRPr="00CE4C7D">
        <w:rPr>
          <w:rFonts w:asciiTheme="majorHAnsi" w:hAnsiTheme="majorHAnsi" w:cstheme="majorHAnsi"/>
          <w:sz w:val="22"/>
          <w:szCs w:val="22"/>
        </w:rPr>
        <w:t xml:space="preserve"> often</w:t>
      </w:r>
      <w:r w:rsidR="00595684" w:rsidRPr="00CE4C7D">
        <w:rPr>
          <w:rFonts w:asciiTheme="majorHAnsi" w:hAnsiTheme="majorHAnsi" w:cstheme="majorHAnsi"/>
          <w:sz w:val="22"/>
          <w:szCs w:val="22"/>
        </w:rPr>
        <w:t xml:space="preserve"> encounter institutional obstacles in trying to bring about a more holistic approach to energy demand management</w:t>
      </w:r>
      <w:r w:rsidR="00C12383" w:rsidRPr="00CE4C7D">
        <w:rPr>
          <w:rFonts w:asciiTheme="majorHAnsi" w:hAnsiTheme="majorHAnsi" w:cstheme="majorHAnsi"/>
          <w:sz w:val="22"/>
          <w:szCs w:val="22"/>
        </w:rPr>
        <w:t xml:space="preserve"> (see Royston, Selby and </w:t>
      </w:r>
      <w:proofErr w:type="spellStart"/>
      <w:r w:rsidR="00C12383" w:rsidRPr="00CE4C7D">
        <w:rPr>
          <w:rFonts w:asciiTheme="majorHAnsi" w:hAnsiTheme="majorHAnsi" w:cstheme="majorHAnsi"/>
          <w:sz w:val="22"/>
          <w:szCs w:val="22"/>
        </w:rPr>
        <w:t>Kesidou</w:t>
      </w:r>
      <w:proofErr w:type="spellEnd"/>
      <w:r w:rsidR="00C12383" w:rsidRPr="00CE4C7D">
        <w:rPr>
          <w:rFonts w:asciiTheme="majorHAnsi" w:hAnsiTheme="majorHAnsi" w:cstheme="majorHAnsi"/>
          <w:sz w:val="22"/>
          <w:szCs w:val="22"/>
        </w:rPr>
        <w:t>, 2020).</w:t>
      </w:r>
      <w:r w:rsidR="00351229" w:rsidRPr="00CE4C7D">
        <w:rPr>
          <w:rFonts w:asciiTheme="majorHAnsi" w:hAnsiTheme="majorHAnsi" w:cstheme="majorHAnsi"/>
          <w:sz w:val="22"/>
          <w:szCs w:val="22"/>
        </w:rPr>
        <w:t xml:space="preserve"> </w:t>
      </w:r>
      <w:r w:rsidR="003D0330" w:rsidRPr="00CE4C7D">
        <w:rPr>
          <w:rFonts w:asciiTheme="majorHAnsi" w:hAnsiTheme="majorHAnsi" w:cstheme="majorHAnsi"/>
          <w:sz w:val="22"/>
          <w:szCs w:val="22"/>
        </w:rPr>
        <w:t>Fundamentally, a</w:t>
      </w:r>
      <w:r w:rsidR="003743AF" w:rsidRPr="00CE4C7D">
        <w:rPr>
          <w:rFonts w:asciiTheme="majorHAnsi" w:hAnsiTheme="majorHAnsi" w:cstheme="majorHAnsi"/>
          <w:sz w:val="22"/>
          <w:szCs w:val="22"/>
        </w:rPr>
        <w:t xml:space="preserve">ny </w:t>
      </w:r>
      <w:r w:rsidR="00867353" w:rsidRPr="00CE4C7D">
        <w:rPr>
          <w:rFonts w:asciiTheme="majorHAnsi" w:hAnsiTheme="majorHAnsi" w:cstheme="majorHAnsi"/>
          <w:sz w:val="22"/>
          <w:szCs w:val="22"/>
        </w:rPr>
        <w:t>institution</w:t>
      </w:r>
      <w:r w:rsidR="003743AF" w:rsidRPr="00CE4C7D">
        <w:rPr>
          <w:rFonts w:asciiTheme="majorHAnsi" w:hAnsiTheme="majorHAnsi" w:cstheme="majorHAnsi"/>
          <w:sz w:val="22"/>
          <w:szCs w:val="22"/>
        </w:rPr>
        <w:t xml:space="preserve"> will have its own core business or agenda</w:t>
      </w:r>
      <w:r w:rsidR="003D0330" w:rsidRPr="00CE4C7D">
        <w:rPr>
          <w:rFonts w:asciiTheme="majorHAnsi" w:hAnsiTheme="majorHAnsi" w:cstheme="majorHAnsi"/>
          <w:sz w:val="22"/>
          <w:szCs w:val="22"/>
        </w:rPr>
        <w:t>,</w:t>
      </w:r>
      <w:r w:rsidR="003743AF" w:rsidRPr="00CE4C7D">
        <w:rPr>
          <w:rFonts w:asciiTheme="majorHAnsi" w:hAnsiTheme="majorHAnsi" w:cstheme="majorHAnsi"/>
          <w:sz w:val="22"/>
          <w:szCs w:val="22"/>
        </w:rPr>
        <w:t xml:space="preserve"> and other concerns such as energy demand </w:t>
      </w:r>
      <w:r w:rsidR="00BF2155" w:rsidRPr="00CE4C7D">
        <w:rPr>
          <w:rFonts w:asciiTheme="majorHAnsi" w:hAnsiTheme="majorHAnsi" w:cstheme="majorHAnsi"/>
          <w:sz w:val="22"/>
          <w:szCs w:val="22"/>
        </w:rPr>
        <w:t xml:space="preserve">will </w:t>
      </w:r>
      <w:r w:rsidR="003743AF" w:rsidRPr="00CE4C7D">
        <w:rPr>
          <w:rFonts w:asciiTheme="majorHAnsi" w:hAnsiTheme="majorHAnsi" w:cstheme="majorHAnsi"/>
          <w:sz w:val="22"/>
          <w:szCs w:val="22"/>
        </w:rPr>
        <w:t xml:space="preserve">hold a more peripheral status. </w:t>
      </w:r>
      <w:r w:rsidR="005531EB" w:rsidRPr="00CE4C7D">
        <w:rPr>
          <w:rFonts w:asciiTheme="majorHAnsi" w:hAnsiTheme="majorHAnsi" w:cstheme="majorHAnsi"/>
          <w:sz w:val="22"/>
          <w:szCs w:val="22"/>
        </w:rPr>
        <w:t xml:space="preserve">However, recognising such </w:t>
      </w:r>
      <w:r w:rsidR="00F93B9A" w:rsidRPr="00CE4C7D">
        <w:rPr>
          <w:rFonts w:asciiTheme="majorHAnsi" w:hAnsiTheme="majorHAnsi" w:cstheme="majorHAnsi"/>
          <w:sz w:val="22"/>
          <w:szCs w:val="22"/>
        </w:rPr>
        <w:t>‘</w:t>
      </w:r>
      <w:r w:rsidR="005531EB" w:rsidRPr="00CE4C7D">
        <w:rPr>
          <w:rFonts w:asciiTheme="majorHAnsi" w:hAnsiTheme="majorHAnsi" w:cstheme="majorHAnsi"/>
          <w:sz w:val="22"/>
          <w:szCs w:val="22"/>
        </w:rPr>
        <w:t>peripherality</w:t>
      </w:r>
      <w:r w:rsidR="00F93B9A" w:rsidRPr="00CE4C7D">
        <w:rPr>
          <w:rFonts w:asciiTheme="majorHAnsi" w:hAnsiTheme="majorHAnsi" w:cstheme="majorHAnsi"/>
          <w:sz w:val="22"/>
          <w:szCs w:val="22"/>
        </w:rPr>
        <w:t>’</w:t>
      </w:r>
      <w:r w:rsidR="005531EB" w:rsidRPr="00CE4C7D">
        <w:rPr>
          <w:rFonts w:asciiTheme="majorHAnsi" w:hAnsiTheme="majorHAnsi" w:cstheme="majorHAnsi"/>
          <w:sz w:val="22"/>
          <w:szCs w:val="22"/>
        </w:rPr>
        <w:t xml:space="preserve"> does not imply </w:t>
      </w:r>
      <w:r w:rsidR="00DF0C28" w:rsidRPr="00CE4C7D">
        <w:rPr>
          <w:rFonts w:asciiTheme="majorHAnsi" w:hAnsiTheme="majorHAnsi" w:cstheme="majorHAnsi"/>
          <w:sz w:val="22"/>
          <w:szCs w:val="22"/>
        </w:rPr>
        <w:t>that this status</w:t>
      </w:r>
      <w:r w:rsidR="005531EB" w:rsidRPr="00CE4C7D">
        <w:rPr>
          <w:rFonts w:asciiTheme="majorHAnsi" w:hAnsiTheme="majorHAnsi" w:cstheme="majorHAnsi"/>
          <w:sz w:val="22"/>
          <w:szCs w:val="22"/>
        </w:rPr>
        <w:t xml:space="preserve"> is inevitable,</w:t>
      </w:r>
      <w:r w:rsidR="00BF2155" w:rsidRPr="00CE4C7D">
        <w:rPr>
          <w:rFonts w:asciiTheme="majorHAnsi" w:hAnsiTheme="majorHAnsi" w:cstheme="majorHAnsi"/>
          <w:sz w:val="22"/>
          <w:szCs w:val="22"/>
        </w:rPr>
        <w:t xml:space="preserve"> absolute, </w:t>
      </w:r>
      <w:r w:rsidR="003D0330" w:rsidRPr="00CE4C7D">
        <w:rPr>
          <w:rFonts w:asciiTheme="majorHAnsi" w:hAnsiTheme="majorHAnsi" w:cstheme="majorHAnsi"/>
          <w:sz w:val="22"/>
          <w:szCs w:val="22"/>
        </w:rPr>
        <w:t xml:space="preserve">or </w:t>
      </w:r>
      <w:r w:rsidR="00DF0C28" w:rsidRPr="00CE4C7D">
        <w:rPr>
          <w:rFonts w:asciiTheme="majorHAnsi" w:hAnsiTheme="majorHAnsi" w:cstheme="majorHAnsi"/>
          <w:sz w:val="22"/>
          <w:szCs w:val="22"/>
        </w:rPr>
        <w:t>permanent.</w:t>
      </w:r>
    </w:p>
    <w:p w14:paraId="5A4C9E80" w14:textId="77777777" w:rsidR="009B51E1" w:rsidRPr="00CE4C7D" w:rsidRDefault="009B51E1" w:rsidP="00F25A95">
      <w:pPr>
        <w:rPr>
          <w:rFonts w:asciiTheme="majorHAnsi" w:hAnsiTheme="majorHAnsi"/>
          <w:sz w:val="22"/>
          <w:szCs w:val="22"/>
        </w:rPr>
      </w:pPr>
    </w:p>
    <w:p w14:paraId="5A2D1075" w14:textId="6EF107C9" w:rsidR="002A4269" w:rsidRPr="00CE4C7D" w:rsidRDefault="00E73D46" w:rsidP="00F25A95">
      <w:pPr>
        <w:autoSpaceDE w:val="0"/>
        <w:autoSpaceDN w:val="0"/>
        <w:adjustRightInd w:val="0"/>
        <w:rPr>
          <w:rFonts w:asciiTheme="majorHAnsi" w:hAnsiTheme="majorHAnsi" w:cstheme="majorHAnsi"/>
          <w:sz w:val="22"/>
          <w:szCs w:val="22"/>
        </w:rPr>
      </w:pPr>
      <w:proofErr w:type="gramStart"/>
      <w:r w:rsidRPr="00CE4C7D">
        <w:rPr>
          <w:rFonts w:asciiTheme="majorHAnsi" w:hAnsiTheme="majorHAnsi" w:cstheme="majorHAnsi"/>
          <w:sz w:val="22"/>
          <w:szCs w:val="22"/>
        </w:rPr>
        <w:t>Obviously</w:t>
      </w:r>
      <w:proofErr w:type="gramEnd"/>
      <w:r w:rsidRPr="00CE4C7D">
        <w:rPr>
          <w:rFonts w:asciiTheme="majorHAnsi" w:hAnsiTheme="majorHAnsi" w:cstheme="majorHAnsi"/>
          <w:sz w:val="22"/>
          <w:szCs w:val="22"/>
        </w:rPr>
        <w:t xml:space="preserve"> there are</w:t>
      </w:r>
      <w:r w:rsidR="005F0FC5" w:rsidRPr="00CE4C7D">
        <w:rPr>
          <w:rFonts w:asciiTheme="majorHAnsi" w:hAnsiTheme="majorHAnsi" w:cstheme="majorHAnsi"/>
          <w:sz w:val="22"/>
          <w:szCs w:val="22"/>
        </w:rPr>
        <w:t xml:space="preserve"> major challenges to any efforts to ‘integrate’</w:t>
      </w:r>
      <w:r w:rsidR="00AF1CBB" w:rsidRPr="00CE4C7D">
        <w:rPr>
          <w:rFonts w:asciiTheme="majorHAnsi" w:hAnsiTheme="majorHAnsi" w:cstheme="majorHAnsi"/>
          <w:sz w:val="22"/>
          <w:szCs w:val="22"/>
        </w:rPr>
        <w:t xml:space="preserve"> </w:t>
      </w:r>
      <w:r w:rsidR="005F0FC5" w:rsidRPr="00CE4C7D">
        <w:rPr>
          <w:rFonts w:asciiTheme="majorHAnsi" w:hAnsiTheme="majorHAnsi" w:cstheme="majorHAnsi"/>
          <w:sz w:val="22"/>
          <w:szCs w:val="22"/>
        </w:rPr>
        <w:t xml:space="preserve">or ‘mainstream’ non-energy policies into energy agendas, and vice versa.  </w:t>
      </w:r>
      <w:r w:rsidR="00DF45D5" w:rsidRPr="00CE4C7D">
        <w:rPr>
          <w:rFonts w:asciiTheme="majorHAnsi" w:hAnsiTheme="majorHAnsi" w:cstheme="majorHAnsi"/>
          <w:sz w:val="22"/>
          <w:szCs w:val="22"/>
        </w:rPr>
        <w:t>However, w</w:t>
      </w:r>
      <w:r w:rsidR="00E24354" w:rsidRPr="00CE4C7D">
        <w:rPr>
          <w:rFonts w:asciiTheme="majorHAnsi" w:hAnsiTheme="majorHAnsi" w:cstheme="majorHAnsi"/>
          <w:sz w:val="22"/>
          <w:szCs w:val="22"/>
        </w:rPr>
        <w:t>e can learn from experiences</w:t>
      </w:r>
      <w:r w:rsidR="002A4269" w:rsidRPr="00CE4C7D">
        <w:rPr>
          <w:rFonts w:asciiTheme="majorHAnsi" w:hAnsiTheme="majorHAnsi" w:cstheme="majorHAnsi"/>
          <w:sz w:val="22"/>
          <w:szCs w:val="22"/>
        </w:rPr>
        <w:t xml:space="preserve"> in other</w:t>
      </w:r>
      <w:r w:rsidR="00A120DC" w:rsidRPr="00CE4C7D">
        <w:rPr>
          <w:rFonts w:asciiTheme="majorHAnsi" w:hAnsiTheme="majorHAnsi" w:cstheme="majorHAnsi"/>
          <w:sz w:val="22"/>
          <w:szCs w:val="22"/>
        </w:rPr>
        <w:t xml:space="preserve"> </w:t>
      </w:r>
      <w:proofErr w:type="gramStart"/>
      <w:r w:rsidR="00E24354" w:rsidRPr="00CE4C7D">
        <w:rPr>
          <w:rFonts w:asciiTheme="majorHAnsi" w:hAnsiTheme="majorHAnsi" w:cstheme="majorHAnsi"/>
          <w:sz w:val="22"/>
          <w:szCs w:val="22"/>
        </w:rPr>
        <w:t>sector</w:t>
      </w:r>
      <w:r w:rsidR="002A4269" w:rsidRPr="00CE4C7D">
        <w:rPr>
          <w:rFonts w:asciiTheme="majorHAnsi" w:hAnsiTheme="majorHAnsi" w:cstheme="majorHAnsi"/>
          <w:sz w:val="22"/>
          <w:szCs w:val="22"/>
        </w:rPr>
        <w:t>s</w:t>
      </w:r>
      <w:r w:rsidR="00E24354" w:rsidRPr="00CE4C7D">
        <w:rPr>
          <w:rFonts w:asciiTheme="majorHAnsi" w:hAnsiTheme="majorHAnsi" w:cstheme="majorHAnsi"/>
          <w:sz w:val="22"/>
          <w:szCs w:val="22"/>
        </w:rPr>
        <w:t>;</w:t>
      </w:r>
      <w:proofErr w:type="gramEnd"/>
      <w:r w:rsidR="00E24354" w:rsidRPr="00CE4C7D">
        <w:rPr>
          <w:rFonts w:asciiTheme="majorHAnsi" w:hAnsiTheme="majorHAnsi" w:cstheme="majorHAnsi"/>
          <w:sz w:val="22"/>
          <w:szCs w:val="22"/>
        </w:rPr>
        <w:t xml:space="preserve"> for example, agendas around </w:t>
      </w:r>
      <w:r w:rsidR="002A4269" w:rsidRPr="00CE4C7D">
        <w:rPr>
          <w:rFonts w:asciiTheme="majorHAnsi" w:hAnsiTheme="majorHAnsi" w:cstheme="majorHAnsi"/>
          <w:sz w:val="22"/>
          <w:szCs w:val="22"/>
        </w:rPr>
        <w:t>equality and diversit</w:t>
      </w:r>
      <w:r w:rsidR="00E24354" w:rsidRPr="00CE4C7D">
        <w:rPr>
          <w:rFonts w:asciiTheme="majorHAnsi" w:hAnsiTheme="majorHAnsi" w:cstheme="majorHAnsi"/>
          <w:sz w:val="22"/>
          <w:szCs w:val="22"/>
        </w:rPr>
        <w:t xml:space="preserve">y. </w:t>
      </w:r>
      <w:r w:rsidR="002A4269" w:rsidRPr="00CE4C7D">
        <w:rPr>
          <w:rFonts w:asciiTheme="majorHAnsi" w:hAnsiTheme="majorHAnsi" w:cstheme="majorHAnsi"/>
          <w:sz w:val="22"/>
          <w:szCs w:val="22"/>
        </w:rPr>
        <w:t xml:space="preserve"> </w:t>
      </w:r>
      <w:r w:rsidR="00E24354" w:rsidRPr="00CE4C7D">
        <w:rPr>
          <w:rFonts w:asciiTheme="majorHAnsi" w:hAnsiTheme="majorHAnsi" w:cstheme="majorHAnsi"/>
          <w:sz w:val="22"/>
          <w:szCs w:val="22"/>
        </w:rPr>
        <w:t xml:space="preserve">In the </w:t>
      </w:r>
      <w:r w:rsidR="00B91B44" w:rsidRPr="00CE4C7D">
        <w:rPr>
          <w:rFonts w:asciiTheme="majorHAnsi" w:hAnsiTheme="majorHAnsi" w:cstheme="majorHAnsi"/>
          <w:sz w:val="22"/>
          <w:szCs w:val="22"/>
        </w:rPr>
        <w:t xml:space="preserve">not-too-distant </w:t>
      </w:r>
      <w:r w:rsidR="00E24354" w:rsidRPr="00CE4C7D">
        <w:rPr>
          <w:rFonts w:asciiTheme="majorHAnsi" w:hAnsiTheme="majorHAnsi" w:cstheme="majorHAnsi"/>
          <w:sz w:val="22"/>
          <w:szCs w:val="22"/>
        </w:rPr>
        <w:t xml:space="preserve">past, these objectives </w:t>
      </w:r>
      <w:r w:rsidR="002A4269" w:rsidRPr="00CE4C7D">
        <w:rPr>
          <w:rFonts w:asciiTheme="majorHAnsi" w:hAnsiTheme="majorHAnsi" w:cstheme="majorHAnsi"/>
          <w:sz w:val="22"/>
          <w:szCs w:val="22"/>
        </w:rPr>
        <w:t xml:space="preserve">were </w:t>
      </w:r>
      <w:r w:rsidR="00E24354" w:rsidRPr="00CE4C7D">
        <w:rPr>
          <w:rFonts w:asciiTheme="majorHAnsi" w:hAnsiTheme="majorHAnsi" w:cstheme="majorHAnsi"/>
          <w:sz w:val="22"/>
          <w:szCs w:val="22"/>
        </w:rPr>
        <w:t xml:space="preserve">seen as </w:t>
      </w:r>
      <w:r w:rsidR="002A4269" w:rsidRPr="00CE4C7D">
        <w:rPr>
          <w:rFonts w:asciiTheme="majorHAnsi" w:hAnsiTheme="majorHAnsi" w:cstheme="majorHAnsi"/>
          <w:sz w:val="22"/>
          <w:szCs w:val="22"/>
        </w:rPr>
        <w:t xml:space="preserve">relatively </w:t>
      </w:r>
      <w:r w:rsidR="00E24354" w:rsidRPr="00CE4C7D">
        <w:rPr>
          <w:rFonts w:asciiTheme="majorHAnsi" w:hAnsiTheme="majorHAnsi" w:cstheme="majorHAnsi"/>
          <w:sz w:val="22"/>
          <w:szCs w:val="22"/>
        </w:rPr>
        <w:t>peripheral in relation to the</w:t>
      </w:r>
      <w:r w:rsidR="002A4269" w:rsidRPr="00CE4C7D">
        <w:rPr>
          <w:rFonts w:asciiTheme="majorHAnsi" w:hAnsiTheme="majorHAnsi" w:cstheme="majorHAnsi"/>
          <w:sz w:val="22"/>
          <w:szCs w:val="22"/>
        </w:rPr>
        <w:t xml:space="preserve"> priorities of m</w:t>
      </w:r>
      <w:r w:rsidR="00E24354" w:rsidRPr="00CE4C7D">
        <w:rPr>
          <w:rFonts w:asciiTheme="majorHAnsi" w:hAnsiTheme="majorHAnsi" w:cstheme="majorHAnsi"/>
          <w:sz w:val="22"/>
          <w:szCs w:val="22"/>
        </w:rPr>
        <w:t xml:space="preserve">any </w:t>
      </w:r>
      <w:r w:rsidR="002A4269" w:rsidRPr="00CE4C7D">
        <w:rPr>
          <w:rFonts w:asciiTheme="majorHAnsi" w:hAnsiTheme="majorHAnsi" w:cstheme="majorHAnsi"/>
          <w:sz w:val="22"/>
          <w:szCs w:val="22"/>
        </w:rPr>
        <w:t xml:space="preserve">institutions. </w:t>
      </w:r>
      <w:r w:rsidR="00E24354" w:rsidRPr="00CE4C7D">
        <w:rPr>
          <w:rFonts w:asciiTheme="majorHAnsi" w:hAnsiTheme="majorHAnsi" w:cstheme="majorHAnsi"/>
          <w:sz w:val="22"/>
          <w:szCs w:val="22"/>
        </w:rPr>
        <w:t xml:space="preserve">However, </w:t>
      </w:r>
      <w:r w:rsidR="002A4269" w:rsidRPr="00CE4C7D">
        <w:rPr>
          <w:rFonts w:asciiTheme="majorHAnsi" w:hAnsiTheme="majorHAnsi" w:cstheme="majorHAnsi"/>
          <w:sz w:val="22"/>
          <w:szCs w:val="22"/>
        </w:rPr>
        <w:t xml:space="preserve">equality and diversity </w:t>
      </w:r>
      <w:r w:rsidR="00E24354" w:rsidRPr="00CE4C7D">
        <w:rPr>
          <w:rFonts w:asciiTheme="majorHAnsi" w:hAnsiTheme="majorHAnsi" w:cstheme="majorHAnsi"/>
          <w:sz w:val="22"/>
          <w:szCs w:val="22"/>
        </w:rPr>
        <w:t>agendas</w:t>
      </w:r>
      <w:r w:rsidR="002A4269" w:rsidRPr="00CE4C7D">
        <w:rPr>
          <w:rFonts w:asciiTheme="majorHAnsi" w:hAnsiTheme="majorHAnsi" w:cstheme="majorHAnsi"/>
          <w:sz w:val="22"/>
          <w:szCs w:val="22"/>
        </w:rPr>
        <w:t xml:space="preserve"> have to a significant, </w:t>
      </w:r>
      <w:r w:rsidR="00E24354" w:rsidRPr="00CE4C7D">
        <w:rPr>
          <w:rFonts w:asciiTheme="majorHAnsi" w:hAnsiTheme="majorHAnsi" w:cstheme="majorHAnsi"/>
          <w:sz w:val="22"/>
          <w:szCs w:val="22"/>
        </w:rPr>
        <w:t>albeit</w:t>
      </w:r>
      <w:r w:rsidR="002A4269" w:rsidRPr="00CE4C7D">
        <w:rPr>
          <w:rFonts w:asciiTheme="majorHAnsi" w:hAnsiTheme="majorHAnsi" w:cstheme="majorHAnsi"/>
          <w:sz w:val="22"/>
          <w:szCs w:val="22"/>
        </w:rPr>
        <w:t xml:space="preserve"> uneven,</w:t>
      </w:r>
      <w:r w:rsidR="00A120DC" w:rsidRPr="00CE4C7D">
        <w:rPr>
          <w:rFonts w:asciiTheme="majorHAnsi" w:hAnsiTheme="majorHAnsi" w:cstheme="majorHAnsi"/>
          <w:sz w:val="22"/>
          <w:szCs w:val="22"/>
        </w:rPr>
        <w:t xml:space="preserve"> </w:t>
      </w:r>
      <w:r w:rsidR="002A4269" w:rsidRPr="00CE4C7D">
        <w:rPr>
          <w:rFonts w:asciiTheme="majorHAnsi" w:hAnsiTheme="majorHAnsi" w:cstheme="majorHAnsi"/>
          <w:sz w:val="22"/>
          <w:szCs w:val="22"/>
        </w:rPr>
        <w:t>degree be</w:t>
      </w:r>
      <w:r w:rsidR="00E24354" w:rsidRPr="00CE4C7D">
        <w:rPr>
          <w:rFonts w:asciiTheme="majorHAnsi" w:hAnsiTheme="majorHAnsi" w:cstheme="majorHAnsi"/>
          <w:sz w:val="22"/>
          <w:szCs w:val="22"/>
        </w:rPr>
        <w:t>come</w:t>
      </w:r>
      <w:r w:rsidR="002A4269" w:rsidRPr="00CE4C7D">
        <w:rPr>
          <w:rFonts w:asciiTheme="majorHAnsi" w:hAnsiTheme="majorHAnsi" w:cstheme="majorHAnsi"/>
          <w:sz w:val="22"/>
          <w:szCs w:val="22"/>
        </w:rPr>
        <w:t xml:space="preserve"> </w:t>
      </w:r>
      <w:r w:rsidR="002A4269" w:rsidRPr="00CE4C7D">
        <w:rPr>
          <w:rFonts w:asciiTheme="majorHAnsi" w:eastAsia="AdvOT596495f2+20" w:hAnsiTheme="majorHAnsi" w:cstheme="majorHAnsi"/>
          <w:sz w:val="22"/>
          <w:szCs w:val="22"/>
        </w:rPr>
        <w:t>‘</w:t>
      </w:r>
      <w:r w:rsidR="002A4269" w:rsidRPr="00CE4C7D">
        <w:rPr>
          <w:rFonts w:asciiTheme="majorHAnsi" w:hAnsiTheme="majorHAnsi" w:cstheme="majorHAnsi"/>
          <w:sz w:val="22"/>
          <w:szCs w:val="22"/>
        </w:rPr>
        <w:t>mainstream</w:t>
      </w:r>
      <w:r w:rsidR="00E24354" w:rsidRPr="00CE4C7D">
        <w:rPr>
          <w:rFonts w:asciiTheme="majorHAnsi" w:hAnsiTheme="majorHAnsi" w:cstheme="majorHAnsi"/>
          <w:sz w:val="22"/>
          <w:szCs w:val="22"/>
        </w:rPr>
        <w:t>ed</w:t>
      </w:r>
      <w:r w:rsidR="002A4269" w:rsidRPr="00CE4C7D">
        <w:rPr>
          <w:rFonts w:asciiTheme="majorHAnsi" w:eastAsia="AdvOT596495f2+20" w:hAnsiTheme="majorHAnsi" w:cstheme="majorHAnsi"/>
          <w:sz w:val="22"/>
          <w:szCs w:val="22"/>
        </w:rPr>
        <w:t xml:space="preserve">’ </w:t>
      </w:r>
      <w:r w:rsidR="00E24354" w:rsidRPr="00CE4C7D">
        <w:rPr>
          <w:rFonts w:asciiTheme="majorHAnsi" w:hAnsiTheme="majorHAnsi" w:cstheme="majorHAnsi"/>
          <w:sz w:val="22"/>
          <w:szCs w:val="22"/>
        </w:rPr>
        <w:t>into</w:t>
      </w:r>
      <w:r w:rsidR="002A4269" w:rsidRPr="00CE4C7D">
        <w:rPr>
          <w:rFonts w:asciiTheme="majorHAnsi" w:hAnsiTheme="majorHAnsi" w:cstheme="majorHAnsi"/>
          <w:sz w:val="22"/>
          <w:szCs w:val="22"/>
        </w:rPr>
        <w:t xml:space="preserve"> institution</w:t>
      </w:r>
      <w:r w:rsidR="00E24354" w:rsidRPr="00CE4C7D">
        <w:rPr>
          <w:rFonts w:asciiTheme="majorHAnsi" w:hAnsiTheme="majorHAnsi" w:cstheme="majorHAnsi"/>
          <w:sz w:val="22"/>
          <w:szCs w:val="22"/>
        </w:rPr>
        <w:t xml:space="preserve">al ways of working </w:t>
      </w:r>
      <w:r w:rsidR="002A4269" w:rsidRPr="00CE4C7D">
        <w:rPr>
          <w:rFonts w:asciiTheme="majorHAnsi" w:hAnsiTheme="majorHAnsi" w:cstheme="majorHAnsi"/>
          <w:sz w:val="22"/>
          <w:szCs w:val="22"/>
        </w:rPr>
        <w:t xml:space="preserve">(Moser and Moser, 2005). </w:t>
      </w:r>
      <w:r w:rsidR="001B32C7" w:rsidRPr="00CE4C7D">
        <w:rPr>
          <w:rFonts w:asciiTheme="majorHAnsi" w:hAnsiTheme="majorHAnsi" w:cstheme="majorHAnsi"/>
          <w:sz w:val="22"/>
          <w:szCs w:val="22"/>
        </w:rPr>
        <w:t xml:space="preserve"> </w:t>
      </w:r>
      <w:r w:rsidR="008953EA" w:rsidRPr="00CE4C7D">
        <w:rPr>
          <w:rFonts w:asciiTheme="majorHAnsi" w:hAnsiTheme="majorHAnsi" w:cstheme="majorHAnsi"/>
          <w:sz w:val="22"/>
          <w:szCs w:val="22"/>
        </w:rPr>
        <w:t xml:space="preserve">They are becoming </w:t>
      </w:r>
      <w:r w:rsidR="00AF1CBB" w:rsidRPr="00CE4C7D">
        <w:rPr>
          <w:rFonts w:asciiTheme="majorHAnsi" w:hAnsiTheme="majorHAnsi" w:cstheme="majorHAnsi"/>
          <w:sz w:val="22"/>
          <w:szCs w:val="22"/>
        </w:rPr>
        <w:t xml:space="preserve">gradually </w:t>
      </w:r>
      <w:r w:rsidR="008953EA" w:rsidRPr="00CE4C7D">
        <w:rPr>
          <w:rFonts w:asciiTheme="majorHAnsi" w:hAnsiTheme="majorHAnsi" w:cstheme="majorHAnsi"/>
          <w:sz w:val="22"/>
          <w:szCs w:val="22"/>
        </w:rPr>
        <w:t xml:space="preserve">embedded throughout institutions’ employment and pay, workload management and the design and operation of buildings. </w:t>
      </w:r>
      <w:proofErr w:type="gramStart"/>
      <w:r w:rsidR="001B32C7" w:rsidRPr="00CE4C7D">
        <w:rPr>
          <w:rFonts w:asciiTheme="majorHAnsi" w:hAnsiTheme="majorHAnsi" w:cstheme="majorHAnsi"/>
          <w:sz w:val="22"/>
          <w:szCs w:val="22"/>
        </w:rPr>
        <w:t>Of course</w:t>
      </w:r>
      <w:proofErr w:type="gramEnd"/>
      <w:r w:rsidR="001B32C7" w:rsidRPr="00CE4C7D">
        <w:rPr>
          <w:rFonts w:asciiTheme="majorHAnsi" w:hAnsiTheme="majorHAnsi" w:cstheme="majorHAnsi"/>
          <w:sz w:val="22"/>
          <w:szCs w:val="22"/>
        </w:rPr>
        <w:t xml:space="preserve"> </w:t>
      </w:r>
      <w:r w:rsidR="002A4269" w:rsidRPr="00CE4C7D">
        <w:rPr>
          <w:rFonts w:asciiTheme="majorHAnsi" w:hAnsiTheme="majorHAnsi" w:cstheme="majorHAnsi"/>
          <w:sz w:val="22"/>
          <w:szCs w:val="22"/>
        </w:rPr>
        <w:t xml:space="preserve">this mainstreaming </w:t>
      </w:r>
      <w:r w:rsidR="001B32C7" w:rsidRPr="00CE4C7D">
        <w:rPr>
          <w:rFonts w:asciiTheme="majorHAnsi" w:hAnsiTheme="majorHAnsi" w:cstheme="majorHAnsi"/>
          <w:sz w:val="22"/>
          <w:szCs w:val="22"/>
        </w:rPr>
        <w:t xml:space="preserve">is </w:t>
      </w:r>
      <w:r w:rsidR="00DF45D5" w:rsidRPr="00CE4C7D">
        <w:rPr>
          <w:rFonts w:asciiTheme="majorHAnsi" w:hAnsiTheme="majorHAnsi" w:cstheme="majorHAnsi"/>
          <w:sz w:val="22"/>
          <w:szCs w:val="22"/>
        </w:rPr>
        <w:t xml:space="preserve">by no means </w:t>
      </w:r>
      <w:r w:rsidR="001B32C7" w:rsidRPr="00CE4C7D">
        <w:rPr>
          <w:rFonts w:asciiTheme="majorHAnsi" w:hAnsiTheme="majorHAnsi" w:cstheme="majorHAnsi"/>
          <w:sz w:val="22"/>
          <w:szCs w:val="22"/>
        </w:rPr>
        <w:t xml:space="preserve">finished, </w:t>
      </w:r>
      <w:r w:rsidR="00DF45D5" w:rsidRPr="00CE4C7D">
        <w:rPr>
          <w:rFonts w:asciiTheme="majorHAnsi" w:hAnsiTheme="majorHAnsi" w:cstheme="majorHAnsi"/>
          <w:sz w:val="22"/>
          <w:szCs w:val="22"/>
        </w:rPr>
        <w:t>n</w:t>
      </w:r>
      <w:r w:rsidR="001B32C7" w:rsidRPr="00CE4C7D">
        <w:rPr>
          <w:rFonts w:asciiTheme="majorHAnsi" w:hAnsiTheme="majorHAnsi" w:cstheme="majorHAnsi"/>
          <w:sz w:val="22"/>
          <w:szCs w:val="22"/>
        </w:rPr>
        <w:t xml:space="preserve">or </w:t>
      </w:r>
      <w:r w:rsidR="002A4269" w:rsidRPr="00CE4C7D">
        <w:rPr>
          <w:rFonts w:asciiTheme="majorHAnsi" w:hAnsiTheme="majorHAnsi" w:cstheme="majorHAnsi"/>
          <w:sz w:val="22"/>
          <w:szCs w:val="22"/>
        </w:rPr>
        <w:t xml:space="preserve">has </w:t>
      </w:r>
      <w:r w:rsidR="00DF45D5" w:rsidRPr="00CE4C7D">
        <w:rPr>
          <w:rFonts w:asciiTheme="majorHAnsi" w:hAnsiTheme="majorHAnsi" w:cstheme="majorHAnsi"/>
          <w:sz w:val="22"/>
          <w:szCs w:val="22"/>
        </w:rPr>
        <w:t xml:space="preserve">it </w:t>
      </w:r>
      <w:r w:rsidR="002A4269" w:rsidRPr="00CE4C7D">
        <w:rPr>
          <w:rFonts w:asciiTheme="majorHAnsi" w:hAnsiTheme="majorHAnsi" w:cstheme="majorHAnsi"/>
          <w:sz w:val="22"/>
          <w:szCs w:val="22"/>
        </w:rPr>
        <w:t>been uniformly successful</w:t>
      </w:r>
      <w:r w:rsidR="001B32C7" w:rsidRPr="00CE4C7D">
        <w:rPr>
          <w:rFonts w:asciiTheme="majorHAnsi" w:hAnsiTheme="majorHAnsi" w:cstheme="majorHAnsi"/>
          <w:sz w:val="22"/>
          <w:szCs w:val="22"/>
        </w:rPr>
        <w:t xml:space="preserve"> </w:t>
      </w:r>
      <w:r w:rsidR="002A4269" w:rsidRPr="00CE4C7D">
        <w:rPr>
          <w:rFonts w:asciiTheme="majorHAnsi" w:hAnsiTheme="majorHAnsi" w:cstheme="majorHAnsi"/>
          <w:sz w:val="22"/>
          <w:szCs w:val="22"/>
        </w:rPr>
        <w:t xml:space="preserve">(Rees, 2005). </w:t>
      </w:r>
      <w:r w:rsidR="001B32C7" w:rsidRPr="00CE4C7D">
        <w:rPr>
          <w:rFonts w:asciiTheme="majorHAnsi" w:hAnsiTheme="majorHAnsi" w:cstheme="majorHAnsi"/>
          <w:sz w:val="22"/>
          <w:szCs w:val="22"/>
        </w:rPr>
        <w:t xml:space="preserve">Nonetheless, it is widely accepted that institutions of all kinds can and should meet </w:t>
      </w:r>
      <w:r w:rsidR="002A4269" w:rsidRPr="00CE4C7D">
        <w:rPr>
          <w:rFonts w:asciiTheme="majorHAnsi" w:hAnsiTheme="majorHAnsi" w:cstheme="majorHAnsi"/>
          <w:sz w:val="22"/>
          <w:szCs w:val="22"/>
        </w:rPr>
        <w:t xml:space="preserve">equalities objectives </w:t>
      </w:r>
      <w:r w:rsidR="001B32C7" w:rsidRPr="00CE4C7D">
        <w:rPr>
          <w:rFonts w:asciiTheme="majorHAnsi" w:hAnsiTheme="majorHAnsi" w:cstheme="majorHAnsi"/>
          <w:sz w:val="22"/>
          <w:szCs w:val="22"/>
        </w:rPr>
        <w:t>alongside</w:t>
      </w:r>
      <w:r w:rsidR="002A4269" w:rsidRPr="00CE4C7D">
        <w:rPr>
          <w:rFonts w:asciiTheme="majorHAnsi" w:hAnsiTheme="majorHAnsi" w:cstheme="majorHAnsi"/>
          <w:sz w:val="22"/>
          <w:szCs w:val="22"/>
        </w:rPr>
        <w:t xml:space="preserve"> their core goals. </w:t>
      </w:r>
      <w:r w:rsidR="008B7300" w:rsidRPr="00CE4C7D">
        <w:rPr>
          <w:rFonts w:asciiTheme="majorHAnsi" w:hAnsiTheme="majorHAnsi" w:cstheme="majorHAnsi"/>
          <w:sz w:val="22"/>
          <w:szCs w:val="22"/>
        </w:rPr>
        <w:t>It</w:t>
      </w:r>
      <w:r w:rsidR="001B32C7" w:rsidRPr="00CE4C7D">
        <w:rPr>
          <w:rFonts w:asciiTheme="majorHAnsi" w:hAnsiTheme="majorHAnsi" w:cstheme="majorHAnsi"/>
          <w:sz w:val="22"/>
          <w:szCs w:val="22"/>
        </w:rPr>
        <w:t xml:space="preserve"> is at least possible that energy demand agendas could be similarly mainstreamed.</w:t>
      </w:r>
    </w:p>
    <w:p w14:paraId="19240756" w14:textId="163A3CD8" w:rsidR="00FC2F1E" w:rsidRPr="00CE4C7D" w:rsidRDefault="00FC2F1E" w:rsidP="00F25A95">
      <w:pPr>
        <w:rPr>
          <w:rFonts w:asciiTheme="majorHAnsi" w:hAnsiTheme="majorHAnsi" w:cstheme="majorHAnsi"/>
          <w:sz w:val="22"/>
          <w:szCs w:val="22"/>
        </w:rPr>
      </w:pPr>
    </w:p>
    <w:p w14:paraId="25C28D27" w14:textId="034F696B" w:rsidR="006A389D" w:rsidRPr="00CE4C7D" w:rsidRDefault="00FC2F1E" w:rsidP="00F25A95">
      <w:pPr>
        <w:rPr>
          <w:rFonts w:asciiTheme="majorHAnsi" w:hAnsiTheme="majorHAnsi" w:cstheme="majorHAnsi"/>
          <w:sz w:val="22"/>
          <w:szCs w:val="22"/>
        </w:rPr>
      </w:pPr>
      <w:r w:rsidRPr="00CE4C7D">
        <w:rPr>
          <w:rFonts w:asciiTheme="majorHAnsi" w:hAnsiTheme="majorHAnsi" w:cstheme="majorHAnsi"/>
          <w:sz w:val="22"/>
          <w:szCs w:val="22"/>
        </w:rPr>
        <w:t xml:space="preserve">Another field that suggests useful </w:t>
      </w:r>
      <w:r w:rsidR="00621ABE" w:rsidRPr="00CE4C7D">
        <w:rPr>
          <w:rFonts w:asciiTheme="majorHAnsi" w:hAnsiTheme="majorHAnsi" w:cstheme="majorHAnsi"/>
          <w:sz w:val="22"/>
          <w:szCs w:val="22"/>
        </w:rPr>
        <w:t xml:space="preserve">precedents is that of health.  </w:t>
      </w:r>
      <w:r w:rsidRPr="00CE4C7D">
        <w:rPr>
          <w:rFonts w:asciiTheme="majorHAnsi" w:hAnsiTheme="majorHAnsi" w:cstheme="majorHAnsi"/>
          <w:sz w:val="22"/>
          <w:szCs w:val="22"/>
        </w:rPr>
        <w:t xml:space="preserve">Increasingly it is understood that people’s health is not just affected by policies directly on healthcare, but a wide range of areas of life.  </w:t>
      </w:r>
      <w:r w:rsidR="00A214BA" w:rsidRPr="00CE4C7D">
        <w:rPr>
          <w:rFonts w:asciiTheme="majorHAnsi" w:hAnsiTheme="majorHAnsi" w:cstheme="majorHAnsi"/>
          <w:sz w:val="22"/>
          <w:szCs w:val="22"/>
        </w:rPr>
        <w:t xml:space="preserve">Over several decades, such thinking </w:t>
      </w:r>
      <w:r w:rsidRPr="00CE4C7D">
        <w:rPr>
          <w:rFonts w:asciiTheme="majorHAnsi" w:hAnsiTheme="majorHAnsi" w:cstheme="majorHAnsi"/>
          <w:sz w:val="22"/>
          <w:szCs w:val="22"/>
        </w:rPr>
        <w:t xml:space="preserve">has led to the mainstreaming of health-related agendas into other fields, for example, </w:t>
      </w:r>
      <w:r w:rsidR="007A5342" w:rsidRPr="00CE4C7D">
        <w:rPr>
          <w:rFonts w:asciiTheme="majorHAnsi" w:hAnsiTheme="majorHAnsi" w:cstheme="majorHAnsi"/>
          <w:sz w:val="22"/>
          <w:szCs w:val="22"/>
        </w:rPr>
        <w:t xml:space="preserve">by </w:t>
      </w:r>
      <w:r w:rsidRPr="00CE4C7D">
        <w:rPr>
          <w:rFonts w:asciiTheme="majorHAnsi" w:hAnsiTheme="majorHAnsi" w:cstheme="majorHAnsi"/>
          <w:sz w:val="22"/>
          <w:szCs w:val="22"/>
        </w:rPr>
        <w:t xml:space="preserve">focusing on </w:t>
      </w:r>
      <w:r w:rsidR="002A4269" w:rsidRPr="00CE4C7D">
        <w:rPr>
          <w:rFonts w:asciiTheme="majorHAnsi" w:hAnsiTheme="majorHAnsi" w:cstheme="majorHAnsi"/>
          <w:sz w:val="22"/>
          <w:szCs w:val="22"/>
        </w:rPr>
        <w:t>the safety of people at work (</w:t>
      </w:r>
      <w:r w:rsidRPr="00CE4C7D">
        <w:rPr>
          <w:rFonts w:asciiTheme="majorHAnsi" w:eastAsia="AdvOT596495f2+20" w:hAnsiTheme="majorHAnsi" w:cstheme="majorHAnsi"/>
          <w:sz w:val="22"/>
          <w:szCs w:val="22"/>
        </w:rPr>
        <w:t>h</w:t>
      </w:r>
      <w:r w:rsidR="002A4269" w:rsidRPr="00CE4C7D">
        <w:rPr>
          <w:rFonts w:asciiTheme="majorHAnsi" w:hAnsiTheme="majorHAnsi" w:cstheme="majorHAnsi"/>
          <w:sz w:val="22"/>
          <w:szCs w:val="22"/>
        </w:rPr>
        <w:t>ealth and safety policies), support</w:t>
      </w:r>
      <w:r w:rsidRPr="00CE4C7D">
        <w:rPr>
          <w:rFonts w:asciiTheme="majorHAnsi" w:hAnsiTheme="majorHAnsi" w:cstheme="majorHAnsi"/>
          <w:sz w:val="22"/>
          <w:szCs w:val="22"/>
        </w:rPr>
        <w:t>ing</w:t>
      </w:r>
      <w:r w:rsidR="002A4269" w:rsidRPr="00CE4C7D">
        <w:rPr>
          <w:rFonts w:asciiTheme="majorHAnsi" w:hAnsiTheme="majorHAnsi" w:cstheme="majorHAnsi"/>
          <w:sz w:val="22"/>
          <w:szCs w:val="22"/>
        </w:rPr>
        <w:t xml:space="preserve"> </w:t>
      </w:r>
      <w:r w:rsidR="003B0713" w:rsidRPr="00CE4C7D">
        <w:rPr>
          <w:rFonts w:asciiTheme="majorHAnsi" w:hAnsiTheme="majorHAnsi" w:cstheme="majorHAnsi"/>
          <w:sz w:val="22"/>
          <w:szCs w:val="22"/>
        </w:rPr>
        <w:t>those</w:t>
      </w:r>
      <w:r w:rsidR="002A4269" w:rsidRPr="00CE4C7D">
        <w:rPr>
          <w:rFonts w:asciiTheme="majorHAnsi" w:hAnsiTheme="majorHAnsi" w:cstheme="majorHAnsi"/>
          <w:sz w:val="22"/>
          <w:szCs w:val="22"/>
        </w:rPr>
        <w:t xml:space="preserve"> with physical and mental </w:t>
      </w:r>
      <w:r w:rsidRPr="00CE4C7D">
        <w:rPr>
          <w:rFonts w:asciiTheme="majorHAnsi" w:hAnsiTheme="majorHAnsi" w:cstheme="majorHAnsi"/>
          <w:sz w:val="22"/>
          <w:szCs w:val="22"/>
        </w:rPr>
        <w:t xml:space="preserve">conditions </w:t>
      </w:r>
      <w:r w:rsidR="002A4269" w:rsidRPr="00CE4C7D">
        <w:rPr>
          <w:rFonts w:asciiTheme="majorHAnsi" w:hAnsiTheme="majorHAnsi" w:cstheme="majorHAnsi"/>
          <w:sz w:val="22"/>
          <w:szCs w:val="22"/>
        </w:rPr>
        <w:t>(occupational</w:t>
      </w:r>
      <w:r w:rsidRPr="00CE4C7D">
        <w:rPr>
          <w:rFonts w:asciiTheme="majorHAnsi" w:hAnsiTheme="majorHAnsi" w:cstheme="majorHAnsi"/>
          <w:sz w:val="22"/>
          <w:szCs w:val="22"/>
        </w:rPr>
        <w:t xml:space="preserve"> </w:t>
      </w:r>
      <w:r w:rsidR="002A4269" w:rsidRPr="00CE4C7D">
        <w:rPr>
          <w:rFonts w:asciiTheme="majorHAnsi" w:hAnsiTheme="majorHAnsi" w:cstheme="majorHAnsi"/>
          <w:sz w:val="22"/>
          <w:szCs w:val="22"/>
        </w:rPr>
        <w:t>health policies), regulat</w:t>
      </w:r>
      <w:r w:rsidRPr="00CE4C7D">
        <w:rPr>
          <w:rFonts w:asciiTheme="majorHAnsi" w:hAnsiTheme="majorHAnsi" w:cstheme="majorHAnsi"/>
          <w:sz w:val="22"/>
          <w:szCs w:val="22"/>
        </w:rPr>
        <w:t>i</w:t>
      </w:r>
      <w:r w:rsidR="003B0713" w:rsidRPr="00CE4C7D">
        <w:rPr>
          <w:rFonts w:asciiTheme="majorHAnsi" w:hAnsiTheme="majorHAnsi" w:cstheme="majorHAnsi"/>
          <w:sz w:val="22"/>
          <w:szCs w:val="22"/>
        </w:rPr>
        <w:t>ng</w:t>
      </w:r>
      <w:r w:rsidR="002A4269" w:rsidRPr="00CE4C7D">
        <w:rPr>
          <w:rFonts w:asciiTheme="majorHAnsi" w:hAnsiTheme="majorHAnsi" w:cstheme="majorHAnsi"/>
          <w:sz w:val="22"/>
          <w:szCs w:val="22"/>
        </w:rPr>
        <w:t xml:space="preserve"> food standards, and so on.</w:t>
      </w:r>
      <w:r w:rsidR="00A47A26" w:rsidRPr="00CE4C7D">
        <w:rPr>
          <w:rFonts w:asciiTheme="majorHAnsi" w:hAnsiTheme="majorHAnsi" w:cstheme="majorHAnsi"/>
          <w:sz w:val="22"/>
          <w:szCs w:val="22"/>
        </w:rPr>
        <w:t xml:space="preserve"> </w:t>
      </w:r>
      <w:r w:rsidR="00762190" w:rsidRPr="00CE4C7D">
        <w:rPr>
          <w:rFonts w:asciiTheme="majorHAnsi" w:hAnsiTheme="majorHAnsi" w:cstheme="majorHAnsi"/>
          <w:sz w:val="22"/>
          <w:szCs w:val="22"/>
        </w:rPr>
        <w:t>T</w:t>
      </w:r>
      <w:r w:rsidR="00A47A26" w:rsidRPr="00CE4C7D">
        <w:rPr>
          <w:rFonts w:asciiTheme="majorHAnsi" w:hAnsiTheme="majorHAnsi" w:cstheme="majorHAnsi"/>
          <w:sz w:val="22"/>
          <w:szCs w:val="22"/>
        </w:rPr>
        <w:t xml:space="preserve">hese examples remind us that </w:t>
      </w:r>
      <w:r w:rsidR="002A4269" w:rsidRPr="00CE4C7D">
        <w:rPr>
          <w:rFonts w:asciiTheme="majorHAnsi" w:hAnsiTheme="majorHAnsi" w:cstheme="majorHAnsi"/>
          <w:sz w:val="22"/>
          <w:szCs w:val="22"/>
        </w:rPr>
        <w:t>societies and institutions are</w:t>
      </w:r>
      <w:r w:rsidR="00A47A26" w:rsidRPr="00CE4C7D">
        <w:rPr>
          <w:rFonts w:asciiTheme="majorHAnsi" w:hAnsiTheme="majorHAnsi" w:cstheme="majorHAnsi"/>
          <w:sz w:val="22"/>
          <w:szCs w:val="22"/>
        </w:rPr>
        <w:t xml:space="preserve"> pervaded by diverse </w:t>
      </w:r>
      <w:r w:rsidR="002A4269" w:rsidRPr="00CE4C7D">
        <w:rPr>
          <w:rFonts w:asciiTheme="majorHAnsi" w:hAnsiTheme="majorHAnsi" w:cstheme="majorHAnsi"/>
          <w:sz w:val="22"/>
          <w:szCs w:val="22"/>
        </w:rPr>
        <w:t>governance agendas,</w:t>
      </w:r>
      <w:r w:rsidR="00A47A26" w:rsidRPr="00CE4C7D">
        <w:rPr>
          <w:rFonts w:asciiTheme="majorHAnsi" w:hAnsiTheme="majorHAnsi" w:cstheme="majorHAnsi"/>
          <w:sz w:val="22"/>
          <w:szCs w:val="22"/>
        </w:rPr>
        <w:t xml:space="preserve"> </w:t>
      </w:r>
      <w:r w:rsidR="002A4269" w:rsidRPr="00CE4C7D">
        <w:rPr>
          <w:rFonts w:asciiTheme="majorHAnsi" w:hAnsiTheme="majorHAnsi" w:cstheme="majorHAnsi"/>
          <w:sz w:val="22"/>
          <w:szCs w:val="22"/>
        </w:rPr>
        <w:t xml:space="preserve">and </w:t>
      </w:r>
      <w:r w:rsidR="00A47A26" w:rsidRPr="00CE4C7D">
        <w:rPr>
          <w:rFonts w:asciiTheme="majorHAnsi" w:hAnsiTheme="majorHAnsi" w:cstheme="majorHAnsi"/>
          <w:sz w:val="22"/>
          <w:szCs w:val="22"/>
        </w:rPr>
        <w:t xml:space="preserve">tensions between </w:t>
      </w:r>
      <w:r w:rsidR="002A4269" w:rsidRPr="00CE4C7D">
        <w:rPr>
          <w:rFonts w:asciiTheme="majorHAnsi" w:hAnsiTheme="majorHAnsi" w:cstheme="majorHAnsi"/>
          <w:sz w:val="22"/>
          <w:szCs w:val="22"/>
        </w:rPr>
        <w:t>these agendas</w:t>
      </w:r>
      <w:r w:rsidR="00A47A26" w:rsidRPr="00CE4C7D">
        <w:rPr>
          <w:rFonts w:asciiTheme="majorHAnsi" w:hAnsiTheme="majorHAnsi" w:cstheme="majorHAnsi"/>
          <w:sz w:val="22"/>
          <w:szCs w:val="22"/>
        </w:rPr>
        <w:t xml:space="preserve"> are not new. </w:t>
      </w:r>
      <w:r w:rsidR="00762190" w:rsidRPr="00CE4C7D">
        <w:rPr>
          <w:rFonts w:asciiTheme="majorHAnsi" w:hAnsiTheme="majorHAnsi" w:cstheme="majorHAnsi"/>
          <w:sz w:val="22"/>
          <w:szCs w:val="22"/>
        </w:rPr>
        <w:t xml:space="preserve">At the same time, it is notable that </w:t>
      </w:r>
      <w:r w:rsidR="009237B0" w:rsidRPr="00CE4C7D">
        <w:rPr>
          <w:rFonts w:asciiTheme="majorHAnsi" w:hAnsiTheme="majorHAnsi" w:cstheme="majorHAnsi"/>
          <w:sz w:val="22"/>
          <w:szCs w:val="22"/>
        </w:rPr>
        <w:t xml:space="preserve">each attempt at mainstreaming has involved </w:t>
      </w:r>
      <w:r w:rsidR="002A4269" w:rsidRPr="00CE4C7D">
        <w:rPr>
          <w:rFonts w:asciiTheme="majorHAnsi" w:hAnsiTheme="majorHAnsi" w:cstheme="majorHAnsi"/>
          <w:sz w:val="22"/>
          <w:szCs w:val="22"/>
        </w:rPr>
        <w:t>centrali</w:t>
      </w:r>
      <w:r w:rsidR="000A25B3" w:rsidRPr="00CE4C7D">
        <w:rPr>
          <w:rFonts w:asciiTheme="majorHAnsi" w:hAnsiTheme="majorHAnsi" w:cstheme="majorHAnsi"/>
          <w:sz w:val="22"/>
          <w:szCs w:val="22"/>
        </w:rPr>
        <w:t>z</w:t>
      </w:r>
      <w:r w:rsidR="002A4269" w:rsidRPr="00CE4C7D">
        <w:rPr>
          <w:rFonts w:asciiTheme="majorHAnsi" w:hAnsiTheme="majorHAnsi" w:cstheme="majorHAnsi"/>
          <w:sz w:val="22"/>
          <w:szCs w:val="22"/>
        </w:rPr>
        <w:t>ed legislation</w:t>
      </w:r>
      <w:r w:rsidR="00A120DC" w:rsidRPr="00CE4C7D">
        <w:rPr>
          <w:rFonts w:asciiTheme="majorHAnsi" w:hAnsiTheme="majorHAnsi" w:cstheme="majorHAnsi"/>
          <w:sz w:val="22"/>
          <w:szCs w:val="22"/>
        </w:rPr>
        <w:t xml:space="preserve"> </w:t>
      </w:r>
      <w:r w:rsidR="009237B0" w:rsidRPr="00CE4C7D">
        <w:rPr>
          <w:rFonts w:asciiTheme="majorHAnsi" w:hAnsiTheme="majorHAnsi" w:cstheme="majorHAnsi"/>
          <w:sz w:val="22"/>
          <w:szCs w:val="22"/>
        </w:rPr>
        <w:t>with</w:t>
      </w:r>
      <w:r w:rsidR="002A4269" w:rsidRPr="00CE4C7D">
        <w:rPr>
          <w:rFonts w:asciiTheme="majorHAnsi" w:hAnsiTheme="majorHAnsi" w:cstheme="majorHAnsi"/>
          <w:sz w:val="22"/>
          <w:szCs w:val="22"/>
        </w:rPr>
        <w:t xml:space="preserve"> judicial enforcement</w:t>
      </w:r>
      <w:r w:rsidR="009237B0" w:rsidRPr="00CE4C7D">
        <w:rPr>
          <w:rFonts w:asciiTheme="majorHAnsi" w:hAnsiTheme="majorHAnsi" w:cstheme="majorHAnsi"/>
          <w:sz w:val="22"/>
          <w:szCs w:val="22"/>
        </w:rPr>
        <w:t xml:space="preserve">, alongside </w:t>
      </w:r>
      <w:r w:rsidR="002A4269" w:rsidRPr="00CE4C7D">
        <w:rPr>
          <w:rFonts w:asciiTheme="majorHAnsi" w:hAnsiTheme="majorHAnsi" w:cstheme="majorHAnsi"/>
          <w:sz w:val="22"/>
          <w:szCs w:val="22"/>
        </w:rPr>
        <w:t>new</w:t>
      </w:r>
      <w:r w:rsidR="009237B0" w:rsidRPr="00CE4C7D">
        <w:rPr>
          <w:rFonts w:asciiTheme="majorHAnsi" w:hAnsiTheme="majorHAnsi" w:cstheme="majorHAnsi"/>
          <w:sz w:val="22"/>
          <w:szCs w:val="22"/>
        </w:rPr>
        <w:t xml:space="preserve"> </w:t>
      </w:r>
      <w:r w:rsidR="002A4269" w:rsidRPr="00CE4C7D">
        <w:rPr>
          <w:rFonts w:asciiTheme="majorHAnsi" w:hAnsiTheme="majorHAnsi" w:cstheme="majorHAnsi"/>
          <w:sz w:val="22"/>
          <w:szCs w:val="22"/>
        </w:rPr>
        <w:t>cultures of best practice.</w:t>
      </w:r>
    </w:p>
    <w:p w14:paraId="2E1E2B71" w14:textId="77777777" w:rsidR="006A389D" w:rsidRPr="00CE4C7D" w:rsidRDefault="006A389D" w:rsidP="00F25A95">
      <w:pPr>
        <w:autoSpaceDE w:val="0"/>
        <w:autoSpaceDN w:val="0"/>
        <w:adjustRightInd w:val="0"/>
        <w:rPr>
          <w:rFonts w:asciiTheme="majorHAnsi" w:hAnsiTheme="majorHAnsi" w:cstheme="majorHAnsi"/>
          <w:color w:val="5F497A" w:themeColor="accent4" w:themeShade="BF"/>
          <w:sz w:val="22"/>
          <w:szCs w:val="22"/>
        </w:rPr>
      </w:pPr>
    </w:p>
    <w:p w14:paraId="4E844A3B" w14:textId="29B8FDCA" w:rsidR="00883F7B" w:rsidRPr="00CE4C7D" w:rsidRDefault="004E2AAE" w:rsidP="00F25A95">
      <w:pPr>
        <w:autoSpaceDE w:val="0"/>
        <w:autoSpaceDN w:val="0"/>
        <w:adjustRightInd w:val="0"/>
        <w:rPr>
          <w:rFonts w:asciiTheme="majorHAnsi" w:hAnsiTheme="majorHAnsi" w:cstheme="majorHAnsi"/>
          <w:sz w:val="22"/>
          <w:szCs w:val="22"/>
        </w:rPr>
      </w:pPr>
      <w:r w:rsidRPr="00CE4C7D">
        <w:rPr>
          <w:rFonts w:asciiTheme="majorHAnsi" w:hAnsiTheme="majorHAnsi" w:cstheme="majorHAnsi"/>
          <w:sz w:val="22"/>
          <w:szCs w:val="22"/>
        </w:rPr>
        <w:t xml:space="preserve">We can infer from this that </w:t>
      </w:r>
      <w:r w:rsidR="002A4269" w:rsidRPr="00CE4C7D">
        <w:rPr>
          <w:rFonts w:asciiTheme="majorHAnsi" w:hAnsiTheme="majorHAnsi" w:cstheme="majorHAnsi"/>
          <w:sz w:val="22"/>
          <w:szCs w:val="22"/>
        </w:rPr>
        <w:t xml:space="preserve">mainstreaming </w:t>
      </w:r>
      <w:r w:rsidRPr="00CE4C7D">
        <w:rPr>
          <w:rFonts w:asciiTheme="majorHAnsi" w:hAnsiTheme="majorHAnsi" w:cstheme="majorHAnsi"/>
          <w:sz w:val="22"/>
          <w:szCs w:val="22"/>
        </w:rPr>
        <w:t xml:space="preserve">a focus on </w:t>
      </w:r>
      <w:r w:rsidR="002A4269" w:rsidRPr="00CE4C7D">
        <w:rPr>
          <w:rFonts w:asciiTheme="majorHAnsi" w:hAnsiTheme="majorHAnsi" w:cstheme="majorHAnsi"/>
          <w:sz w:val="22"/>
          <w:szCs w:val="22"/>
        </w:rPr>
        <w:t>energy demand</w:t>
      </w:r>
      <w:r w:rsidRPr="00CE4C7D">
        <w:rPr>
          <w:rFonts w:asciiTheme="majorHAnsi" w:hAnsiTheme="majorHAnsi" w:cstheme="majorHAnsi"/>
          <w:sz w:val="22"/>
          <w:szCs w:val="22"/>
        </w:rPr>
        <w:t xml:space="preserve"> across sectors and institutions </w:t>
      </w:r>
      <w:r w:rsidR="002A4269" w:rsidRPr="00CE4C7D">
        <w:rPr>
          <w:rFonts w:asciiTheme="majorHAnsi" w:hAnsiTheme="majorHAnsi" w:cstheme="majorHAnsi"/>
          <w:sz w:val="22"/>
          <w:szCs w:val="22"/>
        </w:rPr>
        <w:t>is not impossible</w:t>
      </w:r>
      <w:r w:rsidRPr="00CE4C7D">
        <w:rPr>
          <w:rFonts w:asciiTheme="majorHAnsi" w:hAnsiTheme="majorHAnsi" w:cstheme="majorHAnsi"/>
          <w:sz w:val="22"/>
          <w:szCs w:val="22"/>
        </w:rPr>
        <w:t>. The most obvious</w:t>
      </w:r>
      <w:r w:rsidR="000372C0" w:rsidRPr="00CE4C7D">
        <w:rPr>
          <w:rFonts w:asciiTheme="majorHAnsi" w:hAnsiTheme="majorHAnsi" w:cstheme="majorHAnsi"/>
          <w:sz w:val="22"/>
          <w:szCs w:val="22"/>
        </w:rPr>
        <w:t xml:space="preserve"> change needed</w:t>
      </w:r>
      <w:r w:rsidRPr="00CE4C7D">
        <w:rPr>
          <w:rFonts w:asciiTheme="majorHAnsi" w:hAnsiTheme="majorHAnsi" w:cstheme="majorHAnsi"/>
          <w:sz w:val="22"/>
          <w:szCs w:val="22"/>
        </w:rPr>
        <w:t xml:space="preserve"> is much stronger legislative action on energy demand</w:t>
      </w:r>
      <w:r w:rsidR="00684365" w:rsidRPr="00CE4C7D">
        <w:rPr>
          <w:rFonts w:asciiTheme="majorHAnsi" w:hAnsiTheme="majorHAnsi" w:cstheme="majorHAnsi"/>
          <w:sz w:val="22"/>
          <w:szCs w:val="22"/>
        </w:rPr>
        <w:t xml:space="preserve"> and its </w:t>
      </w:r>
      <w:proofErr w:type="gramStart"/>
      <w:r w:rsidR="00684365" w:rsidRPr="00CE4C7D">
        <w:rPr>
          <w:rFonts w:asciiTheme="majorHAnsi" w:hAnsiTheme="majorHAnsi" w:cstheme="majorHAnsi"/>
          <w:sz w:val="22"/>
          <w:szCs w:val="22"/>
        </w:rPr>
        <w:t>consequences;</w:t>
      </w:r>
      <w:proofErr w:type="gramEnd"/>
      <w:r w:rsidR="00684365" w:rsidRPr="00CE4C7D">
        <w:rPr>
          <w:rFonts w:asciiTheme="majorHAnsi" w:hAnsiTheme="majorHAnsi" w:cstheme="majorHAnsi"/>
          <w:sz w:val="22"/>
          <w:szCs w:val="22"/>
        </w:rPr>
        <w:t xml:space="preserve"> for example, carbon emissions</w:t>
      </w:r>
      <w:r w:rsidRPr="00CE4C7D">
        <w:rPr>
          <w:rFonts w:asciiTheme="majorHAnsi" w:hAnsiTheme="majorHAnsi" w:cstheme="majorHAnsi"/>
          <w:sz w:val="22"/>
          <w:szCs w:val="22"/>
        </w:rPr>
        <w:t xml:space="preserve">. In the UK, </w:t>
      </w:r>
      <w:r w:rsidR="002A4269" w:rsidRPr="00CE4C7D">
        <w:rPr>
          <w:rFonts w:asciiTheme="majorHAnsi" w:hAnsiTheme="majorHAnsi" w:cstheme="majorHAnsi"/>
          <w:sz w:val="22"/>
          <w:szCs w:val="22"/>
        </w:rPr>
        <w:t>some</w:t>
      </w:r>
      <w:r w:rsidRPr="00CE4C7D">
        <w:rPr>
          <w:rFonts w:asciiTheme="majorHAnsi" w:hAnsiTheme="majorHAnsi" w:cstheme="majorHAnsi"/>
          <w:sz w:val="22"/>
          <w:szCs w:val="22"/>
        </w:rPr>
        <w:t xml:space="preserve"> </w:t>
      </w:r>
      <w:r w:rsidR="002A4269" w:rsidRPr="00CE4C7D">
        <w:rPr>
          <w:rFonts w:asciiTheme="majorHAnsi" w:hAnsiTheme="majorHAnsi" w:cstheme="majorHAnsi"/>
          <w:sz w:val="22"/>
          <w:szCs w:val="22"/>
        </w:rPr>
        <w:t>sectors (</w:t>
      </w:r>
      <w:proofErr w:type="gramStart"/>
      <w:r w:rsidR="002A4269" w:rsidRPr="00CE4C7D">
        <w:rPr>
          <w:rFonts w:asciiTheme="majorHAnsi" w:hAnsiTheme="majorHAnsi" w:cstheme="majorHAnsi"/>
          <w:sz w:val="22"/>
          <w:szCs w:val="22"/>
        </w:rPr>
        <w:t>e.g.</w:t>
      </w:r>
      <w:proofErr w:type="gramEnd"/>
      <w:r w:rsidR="002A4269" w:rsidRPr="00CE4C7D">
        <w:rPr>
          <w:rFonts w:asciiTheme="majorHAnsi" w:hAnsiTheme="majorHAnsi" w:cstheme="majorHAnsi"/>
          <w:sz w:val="22"/>
          <w:szCs w:val="22"/>
        </w:rPr>
        <w:t xml:space="preserve"> UK central government; NHS England; Higher Education in</w:t>
      </w:r>
      <w:r w:rsidRPr="00CE4C7D">
        <w:rPr>
          <w:rFonts w:asciiTheme="majorHAnsi" w:hAnsiTheme="majorHAnsi" w:cstheme="majorHAnsi"/>
          <w:sz w:val="22"/>
          <w:szCs w:val="22"/>
        </w:rPr>
        <w:t xml:space="preserve"> </w:t>
      </w:r>
      <w:r w:rsidR="002A4269" w:rsidRPr="00CE4C7D">
        <w:rPr>
          <w:rFonts w:asciiTheme="majorHAnsi" w:hAnsiTheme="majorHAnsi" w:cstheme="majorHAnsi"/>
          <w:sz w:val="22"/>
          <w:szCs w:val="22"/>
        </w:rPr>
        <w:t>England) and local institutions (e.g. local authorities;</w:t>
      </w:r>
      <w:r w:rsidRPr="00CE4C7D">
        <w:rPr>
          <w:rFonts w:asciiTheme="majorHAnsi" w:hAnsiTheme="majorHAnsi" w:cstheme="majorHAnsi"/>
          <w:sz w:val="22"/>
          <w:szCs w:val="22"/>
        </w:rPr>
        <w:t xml:space="preserve"> NHS</w:t>
      </w:r>
      <w:r w:rsidR="002A4269" w:rsidRPr="00CE4C7D">
        <w:rPr>
          <w:rFonts w:asciiTheme="majorHAnsi" w:hAnsiTheme="majorHAnsi" w:cstheme="majorHAnsi"/>
          <w:sz w:val="22"/>
          <w:szCs w:val="22"/>
        </w:rPr>
        <w:t xml:space="preserve"> Trusts;</w:t>
      </w:r>
      <w:r w:rsidRPr="00CE4C7D">
        <w:rPr>
          <w:rFonts w:asciiTheme="majorHAnsi" w:hAnsiTheme="majorHAnsi" w:cstheme="majorHAnsi"/>
          <w:sz w:val="22"/>
          <w:szCs w:val="22"/>
        </w:rPr>
        <w:t xml:space="preserve"> </w:t>
      </w:r>
      <w:r w:rsidR="002A4269" w:rsidRPr="00CE4C7D">
        <w:rPr>
          <w:rFonts w:asciiTheme="majorHAnsi" w:hAnsiTheme="majorHAnsi" w:cstheme="majorHAnsi"/>
          <w:sz w:val="22"/>
          <w:szCs w:val="22"/>
        </w:rPr>
        <w:t>universities) have set carbon reduction targets</w:t>
      </w:r>
      <w:r w:rsidR="008E0422" w:rsidRPr="00CE4C7D">
        <w:rPr>
          <w:rFonts w:asciiTheme="majorHAnsi" w:hAnsiTheme="majorHAnsi" w:cstheme="majorHAnsi"/>
          <w:sz w:val="22"/>
          <w:szCs w:val="22"/>
        </w:rPr>
        <w:t xml:space="preserve"> </w:t>
      </w:r>
      <w:r w:rsidR="002A4269" w:rsidRPr="00CE4C7D">
        <w:rPr>
          <w:rFonts w:asciiTheme="majorHAnsi" w:hAnsiTheme="majorHAnsi" w:cstheme="majorHAnsi"/>
          <w:sz w:val="22"/>
          <w:szCs w:val="22"/>
        </w:rPr>
        <w:t>(Sustainable Development Unit, 2014; Department</w:t>
      </w:r>
      <w:r w:rsidR="000372C0" w:rsidRPr="00CE4C7D">
        <w:rPr>
          <w:rFonts w:asciiTheme="majorHAnsi" w:hAnsiTheme="majorHAnsi" w:cstheme="majorHAnsi"/>
          <w:sz w:val="22"/>
          <w:szCs w:val="22"/>
        </w:rPr>
        <w:t xml:space="preserve"> </w:t>
      </w:r>
      <w:r w:rsidR="002A4269" w:rsidRPr="00CE4C7D">
        <w:rPr>
          <w:rFonts w:asciiTheme="majorHAnsi" w:hAnsiTheme="majorHAnsi" w:cstheme="majorHAnsi"/>
          <w:sz w:val="22"/>
          <w:szCs w:val="22"/>
        </w:rPr>
        <w:t>for Environment, Food and Rural Affairs and Cabinet Office, 2016;</w:t>
      </w:r>
      <w:r w:rsidR="00684365" w:rsidRPr="00CE4C7D">
        <w:rPr>
          <w:rFonts w:asciiTheme="majorHAnsi" w:hAnsiTheme="majorHAnsi" w:cstheme="majorHAnsi"/>
          <w:sz w:val="22"/>
          <w:szCs w:val="22"/>
        </w:rPr>
        <w:t xml:space="preserve"> </w:t>
      </w:r>
      <w:r w:rsidR="002A4269" w:rsidRPr="00CE4C7D">
        <w:rPr>
          <w:rFonts w:asciiTheme="majorHAnsi" w:hAnsiTheme="majorHAnsi" w:cstheme="majorHAnsi"/>
          <w:sz w:val="22"/>
          <w:szCs w:val="22"/>
        </w:rPr>
        <w:t>Higher Education Funding Council for England, 2014). However, these</w:t>
      </w:r>
      <w:r w:rsidR="000266DE" w:rsidRPr="00CE4C7D">
        <w:rPr>
          <w:rFonts w:asciiTheme="majorHAnsi" w:hAnsiTheme="majorHAnsi" w:cstheme="majorHAnsi"/>
          <w:sz w:val="22"/>
          <w:szCs w:val="22"/>
        </w:rPr>
        <w:t xml:space="preserve"> </w:t>
      </w:r>
      <w:r w:rsidR="002A4269" w:rsidRPr="00CE4C7D">
        <w:rPr>
          <w:rFonts w:asciiTheme="majorHAnsi" w:hAnsiTheme="majorHAnsi" w:cstheme="majorHAnsi"/>
          <w:sz w:val="22"/>
          <w:szCs w:val="22"/>
        </w:rPr>
        <w:t xml:space="preserve">targets are </w:t>
      </w:r>
      <w:r w:rsidR="000266DE" w:rsidRPr="00CE4C7D">
        <w:rPr>
          <w:rFonts w:asciiTheme="majorHAnsi" w:hAnsiTheme="majorHAnsi" w:cstheme="majorHAnsi"/>
          <w:sz w:val="22"/>
          <w:szCs w:val="22"/>
        </w:rPr>
        <w:t>mostly</w:t>
      </w:r>
      <w:r w:rsidR="002A4269" w:rsidRPr="00CE4C7D">
        <w:rPr>
          <w:rFonts w:asciiTheme="majorHAnsi" w:hAnsiTheme="majorHAnsi" w:cstheme="majorHAnsi"/>
          <w:sz w:val="22"/>
          <w:szCs w:val="22"/>
        </w:rPr>
        <w:t xml:space="preserve"> voluntary or lack meaningful enforcement, and</w:t>
      </w:r>
      <w:r w:rsidR="000266DE" w:rsidRPr="00CE4C7D">
        <w:rPr>
          <w:rFonts w:asciiTheme="majorHAnsi" w:hAnsiTheme="majorHAnsi" w:cstheme="majorHAnsi"/>
          <w:sz w:val="22"/>
          <w:szCs w:val="22"/>
        </w:rPr>
        <w:t xml:space="preserve"> </w:t>
      </w:r>
      <w:r w:rsidR="002A4269" w:rsidRPr="00CE4C7D">
        <w:rPr>
          <w:rFonts w:asciiTheme="majorHAnsi" w:hAnsiTheme="majorHAnsi" w:cstheme="majorHAnsi"/>
          <w:sz w:val="22"/>
          <w:szCs w:val="22"/>
        </w:rPr>
        <w:t xml:space="preserve">often exclude </w:t>
      </w:r>
      <w:r w:rsidR="000372C0" w:rsidRPr="00CE4C7D">
        <w:rPr>
          <w:rFonts w:asciiTheme="majorHAnsi" w:hAnsiTheme="majorHAnsi" w:cstheme="majorHAnsi"/>
          <w:sz w:val="22"/>
          <w:szCs w:val="22"/>
        </w:rPr>
        <w:t>‘</w:t>
      </w:r>
      <w:r w:rsidR="002A4269" w:rsidRPr="00CE4C7D">
        <w:rPr>
          <w:rFonts w:asciiTheme="majorHAnsi" w:hAnsiTheme="majorHAnsi" w:cstheme="majorHAnsi"/>
          <w:sz w:val="22"/>
          <w:szCs w:val="22"/>
        </w:rPr>
        <w:t>indirect</w:t>
      </w:r>
      <w:r w:rsidR="000372C0" w:rsidRPr="00CE4C7D">
        <w:rPr>
          <w:rFonts w:asciiTheme="majorHAnsi" w:hAnsiTheme="majorHAnsi" w:cstheme="majorHAnsi"/>
          <w:sz w:val="22"/>
          <w:szCs w:val="22"/>
        </w:rPr>
        <w:t>’</w:t>
      </w:r>
      <w:r w:rsidR="002A4269" w:rsidRPr="00CE4C7D">
        <w:rPr>
          <w:rFonts w:asciiTheme="majorHAnsi" w:hAnsiTheme="majorHAnsi" w:cstheme="majorHAnsi"/>
          <w:sz w:val="22"/>
          <w:szCs w:val="22"/>
        </w:rPr>
        <w:t xml:space="preserve"> emissions from</w:t>
      </w:r>
      <w:r w:rsidR="000266DE" w:rsidRPr="00CE4C7D">
        <w:rPr>
          <w:rFonts w:asciiTheme="majorHAnsi" w:hAnsiTheme="majorHAnsi" w:cstheme="majorHAnsi"/>
          <w:sz w:val="22"/>
          <w:szCs w:val="22"/>
        </w:rPr>
        <w:t xml:space="preserve"> </w:t>
      </w:r>
      <w:r w:rsidR="002A4269" w:rsidRPr="00CE4C7D">
        <w:rPr>
          <w:rFonts w:asciiTheme="majorHAnsi" w:hAnsiTheme="majorHAnsi" w:cstheme="majorHAnsi"/>
          <w:sz w:val="22"/>
          <w:szCs w:val="22"/>
        </w:rPr>
        <w:t>t</w:t>
      </w:r>
      <w:r w:rsidR="00785084" w:rsidRPr="00CE4C7D">
        <w:rPr>
          <w:rFonts w:asciiTheme="majorHAnsi" w:hAnsiTheme="majorHAnsi" w:cstheme="majorHAnsi"/>
          <w:sz w:val="22"/>
          <w:szCs w:val="22"/>
        </w:rPr>
        <w:t>ransport, procurement and so on</w:t>
      </w:r>
      <w:r w:rsidR="002A4269" w:rsidRPr="00CE4C7D">
        <w:rPr>
          <w:rFonts w:asciiTheme="majorHAnsi" w:hAnsiTheme="majorHAnsi" w:cstheme="majorHAnsi"/>
          <w:sz w:val="22"/>
          <w:szCs w:val="22"/>
        </w:rPr>
        <w:t>.</w:t>
      </w:r>
      <w:r w:rsidR="003A0D48" w:rsidRPr="00CE4C7D">
        <w:rPr>
          <w:rFonts w:asciiTheme="majorHAnsi" w:hAnsiTheme="majorHAnsi" w:cstheme="majorHAnsi"/>
          <w:sz w:val="22"/>
          <w:szCs w:val="22"/>
        </w:rPr>
        <w:t xml:space="preserve"> </w:t>
      </w:r>
      <w:r w:rsidR="00BE3A02" w:rsidRPr="00CE4C7D">
        <w:rPr>
          <w:rFonts w:asciiTheme="majorHAnsi" w:hAnsiTheme="majorHAnsi" w:cstheme="majorHAnsi"/>
          <w:sz w:val="22"/>
          <w:szCs w:val="22"/>
        </w:rPr>
        <w:t xml:space="preserve">An emissions target for the public and HE sectors in England was introduced in the 2017 Clean Growth </w:t>
      </w:r>
      <w:proofErr w:type="gramStart"/>
      <w:r w:rsidR="00BE3A02" w:rsidRPr="00CE4C7D">
        <w:rPr>
          <w:rFonts w:asciiTheme="majorHAnsi" w:hAnsiTheme="majorHAnsi" w:cstheme="majorHAnsi"/>
          <w:sz w:val="22"/>
          <w:szCs w:val="22"/>
        </w:rPr>
        <w:t>Strategy, but</w:t>
      </w:r>
      <w:proofErr w:type="gramEnd"/>
      <w:r w:rsidR="00BE3A02" w:rsidRPr="00CE4C7D">
        <w:rPr>
          <w:rFonts w:asciiTheme="majorHAnsi" w:hAnsiTheme="majorHAnsi" w:cstheme="majorHAnsi"/>
          <w:sz w:val="22"/>
          <w:szCs w:val="22"/>
        </w:rPr>
        <w:t xml:space="preserve"> is also purely voluntary.</w:t>
      </w:r>
      <w:r w:rsidR="00CD28C6" w:rsidRPr="00CE4C7D">
        <w:rPr>
          <w:rFonts w:asciiTheme="majorHAnsi" w:hAnsiTheme="majorHAnsi" w:cstheme="majorHAnsi"/>
          <w:sz w:val="22"/>
          <w:szCs w:val="22"/>
        </w:rPr>
        <w:t xml:space="preserve"> Th</w:t>
      </w:r>
      <w:r w:rsidR="00234705" w:rsidRPr="00CE4C7D">
        <w:rPr>
          <w:rFonts w:asciiTheme="majorHAnsi" w:hAnsiTheme="majorHAnsi" w:cstheme="majorHAnsi"/>
          <w:sz w:val="22"/>
          <w:szCs w:val="22"/>
        </w:rPr>
        <w:t>is</w:t>
      </w:r>
      <w:r w:rsidR="00CD28C6" w:rsidRPr="00CE4C7D">
        <w:rPr>
          <w:rFonts w:asciiTheme="majorHAnsi" w:hAnsiTheme="majorHAnsi" w:cstheme="majorHAnsi"/>
          <w:sz w:val="22"/>
          <w:szCs w:val="22"/>
        </w:rPr>
        <w:t xml:space="preserve"> debate on mandatory versus voluntary standards is a</w:t>
      </w:r>
      <w:r w:rsidR="00234705" w:rsidRPr="00CE4C7D">
        <w:rPr>
          <w:rFonts w:asciiTheme="majorHAnsi" w:hAnsiTheme="majorHAnsi" w:cstheme="majorHAnsi"/>
          <w:sz w:val="22"/>
          <w:szCs w:val="22"/>
        </w:rPr>
        <w:t xml:space="preserve">n </w:t>
      </w:r>
      <w:r w:rsidR="00CD28C6" w:rsidRPr="00CE4C7D">
        <w:rPr>
          <w:rFonts w:asciiTheme="majorHAnsi" w:hAnsiTheme="majorHAnsi" w:cstheme="majorHAnsi"/>
          <w:sz w:val="22"/>
          <w:szCs w:val="22"/>
        </w:rPr>
        <w:t>international one; for example, de Melo et al.</w:t>
      </w:r>
      <w:r w:rsidR="00234705" w:rsidRPr="00CE4C7D">
        <w:rPr>
          <w:rFonts w:asciiTheme="majorHAnsi" w:hAnsiTheme="majorHAnsi" w:cstheme="majorHAnsi"/>
          <w:sz w:val="22"/>
          <w:szCs w:val="22"/>
        </w:rPr>
        <w:t xml:space="preserve"> (</w:t>
      </w:r>
      <w:r w:rsidR="00CD28C6" w:rsidRPr="00CE4C7D">
        <w:rPr>
          <w:rFonts w:asciiTheme="majorHAnsi" w:hAnsiTheme="majorHAnsi" w:cstheme="majorHAnsi"/>
          <w:sz w:val="22"/>
          <w:szCs w:val="22"/>
        </w:rPr>
        <w:t>2018</w:t>
      </w:r>
      <w:r w:rsidR="00234705" w:rsidRPr="00CE4C7D">
        <w:rPr>
          <w:rFonts w:asciiTheme="majorHAnsi" w:hAnsiTheme="majorHAnsi" w:cstheme="majorHAnsi"/>
          <w:sz w:val="22"/>
          <w:szCs w:val="22"/>
        </w:rPr>
        <w:t>)</w:t>
      </w:r>
      <w:r w:rsidR="00CD28C6" w:rsidRPr="00CE4C7D">
        <w:rPr>
          <w:rFonts w:asciiTheme="majorHAnsi" w:hAnsiTheme="majorHAnsi" w:cstheme="majorHAnsi"/>
          <w:sz w:val="22"/>
          <w:szCs w:val="22"/>
        </w:rPr>
        <w:t xml:space="preserve"> call for mandatory standards for vehicle efficiency in Brazil, arguing that voluntary standards have proved inadequate; while </w:t>
      </w:r>
      <w:r w:rsidR="00C963E4" w:rsidRPr="00CE4C7D">
        <w:rPr>
          <w:rFonts w:asciiTheme="majorHAnsi" w:hAnsiTheme="majorHAnsi" w:cstheme="majorHAnsi"/>
          <w:sz w:val="22"/>
          <w:szCs w:val="22"/>
        </w:rPr>
        <w:t>Takahashi (</w:t>
      </w:r>
      <w:r w:rsidR="00F85E76" w:rsidRPr="00CE4C7D">
        <w:rPr>
          <w:rFonts w:asciiTheme="majorHAnsi" w:hAnsiTheme="majorHAnsi" w:cstheme="majorHAnsi"/>
          <w:sz w:val="22"/>
          <w:szCs w:val="22"/>
        </w:rPr>
        <w:t>2019</w:t>
      </w:r>
      <w:r w:rsidR="00C963E4" w:rsidRPr="00CE4C7D">
        <w:rPr>
          <w:rFonts w:asciiTheme="majorHAnsi" w:hAnsiTheme="majorHAnsi" w:cstheme="majorHAnsi"/>
          <w:sz w:val="22"/>
          <w:szCs w:val="22"/>
        </w:rPr>
        <w:t>) suggests voluntary approaches have largely failed across a range of environmental and human rights issues in Japan.</w:t>
      </w:r>
      <w:r w:rsidR="00A54B7C" w:rsidRPr="00CE4C7D">
        <w:rPr>
          <w:rFonts w:asciiTheme="majorHAnsi" w:hAnsiTheme="majorHAnsi" w:cstheme="majorHAnsi"/>
          <w:sz w:val="22"/>
          <w:szCs w:val="22"/>
        </w:rPr>
        <w:t xml:space="preserve"> </w:t>
      </w:r>
      <w:r w:rsidR="00684365" w:rsidRPr="00CE4C7D">
        <w:rPr>
          <w:rFonts w:asciiTheme="majorHAnsi" w:hAnsiTheme="majorHAnsi" w:cstheme="majorHAnsi"/>
          <w:sz w:val="22"/>
          <w:szCs w:val="22"/>
        </w:rPr>
        <w:t>Compulsory</w:t>
      </w:r>
      <w:r w:rsidR="002A4269" w:rsidRPr="00CE4C7D">
        <w:rPr>
          <w:rFonts w:asciiTheme="majorHAnsi" w:hAnsiTheme="majorHAnsi" w:cstheme="majorHAnsi"/>
          <w:sz w:val="22"/>
          <w:szCs w:val="22"/>
        </w:rPr>
        <w:t xml:space="preserve"> emissions reduction targets, </w:t>
      </w:r>
      <w:r w:rsidR="00883F7B" w:rsidRPr="00CE4C7D">
        <w:rPr>
          <w:rFonts w:asciiTheme="majorHAnsi" w:hAnsiTheme="majorHAnsi" w:cstheme="majorHAnsi"/>
          <w:sz w:val="22"/>
          <w:szCs w:val="22"/>
        </w:rPr>
        <w:t xml:space="preserve">backed up by appropriate </w:t>
      </w:r>
      <w:r w:rsidR="002A4269" w:rsidRPr="00CE4C7D">
        <w:rPr>
          <w:rFonts w:asciiTheme="majorHAnsi" w:hAnsiTheme="majorHAnsi" w:cstheme="majorHAnsi"/>
          <w:sz w:val="22"/>
          <w:szCs w:val="22"/>
        </w:rPr>
        <w:t>monitoring</w:t>
      </w:r>
      <w:r w:rsidR="000E77DD" w:rsidRPr="00CE4C7D">
        <w:rPr>
          <w:rFonts w:asciiTheme="majorHAnsi" w:hAnsiTheme="majorHAnsi" w:cstheme="majorHAnsi"/>
          <w:sz w:val="22"/>
          <w:szCs w:val="22"/>
        </w:rPr>
        <w:t xml:space="preserve"> </w:t>
      </w:r>
      <w:r w:rsidR="002A4269" w:rsidRPr="00CE4C7D">
        <w:rPr>
          <w:rFonts w:asciiTheme="majorHAnsi" w:hAnsiTheme="majorHAnsi" w:cstheme="majorHAnsi"/>
          <w:sz w:val="22"/>
          <w:szCs w:val="22"/>
        </w:rPr>
        <w:t>and enforcement</w:t>
      </w:r>
      <w:r w:rsidR="00883F7B" w:rsidRPr="00CE4C7D">
        <w:rPr>
          <w:rFonts w:asciiTheme="majorHAnsi" w:hAnsiTheme="majorHAnsi" w:cstheme="majorHAnsi"/>
          <w:sz w:val="22"/>
          <w:szCs w:val="22"/>
        </w:rPr>
        <w:t xml:space="preserve"> mechanisms</w:t>
      </w:r>
      <w:r w:rsidR="002A4269" w:rsidRPr="00CE4C7D">
        <w:rPr>
          <w:rFonts w:asciiTheme="majorHAnsi" w:hAnsiTheme="majorHAnsi" w:cstheme="majorHAnsi"/>
          <w:sz w:val="22"/>
          <w:szCs w:val="22"/>
        </w:rPr>
        <w:t xml:space="preserve">, </w:t>
      </w:r>
      <w:r w:rsidR="00883F7B" w:rsidRPr="00CE4C7D">
        <w:rPr>
          <w:rFonts w:asciiTheme="majorHAnsi" w:hAnsiTheme="majorHAnsi" w:cstheme="majorHAnsi"/>
          <w:sz w:val="22"/>
          <w:szCs w:val="22"/>
        </w:rPr>
        <w:t xml:space="preserve">would ensure that </w:t>
      </w:r>
      <w:r w:rsidR="00883F7B" w:rsidRPr="00CE4C7D">
        <w:rPr>
          <w:rFonts w:asciiTheme="majorHAnsi" w:hAnsiTheme="majorHAnsi" w:cstheme="majorHAnsi"/>
          <w:sz w:val="22"/>
          <w:szCs w:val="22"/>
        </w:rPr>
        <w:lastRenderedPageBreak/>
        <w:t xml:space="preserve">energy and carbon shifted from a peripheral </w:t>
      </w:r>
      <w:r w:rsidR="00455824" w:rsidRPr="00CE4C7D">
        <w:rPr>
          <w:rFonts w:asciiTheme="majorHAnsi" w:hAnsiTheme="majorHAnsi" w:cstheme="majorHAnsi"/>
          <w:sz w:val="22"/>
          <w:szCs w:val="22"/>
        </w:rPr>
        <w:t>issue</w:t>
      </w:r>
      <w:r w:rsidR="00883F7B" w:rsidRPr="00CE4C7D">
        <w:rPr>
          <w:rFonts w:asciiTheme="majorHAnsi" w:hAnsiTheme="majorHAnsi" w:cstheme="majorHAnsi"/>
          <w:sz w:val="22"/>
          <w:szCs w:val="22"/>
        </w:rPr>
        <w:t xml:space="preserve"> to a real concern for institution</w:t>
      </w:r>
      <w:r w:rsidR="00C25891" w:rsidRPr="00CE4C7D">
        <w:rPr>
          <w:rFonts w:asciiTheme="majorHAnsi" w:hAnsiTheme="majorHAnsi" w:cstheme="majorHAnsi"/>
          <w:sz w:val="22"/>
          <w:szCs w:val="22"/>
        </w:rPr>
        <w:t>al</w:t>
      </w:r>
      <w:r w:rsidR="00883F7B" w:rsidRPr="00CE4C7D">
        <w:rPr>
          <w:rFonts w:asciiTheme="majorHAnsi" w:hAnsiTheme="majorHAnsi" w:cstheme="majorHAnsi"/>
          <w:sz w:val="22"/>
          <w:szCs w:val="22"/>
        </w:rPr>
        <w:t xml:space="preserve"> and sector</w:t>
      </w:r>
      <w:r w:rsidR="00C25891" w:rsidRPr="00CE4C7D">
        <w:rPr>
          <w:rFonts w:asciiTheme="majorHAnsi" w:hAnsiTheme="majorHAnsi" w:cstheme="majorHAnsi"/>
          <w:sz w:val="22"/>
          <w:szCs w:val="22"/>
        </w:rPr>
        <w:t>al decision-makers</w:t>
      </w:r>
      <w:r w:rsidR="000C0D7B" w:rsidRPr="00CE4C7D">
        <w:rPr>
          <w:rFonts w:asciiTheme="majorHAnsi" w:hAnsiTheme="majorHAnsi" w:cstheme="majorHAnsi"/>
          <w:sz w:val="22"/>
          <w:szCs w:val="22"/>
        </w:rPr>
        <w:t xml:space="preserve">. </w:t>
      </w:r>
    </w:p>
    <w:p w14:paraId="79496E8B" w14:textId="77777777" w:rsidR="00995395" w:rsidRPr="00CE4C7D" w:rsidRDefault="00995395" w:rsidP="00F25A95">
      <w:pPr>
        <w:autoSpaceDE w:val="0"/>
        <w:autoSpaceDN w:val="0"/>
        <w:adjustRightInd w:val="0"/>
        <w:rPr>
          <w:rFonts w:asciiTheme="majorHAnsi" w:eastAsia="AdvOT596495f2+20" w:hAnsiTheme="majorHAnsi" w:cstheme="majorHAnsi"/>
          <w:sz w:val="22"/>
          <w:szCs w:val="22"/>
        </w:rPr>
      </w:pPr>
    </w:p>
    <w:p w14:paraId="6AD68623" w14:textId="0352C272" w:rsidR="006B7DCD" w:rsidRPr="00CE4C7D" w:rsidRDefault="00995395" w:rsidP="00F25A95">
      <w:pPr>
        <w:autoSpaceDE w:val="0"/>
        <w:autoSpaceDN w:val="0"/>
        <w:adjustRightInd w:val="0"/>
        <w:rPr>
          <w:rFonts w:asciiTheme="majorHAnsi" w:hAnsiTheme="majorHAnsi" w:cstheme="majorHAnsi"/>
          <w:sz w:val="22"/>
          <w:szCs w:val="22"/>
        </w:rPr>
      </w:pPr>
      <w:r w:rsidRPr="00CE4C7D">
        <w:rPr>
          <w:rFonts w:asciiTheme="majorHAnsi" w:eastAsia="AdvOT596495f2+20" w:hAnsiTheme="majorHAnsi" w:cstheme="majorHAnsi"/>
          <w:sz w:val="22"/>
          <w:szCs w:val="22"/>
        </w:rPr>
        <w:t xml:space="preserve">Effective mainstreaming also means </w:t>
      </w:r>
      <w:r w:rsidR="006C4FFB" w:rsidRPr="00CE4C7D">
        <w:rPr>
          <w:rFonts w:asciiTheme="majorHAnsi" w:eastAsia="AdvOT596495f2+20" w:hAnsiTheme="majorHAnsi" w:cstheme="majorHAnsi"/>
          <w:sz w:val="22"/>
          <w:szCs w:val="22"/>
        </w:rPr>
        <w:t xml:space="preserve">looking at the boundaries that separate energy and non-energy matters within institutions. </w:t>
      </w:r>
      <w:r w:rsidR="006B7DCD" w:rsidRPr="00CE4C7D">
        <w:rPr>
          <w:rFonts w:asciiTheme="majorHAnsi" w:hAnsiTheme="majorHAnsi" w:cstheme="majorHAnsi"/>
          <w:sz w:val="22"/>
          <w:szCs w:val="22"/>
        </w:rPr>
        <w:t xml:space="preserve">We do not see </w:t>
      </w:r>
      <w:r w:rsidR="002A4269" w:rsidRPr="00CE4C7D">
        <w:rPr>
          <w:rFonts w:asciiTheme="majorHAnsi" w:eastAsia="AdvOT596495f2+20" w:hAnsiTheme="majorHAnsi" w:cstheme="majorHAnsi"/>
          <w:sz w:val="22"/>
          <w:szCs w:val="22"/>
        </w:rPr>
        <w:t>‘</w:t>
      </w:r>
      <w:r w:rsidR="002A4269" w:rsidRPr="00CE4C7D">
        <w:rPr>
          <w:rFonts w:asciiTheme="majorHAnsi" w:hAnsiTheme="majorHAnsi" w:cstheme="majorHAnsi"/>
          <w:sz w:val="22"/>
          <w:szCs w:val="22"/>
        </w:rPr>
        <w:t>joined-up policymaking</w:t>
      </w:r>
      <w:r w:rsidR="002A4269" w:rsidRPr="00CE4C7D">
        <w:rPr>
          <w:rFonts w:asciiTheme="majorHAnsi" w:eastAsia="AdvOT596495f2+20" w:hAnsiTheme="majorHAnsi" w:cstheme="majorHAnsi"/>
          <w:sz w:val="22"/>
          <w:szCs w:val="22"/>
        </w:rPr>
        <w:t xml:space="preserve">’ </w:t>
      </w:r>
      <w:r w:rsidR="002A4269" w:rsidRPr="00CE4C7D">
        <w:rPr>
          <w:rFonts w:asciiTheme="majorHAnsi" w:hAnsiTheme="majorHAnsi" w:cstheme="majorHAnsi"/>
          <w:sz w:val="22"/>
          <w:szCs w:val="22"/>
        </w:rPr>
        <w:t xml:space="preserve">(Ling, 2002) </w:t>
      </w:r>
      <w:r w:rsidR="006B7DCD" w:rsidRPr="00CE4C7D">
        <w:rPr>
          <w:rFonts w:asciiTheme="majorHAnsi" w:hAnsiTheme="majorHAnsi" w:cstheme="majorHAnsi"/>
          <w:sz w:val="22"/>
          <w:szCs w:val="22"/>
        </w:rPr>
        <w:t>or</w:t>
      </w:r>
      <w:r w:rsidR="002A4269" w:rsidRPr="00CE4C7D">
        <w:rPr>
          <w:rFonts w:asciiTheme="majorHAnsi" w:hAnsiTheme="majorHAnsi" w:cstheme="majorHAnsi"/>
          <w:sz w:val="22"/>
          <w:szCs w:val="22"/>
        </w:rPr>
        <w:t xml:space="preserve"> </w:t>
      </w:r>
      <w:r w:rsidR="002A4269" w:rsidRPr="00CE4C7D">
        <w:rPr>
          <w:rFonts w:asciiTheme="majorHAnsi" w:eastAsia="AdvOT596495f2+20" w:hAnsiTheme="majorHAnsi" w:cstheme="majorHAnsi"/>
          <w:sz w:val="22"/>
          <w:szCs w:val="22"/>
        </w:rPr>
        <w:t>‘</w:t>
      </w:r>
      <w:r w:rsidR="002A4269" w:rsidRPr="00CE4C7D">
        <w:rPr>
          <w:rFonts w:asciiTheme="majorHAnsi" w:hAnsiTheme="majorHAnsi" w:cstheme="majorHAnsi"/>
          <w:sz w:val="22"/>
          <w:szCs w:val="22"/>
        </w:rPr>
        <w:t>environmental</w:t>
      </w:r>
      <w:r w:rsidR="002A4269" w:rsidRPr="00CE4C7D">
        <w:rPr>
          <w:rFonts w:asciiTheme="majorHAnsi" w:eastAsia="AdvOT596495f2+20" w:hAnsiTheme="majorHAnsi" w:cstheme="majorHAnsi"/>
          <w:sz w:val="22"/>
          <w:szCs w:val="22"/>
        </w:rPr>
        <w:t xml:space="preserve">’ </w:t>
      </w:r>
      <w:r w:rsidR="002A4269" w:rsidRPr="00CE4C7D">
        <w:rPr>
          <w:rFonts w:asciiTheme="majorHAnsi" w:hAnsiTheme="majorHAnsi" w:cstheme="majorHAnsi"/>
          <w:sz w:val="22"/>
          <w:szCs w:val="22"/>
        </w:rPr>
        <w:t xml:space="preserve">or </w:t>
      </w:r>
      <w:r w:rsidR="002A4269" w:rsidRPr="00CE4C7D">
        <w:rPr>
          <w:rFonts w:asciiTheme="majorHAnsi" w:eastAsia="AdvOT596495f2+20" w:hAnsiTheme="majorHAnsi" w:cstheme="majorHAnsi"/>
          <w:sz w:val="22"/>
          <w:szCs w:val="22"/>
        </w:rPr>
        <w:t>‘</w:t>
      </w:r>
      <w:r w:rsidR="002A4269" w:rsidRPr="00CE4C7D">
        <w:rPr>
          <w:rFonts w:asciiTheme="majorHAnsi" w:hAnsiTheme="majorHAnsi" w:cstheme="majorHAnsi"/>
          <w:sz w:val="22"/>
          <w:szCs w:val="22"/>
        </w:rPr>
        <w:t>climate</w:t>
      </w:r>
      <w:r w:rsidR="006B7DCD" w:rsidRPr="00CE4C7D">
        <w:rPr>
          <w:rFonts w:asciiTheme="majorHAnsi" w:hAnsiTheme="majorHAnsi" w:cstheme="majorHAnsi"/>
          <w:sz w:val="22"/>
          <w:szCs w:val="22"/>
        </w:rPr>
        <w:t xml:space="preserve"> </w:t>
      </w:r>
      <w:r w:rsidR="002A4269" w:rsidRPr="00CE4C7D">
        <w:rPr>
          <w:rFonts w:asciiTheme="majorHAnsi" w:hAnsiTheme="majorHAnsi" w:cstheme="majorHAnsi"/>
          <w:sz w:val="22"/>
          <w:szCs w:val="22"/>
        </w:rPr>
        <w:t>policy integration</w:t>
      </w:r>
      <w:r w:rsidR="002A4269" w:rsidRPr="00CE4C7D">
        <w:rPr>
          <w:rFonts w:asciiTheme="majorHAnsi" w:eastAsia="AdvOT596495f2+20" w:hAnsiTheme="majorHAnsi" w:cstheme="majorHAnsi"/>
          <w:sz w:val="22"/>
          <w:szCs w:val="22"/>
        </w:rPr>
        <w:t xml:space="preserve">’ </w:t>
      </w:r>
      <w:r w:rsidR="002A4269" w:rsidRPr="00CE4C7D">
        <w:rPr>
          <w:rFonts w:asciiTheme="majorHAnsi" w:hAnsiTheme="majorHAnsi" w:cstheme="majorHAnsi"/>
          <w:sz w:val="22"/>
          <w:szCs w:val="22"/>
        </w:rPr>
        <w:t xml:space="preserve">(Adelle and Russel, 2013; Jordan and </w:t>
      </w:r>
      <w:proofErr w:type="spellStart"/>
      <w:r w:rsidR="002A4269" w:rsidRPr="00CE4C7D">
        <w:rPr>
          <w:rFonts w:asciiTheme="majorHAnsi" w:hAnsiTheme="majorHAnsi" w:cstheme="majorHAnsi"/>
          <w:sz w:val="22"/>
          <w:szCs w:val="22"/>
        </w:rPr>
        <w:t>Lenschow</w:t>
      </w:r>
      <w:proofErr w:type="spellEnd"/>
      <w:r w:rsidR="002A4269" w:rsidRPr="00CE4C7D">
        <w:rPr>
          <w:rFonts w:asciiTheme="majorHAnsi" w:hAnsiTheme="majorHAnsi" w:cstheme="majorHAnsi"/>
          <w:sz w:val="22"/>
          <w:szCs w:val="22"/>
        </w:rPr>
        <w:t>,</w:t>
      </w:r>
      <w:r w:rsidR="006B7DCD" w:rsidRPr="00CE4C7D">
        <w:rPr>
          <w:rFonts w:asciiTheme="majorHAnsi" w:hAnsiTheme="majorHAnsi" w:cstheme="majorHAnsi"/>
          <w:sz w:val="22"/>
          <w:szCs w:val="22"/>
        </w:rPr>
        <w:t xml:space="preserve"> </w:t>
      </w:r>
      <w:r w:rsidR="002A4269" w:rsidRPr="00CE4C7D">
        <w:rPr>
          <w:rFonts w:asciiTheme="majorHAnsi" w:hAnsiTheme="majorHAnsi" w:cstheme="majorHAnsi"/>
          <w:sz w:val="22"/>
          <w:szCs w:val="22"/>
        </w:rPr>
        <w:t>2010)</w:t>
      </w:r>
      <w:r w:rsidR="006B7DCD" w:rsidRPr="00CE4C7D">
        <w:rPr>
          <w:rFonts w:asciiTheme="majorHAnsi" w:hAnsiTheme="majorHAnsi" w:cstheme="majorHAnsi"/>
          <w:sz w:val="22"/>
          <w:szCs w:val="22"/>
        </w:rPr>
        <w:t xml:space="preserve"> as a panacea, and these things are notoriously hard to achieve in practice. However, </w:t>
      </w:r>
      <w:r w:rsidR="00E54C2F" w:rsidRPr="00CE4C7D">
        <w:rPr>
          <w:rFonts w:asciiTheme="majorHAnsi" w:hAnsiTheme="majorHAnsi" w:cstheme="majorHAnsi"/>
          <w:sz w:val="22"/>
          <w:szCs w:val="22"/>
        </w:rPr>
        <w:t xml:space="preserve">some reconfiguring of institutional roles, responsibilities and remits is likely to be needed. For example, </w:t>
      </w:r>
      <w:r w:rsidR="00AF1CBB" w:rsidRPr="00CE4C7D">
        <w:rPr>
          <w:rFonts w:asciiTheme="majorHAnsi" w:hAnsiTheme="majorHAnsi" w:cstheme="majorHAnsi"/>
          <w:sz w:val="22"/>
          <w:szCs w:val="22"/>
        </w:rPr>
        <w:t xml:space="preserve">institutional </w:t>
      </w:r>
      <w:r w:rsidR="00E54C2F" w:rsidRPr="00CE4C7D">
        <w:rPr>
          <w:rFonts w:asciiTheme="majorHAnsi" w:hAnsiTheme="majorHAnsi" w:cstheme="majorHAnsi"/>
          <w:sz w:val="22"/>
          <w:szCs w:val="22"/>
        </w:rPr>
        <w:t xml:space="preserve">energy managers need to play an active role in the development of all strategies that are likely to affect energy </w:t>
      </w:r>
      <w:proofErr w:type="gramStart"/>
      <w:r w:rsidR="00E54C2F" w:rsidRPr="00CE4C7D">
        <w:rPr>
          <w:rFonts w:asciiTheme="majorHAnsi" w:hAnsiTheme="majorHAnsi" w:cstheme="majorHAnsi"/>
          <w:sz w:val="22"/>
          <w:szCs w:val="22"/>
        </w:rPr>
        <w:t>demand;</w:t>
      </w:r>
      <w:proofErr w:type="gramEnd"/>
      <w:r w:rsidR="00E54C2F" w:rsidRPr="00CE4C7D">
        <w:rPr>
          <w:rFonts w:asciiTheme="majorHAnsi" w:hAnsiTheme="majorHAnsi" w:cstheme="majorHAnsi"/>
          <w:sz w:val="22"/>
          <w:szCs w:val="22"/>
        </w:rPr>
        <w:t xml:space="preserve"> such as growth or business development strategies.</w:t>
      </w:r>
    </w:p>
    <w:p w14:paraId="3CC5D9EB" w14:textId="0D45E204" w:rsidR="006B7DCD" w:rsidRPr="00CE4C7D" w:rsidRDefault="006B7DCD" w:rsidP="00F25A95">
      <w:pPr>
        <w:autoSpaceDE w:val="0"/>
        <w:autoSpaceDN w:val="0"/>
        <w:adjustRightInd w:val="0"/>
        <w:rPr>
          <w:rFonts w:asciiTheme="majorHAnsi" w:hAnsiTheme="majorHAnsi" w:cstheme="majorHAnsi"/>
          <w:color w:val="5F497A" w:themeColor="accent4" w:themeShade="BF"/>
          <w:sz w:val="22"/>
          <w:szCs w:val="22"/>
        </w:rPr>
      </w:pPr>
    </w:p>
    <w:p w14:paraId="1DEED7F8" w14:textId="6E25CE03" w:rsidR="00E54C2F" w:rsidRPr="00CE4C7D" w:rsidRDefault="00E54C2F" w:rsidP="00F25A95">
      <w:pPr>
        <w:autoSpaceDE w:val="0"/>
        <w:autoSpaceDN w:val="0"/>
        <w:adjustRightInd w:val="0"/>
        <w:rPr>
          <w:rFonts w:asciiTheme="majorHAnsi" w:hAnsiTheme="majorHAnsi" w:cstheme="majorHAnsi"/>
          <w:sz w:val="22"/>
          <w:szCs w:val="22"/>
        </w:rPr>
      </w:pPr>
      <w:r w:rsidRPr="00CE4C7D">
        <w:rPr>
          <w:rFonts w:asciiTheme="majorHAnsi" w:hAnsiTheme="majorHAnsi" w:cstheme="majorHAnsi"/>
          <w:sz w:val="22"/>
          <w:szCs w:val="22"/>
        </w:rPr>
        <w:t>Implementing these kinds of change would not suddenly remove conflicts and tensions between energy goals and other priorities. However, i</w:t>
      </w:r>
      <w:r w:rsidR="00D90F8E" w:rsidRPr="00CE4C7D">
        <w:rPr>
          <w:rFonts w:asciiTheme="majorHAnsi" w:hAnsiTheme="majorHAnsi" w:cstheme="majorHAnsi"/>
          <w:sz w:val="22"/>
          <w:szCs w:val="22"/>
        </w:rPr>
        <w:t>dentifying these at an early stage, and assessing their impacts, is a prerequisite to informed decision-making</w:t>
      </w:r>
      <w:r w:rsidRPr="00CE4C7D">
        <w:rPr>
          <w:rFonts w:asciiTheme="majorHAnsi" w:hAnsiTheme="majorHAnsi" w:cstheme="majorHAnsi"/>
          <w:sz w:val="22"/>
          <w:szCs w:val="22"/>
        </w:rPr>
        <w:t>. I</w:t>
      </w:r>
      <w:r w:rsidR="00D90F8E" w:rsidRPr="00CE4C7D">
        <w:rPr>
          <w:rFonts w:asciiTheme="majorHAnsi" w:hAnsiTheme="majorHAnsi" w:cstheme="majorHAnsi"/>
          <w:sz w:val="22"/>
          <w:szCs w:val="22"/>
        </w:rPr>
        <w:t>t may be that core business goal</w:t>
      </w:r>
      <w:r w:rsidRPr="00CE4C7D">
        <w:rPr>
          <w:rFonts w:asciiTheme="majorHAnsi" w:hAnsiTheme="majorHAnsi" w:cstheme="majorHAnsi"/>
          <w:sz w:val="22"/>
          <w:szCs w:val="22"/>
        </w:rPr>
        <w:t>s</w:t>
      </w:r>
      <w:r w:rsidR="00D90F8E" w:rsidRPr="00CE4C7D">
        <w:rPr>
          <w:rFonts w:asciiTheme="majorHAnsi" w:hAnsiTheme="majorHAnsi" w:cstheme="majorHAnsi"/>
          <w:sz w:val="22"/>
          <w:szCs w:val="22"/>
        </w:rPr>
        <w:t xml:space="preserve"> will</w:t>
      </w:r>
      <w:r w:rsidRPr="00CE4C7D">
        <w:rPr>
          <w:rFonts w:asciiTheme="majorHAnsi" w:hAnsiTheme="majorHAnsi" w:cstheme="majorHAnsi"/>
          <w:sz w:val="22"/>
          <w:szCs w:val="22"/>
        </w:rPr>
        <w:t xml:space="preserve"> still</w:t>
      </w:r>
      <w:r w:rsidR="00D90F8E" w:rsidRPr="00CE4C7D">
        <w:rPr>
          <w:rFonts w:asciiTheme="majorHAnsi" w:hAnsiTheme="majorHAnsi" w:cstheme="majorHAnsi"/>
          <w:sz w:val="22"/>
          <w:szCs w:val="22"/>
        </w:rPr>
        <w:t xml:space="preserve"> outweigh energy goal</w:t>
      </w:r>
      <w:r w:rsidRPr="00CE4C7D">
        <w:rPr>
          <w:rFonts w:asciiTheme="majorHAnsi" w:hAnsiTheme="majorHAnsi" w:cstheme="majorHAnsi"/>
          <w:sz w:val="22"/>
          <w:szCs w:val="22"/>
        </w:rPr>
        <w:t>s in most</w:t>
      </w:r>
      <w:r w:rsidR="00D90F8E" w:rsidRPr="00CE4C7D">
        <w:rPr>
          <w:rFonts w:asciiTheme="majorHAnsi" w:hAnsiTheme="majorHAnsi" w:cstheme="majorHAnsi"/>
          <w:sz w:val="22"/>
          <w:szCs w:val="22"/>
        </w:rPr>
        <w:t xml:space="preserve"> instance</w:t>
      </w:r>
      <w:r w:rsidRPr="00CE4C7D">
        <w:rPr>
          <w:rFonts w:asciiTheme="majorHAnsi" w:hAnsiTheme="majorHAnsi" w:cstheme="majorHAnsi"/>
          <w:sz w:val="22"/>
          <w:szCs w:val="22"/>
        </w:rPr>
        <w:t>s; we are not suggesting organi</w:t>
      </w:r>
      <w:r w:rsidR="0029692E" w:rsidRPr="00CE4C7D">
        <w:rPr>
          <w:rFonts w:asciiTheme="majorHAnsi" w:hAnsiTheme="majorHAnsi" w:cstheme="majorHAnsi"/>
          <w:sz w:val="22"/>
          <w:szCs w:val="22"/>
        </w:rPr>
        <w:t>z</w:t>
      </w:r>
      <w:r w:rsidRPr="00CE4C7D">
        <w:rPr>
          <w:rFonts w:asciiTheme="majorHAnsi" w:hAnsiTheme="majorHAnsi" w:cstheme="majorHAnsi"/>
          <w:sz w:val="22"/>
          <w:szCs w:val="22"/>
        </w:rPr>
        <w:t>ations should abandon their main priorities</w:t>
      </w:r>
      <w:r w:rsidR="007D368A" w:rsidRPr="00CE4C7D">
        <w:rPr>
          <w:rStyle w:val="EndnoteReference"/>
          <w:rFonts w:asciiTheme="majorHAnsi" w:hAnsiTheme="majorHAnsi" w:cstheme="majorHAnsi"/>
          <w:sz w:val="22"/>
          <w:szCs w:val="22"/>
        </w:rPr>
        <w:endnoteReference w:id="5"/>
      </w:r>
      <w:r w:rsidR="007D368A" w:rsidRPr="00CE4C7D">
        <w:rPr>
          <w:rFonts w:asciiTheme="majorHAnsi" w:hAnsiTheme="majorHAnsi" w:cstheme="majorHAnsi"/>
          <w:sz w:val="22"/>
          <w:szCs w:val="22"/>
        </w:rPr>
        <w:t>.</w:t>
      </w:r>
      <w:r w:rsidRPr="00CE4C7D">
        <w:rPr>
          <w:rFonts w:asciiTheme="majorHAnsi" w:hAnsiTheme="majorHAnsi" w:cstheme="majorHAnsi"/>
          <w:sz w:val="22"/>
          <w:szCs w:val="22"/>
        </w:rPr>
        <w:t xml:space="preserve"> B</w:t>
      </w:r>
      <w:r w:rsidR="00D90F8E" w:rsidRPr="00CE4C7D">
        <w:rPr>
          <w:rFonts w:asciiTheme="majorHAnsi" w:hAnsiTheme="majorHAnsi" w:cstheme="majorHAnsi"/>
          <w:sz w:val="22"/>
          <w:szCs w:val="22"/>
        </w:rPr>
        <w:t xml:space="preserve">ut at the very least, an early awareness of the conflict and likely outcomes will assist </w:t>
      </w:r>
      <w:r w:rsidRPr="00CE4C7D">
        <w:rPr>
          <w:rFonts w:asciiTheme="majorHAnsi" w:hAnsiTheme="majorHAnsi" w:cstheme="majorHAnsi"/>
          <w:sz w:val="22"/>
          <w:szCs w:val="22"/>
        </w:rPr>
        <w:t>with organi</w:t>
      </w:r>
      <w:r w:rsidR="0029692E" w:rsidRPr="00CE4C7D">
        <w:rPr>
          <w:rFonts w:asciiTheme="majorHAnsi" w:hAnsiTheme="majorHAnsi" w:cstheme="majorHAnsi"/>
          <w:sz w:val="22"/>
          <w:szCs w:val="22"/>
        </w:rPr>
        <w:t>z</w:t>
      </w:r>
      <w:r w:rsidRPr="00CE4C7D">
        <w:rPr>
          <w:rFonts w:asciiTheme="majorHAnsi" w:hAnsiTheme="majorHAnsi" w:cstheme="majorHAnsi"/>
          <w:sz w:val="22"/>
          <w:szCs w:val="22"/>
        </w:rPr>
        <w:t xml:space="preserve">ations’ </w:t>
      </w:r>
      <w:r w:rsidR="00D90F8E" w:rsidRPr="00CE4C7D">
        <w:rPr>
          <w:rFonts w:asciiTheme="majorHAnsi" w:hAnsiTheme="majorHAnsi" w:cstheme="majorHAnsi"/>
          <w:sz w:val="22"/>
          <w:szCs w:val="22"/>
        </w:rPr>
        <w:t>plannin</w:t>
      </w:r>
      <w:r w:rsidRPr="00CE4C7D">
        <w:rPr>
          <w:rFonts w:asciiTheme="majorHAnsi" w:hAnsiTheme="majorHAnsi" w:cstheme="majorHAnsi"/>
          <w:sz w:val="22"/>
          <w:szCs w:val="22"/>
        </w:rPr>
        <w:t xml:space="preserve">g; </w:t>
      </w:r>
      <w:r w:rsidR="00D90F8E" w:rsidRPr="00CE4C7D">
        <w:rPr>
          <w:rFonts w:asciiTheme="majorHAnsi" w:hAnsiTheme="majorHAnsi" w:cstheme="majorHAnsi"/>
          <w:sz w:val="22"/>
          <w:szCs w:val="22"/>
        </w:rPr>
        <w:t xml:space="preserve">for example, additional effort </w:t>
      </w:r>
      <w:r w:rsidR="008E0422" w:rsidRPr="00CE4C7D">
        <w:rPr>
          <w:rFonts w:asciiTheme="majorHAnsi" w:hAnsiTheme="majorHAnsi" w:cstheme="majorHAnsi"/>
          <w:sz w:val="22"/>
          <w:szCs w:val="22"/>
        </w:rPr>
        <w:t>may</w:t>
      </w:r>
      <w:r w:rsidR="00D90F8E" w:rsidRPr="00CE4C7D">
        <w:rPr>
          <w:rFonts w:asciiTheme="majorHAnsi" w:hAnsiTheme="majorHAnsi" w:cstheme="majorHAnsi"/>
          <w:sz w:val="22"/>
          <w:szCs w:val="22"/>
        </w:rPr>
        <w:t xml:space="preserve"> be required to cut demand in other areas. More positively, there may be ways to manage the way core </w:t>
      </w:r>
      <w:r w:rsidR="00197DD3" w:rsidRPr="00CE4C7D">
        <w:rPr>
          <w:rFonts w:asciiTheme="majorHAnsi" w:hAnsiTheme="majorHAnsi" w:cstheme="majorHAnsi"/>
          <w:sz w:val="22"/>
          <w:szCs w:val="22"/>
        </w:rPr>
        <w:t>policies are designed and implemented to</w:t>
      </w:r>
      <w:r w:rsidR="00D90F8E" w:rsidRPr="00CE4C7D">
        <w:rPr>
          <w:rFonts w:asciiTheme="majorHAnsi" w:hAnsiTheme="majorHAnsi" w:cstheme="majorHAnsi"/>
          <w:sz w:val="22"/>
          <w:szCs w:val="22"/>
        </w:rPr>
        <w:t xml:space="preserve"> mitigate unwanted energy effects.</w:t>
      </w:r>
      <w:r w:rsidRPr="00CE4C7D">
        <w:rPr>
          <w:rFonts w:asciiTheme="majorHAnsi" w:hAnsiTheme="majorHAnsi" w:cstheme="majorHAnsi"/>
          <w:sz w:val="22"/>
          <w:szCs w:val="22"/>
        </w:rPr>
        <w:t xml:space="preserve"> Within the higher education sector, for example, </w:t>
      </w:r>
      <w:r w:rsidR="00940FBE" w:rsidRPr="00CE4C7D">
        <w:rPr>
          <w:rFonts w:asciiTheme="majorHAnsi" w:hAnsiTheme="majorHAnsi" w:cstheme="majorHAnsi"/>
          <w:sz w:val="22"/>
          <w:szCs w:val="22"/>
        </w:rPr>
        <w:t xml:space="preserve">mainstreaming energy concerns might lead to </w:t>
      </w:r>
      <w:r w:rsidRPr="00CE4C7D">
        <w:rPr>
          <w:rFonts w:asciiTheme="majorHAnsi" w:hAnsiTheme="majorHAnsi" w:cstheme="majorHAnsi"/>
          <w:sz w:val="22"/>
          <w:szCs w:val="22"/>
        </w:rPr>
        <w:t xml:space="preserve">the revision </w:t>
      </w:r>
      <w:r w:rsidR="00FA79DB" w:rsidRPr="00CE4C7D">
        <w:rPr>
          <w:rFonts w:asciiTheme="majorHAnsi" w:hAnsiTheme="majorHAnsi" w:cstheme="majorHAnsi"/>
          <w:sz w:val="22"/>
          <w:szCs w:val="22"/>
        </w:rPr>
        <w:t xml:space="preserve">of academic promotion criteria </w:t>
      </w:r>
      <w:r w:rsidRPr="00CE4C7D">
        <w:rPr>
          <w:rFonts w:asciiTheme="majorHAnsi" w:hAnsiTheme="majorHAnsi" w:cstheme="majorHAnsi"/>
          <w:sz w:val="22"/>
          <w:szCs w:val="22"/>
        </w:rPr>
        <w:t>to reduce pressures for international conference attendance; changes to academic calendar</w:t>
      </w:r>
      <w:r w:rsidR="00B330A7" w:rsidRPr="00CE4C7D">
        <w:rPr>
          <w:rFonts w:asciiTheme="majorHAnsi" w:hAnsiTheme="majorHAnsi" w:cstheme="majorHAnsi"/>
          <w:sz w:val="22"/>
          <w:szCs w:val="22"/>
        </w:rPr>
        <w:t>s</w:t>
      </w:r>
      <w:r w:rsidRPr="00CE4C7D">
        <w:rPr>
          <w:rFonts w:asciiTheme="majorHAnsi" w:hAnsiTheme="majorHAnsi" w:cstheme="majorHAnsi"/>
          <w:sz w:val="22"/>
          <w:szCs w:val="22"/>
        </w:rPr>
        <w:t xml:space="preserve"> to limit international student travel; new </w:t>
      </w:r>
      <w:r w:rsidR="00972000" w:rsidRPr="00CE4C7D">
        <w:rPr>
          <w:rFonts w:asciiTheme="majorHAnsi" w:hAnsiTheme="majorHAnsi" w:cstheme="majorHAnsi"/>
          <w:sz w:val="22"/>
          <w:szCs w:val="22"/>
        </w:rPr>
        <w:t xml:space="preserve">targets </w:t>
      </w:r>
      <w:r w:rsidR="00B330A7" w:rsidRPr="00CE4C7D">
        <w:rPr>
          <w:rFonts w:asciiTheme="majorHAnsi" w:hAnsiTheme="majorHAnsi" w:cstheme="majorHAnsi"/>
          <w:sz w:val="22"/>
          <w:szCs w:val="22"/>
        </w:rPr>
        <w:t>on</w:t>
      </w:r>
      <w:r w:rsidR="00972000" w:rsidRPr="00CE4C7D">
        <w:rPr>
          <w:rFonts w:asciiTheme="majorHAnsi" w:hAnsiTheme="majorHAnsi" w:cstheme="majorHAnsi"/>
          <w:sz w:val="22"/>
          <w:szCs w:val="22"/>
        </w:rPr>
        <w:t xml:space="preserve"> </w:t>
      </w:r>
      <w:r w:rsidRPr="00CE4C7D">
        <w:rPr>
          <w:rFonts w:asciiTheme="majorHAnsi" w:hAnsiTheme="majorHAnsi" w:cstheme="majorHAnsi"/>
          <w:sz w:val="22"/>
          <w:szCs w:val="22"/>
        </w:rPr>
        <w:t xml:space="preserve">local procurement; </w:t>
      </w:r>
      <w:r w:rsidR="00972000" w:rsidRPr="00CE4C7D">
        <w:rPr>
          <w:rFonts w:asciiTheme="majorHAnsi" w:hAnsiTheme="majorHAnsi" w:cstheme="majorHAnsi"/>
          <w:sz w:val="22"/>
          <w:szCs w:val="22"/>
        </w:rPr>
        <w:t>or new guidance on opening hours of services.</w:t>
      </w:r>
    </w:p>
    <w:p w14:paraId="5DADE79C" w14:textId="77777777" w:rsidR="00B951D3" w:rsidRPr="00CE4C7D" w:rsidRDefault="00B951D3" w:rsidP="00F25A95">
      <w:pPr>
        <w:autoSpaceDE w:val="0"/>
        <w:autoSpaceDN w:val="0"/>
        <w:adjustRightInd w:val="0"/>
        <w:rPr>
          <w:rFonts w:asciiTheme="majorHAnsi" w:hAnsiTheme="majorHAnsi" w:cstheme="majorHAnsi"/>
          <w:sz w:val="22"/>
          <w:szCs w:val="22"/>
        </w:rPr>
      </w:pPr>
    </w:p>
    <w:p w14:paraId="4D762E3E" w14:textId="4770DA9A" w:rsidR="00942980" w:rsidRPr="00CE4C7D" w:rsidRDefault="00B951D3" w:rsidP="00F25A95">
      <w:pPr>
        <w:autoSpaceDE w:val="0"/>
        <w:autoSpaceDN w:val="0"/>
        <w:adjustRightInd w:val="0"/>
        <w:rPr>
          <w:rFonts w:asciiTheme="majorHAnsi" w:hAnsiTheme="majorHAnsi" w:cstheme="majorHAnsi"/>
          <w:sz w:val="22"/>
          <w:szCs w:val="22"/>
        </w:rPr>
      </w:pPr>
      <w:r w:rsidRPr="00CE4C7D">
        <w:rPr>
          <w:rFonts w:asciiTheme="majorHAnsi" w:hAnsiTheme="majorHAnsi" w:cstheme="majorHAnsi"/>
          <w:sz w:val="22"/>
          <w:szCs w:val="22"/>
        </w:rPr>
        <w:t xml:space="preserve">Finally, pursuing </w:t>
      </w:r>
      <w:r w:rsidR="00E54C2F" w:rsidRPr="00CE4C7D">
        <w:rPr>
          <w:rFonts w:asciiTheme="majorHAnsi" w:hAnsiTheme="majorHAnsi" w:cstheme="majorHAnsi"/>
          <w:sz w:val="22"/>
          <w:szCs w:val="22"/>
        </w:rPr>
        <w:t xml:space="preserve">these kinds of change </w:t>
      </w:r>
      <w:r w:rsidR="00800093" w:rsidRPr="00CE4C7D">
        <w:rPr>
          <w:rFonts w:asciiTheme="majorHAnsi" w:hAnsiTheme="majorHAnsi" w:cstheme="majorHAnsi"/>
          <w:sz w:val="22"/>
          <w:szCs w:val="22"/>
        </w:rPr>
        <w:t>c</w:t>
      </w:r>
      <w:r w:rsidR="00E54C2F" w:rsidRPr="00CE4C7D">
        <w:rPr>
          <w:rFonts w:asciiTheme="majorHAnsi" w:hAnsiTheme="majorHAnsi" w:cstheme="majorHAnsi"/>
          <w:sz w:val="22"/>
          <w:szCs w:val="22"/>
        </w:rPr>
        <w:t>ould</w:t>
      </w:r>
      <w:r w:rsidRPr="00CE4C7D">
        <w:rPr>
          <w:rFonts w:asciiTheme="majorHAnsi" w:hAnsiTheme="majorHAnsi" w:cstheme="majorHAnsi"/>
          <w:sz w:val="22"/>
          <w:szCs w:val="22"/>
        </w:rPr>
        <w:t xml:space="preserve"> also</w:t>
      </w:r>
      <w:r w:rsidR="00E54C2F" w:rsidRPr="00CE4C7D">
        <w:rPr>
          <w:rFonts w:asciiTheme="majorHAnsi" w:hAnsiTheme="majorHAnsi" w:cstheme="majorHAnsi"/>
          <w:sz w:val="22"/>
          <w:szCs w:val="22"/>
        </w:rPr>
        <w:t xml:space="preserve"> </w:t>
      </w:r>
      <w:r w:rsidR="00800093" w:rsidRPr="00CE4C7D">
        <w:rPr>
          <w:rFonts w:asciiTheme="majorHAnsi" w:hAnsiTheme="majorHAnsi" w:cstheme="majorHAnsi"/>
          <w:sz w:val="22"/>
          <w:szCs w:val="22"/>
        </w:rPr>
        <w:t xml:space="preserve">help </w:t>
      </w:r>
      <w:r w:rsidR="00E54C2F" w:rsidRPr="00CE4C7D">
        <w:rPr>
          <w:rFonts w:asciiTheme="majorHAnsi" w:hAnsiTheme="majorHAnsi" w:cstheme="majorHAnsi"/>
          <w:sz w:val="22"/>
          <w:szCs w:val="22"/>
        </w:rPr>
        <w:t>identify win-wins across different policy goals. Th</w:t>
      </w:r>
      <w:r w:rsidRPr="00CE4C7D">
        <w:rPr>
          <w:rFonts w:asciiTheme="majorHAnsi" w:hAnsiTheme="majorHAnsi" w:cstheme="majorHAnsi"/>
          <w:sz w:val="22"/>
          <w:szCs w:val="22"/>
        </w:rPr>
        <w:t>e idea of</w:t>
      </w:r>
      <w:r w:rsidR="00E54C2F" w:rsidRPr="00CE4C7D">
        <w:rPr>
          <w:rFonts w:asciiTheme="majorHAnsi" w:hAnsiTheme="majorHAnsi" w:cstheme="majorHAnsi"/>
          <w:sz w:val="22"/>
          <w:szCs w:val="22"/>
        </w:rPr>
        <w:t xml:space="preserve"> co-benefits</w:t>
      </w:r>
      <w:r w:rsidRPr="00CE4C7D">
        <w:rPr>
          <w:rFonts w:asciiTheme="majorHAnsi" w:hAnsiTheme="majorHAnsi" w:cstheme="majorHAnsi"/>
          <w:sz w:val="22"/>
          <w:szCs w:val="22"/>
        </w:rPr>
        <w:t xml:space="preserve"> is increasingly discussed </w:t>
      </w:r>
      <w:r w:rsidR="00E54C2F" w:rsidRPr="00CE4C7D">
        <w:rPr>
          <w:rFonts w:asciiTheme="majorHAnsi" w:hAnsiTheme="majorHAnsi" w:cstheme="majorHAnsi"/>
          <w:sz w:val="22"/>
          <w:szCs w:val="22"/>
        </w:rPr>
        <w:t>in energy studies</w:t>
      </w:r>
      <w:r w:rsidRPr="00CE4C7D">
        <w:rPr>
          <w:rFonts w:asciiTheme="majorHAnsi" w:hAnsiTheme="majorHAnsi" w:cstheme="majorHAnsi"/>
          <w:sz w:val="22"/>
          <w:szCs w:val="22"/>
        </w:rPr>
        <w:t xml:space="preserve">, and an awareness of non-energy policies’ intersections with energy demand can help researchers and </w:t>
      </w:r>
      <w:proofErr w:type="gramStart"/>
      <w:r w:rsidRPr="00CE4C7D">
        <w:rPr>
          <w:rFonts w:asciiTheme="majorHAnsi" w:hAnsiTheme="majorHAnsi" w:cstheme="majorHAnsi"/>
          <w:sz w:val="22"/>
          <w:szCs w:val="22"/>
        </w:rPr>
        <w:t>policy-makers</w:t>
      </w:r>
      <w:proofErr w:type="gramEnd"/>
      <w:r w:rsidRPr="00CE4C7D">
        <w:rPr>
          <w:rFonts w:asciiTheme="majorHAnsi" w:hAnsiTheme="majorHAnsi" w:cstheme="majorHAnsi"/>
          <w:sz w:val="22"/>
          <w:szCs w:val="22"/>
        </w:rPr>
        <w:t xml:space="preserve"> </w:t>
      </w:r>
      <w:r w:rsidR="00E54C2F" w:rsidRPr="00CE4C7D">
        <w:rPr>
          <w:rFonts w:asciiTheme="majorHAnsi" w:hAnsiTheme="majorHAnsi" w:cstheme="majorHAnsi"/>
          <w:sz w:val="22"/>
          <w:szCs w:val="22"/>
        </w:rPr>
        <w:t>capitali</w:t>
      </w:r>
      <w:r w:rsidR="000A25B3" w:rsidRPr="00CE4C7D">
        <w:rPr>
          <w:rFonts w:asciiTheme="majorHAnsi" w:hAnsiTheme="majorHAnsi" w:cstheme="majorHAnsi"/>
          <w:sz w:val="22"/>
          <w:szCs w:val="22"/>
        </w:rPr>
        <w:t>z</w:t>
      </w:r>
      <w:r w:rsidR="00E54C2F" w:rsidRPr="00CE4C7D">
        <w:rPr>
          <w:rFonts w:asciiTheme="majorHAnsi" w:hAnsiTheme="majorHAnsi" w:cstheme="majorHAnsi"/>
          <w:sz w:val="22"/>
          <w:szCs w:val="22"/>
        </w:rPr>
        <w:t>e on opportunities</w:t>
      </w:r>
      <w:r w:rsidRPr="00CE4C7D">
        <w:rPr>
          <w:rFonts w:asciiTheme="majorHAnsi" w:hAnsiTheme="majorHAnsi" w:cstheme="majorHAnsi"/>
          <w:sz w:val="22"/>
          <w:szCs w:val="22"/>
        </w:rPr>
        <w:t xml:space="preserve"> for policy alignment</w:t>
      </w:r>
      <w:r w:rsidR="00E54C2F" w:rsidRPr="00CE4C7D">
        <w:rPr>
          <w:rFonts w:asciiTheme="majorHAnsi" w:hAnsiTheme="majorHAnsi" w:cstheme="majorHAnsi"/>
          <w:sz w:val="22"/>
          <w:szCs w:val="22"/>
        </w:rPr>
        <w:t xml:space="preserve">. </w:t>
      </w:r>
      <w:r w:rsidR="00942980" w:rsidRPr="00CE4C7D">
        <w:rPr>
          <w:rFonts w:asciiTheme="majorHAnsi" w:hAnsiTheme="majorHAnsi" w:cstheme="majorHAnsi"/>
          <w:sz w:val="22"/>
          <w:szCs w:val="22"/>
        </w:rPr>
        <w:t>A good example come</w:t>
      </w:r>
      <w:r w:rsidR="0045499F" w:rsidRPr="00CE4C7D">
        <w:rPr>
          <w:rFonts w:asciiTheme="majorHAnsi" w:hAnsiTheme="majorHAnsi" w:cstheme="majorHAnsi"/>
          <w:sz w:val="22"/>
          <w:szCs w:val="22"/>
        </w:rPr>
        <w:t>s</w:t>
      </w:r>
      <w:r w:rsidR="00942980" w:rsidRPr="00CE4C7D">
        <w:rPr>
          <w:rFonts w:asciiTheme="majorHAnsi" w:hAnsiTheme="majorHAnsi" w:cstheme="majorHAnsi"/>
          <w:sz w:val="22"/>
          <w:szCs w:val="22"/>
        </w:rPr>
        <w:t xml:space="preserve"> from the </w:t>
      </w:r>
      <w:r w:rsidR="00752347" w:rsidRPr="00CE4C7D">
        <w:rPr>
          <w:rFonts w:asciiTheme="majorHAnsi" w:hAnsiTheme="majorHAnsi" w:cstheme="majorHAnsi"/>
          <w:sz w:val="22"/>
          <w:szCs w:val="22"/>
        </w:rPr>
        <w:t xml:space="preserve">English </w:t>
      </w:r>
      <w:r w:rsidR="00942980" w:rsidRPr="00CE4C7D">
        <w:rPr>
          <w:rFonts w:asciiTheme="majorHAnsi" w:hAnsiTheme="majorHAnsi" w:cstheme="majorHAnsi"/>
          <w:sz w:val="22"/>
          <w:szCs w:val="22"/>
        </w:rPr>
        <w:t>health sector, where a report by the NHS Sustainable Development Unit</w:t>
      </w:r>
      <w:r w:rsidR="00E47D25" w:rsidRPr="00CE4C7D">
        <w:rPr>
          <w:rFonts w:asciiTheme="majorHAnsi" w:hAnsiTheme="majorHAnsi" w:cstheme="majorHAnsi"/>
          <w:sz w:val="22"/>
          <w:szCs w:val="22"/>
        </w:rPr>
        <w:t xml:space="preserve"> </w:t>
      </w:r>
      <w:r w:rsidR="00364ED1" w:rsidRPr="00CE4C7D">
        <w:rPr>
          <w:rFonts w:asciiTheme="majorHAnsi" w:hAnsiTheme="majorHAnsi" w:cstheme="majorHAnsi"/>
          <w:sz w:val="22"/>
          <w:szCs w:val="22"/>
        </w:rPr>
        <w:t xml:space="preserve">(2016) </w:t>
      </w:r>
      <w:r w:rsidR="00942980" w:rsidRPr="00CE4C7D">
        <w:rPr>
          <w:rFonts w:asciiTheme="majorHAnsi" w:hAnsiTheme="majorHAnsi" w:cstheme="majorHAnsi"/>
          <w:sz w:val="22"/>
          <w:szCs w:val="22"/>
        </w:rPr>
        <w:t>took a ground-breaking approach to energy and carbon reduction. It assesse</w:t>
      </w:r>
      <w:r w:rsidR="008E0422" w:rsidRPr="00CE4C7D">
        <w:rPr>
          <w:rFonts w:asciiTheme="majorHAnsi" w:hAnsiTheme="majorHAnsi" w:cstheme="majorHAnsi"/>
          <w:sz w:val="22"/>
          <w:szCs w:val="22"/>
        </w:rPr>
        <w:t>d</w:t>
      </w:r>
      <w:r w:rsidR="00942980" w:rsidRPr="00CE4C7D">
        <w:rPr>
          <w:rFonts w:asciiTheme="majorHAnsi" w:hAnsiTheme="majorHAnsi" w:cstheme="majorHAnsi"/>
          <w:sz w:val="22"/>
          <w:szCs w:val="22"/>
        </w:rPr>
        <w:t xml:space="preserve"> the likely implications of a range of potential interventions in the health sector, including conventional energy efficiency and supply</w:t>
      </w:r>
      <w:r w:rsidR="003A7B17" w:rsidRPr="00CE4C7D">
        <w:rPr>
          <w:rFonts w:asciiTheme="majorHAnsi" w:hAnsiTheme="majorHAnsi" w:cstheme="majorHAnsi"/>
          <w:sz w:val="22"/>
          <w:szCs w:val="22"/>
        </w:rPr>
        <w:t>-</w:t>
      </w:r>
      <w:r w:rsidR="00942980" w:rsidRPr="00CE4C7D">
        <w:rPr>
          <w:rFonts w:asciiTheme="majorHAnsi" w:hAnsiTheme="majorHAnsi" w:cstheme="majorHAnsi"/>
          <w:sz w:val="22"/>
          <w:szCs w:val="22"/>
        </w:rPr>
        <w:t>side measures</w:t>
      </w:r>
      <w:r w:rsidR="00AF1CBB" w:rsidRPr="00CE4C7D">
        <w:rPr>
          <w:rFonts w:asciiTheme="majorHAnsi" w:hAnsiTheme="majorHAnsi" w:cstheme="majorHAnsi"/>
          <w:sz w:val="22"/>
          <w:szCs w:val="22"/>
        </w:rPr>
        <w:t xml:space="preserve">. </w:t>
      </w:r>
      <w:r w:rsidR="00942980" w:rsidRPr="00CE4C7D">
        <w:rPr>
          <w:rFonts w:asciiTheme="majorHAnsi" w:hAnsiTheme="majorHAnsi" w:cstheme="majorHAnsi"/>
          <w:sz w:val="22"/>
          <w:szCs w:val="22"/>
        </w:rPr>
        <w:t>However, it also include</w:t>
      </w:r>
      <w:r w:rsidR="008E0422" w:rsidRPr="00CE4C7D">
        <w:rPr>
          <w:rFonts w:asciiTheme="majorHAnsi" w:hAnsiTheme="majorHAnsi" w:cstheme="majorHAnsi"/>
          <w:sz w:val="22"/>
          <w:szCs w:val="22"/>
        </w:rPr>
        <w:t>d</w:t>
      </w:r>
      <w:r w:rsidR="00942980" w:rsidRPr="00CE4C7D">
        <w:rPr>
          <w:rFonts w:asciiTheme="majorHAnsi" w:hAnsiTheme="majorHAnsi" w:cstheme="majorHAnsi"/>
          <w:sz w:val="22"/>
          <w:szCs w:val="22"/>
        </w:rPr>
        <w:t xml:space="preserve"> measures that intervene in how healthcare is </w:t>
      </w:r>
      <w:proofErr w:type="gramStart"/>
      <w:r w:rsidR="00942980" w:rsidRPr="00CE4C7D">
        <w:rPr>
          <w:rFonts w:asciiTheme="majorHAnsi" w:hAnsiTheme="majorHAnsi" w:cstheme="majorHAnsi"/>
          <w:sz w:val="22"/>
          <w:szCs w:val="22"/>
        </w:rPr>
        <w:t>actually delivered</w:t>
      </w:r>
      <w:proofErr w:type="gramEnd"/>
      <w:r w:rsidR="00942980" w:rsidRPr="00CE4C7D">
        <w:rPr>
          <w:rFonts w:asciiTheme="majorHAnsi" w:hAnsiTheme="majorHAnsi" w:cstheme="majorHAnsi"/>
          <w:sz w:val="22"/>
          <w:szCs w:val="22"/>
        </w:rPr>
        <w:t xml:space="preserve">, or models of care.  Five of the interventions assessed are shown in table </w:t>
      </w:r>
      <w:r w:rsidR="00EC049D" w:rsidRPr="00CE4C7D">
        <w:rPr>
          <w:rFonts w:asciiTheme="majorHAnsi" w:hAnsiTheme="majorHAnsi" w:cstheme="majorHAnsi"/>
          <w:sz w:val="22"/>
          <w:szCs w:val="22"/>
        </w:rPr>
        <w:t>19.1</w:t>
      </w:r>
      <w:r w:rsidR="00942980" w:rsidRPr="00CE4C7D">
        <w:rPr>
          <w:rFonts w:asciiTheme="majorHAnsi" w:hAnsiTheme="majorHAnsi" w:cstheme="majorHAnsi"/>
          <w:sz w:val="22"/>
          <w:szCs w:val="22"/>
        </w:rPr>
        <w:t>.</w:t>
      </w:r>
    </w:p>
    <w:p w14:paraId="3F5D788A" w14:textId="77777777" w:rsidR="00E5272A" w:rsidRPr="00CE4C7D" w:rsidRDefault="00E5272A" w:rsidP="00F25A95">
      <w:pPr>
        <w:autoSpaceDE w:val="0"/>
        <w:autoSpaceDN w:val="0"/>
        <w:adjustRightInd w:val="0"/>
        <w:rPr>
          <w:rFonts w:asciiTheme="majorHAnsi" w:hAnsiTheme="majorHAnsi" w:cstheme="majorHAnsi"/>
          <w:sz w:val="22"/>
          <w:szCs w:val="22"/>
        </w:rPr>
      </w:pPr>
    </w:p>
    <w:p w14:paraId="1A42A91B" w14:textId="4F7F3404" w:rsidR="00304C0F" w:rsidRPr="00CE4C7D" w:rsidRDefault="00304C0F" w:rsidP="00F25A95">
      <w:pPr>
        <w:autoSpaceDE w:val="0"/>
        <w:autoSpaceDN w:val="0"/>
        <w:adjustRightInd w:val="0"/>
        <w:rPr>
          <w:rFonts w:asciiTheme="majorHAnsi" w:hAnsiTheme="majorHAnsi" w:cstheme="majorHAnsi"/>
          <w:b/>
          <w:bCs/>
          <w:sz w:val="22"/>
          <w:szCs w:val="22"/>
        </w:rPr>
      </w:pPr>
      <w:r w:rsidRPr="00CE4C7D">
        <w:rPr>
          <w:rFonts w:asciiTheme="majorHAnsi" w:hAnsiTheme="majorHAnsi" w:cstheme="majorHAnsi"/>
          <w:b/>
          <w:bCs/>
          <w:sz w:val="22"/>
          <w:szCs w:val="22"/>
        </w:rPr>
        <w:t xml:space="preserve">Table </w:t>
      </w:r>
      <w:r w:rsidR="00EC049D" w:rsidRPr="00CE4C7D">
        <w:rPr>
          <w:rFonts w:asciiTheme="majorHAnsi" w:hAnsiTheme="majorHAnsi" w:cstheme="majorHAnsi"/>
          <w:b/>
          <w:bCs/>
          <w:sz w:val="22"/>
          <w:szCs w:val="22"/>
        </w:rPr>
        <w:t>19</w:t>
      </w:r>
      <w:r w:rsidR="003F31F4" w:rsidRPr="00CE4C7D">
        <w:rPr>
          <w:rFonts w:asciiTheme="majorHAnsi" w:hAnsiTheme="majorHAnsi" w:cstheme="majorHAnsi"/>
          <w:b/>
          <w:bCs/>
          <w:sz w:val="22"/>
          <w:szCs w:val="22"/>
        </w:rPr>
        <w:t>.</w:t>
      </w:r>
      <w:r w:rsidRPr="00CE4C7D">
        <w:rPr>
          <w:rFonts w:asciiTheme="majorHAnsi" w:hAnsiTheme="majorHAnsi" w:cstheme="majorHAnsi"/>
          <w:b/>
          <w:bCs/>
          <w:sz w:val="22"/>
          <w:szCs w:val="22"/>
        </w:rPr>
        <w:t>1: Selected energy-saving measures in the health sector</w:t>
      </w:r>
      <w:r w:rsidR="002A1139" w:rsidRPr="00CE4C7D">
        <w:rPr>
          <w:rFonts w:asciiTheme="majorHAnsi" w:hAnsiTheme="majorHAnsi" w:cstheme="majorHAnsi"/>
          <w:b/>
          <w:bCs/>
          <w:sz w:val="22"/>
          <w:szCs w:val="22"/>
        </w:rPr>
        <w:t xml:space="preserve"> (</w:t>
      </w:r>
      <w:r w:rsidR="00AC54C5" w:rsidRPr="00CE4C7D">
        <w:rPr>
          <w:rFonts w:asciiTheme="majorHAnsi" w:hAnsiTheme="majorHAnsi" w:cstheme="majorHAnsi"/>
          <w:b/>
          <w:bCs/>
          <w:sz w:val="22"/>
          <w:szCs w:val="22"/>
        </w:rPr>
        <w:t>adapted</w:t>
      </w:r>
      <w:r w:rsidR="002A1139" w:rsidRPr="00CE4C7D">
        <w:rPr>
          <w:rFonts w:asciiTheme="majorHAnsi" w:hAnsiTheme="majorHAnsi" w:cstheme="majorHAnsi"/>
          <w:b/>
          <w:bCs/>
          <w:sz w:val="22"/>
          <w:szCs w:val="22"/>
        </w:rPr>
        <w:t xml:space="preserve"> from S</w:t>
      </w:r>
      <w:r w:rsidR="00B9133B" w:rsidRPr="00CE4C7D">
        <w:rPr>
          <w:rFonts w:asciiTheme="majorHAnsi" w:hAnsiTheme="majorHAnsi" w:cstheme="majorHAnsi"/>
          <w:b/>
          <w:bCs/>
          <w:sz w:val="22"/>
          <w:szCs w:val="22"/>
        </w:rPr>
        <w:t>ustainable Development Unit</w:t>
      </w:r>
      <w:r w:rsidR="002A1139" w:rsidRPr="00CE4C7D">
        <w:rPr>
          <w:rFonts w:asciiTheme="majorHAnsi" w:hAnsiTheme="majorHAnsi" w:cstheme="majorHAnsi"/>
          <w:b/>
          <w:bCs/>
          <w:sz w:val="22"/>
          <w:szCs w:val="22"/>
        </w:rPr>
        <w:t>, 2016)</w:t>
      </w:r>
    </w:p>
    <w:p w14:paraId="458319DE" w14:textId="51843B6E" w:rsidR="00AC54C5" w:rsidRPr="00CE4C7D" w:rsidRDefault="00AC54C5" w:rsidP="00F25A95">
      <w:pPr>
        <w:autoSpaceDE w:val="0"/>
        <w:autoSpaceDN w:val="0"/>
        <w:adjustRightInd w:val="0"/>
        <w:rPr>
          <w:rFonts w:asciiTheme="majorHAnsi" w:hAnsiTheme="majorHAnsi" w:cstheme="majorHAnsi"/>
          <w:b/>
          <w:bCs/>
          <w:sz w:val="22"/>
          <w:szCs w:val="22"/>
        </w:rPr>
      </w:pPr>
    </w:p>
    <w:tbl>
      <w:tblPr>
        <w:tblStyle w:val="TableGrid"/>
        <w:tblW w:w="0" w:type="auto"/>
        <w:tblLook w:val="04A0" w:firstRow="1" w:lastRow="0" w:firstColumn="1" w:lastColumn="0" w:noHBand="0" w:noVBand="1"/>
      </w:tblPr>
      <w:tblGrid>
        <w:gridCol w:w="5524"/>
        <w:gridCol w:w="2766"/>
      </w:tblGrid>
      <w:tr w:rsidR="00AC54C5" w:rsidRPr="00CE4C7D" w14:paraId="37BA572D" w14:textId="77777777" w:rsidTr="00AC54C5">
        <w:tc>
          <w:tcPr>
            <w:tcW w:w="5524" w:type="dxa"/>
          </w:tcPr>
          <w:p w14:paraId="6B35B80B" w14:textId="3379FB77" w:rsidR="00AC54C5" w:rsidRPr="00CE4C7D" w:rsidRDefault="00313B14" w:rsidP="00F25A95">
            <w:pPr>
              <w:autoSpaceDE w:val="0"/>
              <w:autoSpaceDN w:val="0"/>
              <w:adjustRightInd w:val="0"/>
              <w:rPr>
                <w:rFonts w:asciiTheme="majorHAnsi" w:hAnsiTheme="majorHAnsi" w:cstheme="majorHAnsi"/>
                <w:b/>
                <w:bCs/>
                <w:sz w:val="22"/>
                <w:szCs w:val="22"/>
              </w:rPr>
            </w:pPr>
            <w:r w:rsidRPr="00CE4C7D">
              <w:rPr>
                <w:rFonts w:asciiTheme="majorHAnsi" w:hAnsiTheme="majorHAnsi" w:cstheme="majorHAnsi"/>
                <w:b/>
                <w:bCs/>
                <w:sz w:val="22"/>
                <w:szCs w:val="22"/>
              </w:rPr>
              <w:t>Proposed e</w:t>
            </w:r>
            <w:r w:rsidR="00AC54C5" w:rsidRPr="00CE4C7D">
              <w:rPr>
                <w:rFonts w:asciiTheme="majorHAnsi" w:hAnsiTheme="majorHAnsi" w:cstheme="majorHAnsi"/>
                <w:b/>
                <w:bCs/>
                <w:sz w:val="22"/>
                <w:szCs w:val="22"/>
              </w:rPr>
              <w:t>nergy-saving measure</w:t>
            </w:r>
          </w:p>
        </w:tc>
        <w:tc>
          <w:tcPr>
            <w:tcW w:w="2766" w:type="dxa"/>
          </w:tcPr>
          <w:p w14:paraId="06E26E9E" w14:textId="4053A2A6" w:rsidR="00AC54C5" w:rsidRPr="00CE4C7D" w:rsidRDefault="00AC54C5" w:rsidP="00F25A95">
            <w:pPr>
              <w:autoSpaceDE w:val="0"/>
              <w:autoSpaceDN w:val="0"/>
              <w:adjustRightInd w:val="0"/>
              <w:rPr>
                <w:rFonts w:asciiTheme="majorHAnsi" w:hAnsiTheme="majorHAnsi" w:cstheme="majorHAnsi"/>
                <w:b/>
                <w:bCs/>
                <w:sz w:val="22"/>
                <w:szCs w:val="22"/>
              </w:rPr>
            </w:pPr>
            <w:r w:rsidRPr="00CE4C7D">
              <w:rPr>
                <w:rFonts w:asciiTheme="majorHAnsi" w:hAnsiTheme="majorHAnsi" w:cstheme="majorHAnsi"/>
                <w:b/>
                <w:bCs/>
                <w:sz w:val="22"/>
                <w:szCs w:val="22"/>
              </w:rPr>
              <w:t>Tonnes CO</w:t>
            </w:r>
            <w:r w:rsidRPr="00CE4C7D">
              <w:rPr>
                <w:rFonts w:asciiTheme="majorHAnsi" w:hAnsiTheme="majorHAnsi" w:cstheme="majorHAnsi"/>
                <w:b/>
                <w:bCs/>
                <w:sz w:val="22"/>
                <w:szCs w:val="22"/>
                <w:vertAlign w:val="subscript"/>
              </w:rPr>
              <w:t>2</w:t>
            </w:r>
            <w:r w:rsidRPr="00CE4C7D">
              <w:rPr>
                <w:rFonts w:asciiTheme="majorHAnsi" w:hAnsiTheme="majorHAnsi" w:cstheme="majorHAnsi"/>
                <w:b/>
                <w:bCs/>
                <w:sz w:val="22"/>
                <w:szCs w:val="22"/>
              </w:rPr>
              <w:t>e saved in 2020</w:t>
            </w:r>
            <w:r w:rsidR="001F471B" w:rsidRPr="00CE4C7D">
              <w:rPr>
                <w:rFonts w:asciiTheme="majorHAnsi" w:hAnsiTheme="majorHAnsi" w:cstheme="majorHAnsi"/>
                <w:b/>
                <w:bCs/>
                <w:sz w:val="22"/>
                <w:szCs w:val="22"/>
              </w:rPr>
              <w:t xml:space="preserve"> (estimate)</w:t>
            </w:r>
          </w:p>
        </w:tc>
      </w:tr>
      <w:tr w:rsidR="00AC54C5" w:rsidRPr="00CE4C7D" w14:paraId="28812ECA" w14:textId="77777777" w:rsidTr="00AC54C5">
        <w:tc>
          <w:tcPr>
            <w:tcW w:w="5524" w:type="dxa"/>
          </w:tcPr>
          <w:p w14:paraId="02AF2089" w14:textId="7D3538A5" w:rsidR="00AC54C5" w:rsidRPr="00CE4C7D" w:rsidRDefault="00AC54C5" w:rsidP="00F25A95">
            <w:pPr>
              <w:autoSpaceDE w:val="0"/>
              <w:autoSpaceDN w:val="0"/>
              <w:adjustRightInd w:val="0"/>
              <w:rPr>
                <w:rFonts w:asciiTheme="majorHAnsi" w:hAnsiTheme="majorHAnsi" w:cstheme="majorHAnsi"/>
                <w:sz w:val="22"/>
                <w:szCs w:val="22"/>
              </w:rPr>
            </w:pPr>
            <w:r w:rsidRPr="00CE4C7D">
              <w:rPr>
                <w:rFonts w:asciiTheme="majorHAnsi" w:hAnsiTheme="majorHAnsi" w:cstheme="majorHAnsi"/>
                <w:sz w:val="22"/>
                <w:szCs w:val="22"/>
              </w:rPr>
              <w:t>Solar – thermal</w:t>
            </w:r>
          </w:p>
        </w:tc>
        <w:tc>
          <w:tcPr>
            <w:tcW w:w="2766" w:type="dxa"/>
          </w:tcPr>
          <w:p w14:paraId="137FCA51" w14:textId="4ADA6234" w:rsidR="00AC54C5" w:rsidRPr="00CE4C7D" w:rsidRDefault="00AC54C5" w:rsidP="00F25A95">
            <w:pPr>
              <w:autoSpaceDE w:val="0"/>
              <w:autoSpaceDN w:val="0"/>
              <w:adjustRightInd w:val="0"/>
              <w:jc w:val="right"/>
              <w:rPr>
                <w:rFonts w:asciiTheme="majorHAnsi" w:hAnsiTheme="majorHAnsi" w:cstheme="majorHAnsi"/>
                <w:sz w:val="22"/>
                <w:szCs w:val="22"/>
              </w:rPr>
            </w:pPr>
            <w:r w:rsidRPr="00CE4C7D">
              <w:rPr>
                <w:rFonts w:asciiTheme="majorHAnsi" w:hAnsiTheme="majorHAnsi" w:cstheme="majorHAnsi"/>
                <w:sz w:val="22"/>
                <w:szCs w:val="22"/>
              </w:rPr>
              <w:t>2,350</w:t>
            </w:r>
          </w:p>
        </w:tc>
      </w:tr>
      <w:tr w:rsidR="00AC54C5" w:rsidRPr="00CE4C7D" w14:paraId="50BF813F" w14:textId="77777777" w:rsidTr="00AC54C5">
        <w:tc>
          <w:tcPr>
            <w:tcW w:w="5524" w:type="dxa"/>
          </w:tcPr>
          <w:p w14:paraId="7EECD00C" w14:textId="606F06AA" w:rsidR="00AC54C5" w:rsidRPr="00CE4C7D" w:rsidRDefault="00AC54C5" w:rsidP="00F25A95">
            <w:pPr>
              <w:autoSpaceDE w:val="0"/>
              <w:autoSpaceDN w:val="0"/>
              <w:adjustRightInd w:val="0"/>
              <w:rPr>
                <w:rFonts w:asciiTheme="majorHAnsi" w:hAnsiTheme="majorHAnsi" w:cstheme="majorHAnsi"/>
                <w:sz w:val="22"/>
                <w:szCs w:val="22"/>
              </w:rPr>
            </w:pPr>
            <w:r w:rsidRPr="00CE4C7D">
              <w:rPr>
                <w:rFonts w:asciiTheme="majorHAnsi" w:hAnsiTheme="majorHAnsi" w:cstheme="majorHAnsi"/>
                <w:sz w:val="22"/>
                <w:szCs w:val="22"/>
              </w:rPr>
              <w:t>Solar – photovoltaic</w:t>
            </w:r>
          </w:p>
        </w:tc>
        <w:tc>
          <w:tcPr>
            <w:tcW w:w="2766" w:type="dxa"/>
          </w:tcPr>
          <w:p w14:paraId="5DF6664D" w14:textId="1AE4D2D1" w:rsidR="00AC54C5" w:rsidRPr="00CE4C7D" w:rsidRDefault="00AC54C5" w:rsidP="00F25A95">
            <w:pPr>
              <w:autoSpaceDE w:val="0"/>
              <w:autoSpaceDN w:val="0"/>
              <w:adjustRightInd w:val="0"/>
              <w:jc w:val="right"/>
              <w:rPr>
                <w:rFonts w:asciiTheme="majorHAnsi" w:hAnsiTheme="majorHAnsi" w:cstheme="majorHAnsi"/>
                <w:sz w:val="22"/>
                <w:szCs w:val="22"/>
              </w:rPr>
            </w:pPr>
            <w:r w:rsidRPr="00CE4C7D">
              <w:rPr>
                <w:rFonts w:asciiTheme="majorHAnsi" w:hAnsiTheme="majorHAnsi" w:cstheme="majorHAnsi"/>
                <w:sz w:val="22"/>
                <w:szCs w:val="22"/>
              </w:rPr>
              <w:t>2,690</w:t>
            </w:r>
          </w:p>
        </w:tc>
      </w:tr>
      <w:tr w:rsidR="00AC54C5" w:rsidRPr="00CE4C7D" w14:paraId="30AD7E6F" w14:textId="77777777" w:rsidTr="00AC54C5">
        <w:tc>
          <w:tcPr>
            <w:tcW w:w="5524" w:type="dxa"/>
          </w:tcPr>
          <w:p w14:paraId="5DCE2F97" w14:textId="4C423657" w:rsidR="00AC54C5" w:rsidRPr="00CE4C7D" w:rsidRDefault="00AC54C5" w:rsidP="00F25A95">
            <w:pPr>
              <w:autoSpaceDE w:val="0"/>
              <w:autoSpaceDN w:val="0"/>
              <w:adjustRightInd w:val="0"/>
              <w:rPr>
                <w:rFonts w:asciiTheme="majorHAnsi" w:hAnsiTheme="majorHAnsi" w:cstheme="majorHAnsi"/>
                <w:sz w:val="22"/>
                <w:szCs w:val="22"/>
              </w:rPr>
            </w:pPr>
            <w:r w:rsidRPr="00CE4C7D">
              <w:rPr>
                <w:rFonts w:asciiTheme="majorHAnsi" w:hAnsiTheme="majorHAnsi" w:cstheme="majorHAnsi"/>
                <w:sz w:val="22"/>
                <w:szCs w:val="22"/>
              </w:rPr>
              <w:t>Lighting - high efficiency</w:t>
            </w:r>
          </w:p>
        </w:tc>
        <w:tc>
          <w:tcPr>
            <w:tcW w:w="2766" w:type="dxa"/>
          </w:tcPr>
          <w:p w14:paraId="4A04AEAA" w14:textId="6D5D5804" w:rsidR="00AC54C5" w:rsidRPr="00CE4C7D" w:rsidRDefault="00AC54C5" w:rsidP="00F25A95">
            <w:pPr>
              <w:autoSpaceDE w:val="0"/>
              <w:autoSpaceDN w:val="0"/>
              <w:adjustRightInd w:val="0"/>
              <w:jc w:val="right"/>
              <w:rPr>
                <w:rFonts w:asciiTheme="majorHAnsi" w:hAnsiTheme="majorHAnsi" w:cstheme="majorHAnsi"/>
                <w:sz w:val="22"/>
                <w:szCs w:val="22"/>
              </w:rPr>
            </w:pPr>
            <w:r w:rsidRPr="00CE4C7D">
              <w:rPr>
                <w:rFonts w:asciiTheme="majorHAnsi" w:hAnsiTheme="majorHAnsi" w:cstheme="majorHAnsi"/>
                <w:sz w:val="22"/>
                <w:szCs w:val="22"/>
              </w:rPr>
              <w:t>18,800</w:t>
            </w:r>
          </w:p>
        </w:tc>
      </w:tr>
      <w:tr w:rsidR="00AC54C5" w:rsidRPr="00CE4C7D" w14:paraId="06C0C561" w14:textId="77777777" w:rsidTr="00AC54C5">
        <w:tc>
          <w:tcPr>
            <w:tcW w:w="5524" w:type="dxa"/>
          </w:tcPr>
          <w:p w14:paraId="0AD83787" w14:textId="7FAD1A36" w:rsidR="00AC54C5" w:rsidRPr="00CE4C7D" w:rsidRDefault="00AC54C5" w:rsidP="00F25A95">
            <w:pPr>
              <w:autoSpaceDE w:val="0"/>
              <w:autoSpaceDN w:val="0"/>
              <w:adjustRightInd w:val="0"/>
              <w:rPr>
                <w:rFonts w:asciiTheme="majorHAnsi" w:hAnsiTheme="majorHAnsi" w:cstheme="majorHAnsi"/>
                <w:sz w:val="22"/>
                <w:szCs w:val="22"/>
              </w:rPr>
            </w:pPr>
            <w:r w:rsidRPr="00CE4C7D">
              <w:rPr>
                <w:rFonts w:asciiTheme="majorHAnsi" w:hAnsiTheme="majorHAnsi" w:cstheme="majorHAnsi"/>
                <w:sz w:val="22"/>
                <w:szCs w:val="22"/>
              </w:rPr>
              <w:t>Support patients to quit smoking</w:t>
            </w:r>
          </w:p>
        </w:tc>
        <w:tc>
          <w:tcPr>
            <w:tcW w:w="2766" w:type="dxa"/>
          </w:tcPr>
          <w:p w14:paraId="23D6E94C" w14:textId="40CC5931" w:rsidR="00AC54C5" w:rsidRPr="00CE4C7D" w:rsidRDefault="00AC54C5" w:rsidP="00F25A95">
            <w:pPr>
              <w:autoSpaceDE w:val="0"/>
              <w:autoSpaceDN w:val="0"/>
              <w:adjustRightInd w:val="0"/>
              <w:jc w:val="right"/>
              <w:rPr>
                <w:rFonts w:asciiTheme="majorHAnsi" w:hAnsiTheme="majorHAnsi" w:cstheme="majorHAnsi"/>
                <w:sz w:val="22"/>
                <w:szCs w:val="22"/>
              </w:rPr>
            </w:pPr>
            <w:r w:rsidRPr="00CE4C7D">
              <w:rPr>
                <w:rFonts w:asciiTheme="majorHAnsi" w:hAnsiTheme="majorHAnsi" w:cstheme="majorHAnsi"/>
                <w:sz w:val="22"/>
                <w:szCs w:val="22"/>
              </w:rPr>
              <w:t>42,200</w:t>
            </w:r>
          </w:p>
        </w:tc>
      </w:tr>
      <w:tr w:rsidR="00AC54C5" w:rsidRPr="00CE4C7D" w14:paraId="31FAF12D" w14:textId="77777777" w:rsidTr="00AC54C5">
        <w:tc>
          <w:tcPr>
            <w:tcW w:w="5524" w:type="dxa"/>
          </w:tcPr>
          <w:p w14:paraId="2C60D9A1" w14:textId="358DD36F" w:rsidR="00AC54C5" w:rsidRPr="00CE4C7D" w:rsidRDefault="00AC54C5" w:rsidP="00F25A95">
            <w:pPr>
              <w:autoSpaceDE w:val="0"/>
              <w:autoSpaceDN w:val="0"/>
              <w:adjustRightInd w:val="0"/>
              <w:rPr>
                <w:rFonts w:asciiTheme="majorHAnsi" w:hAnsiTheme="majorHAnsi" w:cstheme="majorHAnsi"/>
                <w:sz w:val="22"/>
                <w:szCs w:val="22"/>
              </w:rPr>
            </w:pPr>
            <w:r w:rsidRPr="00CE4C7D">
              <w:rPr>
                <w:rFonts w:asciiTheme="majorHAnsi" w:hAnsiTheme="majorHAnsi" w:cstheme="majorHAnsi"/>
                <w:sz w:val="22"/>
                <w:szCs w:val="22"/>
              </w:rPr>
              <w:t>Provide better psychiatric care in Emergency departments</w:t>
            </w:r>
          </w:p>
        </w:tc>
        <w:tc>
          <w:tcPr>
            <w:tcW w:w="2766" w:type="dxa"/>
          </w:tcPr>
          <w:p w14:paraId="1A89C298" w14:textId="59302FB0" w:rsidR="00AC54C5" w:rsidRPr="00CE4C7D" w:rsidRDefault="00AC54C5" w:rsidP="00F25A95">
            <w:pPr>
              <w:autoSpaceDE w:val="0"/>
              <w:autoSpaceDN w:val="0"/>
              <w:adjustRightInd w:val="0"/>
              <w:jc w:val="right"/>
              <w:rPr>
                <w:rFonts w:asciiTheme="majorHAnsi" w:hAnsiTheme="majorHAnsi" w:cstheme="majorHAnsi"/>
                <w:sz w:val="22"/>
                <w:szCs w:val="22"/>
              </w:rPr>
            </w:pPr>
            <w:r w:rsidRPr="00CE4C7D">
              <w:rPr>
                <w:rFonts w:asciiTheme="majorHAnsi" w:hAnsiTheme="majorHAnsi" w:cstheme="majorHAnsi"/>
                <w:sz w:val="22"/>
                <w:szCs w:val="22"/>
              </w:rPr>
              <w:t>84,500</w:t>
            </w:r>
          </w:p>
        </w:tc>
      </w:tr>
    </w:tbl>
    <w:p w14:paraId="65C076F5" w14:textId="23A09356" w:rsidR="00942980" w:rsidRPr="00CE4C7D" w:rsidRDefault="00942980" w:rsidP="00F25A95">
      <w:pPr>
        <w:autoSpaceDE w:val="0"/>
        <w:autoSpaceDN w:val="0"/>
        <w:adjustRightInd w:val="0"/>
        <w:rPr>
          <w:rFonts w:asciiTheme="majorHAnsi" w:hAnsiTheme="majorHAnsi" w:cstheme="majorHAnsi"/>
          <w:sz w:val="22"/>
          <w:szCs w:val="22"/>
        </w:rPr>
      </w:pPr>
    </w:p>
    <w:p w14:paraId="5EFC14CC" w14:textId="37DE1DD8" w:rsidR="008F78F4" w:rsidRPr="00CE4C7D" w:rsidRDefault="00942980" w:rsidP="00F25A95">
      <w:pPr>
        <w:autoSpaceDE w:val="0"/>
        <w:autoSpaceDN w:val="0"/>
        <w:adjustRightInd w:val="0"/>
        <w:rPr>
          <w:rFonts w:asciiTheme="majorHAnsi" w:hAnsiTheme="majorHAnsi" w:cstheme="majorHAnsi"/>
          <w:sz w:val="22"/>
          <w:szCs w:val="22"/>
        </w:rPr>
      </w:pPr>
      <w:r w:rsidRPr="00CE4C7D">
        <w:rPr>
          <w:rFonts w:asciiTheme="majorHAnsi" w:hAnsiTheme="majorHAnsi" w:cstheme="majorHAnsi"/>
          <w:sz w:val="22"/>
          <w:szCs w:val="22"/>
        </w:rPr>
        <w:t>As the tabl</w:t>
      </w:r>
      <w:r w:rsidR="008E0422" w:rsidRPr="00CE4C7D">
        <w:rPr>
          <w:rFonts w:asciiTheme="majorHAnsi" w:hAnsiTheme="majorHAnsi" w:cstheme="majorHAnsi"/>
          <w:sz w:val="22"/>
          <w:szCs w:val="22"/>
        </w:rPr>
        <w:t xml:space="preserve">e </w:t>
      </w:r>
      <w:r w:rsidRPr="00CE4C7D">
        <w:rPr>
          <w:rFonts w:asciiTheme="majorHAnsi" w:hAnsiTheme="majorHAnsi" w:cstheme="majorHAnsi"/>
          <w:sz w:val="22"/>
          <w:szCs w:val="22"/>
        </w:rPr>
        <w:t xml:space="preserve">shows, </w:t>
      </w:r>
      <w:r w:rsidR="0084683C" w:rsidRPr="00CE4C7D">
        <w:rPr>
          <w:rFonts w:asciiTheme="majorHAnsi" w:hAnsiTheme="majorHAnsi" w:cstheme="majorHAnsi"/>
          <w:sz w:val="22"/>
          <w:szCs w:val="22"/>
        </w:rPr>
        <w:t xml:space="preserve">the </w:t>
      </w:r>
      <w:r w:rsidR="008E44F9" w:rsidRPr="00CE4C7D">
        <w:rPr>
          <w:rFonts w:asciiTheme="majorHAnsi" w:hAnsiTheme="majorHAnsi" w:cstheme="majorHAnsi"/>
          <w:sz w:val="22"/>
          <w:szCs w:val="22"/>
        </w:rPr>
        <w:t xml:space="preserve">conventional </w:t>
      </w:r>
      <w:r w:rsidRPr="00CE4C7D">
        <w:rPr>
          <w:rFonts w:asciiTheme="majorHAnsi" w:hAnsiTheme="majorHAnsi" w:cstheme="majorHAnsi"/>
          <w:sz w:val="22"/>
          <w:szCs w:val="22"/>
        </w:rPr>
        <w:t xml:space="preserve">energy interventions were </w:t>
      </w:r>
      <w:r w:rsidR="00F51BD6" w:rsidRPr="00CE4C7D">
        <w:rPr>
          <w:rFonts w:asciiTheme="majorHAnsi" w:hAnsiTheme="majorHAnsi" w:cstheme="majorHAnsi"/>
          <w:sz w:val="22"/>
          <w:szCs w:val="22"/>
        </w:rPr>
        <w:t>found</w:t>
      </w:r>
      <w:r w:rsidRPr="00CE4C7D">
        <w:rPr>
          <w:rFonts w:asciiTheme="majorHAnsi" w:hAnsiTheme="majorHAnsi" w:cstheme="majorHAnsi"/>
          <w:sz w:val="22"/>
          <w:szCs w:val="22"/>
        </w:rPr>
        <w:t xml:space="preserve"> to have </w:t>
      </w:r>
      <w:r w:rsidR="00F51BD6" w:rsidRPr="00CE4C7D">
        <w:rPr>
          <w:rFonts w:asciiTheme="majorHAnsi" w:hAnsiTheme="majorHAnsi" w:cstheme="majorHAnsi"/>
          <w:sz w:val="22"/>
          <w:szCs w:val="22"/>
        </w:rPr>
        <w:t xml:space="preserve">relatively small impacts on emissions. In contrast, two interventions that apparently have no relation to energy (relating to smoking cessation and psychiatric care) have enormous impacts on </w:t>
      </w:r>
      <w:r w:rsidR="00F51BD6" w:rsidRPr="00CE4C7D">
        <w:rPr>
          <w:rFonts w:asciiTheme="majorHAnsi" w:hAnsiTheme="majorHAnsi" w:cstheme="majorHAnsi"/>
          <w:sz w:val="22"/>
          <w:szCs w:val="22"/>
        </w:rPr>
        <w:lastRenderedPageBreak/>
        <w:t>emissions. T</w:t>
      </w:r>
      <w:r w:rsidR="0084683C" w:rsidRPr="00CE4C7D">
        <w:rPr>
          <w:rFonts w:asciiTheme="majorHAnsi" w:hAnsiTheme="majorHAnsi" w:cstheme="majorHAnsi"/>
          <w:sz w:val="22"/>
          <w:szCs w:val="22"/>
        </w:rPr>
        <w:t>hese</w:t>
      </w:r>
      <w:r w:rsidR="00F51BD6" w:rsidRPr="00CE4C7D">
        <w:rPr>
          <w:rFonts w:asciiTheme="majorHAnsi" w:hAnsiTheme="majorHAnsi" w:cstheme="majorHAnsi"/>
          <w:sz w:val="22"/>
          <w:szCs w:val="22"/>
        </w:rPr>
        <w:t xml:space="preserve"> are </w:t>
      </w:r>
      <w:r w:rsidR="0084683C" w:rsidRPr="00CE4C7D">
        <w:rPr>
          <w:rFonts w:asciiTheme="majorHAnsi" w:hAnsiTheme="majorHAnsi" w:cstheme="majorHAnsi"/>
          <w:sz w:val="22"/>
          <w:szCs w:val="22"/>
        </w:rPr>
        <w:t xml:space="preserve">preventative interventions that protect people’s mental and physical health, and so are predicted to reduce the number of medical appointments and treatments that patients </w:t>
      </w:r>
      <w:proofErr w:type="gramStart"/>
      <w:r w:rsidR="0084683C" w:rsidRPr="00CE4C7D">
        <w:rPr>
          <w:rFonts w:asciiTheme="majorHAnsi" w:hAnsiTheme="majorHAnsi" w:cstheme="majorHAnsi"/>
          <w:sz w:val="22"/>
          <w:szCs w:val="22"/>
        </w:rPr>
        <w:t>actually need</w:t>
      </w:r>
      <w:proofErr w:type="gramEnd"/>
      <w:r w:rsidR="0084683C" w:rsidRPr="00CE4C7D">
        <w:rPr>
          <w:rFonts w:asciiTheme="majorHAnsi" w:hAnsiTheme="majorHAnsi" w:cstheme="majorHAnsi"/>
          <w:sz w:val="22"/>
          <w:szCs w:val="22"/>
        </w:rPr>
        <w:t xml:space="preserve">.  Every use of a healthcare service involves extensive energy costs: heating, lighting, medications, equipment, transport </w:t>
      </w:r>
      <w:r w:rsidR="00800093" w:rsidRPr="00CE4C7D">
        <w:rPr>
          <w:rFonts w:asciiTheme="majorHAnsi" w:hAnsiTheme="majorHAnsi" w:cstheme="majorHAnsi"/>
          <w:sz w:val="22"/>
          <w:szCs w:val="22"/>
        </w:rPr>
        <w:t xml:space="preserve">etc </w:t>
      </w:r>
      <w:r w:rsidR="00A07726" w:rsidRPr="00CE4C7D">
        <w:rPr>
          <w:rFonts w:asciiTheme="majorHAnsi" w:hAnsiTheme="majorHAnsi" w:cstheme="majorHAnsi"/>
          <w:sz w:val="22"/>
          <w:szCs w:val="22"/>
        </w:rPr>
        <w:t xml:space="preserve">(with one patient spending one day in hospital estimated to </w:t>
      </w:r>
      <w:r w:rsidR="00372916" w:rsidRPr="00CE4C7D">
        <w:rPr>
          <w:rFonts w:asciiTheme="majorHAnsi" w:hAnsiTheme="majorHAnsi" w:cstheme="majorHAnsi"/>
          <w:sz w:val="22"/>
          <w:szCs w:val="22"/>
        </w:rPr>
        <w:t>generate 91kg CO</w:t>
      </w:r>
      <w:r w:rsidR="00372916" w:rsidRPr="00CE4C7D">
        <w:rPr>
          <w:rFonts w:asciiTheme="majorHAnsi" w:hAnsiTheme="majorHAnsi" w:cstheme="majorHAnsi"/>
          <w:sz w:val="22"/>
          <w:szCs w:val="22"/>
          <w:vertAlign w:val="subscript"/>
        </w:rPr>
        <w:t>2</w:t>
      </w:r>
      <w:r w:rsidR="00372916" w:rsidRPr="00CE4C7D">
        <w:rPr>
          <w:rFonts w:asciiTheme="majorHAnsi" w:hAnsiTheme="majorHAnsi" w:cstheme="majorHAnsi"/>
          <w:sz w:val="22"/>
          <w:szCs w:val="22"/>
        </w:rPr>
        <w:t>e (</w:t>
      </w:r>
      <w:r w:rsidR="00372916" w:rsidRPr="00CE4C7D">
        <w:rPr>
          <w:rFonts w:asciiTheme="majorHAnsi" w:hAnsiTheme="majorHAnsi" w:cstheme="majorHAnsi"/>
          <w:sz w:val="22"/>
          <w:szCs w:val="22"/>
          <w:lang w:val="en-US"/>
        </w:rPr>
        <w:t xml:space="preserve">Sustainable Development Unit, 2012). </w:t>
      </w:r>
      <w:r w:rsidR="0084683C" w:rsidRPr="00CE4C7D">
        <w:rPr>
          <w:rFonts w:asciiTheme="majorHAnsi" w:hAnsiTheme="majorHAnsi" w:cstheme="majorHAnsi"/>
          <w:sz w:val="22"/>
          <w:szCs w:val="22"/>
        </w:rPr>
        <w:t xml:space="preserve">The </w:t>
      </w:r>
      <w:r w:rsidR="008E0422" w:rsidRPr="00CE4C7D">
        <w:rPr>
          <w:rFonts w:asciiTheme="majorHAnsi" w:hAnsiTheme="majorHAnsi" w:cstheme="majorHAnsi"/>
          <w:sz w:val="22"/>
          <w:szCs w:val="22"/>
        </w:rPr>
        <w:t>analysis</w:t>
      </w:r>
      <w:r w:rsidR="0084683C" w:rsidRPr="00CE4C7D">
        <w:rPr>
          <w:rFonts w:asciiTheme="majorHAnsi" w:hAnsiTheme="majorHAnsi" w:cstheme="majorHAnsi"/>
          <w:sz w:val="22"/>
          <w:szCs w:val="22"/>
        </w:rPr>
        <w:t xml:space="preserve"> found that most of the best ways to reduce energy and carbon in healthcare are measures that reduce patients’ use of </w:t>
      </w:r>
      <w:proofErr w:type="gramStart"/>
      <w:r w:rsidR="0084683C" w:rsidRPr="00CE4C7D">
        <w:rPr>
          <w:rFonts w:asciiTheme="majorHAnsi" w:hAnsiTheme="majorHAnsi" w:cstheme="majorHAnsi"/>
          <w:sz w:val="22"/>
          <w:szCs w:val="22"/>
        </w:rPr>
        <w:t>services</w:t>
      </w:r>
      <w:r w:rsidR="00C16EF2" w:rsidRPr="00CE4C7D">
        <w:rPr>
          <w:rFonts w:asciiTheme="majorHAnsi" w:hAnsiTheme="majorHAnsi" w:cstheme="majorHAnsi"/>
          <w:sz w:val="22"/>
          <w:szCs w:val="22"/>
        </w:rPr>
        <w:t>;</w:t>
      </w:r>
      <w:proofErr w:type="gramEnd"/>
      <w:r w:rsidR="00C16EF2" w:rsidRPr="00CE4C7D">
        <w:rPr>
          <w:rFonts w:asciiTheme="majorHAnsi" w:hAnsiTheme="majorHAnsi" w:cstheme="majorHAnsi"/>
          <w:sz w:val="22"/>
          <w:szCs w:val="22"/>
        </w:rPr>
        <w:t xml:space="preserve"> which </w:t>
      </w:r>
      <w:r w:rsidR="0084683C" w:rsidRPr="00CE4C7D">
        <w:rPr>
          <w:rFonts w:asciiTheme="majorHAnsi" w:hAnsiTheme="majorHAnsi" w:cstheme="majorHAnsi"/>
          <w:sz w:val="22"/>
          <w:szCs w:val="22"/>
        </w:rPr>
        <w:t>simultaneously have massive benefits for people’s health, and service costs.</w:t>
      </w:r>
      <w:r w:rsidR="00B71F66" w:rsidRPr="00CE4C7D">
        <w:rPr>
          <w:rFonts w:asciiTheme="majorHAnsi" w:hAnsiTheme="majorHAnsi" w:cstheme="majorHAnsi"/>
          <w:sz w:val="22"/>
          <w:szCs w:val="22"/>
        </w:rPr>
        <w:t xml:space="preserve">  </w:t>
      </w:r>
      <w:r w:rsidR="00293309" w:rsidRPr="00CE4C7D">
        <w:rPr>
          <w:rFonts w:asciiTheme="majorHAnsi" w:hAnsiTheme="majorHAnsi" w:cstheme="majorHAnsi"/>
          <w:sz w:val="22"/>
          <w:szCs w:val="22"/>
        </w:rPr>
        <w:t xml:space="preserve">It is important to be very cautious about any claims of </w:t>
      </w:r>
      <w:r w:rsidR="00F93B9A" w:rsidRPr="00CE4C7D">
        <w:rPr>
          <w:rFonts w:asciiTheme="majorHAnsi" w:hAnsiTheme="majorHAnsi" w:cstheme="majorHAnsi"/>
          <w:sz w:val="22"/>
          <w:szCs w:val="22"/>
        </w:rPr>
        <w:t>‘</w:t>
      </w:r>
      <w:r w:rsidR="00293309" w:rsidRPr="00CE4C7D">
        <w:rPr>
          <w:rFonts w:asciiTheme="majorHAnsi" w:hAnsiTheme="majorHAnsi" w:cstheme="majorHAnsi"/>
          <w:sz w:val="22"/>
          <w:szCs w:val="22"/>
        </w:rPr>
        <w:t>avoided</w:t>
      </w:r>
      <w:r w:rsidR="00F93B9A" w:rsidRPr="00CE4C7D">
        <w:rPr>
          <w:rFonts w:asciiTheme="majorHAnsi" w:hAnsiTheme="majorHAnsi" w:cstheme="majorHAnsi"/>
          <w:sz w:val="22"/>
          <w:szCs w:val="22"/>
        </w:rPr>
        <w:t>’</w:t>
      </w:r>
      <w:r w:rsidR="00293309" w:rsidRPr="00CE4C7D">
        <w:rPr>
          <w:rFonts w:asciiTheme="majorHAnsi" w:hAnsiTheme="majorHAnsi" w:cstheme="majorHAnsi"/>
          <w:sz w:val="22"/>
          <w:szCs w:val="22"/>
        </w:rPr>
        <w:t xml:space="preserve"> service demand, as highlighted by Shove (2018), and of course unintended effects may result from these changes. However, t</w:t>
      </w:r>
      <w:r w:rsidR="00B71F66" w:rsidRPr="00CE4C7D">
        <w:rPr>
          <w:rFonts w:asciiTheme="majorHAnsi" w:hAnsiTheme="majorHAnsi" w:cstheme="majorHAnsi"/>
          <w:sz w:val="22"/>
          <w:szCs w:val="22"/>
        </w:rPr>
        <w:t>his example illustrate</w:t>
      </w:r>
      <w:r w:rsidR="00151E89" w:rsidRPr="00CE4C7D">
        <w:rPr>
          <w:rFonts w:asciiTheme="majorHAnsi" w:hAnsiTheme="majorHAnsi" w:cstheme="majorHAnsi"/>
          <w:sz w:val="22"/>
          <w:szCs w:val="22"/>
        </w:rPr>
        <w:t>s</w:t>
      </w:r>
      <w:r w:rsidR="00B71F66" w:rsidRPr="00CE4C7D">
        <w:rPr>
          <w:rFonts w:asciiTheme="majorHAnsi" w:hAnsiTheme="majorHAnsi" w:cstheme="majorHAnsi"/>
          <w:sz w:val="22"/>
          <w:szCs w:val="22"/>
        </w:rPr>
        <w:t xml:space="preserve"> </w:t>
      </w:r>
      <w:r w:rsidR="00A81F65" w:rsidRPr="00CE4C7D">
        <w:rPr>
          <w:rFonts w:asciiTheme="majorHAnsi" w:hAnsiTheme="majorHAnsi" w:cstheme="majorHAnsi"/>
          <w:sz w:val="22"/>
          <w:szCs w:val="22"/>
        </w:rPr>
        <w:t xml:space="preserve">how </w:t>
      </w:r>
      <w:r w:rsidR="00B71F66" w:rsidRPr="00CE4C7D">
        <w:rPr>
          <w:rFonts w:asciiTheme="majorHAnsi" w:hAnsiTheme="majorHAnsi" w:cstheme="majorHAnsi"/>
          <w:sz w:val="22"/>
          <w:szCs w:val="22"/>
        </w:rPr>
        <w:t xml:space="preserve">an awareness of non-energy policies’ impacts on energy </w:t>
      </w:r>
      <w:proofErr w:type="gramStart"/>
      <w:r w:rsidR="00A81F65" w:rsidRPr="00CE4C7D">
        <w:rPr>
          <w:rFonts w:asciiTheme="majorHAnsi" w:hAnsiTheme="majorHAnsi" w:cstheme="majorHAnsi"/>
          <w:sz w:val="22"/>
          <w:szCs w:val="22"/>
        </w:rPr>
        <w:t>opens up</w:t>
      </w:r>
      <w:proofErr w:type="gramEnd"/>
      <w:r w:rsidR="00A81F65" w:rsidRPr="00CE4C7D">
        <w:rPr>
          <w:rFonts w:asciiTheme="majorHAnsi" w:hAnsiTheme="majorHAnsi" w:cstheme="majorHAnsi"/>
          <w:sz w:val="22"/>
          <w:szCs w:val="22"/>
        </w:rPr>
        <w:t xml:space="preserve"> exciting new possibilities for demand reduction.</w:t>
      </w:r>
    </w:p>
    <w:p w14:paraId="367E63B7" w14:textId="29C43F45" w:rsidR="00315B29" w:rsidRPr="00CE4C7D" w:rsidRDefault="00315B29" w:rsidP="00F25A95">
      <w:pPr>
        <w:autoSpaceDE w:val="0"/>
        <w:autoSpaceDN w:val="0"/>
        <w:adjustRightInd w:val="0"/>
        <w:rPr>
          <w:rFonts w:asciiTheme="majorHAnsi" w:hAnsiTheme="majorHAnsi" w:cstheme="majorHAnsi"/>
          <w:sz w:val="22"/>
          <w:szCs w:val="22"/>
        </w:rPr>
      </w:pPr>
    </w:p>
    <w:p w14:paraId="68BC0119" w14:textId="3128318C" w:rsidR="00315B29" w:rsidRPr="00CE4C7D" w:rsidRDefault="00315B29" w:rsidP="00F25A95">
      <w:pPr>
        <w:autoSpaceDE w:val="0"/>
        <w:autoSpaceDN w:val="0"/>
        <w:adjustRightInd w:val="0"/>
        <w:rPr>
          <w:rFonts w:asciiTheme="majorHAnsi" w:hAnsiTheme="majorHAnsi" w:cstheme="majorHAnsi"/>
          <w:sz w:val="22"/>
          <w:szCs w:val="22"/>
        </w:rPr>
      </w:pPr>
      <w:r w:rsidRPr="00CE4C7D">
        <w:rPr>
          <w:rFonts w:asciiTheme="majorHAnsi" w:hAnsiTheme="majorHAnsi" w:cstheme="majorHAnsi"/>
          <w:sz w:val="22"/>
          <w:szCs w:val="22"/>
        </w:rPr>
        <w:t>However, integrating new agendas is not just a question of rewriting impact assessments</w:t>
      </w:r>
      <w:r w:rsidR="003F76AA" w:rsidRPr="00CE4C7D">
        <w:rPr>
          <w:rFonts w:asciiTheme="majorHAnsi" w:hAnsiTheme="majorHAnsi" w:cstheme="majorHAnsi"/>
          <w:sz w:val="22"/>
          <w:szCs w:val="22"/>
        </w:rPr>
        <w:t xml:space="preserve"> or spotting win-wins</w:t>
      </w:r>
      <w:r w:rsidRPr="00CE4C7D">
        <w:rPr>
          <w:rFonts w:asciiTheme="majorHAnsi" w:hAnsiTheme="majorHAnsi" w:cstheme="majorHAnsi"/>
          <w:sz w:val="22"/>
          <w:szCs w:val="22"/>
        </w:rPr>
        <w:t xml:space="preserve">. It is also a deeply political process </w:t>
      </w:r>
      <w:r w:rsidR="007739E4" w:rsidRPr="00CE4C7D">
        <w:rPr>
          <w:rFonts w:asciiTheme="majorHAnsi" w:hAnsiTheme="majorHAnsi" w:cstheme="majorHAnsi"/>
          <w:sz w:val="22"/>
          <w:szCs w:val="22"/>
        </w:rPr>
        <w:t xml:space="preserve">that </w:t>
      </w:r>
      <w:r w:rsidRPr="00CE4C7D">
        <w:rPr>
          <w:rFonts w:asciiTheme="majorHAnsi" w:hAnsiTheme="majorHAnsi" w:cstheme="majorHAnsi"/>
          <w:sz w:val="22"/>
          <w:szCs w:val="22"/>
        </w:rPr>
        <w:t>requir</w:t>
      </w:r>
      <w:r w:rsidR="00E91259" w:rsidRPr="00CE4C7D">
        <w:rPr>
          <w:rFonts w:asciiTheme="majorHAnsi" w:hAnsiTheme="majorHAnsi" w:cstheme="majorHAnsi"/>
          <w:sz w:val="22"/>
          <w:szCs w:val="22"/>
        </w:rPr>
        <w:t>es</w:t>
      </w:r>
      <w:r w:rsidRPr="00CE4C7D">
        <w:rPr>
          <w:rFonts w:asciiTheme="majorHAnsi" w:hAnsiTheme="majorHAnsi" w:cstheme="majorHAnsi"/>
          <w:sz w:val="22"/>
          <w:szCs w:val="22"/>
        </w:rPr>
        <w:t xml:space="preserve"> new forms of problem definition, and </w:t>
      </w:r>
      <w:r w:rsidR="00E91259" w:rsidRPr="00CE4C7D">
        <w:rPr>
          <w:rFonts w:asciiTheme="majorHAnsi" w:hAnsiTheme="majorHAnsi" w:cstheme="majorHAnsi"/>
          <w:sz w:val="22"/>
          <w:szCs w:val="22"/>
        </w:rPr>
        <w:t xml:space="preserve">the application of </w:t>
      </w:r>
      <w:r w:rsidRPr="00CE4C7D">
        <w:rPr>
          <w:rFonts w:asciiTheme="majorHAnsi" w:hAnsiTheme="majorHAnsi" w:cstheme="majorHAnsi"/>
          <w:sz w:val="22"/>
          <w:szCs w:val="22"/>
        </w:rPr>
        <w:t>new types of knowledge.</w:t>
      </w:r>
      <w:r w:rsidR="003F76AA" w:rsidRPr="00CE4C7D">
        <w:rPr>
          <w:rFonts w:asciiTheme="majorHAnsi" w:hAnsiTheme="majorHAnsi" w:cstheme="majorHAnsi"/>
          <w:sz w:val="22"/>
          <w:szCs w:val="22"/>
        </w:rPr>
        <w:t xml:space="preserve">  We conclude this chapter b</w:t>
      </w:r>
      <w:r w:rsidR="00A3726D" w:rsidRPr="00CE4C7D">
        <w:rPr>
          <w:rFonts w:asciiTheme="majorHAnsi" w:hAnsiTheme="majorHAnsi" w:cstheme="majorHAnsi"/>
          <w:sz w:val="22"/>
          <w:szCs w:val="22"/>
        </w:rPr>
        <w:t>y</w:t>
      </w:r>
      <w:r w:rsidR="003F76AA" w:rsidRPr="00CE4C7D">
        <w:rPr>
          <w:rFonts w:asciiTheme="majorHAnsi" w:hAnsiTheme="majorHAnsi" w:cstheme="majorHAnsi"/>
          <w:sz w:val="22"/>
          <w:szCs w:val="22"/>
        </w:rPr>
        <w:t xml:space="preserve"> reflecting on this challenge, and the role </w:t>
      </w:r>
      <w:proofErr w:type="gramStart"/>
      <w:r w:rsidR="003F76AA" w:rsidRPr="00CE4C7D">
        <w:rPr>
          <w:rFonts w:asciiTheme="majorHAnsi" w:hAnsiTheme="majorHAnsi" w:cstheme="majorHAnsi"/>
          <w:sz w:val="22"/>
          <w:szCs w:val="22"/>
        </w:rPr>
        <w:t>that social scientists</w:t>
      </w:r>
      <w:proofErr w:type="gramEnd"/>
      <w:r w:rsidR="003F76AA" w:rsidRPr="00CE4C7D">
        <w:rPr>
          <w:rFonts w:asciiTheme="majorHAnsi" w:hAnsiTheme="majorHAnsi" w:cstheme="majorHAnsi"/>
          <w:sz w:val="22"/>
          <w:szCs w:val="22"/>
        </w:rPr>
        <w:t xml:space="preserve"> can play in addressing it.</w:t>
      </w:r>
    </w:p>
    <w:p w14:paraId="103F6D6B" w14:textId="77777777" w:rsidR="005F0FC5" w:rsidRPr="00CE4C7D" w:rsidRDefault="005F0FC5" w:rsidP="00F25A95">
      <w:pPr>
        <w:rPr>
          <w:rFonts w:asciiTheme="majorHAnsi" w:hAnsiTheme="majorHAnsi" w:cstheme="majorHAnsi"/>
          <w:sz w:val="22"/>
          <w:szCs w:val="22"/>
        </w:rPr>
      </w:pPr>
    </w:p>
    <w:p w14:paraId="56D25360" w14:textId="593BCCD9" w:rsidR="00AC425D" w:rsidRPr="00CE4C7D" w:rsidRDefault="00AE0906" w:rsidP="002735C0">
      <w:pPr>
        <w:pStyle w:val="Heading1"/>
      </w:pPr>
      <w:r w:rsidRPr="00CE4C7D">
        <w:t xml:space="preserve">&lt;a&gt; </w:t>
      </w:r>
      <w:r w:rsidR="00AC425D" w:rsidRPr="00CE4C7D">
        <w:t>Concluding discussion</w:t>
      </w:r>
      <w:r w:rsidR="006B0613" w:rsidRPr="00CE4C7D">
        <w:t>: a</w:t>
      </w:r>
      <w:r w:rsidR="007739E4" w:rsidRPr="00CE4C7D">
        <w:t>n emerging field of inquiry</w:t>
      </w:r>
    </w:p>
    <w:p w14:paraId="2729E3FB" w14:textId="214F5481" w:rsidR="00CD02EA" w:rsidRPr="00CE4C7D" w:rsidRDefault="00CD02EA" w:rsidP="00F25A95">
      <w:pPr>
        <w:rPr>
          <w:rFonts w:asciiTheme="majorHAnsi" w:hAnsiTheme="majorHAnsi" w:cstheme="majorHAnsi"/>
          <w:sz w:val="22"/>
          <w:szCs w:val="22"/>
        </w:rPr>
      </w:pPr>
    </w:p>
    <w:p w14:paraId="486447FA" w14:textId="5DFB50C6" w:rsidR="008F2963" w:rsidRPr="00CE4C7D" w:rsidRDefault="00357370" w:rsidP="00F25A95">
      <w:pPr>
        <w:autoSpaceDE w:val="0"/>
        <w:autoSpaceDN w:val="0"/>
        <w:adjustRightInd w:val="0"/>
        <w:rPr>
          <w:rFonts w:asciiTheme="majorHAnsi" w:hAnsiTheme="majorHAnsi" w:cstheme="majorHAnsi"/>
          <w:sz w:val="22"/>
          <w:szCs w:val="22"/>
        </w:rPr>
      </w:pPr>
      <w:r w:rsidRPr="00CE4C7D">
        <w:rPr>
          <w:rFonts w:asciiTheme="majorHAnsi" w:hAnsiTheme="majorHAnsi" w:cstheme="majorHAnsi"/>
          <w:sz w:val="22"/>
          <w:szCs w:val="22"/>
        </w:rPr>
        <w:t>In this chapter we have outlined a novel way of looking at energy demand and its governance</w:t>
      </w:r>
      <w:r w:rsidR="0037494A" w:rsidRPr="00CE4C7D">
        <w:rPr>
          <w:rFonts w:asciiTheme="majorHAnsi" w:hAnsiTheme="majorHAnsi" w:cstheme="majorHAnsi"/>
          <w:sz w:val="22"/>
          <w:szCs w:val="22"/>
        </w:rPr>
        <w:t>, that is grounded in an understanding of energy as a societal phenomenon</w:t>
      </w:r>
      <w:r w:rsidRPr="00CE4C7D">
        <w:rPr>
          <w:rFonts w:asciiTheme="majorHAnsi" w:hAnsiTheme="majorHAnsi" w:cstheme="majorHAnsi"/>
          <w:sz w:val="22"/>
          <w:szCs w:val="22"/>
        </w:rPr>
        <w:t>.</w:t>
      </w:r>
      <w:r w:rsidR="00B56341" w:rsidRPr="00CE4C7D">
        <w:rPr>
          <w:rFonts w:asciiTheme="majorHAnsi" w:hAnsiTheme="majorHAnsi" w:cstheme="majorHAnsi"/>
          <w:sz w:val="22"/>
          <w:szCs w:val="22"/>
        </w:rPr>
        <w:t xml:space="preserve"> We</w:t>
      </w:r>
      <w:r w:rsidRPr="00CE4C7D">
        <w:rPr>
          <w:rFonts w:asciiTheme="majorHAnsi" w:hAnsiTheme="majorHAnsi" w:cstheme="majorHAnsi"/>
          <w:sz w:val="22"/>
          <w:szCs w:val="22"/>
        </w:rPr>
        <w:t xml:space="preserve"> have </w:t>
      </w:r>
      <w:r w:rsidR="0037494A" w:rsidRPr="00CE4C7D">
        <w:rPr>
          <w:rFonts w:asciiTheme="majorHAnsi" w:hAnsiTheme="majorHAnsi" w:cstheme="majorHAnsi"/>
          <w:sz w:val="22"/>
          <w:szCs w:val="22"/>
        </w:rPr>
        <w:t>explained</w:t>
      </w:r>
      <w:r w:rsidRPr="00CE4C7D">
        <w:rPr>
          <w:rFonts w:asciiTheme="majorHAnsi" w:hAnsiTheme="majorHAnsi" w:cstheme="majorHAnsi"/>
          <w:sz w:val="22"/>
          <w:szCs w:val="22"/>
        </w:rPr>
        <w:t xml:space="preserve"> how</w:t>
      </w:r>
      <w:r w:rsidR="00B56341" w:rsidRPr="00CE4C7D">
        <w:rPr>
          <w:rFonts w:asciiTheme="majorHAnsi" w:hAnsiTheme="majorHAnsi" w:cstheme="majorHAnsi"/>
          <w:sz w:val="22"/>
          <w:szCs w:val="22"/>
        </w:rPr>
        <w:t xml:space="preserve"> </w:t>
      </w:r>
      <w:r w:rsidR="00B56341" w:rsidRPr="00CE4C7D">
        <w:rPr>
          <w:rFonts w:asciiTheme="majorHAnsi" w:eastAsia="AdvOT596495f2+20" w:hAnsiTheme="majorHAnsi" w:cstheme="majorHAnsi"/>
          <w:sz w:val="22"/>
          <w:szCs w:val="22"/>
        </w:rPr>
        <w:t>‘</w:t>
      </w:r>
      <w:r w:rsidR="00B56341" w:rsidRPr="00CE4C7D">
        <w:rPr>
          <w:rFonts w:asciiTheme="majorHAnsi" w:hAnsiTheme="majorHAnsi" w:cstheme="majorHAnsi"/>
          <w:sz w:val="22"/>
          <w:szCs w:val="22"/>
        </w:rPr>
        <w:t>non-energy</w:t>
      </w:r>
      <w:r w:rsidR="00B56341" w:rsidRPr="00CE4C7D">
        <w:rPr>
          <w:rFonts w:asciiTheme="majorHAnsi" w:eastAsia="AdvOT596495f2+20" w:hAnsiTheme="majorHAnsi" w:cstheme="majorHAnsi"/>
          <w:sz w:val="22"/>
          <w:szCs w:val="22"/>
        </w:rPr>
        <w:t xml:space="preserve">’ </w:t>
      </w:r>
      <w:r w:rsidR="00B56341" w:rsidRPr="00CE4C7D">
        <w:rPr>
          <w:rFonts w:asciiTheme="majorHAnsi" w:hAnsiTheme="majorHAnsi" w:cstheme="majorHAnsi"/>
          <w:sz w:val="22"/>
          <w:szCs w:val="22"/>
        </w:rPr>
        <w:t>polic</w:t>
      </w:r>
      <w:r w:rsidRPr="00CE4C7D">
        <w:rPr>
          <w:rFonts w:asciiTheme="majorHAnsi" w:hAnsiTheme="majorHAnsi" w:cstheme="majorHAnsi"/>
          <w:sz w:val="22"/>
          <w:szCs w:val="22"/>
        </w:rPr>
        <w:t xml:space="preserve">ies </w:t>
      </w:r>
      <w:r w:rsidR="00B56341" w:rsidRPr="00CE4C7D">
        <w:rPr>
          <w:rFonts w:asciiTheme="majorHAnsi" w:hAnsiTheme="majorHAnsi" w:cstheme="majorHAnsi"/>
          <w:sz w:val="22"/>
          <w:szCs w:val="22"/>
        </w:rPr>
        <w:t xml:space="preserve">have </w:t>
      </w:r>
      <w:r w:rsidRPr="00CE4C7D">
        <w:rPr>
          <w:rFonts w:asciiTheme="majorHAnsi" w:hAnsiTheme="majorHAnsi" w:cstheme="majorHAnsi"/>
          <w:sz w:val="22"/>
          <w:szCs w:val="22"/>
        </w:rPr>
        <w:t>important, though largely unrecogni</w:t>
      </w:r>
      <w:r w:rsidR="000A25B3" w:rsidRPr="00CE4C7D">
        <w:rPr>
          <w:rFonts w:asciiTheme="majorHAnsi" w:hAnsiTheme="majorHAnsi" w:cstheme="majorHAnsi"/>
          <w:sz w:val="22"/>
          <w:szCs w:val="22"/>
        </w:rPr>
        <w:t>z</w:t>
      </w:r>
      <w:r w:rsidRPr="00CE4C7D">
        <w:rPr>
          <w:rFonts w:asciiTheme="majorHAnsi" w:hAnsiTheme="majorHAnsi" w:cstheme="majorHAnsi"/>
          <w:sz w:val="22"/>
          <w:szCs w:val="22"/>
        </w:rPr>
        <w:t xml:space="preserve">ed </w:t>
      </w:r>
      <w:r w:rsidR="00B56341" w:rsidRPr="00CE4C7D">
        <w:rPr>
          <w:rFonts w:asciiTheme="majorHAnsi" w:hAnsiTheme="majorHAnsi" w:cstheme="majorHAnsi"/>
          <w:sz w:val="22"/>
          <w:szCs w:val="22"/>
        </w:rPr>
        <w:t>impacts on</w:t>
      </w:r>
      <w:r w:rsidR="00191586" w:rsidRPr="00CE4C7D">
        <w:rPr>
          <w:rFonts w:asciiTheme="majorHAnsi" w:hAnsiTheme="majorHAnsi" w:cstheme="majorHAnsi"/>
          <w:sz w:val="22"/>
          <w:szCs w:val="22"/>
        </w:rPr>
        <w:t xml:space="preserve"> energy</w:t>
      </w:r>
      <w:r w:rsidR="007739E4" w:rsidRPr="00CE4C7D">
        <w:rPr>
          <w:rFonts w:asciiTheme="majorHAnsi" w:hAnsiTheme="majorHAnsi" w:cstheme="majorHAnsi"/>
          <w:sz w:val="22"/>
          <w:szCs w:val="22"/>
        </w:rPr>
        <w:t xml:space="preserve">. </w:t>
      </w:r>
      <w:r w:rsidR="00CD02EA" w:rsidRPr="00CE4C7D">
        <w:rPr>
          <w:rFonts w:asciiTheme="majorHAnsi" w:hAnsiTheme="majorHAnsi" w:cstheme="majorHAnsi"/>
          <w:sz w:val="22"/>
          <w:szCs w:val="22"/>
        </w:rPr>
        <w:t>W</w:t>
      </w:r>
      <w:r w:rsidR="006E5A44" w:rsidRPr="00CE4C7D">
        <w:rPr>
          <w:rFonts w:asciiTheme="majorHAnsi" w:hAnsiTheme="majorHAnsi" w:cstheme="majorHAnsi"/>
          <w:sz w:val="22"/>
          <w:szCs w:val="22"/>
        </w:rPr>
        <w:t>hat</w:t>
      </w:r>
      <w:r w:rsidR="00CD02EA" w:rsidRPr="00CE4C7D">
        <w:rPr>
          <w:rFonts w:asciiTheme="majorHAnsi" w:hAnsiTheme="majorHAnsi" w:cstheme="majorHAnsi"/>
          <w:sz w:val="22"/>
          <w:szCs w:val="22"/>
        </w:rPr>
        <w:t xml:space="preserve"> do</w:t>
      </w:r>
      <w:r w:rsidR="00191586" w:rsidRPr="00CE4C7D">
        <w:rPr>
          <w:rFonts w:asciiTheme="majorHAnsi" w:hAnsiTheme="majorHAnsi" w:cstheme="majorHAnsi"/>
          <w:sz w:val="22"/>
          <w:szCs w:val="22"/>
        </w:rPr>
        <w:t xml:space="preserve">es this </w:t>
      </w:r>
      <w:r w:rsidR="006E5A44" w:rsidRPr="00CE4C7D">
        <w:rPr>
          <w:rFonts w:asciiTheme="majorHAnsi" w:hAnsiTheme="majorHAnsi" w:cstheme="majorHAnsi"/>
          <w:sz w:val="22"/>
          <w:szCs w:val="22"/>
        </w:rPr>
        <w:t>mean f</w:t>
      </w:r>
      <w:r w:rsidR="0083384A" w:rsidRPr="00CE4C7D">
        <w:rPr>
          <w:rFonts w:asciiTheme="majorHAnsi" w:hAnsiTheme="majorHAnsi" w:cstheme="majorHAnsi"/>
          <w:sz w:val="22"/>
          <w:szCs w:val="22"/>
        </w:rPr>
        <w:t xml:space="preserve">or </w:t>
      </w:r>
      <w:r w:rsidR="00FB179A" w:rsidRPr="00CE4C7D">
        <w:rPr>
          <w:rFonts w:asciiTheme="majorHAnsi" w:hAnsiTheme="majorHAnsi" w:cstheme="majorHAnsi"/>
          <w:sz w:val="22"/>
          <w:szCs w:val="22"/>
        </w:rPr>
        <w:t xml:space="preserve">social science </w:t>
      </w:r>
      <w:r w:rsidR="0083384A" w:rsidRPr="00CE4C7D">
        <w:rPr>
          <w:rFonts w:asciiTheme="majorHAnsi" w:hAnsiTheme="majorHAnsi" w:cstheme="majorHAnsi"/>
          <w:sz w:val="22"/>
          <w:szCs w:val="22"/>
        </w:rPr>
        <w:t>researchers</w:t>
      </w:r>
      <w:r w:rsidR="00B56341" w:rsidRPr="00CE4C7D">
        <w:rPr>
          <w:rFonts w:asciiTheme="majorHAnsi" w:hAnsiTheme="majorHAnsi" w:cstheme="majorHAnsi"/>
          <w:sz w:val="22"/>
          <w:szCs w:val="22"/>
        </w:rPr>
        <w:t xml:space="preserve">: how can we </w:t>
      </w:r>
      <w:r w:rsidR="006E5A44" w:rsidRPr="00CE4C7D">
        <w:rPr>
          <w:rFonts w:asciiTheme="majorHAnsi" w:hAnsiTheme="majorHAnsi" w:cstheme="majorHAnsi"/>
          <w:sz w:val="22"/>
          <w:szCs w:val="22"/>
        </w:rPr>
        <w:t xml:space="preserve">help address the </w:t>
      </w:r>
      <w:r w:rsidR="00B56341" w:rsidRPr="00CE4C7D">
        <w:rPr>
          <w:rFonts w:asciiTheme="majorHAnsi" w:hAnsiTheme="majorHAnsi" w:cstheme="majorHAnsi"/>
          <w:sz w:val="22"/>
          <w:szCs w:val="22"/>
        </w:rPr>
        <w:t xml:space="preserve">energy </w:t>
      </w:r>
      <w:r w:rsidR="00CD02EA" w:rsidRPr="00CE4C7D">
        <w:rPr>
          <w:rFonts w:asciiTheme="majorHAnsi" w:hAnsiTheme="majorHAnsi" w:cstheme="majorHAnsi"/>
          <w:sz w:val="22"/>
          <w:szCs w:val="22"/>
        </w:rPr>
        <w:t>impacts of non-energy policies</w:t>
      </w:r>
      <w:r w:rsidR="00B56341" w:rsidRPr="00CE4C7D">
        <w:rPr>
          <w:rFonts w:asciiTheme="majorHAnsi" w:hAnsiTheme="majorHAnsi" w:cstheme="majorHAnsi"/>
          <w:sz w:val="22"/>
          <w:szCs w:val="22"/>
        </w:rPr>
        <w:t xml:space="preserve">? </w:t>
      </w:r>
    </w:p>
    <w:p w14:paraId="4F3CD3FE" w14:textId="77777777" w:rsidR="008F2963" w:rsidRPr="00CE4C7D" w:rsidRDefault="008F2963" w:rsidP="00F25A95">
      <w:pPr>
        <w:autoSpaceDE w:val="0"/>
        <w:autoSpaceDN w:val="0"/>
        <w:adjustRightInd w:val="0"/>
        <w:rPr>
          <w:rFonts w:asciiTheme="majorHAnsi" w:hAnsiTheme="majorHAnsi" w:cstheme="majorHAnsi"/>
          <w:sz w:val="22"/>
          <w:szCs w:val="22"/>
        </w:rPr>
      </w:pPr>
    </w:p>
    <w:p w14:paraId="2DE7DE89" w14:textId="03183C86" w:rsidR="00601993" w:rsidRPr="00CE4C7D" w:rsidRDefault="00122491" w:rsidP="00F25A95">
      <w:pPr>
        <w:autoSpaceDE w:val="0"/>
        <w:autoSpaceDN w:val="0"/>
        <w:adjustRightInd w:val="0"/>
        <w:rPr>
          <w:rFonts w:asciiTheme="majorHAnsi" w:hAnsiTheme="majorHAnsi" w:cstheme="majorHAnsi"/>
          <w:sz w:val="22"/>
          <w:szCs w:val="22"/>
        </w:rPr>
      </w:pPr>
      <w:r w:rsidRPr="00CE4C7D">
        <w:rPr>
          <w:rFonts w:asciiTheme="majorHAnsi" w:hAnsiTheme="majorHAnsi" w:cstheme="majorHAnsi"/>
          <w:sz w:val="22"/>
          <w:szCs w:val="22"/>
        </w:rPr>
        <w:t>F</w:t>
      </w:r>
      <w:r w:rsidR="00FE1669" w:rsidRPr="00CE4C7D">
        <w:rPr>
          <w:rFonts w:asciiTheme="majorHAnsi" w:hAnsiTheme="majorHAnsi" w:cstheme="majorHAnsi"/>
          <w:sz w:val="22"/>
          <w:szCs w:val="22"/>
        </w:rPr>
        <w:t>undamentally</w:t>
      </w:r>
      <w:r w:rsidRPr="00CE4C7D">
        <w:rPr>
          <w:rFonts w:asciiTheme="majorHAnsi" w:hAnsiTheme="majorHAnsi" w:cstheme="majorHAnsi"/>
          <w:sz w:val="22"/>
          <w:szCs w:val="22"/>
        </w:rPr>
        <w:t xml:space="preserve">, </w:t>
      </w:r>
      <w:r w:rsidR="001D71BD" w:rsidRPr="00CE4C7D">
        <w:rPr>
          <w:rFonts w:asciiTheme="majorHAnsi" w:hAnsiTheme="majorHAnsi" w:cstheme="majorHAnsi"/>
          <w:sz w:val="22"/>
          <w:szCs w:val="22"/>
        </w:rPr>
        <w:t>research has a key role to play in describing the interactions of</w:t>
      </w:r>
      <w:r w:rsidR="002E1475" w:rsidRPr="00CE4C7D">
        <w:rPr>
          <w:rFonts w:asciiTheme="majorHAnsi" w:hAnsiTheme="majorHAnsi" w:cstheme="majorHAnsi"/>
          <w:sz w:val="22"/>
          <w:szCs w:val="22"/>
        </w:rPr>
        <w:t xml:space="preserve"> non-energy and energy systems</w:t>
      </w:r>
      <w:r w:rsidRPr="00CE4C7D">
        <w:rPr>
          <w:rFonts w:asciiTheme="majorHAnsi" w:hAnsiTheme="majorHAnsi" w:cstheme="majorHAnsi"/>
          <w:sz w:val="22"/>
          <w:szCs w:val="22"/>
        </w:rPr>
        <w:t xml:space="preserve">, </w:t>
      </w:r>
      <w:proofErr w:type="gramStart"/>
      <w:r w:rsidRPr="00CE4C7D">
        <w:rPr>
          <w:rFonts w:asciiTheme="majorHAnsi" w:hAnsiTheme="majorHAnsi" w:cstheme="majorHAnsi"/>
          <w:sz w:val="22"/>
          <w:szCs w:val="22"/>
        </w:rPr>
        <w:t>so as to</w:t>
      </w:r>
      <w:proofErr w:type="gramEnd"/>
      <w:r w:rsidRPr="00CE4C7D">
        <w:rPr>
          <w:rFonts w:asciiTheme="majorHAnsi" w:hAnsiTheme="majorHAnsi" w:cstheme="majorHAnsi"/>
          <w:sz w:val="22"/>
          <w:szCs w:val="22"/>
        </w:rPr>
        <w:t xml:space="preserve"> pinpoint </w:t>
      </w:r>
      <w:r w:rsidR="002E1475" w:rsidRPr="00CE4C7D">
        <w:rPr>
          <w:rFonts w:asciiTheme="majorHAnsi" w:hAnsiTheme="majorHAnsi" w:cstheme="majorHAnsi"/>
          <w:sz w:val="22"/>
          <w:szCs w:val="22"/>
        </w:rPr>
        <w:t>the diverse routes</w:t>
      </w:r>
      <w:r w:rsidR="001D71BD" w:rsidRPr="00CE4C7D">
        <w:rPr>
          <w:rFonts w:asciiTheme="majorHAnsi" w:hAnsiTheme="majorHAnsi" w:cstheme="majorHAnsi"/>
          <w:sz w:val="22"/>
          <w:szCs w:val="22"/>
        </w:rPr>
        <w:t xml:space="preserve"> and mechanisms</w:t>
      </w:r>
      <w:r w:rsidR="002E1475" w:rsidRPr="00CE4C7D">
        <w:rPr>
          <w:rFonts w:asciiTheme="majorHAnsi" w:hAnsiTheme="majorHAnsi" w:cstheme="majorHAnsi"/>
          <w:sz w:val="22"/>
          <w:szCs w:val="22"/>
        </w:rPr>
        <w:t xml:space="preserve"> through which non-energy policies</w:t>
      </w:r>
      <w:r w:rsidR="002E1475" w:rsidRPr="00CE4C7D">
        <w:rPr>
          <w:rFonts w:asciiTheme="majorHAnsi" w:hAnsiTheme="majorHAnsi" w:cstheme="majorHAnsi"/>
          <w:i/>
          <w:sz w:val="22"/>
          <w:szCs w:val="22"/>
        </w:rPr>
        <w:t xml:space="preserve"> </w:t>
      </w:r>
      <w:r w:rsidR="002E1475" w:rsidRPr="00CE4C7D">
        <w:rPr>
          <w:rFonts w:asciiTheme="majorHAnsi" w:hAnsiTheme="majorHAnsi" w:cstheme="majorHAnsi"/>
          <w:sz w:val="22"/>
          <w:szCs w:val="22"/>
        </w:rPr>
        <w:t>s</w:t>
      </w:r>
      <w:r w:rsidRPr="00CE4C7D">
        <w:rPr>
          <w:rFonts w:asciiTheme="majorHAnsi" w:hAnsiTheme="majorHAnsi" w:cstheme="majorHAnsi"/>
          <w:sz w:val="22"/>
          <w:szCs w:val="22"/>
        </w:rPr>
        <w:t>teer</w:t>
      </w:r>
      <w:r w:rsidR="002E1475" w:rsidRPr="00CE4C7D">
        <w:rPr>
          <w:rFonts w:asciiTheme="majorHAnsi" w:hAnsiTheme="majorHAnsi" w:cstheme="majorHAnsi"/>
          <w:sz w:val="22"/>
          <w:szCs w:val="22"/>
        </w:rPr>
        <w:t xml:space="preserve"> energy demand.</w:t>
      </w:r>
      <w:r w:rsidRPr="00CE4C7D">
        <w:rPr>
          <w:rFonts w:asciiTheme="majorHAnsi" w:hAnsiTheme="majorHAnsi" w:cstheme="majorHAnsi"/>
          <w:sz w:val="22"/>
          <w:szCs w:val="22"/>
        </w:rPr>
        <w:t xml:space="preserve"> </w:t>
      </w:r>
      <w:r w:rsidR="000143D2" w:rsidRPr="00CE4C7D">
        <w:rPr>
          <w:rFonts w:asciiTheme="majorHAnsi" w:hAnsiTheme="majorHAnsi" w:cstheme="majorHAnsi"/>
          <w:sz w:val="22"/>
          <w:szCs w:val="22"/>
        </w:rPr>
        <w:t xml:space="preserve">We also need new means of assessing which connections are more/less important, and which are more/less amenable to change; and methods for evaluating the effects of demand reduction efforts. In this, </w:t>
      </w:r>
      <w:r w:rsidR="008F2963" w:rsidRPr="00CE4C7D">
        <w:rPr>
          <w:rFonts w:asciiTheme="majorHAnsi" w:hAnsiTheme="majorHAnsi" w:cstheme="majorHAnsi"/>
          <w:sz w:val="22"/>
          <w:szCs w:val="22"/>
        </w:rPr>
        <w:t>researchers</w:t>
      </w:r>
      <w:r w:rsidR="000143D2" w:rsidRPr="00CE4C7D">
        <w:rPr>
          <w:rFonts w:asciiTheme="majorHAnsi" w:hAnsiTheme="majorHAnsi" w:cstheme="majorHAnsi"/>
          <w:sz w:val="22"/>
          <w:szCs w:val="22"/>
        </w:rPr>
        <w:t xml:space="preserve"> can draw on data that is already available, for example, on transport patterns, but use it in new ways.  </w:t>
      </w:r>
      <w:r w:rsidR="00D070F4" w:rsidRPr="00CE4C7D">
        <w:rPr>
          <w:rFonts w:asciiTheme="majorHAnsi" w:hAnsiTheme="majorHAnsi" w:cstheme="majorHAnsi"/>
          <w:sz w:val="22"/>
          <w:szCs w:val="22"/>
        </w:rPr>
        <w:t>For example, researchers might analyse</w:t>
      </w:r>
      <w:r w:rsidR="002E1475" w:rsidRPr="00CE4C7D">
        <w:rPr>
          <w:rFonts w:asciiTheme="majorHAnsi" w:hAnsiTheme="majorHAnsi" w:cstheme="majorHAnsi"/>
          <w:sz w:val="22"/>
          <w:szCs w:val="22"/>
        </w:rPr>
        <w:t xml:space="preserve"> the </w:t>
      </w:r>
      <w:r w:rsidR="006F1F12" w:rsidRPr="00CE4C7D">
        <w:rPr>
          <w:rFonts w:asciiTheme="majorHAnsi" w:hAnsiTheme="majorHAnsi" w:cstheme="majorHAnsi"/>
          <w:sz w:val="22"/>
          <w:szCs w:val="22"/>
        </w:rPr>
        <w:t xml:space="preserve">mobility </w:t>
      </w:r>
      <w:r w:rsidR="002E1475" w:rsidRPr="00CE4C7D">
        <w:rPr>
          <w:rFonts w:asciiTheme="majorHAnsi" w:hAnsiTheme="majorHAnsi" w:cstheme="majorHAnsi"/>
          <w:sz w:val="22"/>
          <w:szCs w:val="22"/>
        </w:rPr>
        <w:t xml:space="preserve">demand </w:t>
      </w:r>
      <w:r w:rsidR="00D070F4" w:rsidRPr="00CE4C7D">
        <w:rPr>
          <w:rFonts w:asciiTheme="majorHAnsi" w:hAnsiTheme="majorHAnsi" w:cstheme="majorHAnsi"/>
          <w:sz w:val="22"/>
          <w:szCs w:val="22"/>
        </w:rPr>
        <w:t>effects</w:t>
      </w:r>
      <w:r w:rsidR="002E1475" w:rsidRPr="00CE4C7D">
        <w:rPr>
          <w:rFonts w:asciiTheme="majorHAnsi" w:hAnsiTheme="majorHAnsi" w:cstheme="majorHAnsi"/>
          <w:sz w:val="22"/>
          <w:szCs w:val="22"/>
        </w:rPr>
        <w:t xml:space="preserve"> of commitments </w:t>
      </w:r>
      <w:r w:rsidRPr="00CE4C7D">
        <w:rPr>
          <w:rFonts w:asciiTheme="majorHAnsi" w:hAnsiTheme="majorHAnsi" w:cstheme="majorHAnsi"/>
          <w:sz w:val="22"/>
          <w:szCs w:val="22"/>
        </w:rPr>
        <w:t xml:space="preserve">such as </w:t>
      </w:r>
      <w:r w:rsidR="002E1475" w:rsidRPr="00CE4C7D">
        <w:rPr>
          <w:rFonts w:asciiTheme="majorHAnsi" w:hAnsiTheme="majorHAnsi" w:cstheme="majorHAnsi"/>
          <w:sz w:val="22"/>
          <w:szCs w:val="22"/>
        </w:rPr>
        <w:t xml:space="preserve">providing ‘superfast broadband coverage to 95% of UK premises by the end of 2017’ (Priestley et al., 2017, p. 4). </w:t>
      </w:r>
      <w:r w:rsidRPr="00CE4C7D">
        <w:rPr>
          <w:rFonts w:asciiTheme="majorHAnsi" w:hAnsiTheme="majorHAnsi" w:cstheme="majorHAnsi"/>
          <w:sz w:val="22"/>
          <w:szCs w:val="22"/>
        </w:rPr>
        <w:t>Social scientists (and other</w:t>
      </w:r>
      <w:r w:rsidR="003236D8" w:rsidRPr="00CE4C7D">
        <w:rPr>
          <w:rFonts w:asciiTheme="majorHAnsi" w:hAnsiTheme="majorHAnsi" w:cstheme="majorHAnsi"/>
          <w:sz w:val="22"/>
          <w:szCs w:val="22"/>
        </w:rPr>
        <w:t>s</w:t>
      </w:r>
      <w:r w:rsidRPr="00CE4C7D">
        <w:rPr>
          <w:rFonts w:asciiTheme="majorHAnsi" w:hAnsiTheme="majorHAnsi" w:cstheme="majorHAnsi"/>
          <w:sz w:val="22"/>
          <w:szCs w:val="22"/>
        </w:rPr>
        <w:t>) from many disciplines can contribute to such analysis</w:t>
      </w:r>
      <w:r w:rsidR="006F1F12" w:rsidRPr="00CE4C7D">
        <w:rPr>
          <w:rFonts w:asciiTheme="majorHAnsi" w:hAnsiTheme="majorHAnsi" w:cstheme="majorHAnsi"/>
          <w:sz w:val="22"/>
          <w:szCs w:val="22"/>
        </w:rPr>
        <w:t xml:space="preserve">, for example, exploring the different types and modes of journey that are </w:t>
      </w:r>
      <w:r w:rsidR="00F93B9A" w:rsidRPr="00CE4C7D">
        <w:rPr>
          <w:rFonts w:asciiTheme="majorHAnsi" w:hAnsiTheme="majorHAnsi" w:cstheme="majorHAnsi"/>
          <w:sz w:val="22"/>
          <w:szCs w:val="22"/>
        </w:rPr>
        <w:t>‘</w:t>
      </w:r>
      <w:r w:rsidR="006F1F12" w:rsidRPr="00CE4C7D">
        <w:rPr>
          <w:rFonts w:asciiTheme="majorHAnsi" w:hAnsiTheme="majorHAnsi" w:cstheme="majorHAnsi"/>
          <w:sz w:val="22"/>
          <w:szCs w:val="22"/>
        </w:rPr>
        <w:t>replaced</w:t>
      </w:r>
      <w:r w:rsidR="00F93B9A" w:rsidRPr="00CE4C7D">
        <w:rPr>
          <w:rFonts w:asciiTheme="majorHAnsi" w:hAnsiTheme="majorHAnsi" w:cstheme="majorHAnsi"/>
          <w:sz w:val="22"/>
          <w:szCs w:val="22"/>
        </w:rPr>
        <w:t>’</w:t>
      </w:r>
      <w:r w:rsidR="006F1F12" w:rsidRPr="00CE4C7D">
        <w:rPr>
          <w:rFonts w:asciiTheme="majorHAnsi" w:hAnsiTheme="majorHAnsi" w:cstheme="majorHAnsi"/>
          <w:sz w:val="22"/>
          <w:szCs w:val="22"/>
        </w:rPr>
        <w:t xml:space="preserve"> or adapted, and how these effects</w:t>
      </w:r>
      <w:r w:rsidR="002E1475" w:rsidRPr="00CE4C7D">
        <w:rPr>
          <w:rFonts w:asciiTheme="majorHAnsi" w:hAnsiTheme="majorHAnsi" w:cstheme="majorHAnsi"/>
          <w:sz w:val="22"/>
          <w:szCs w:val="22"/>
        </w:rPr>
        <w:t xml:space="preserve"> influence other</w:t>
      </w:r>
      <w:r w:rsidR="00D070F4" w:rsidRPr="00CE4C7D">
        <w:rPr>
          <w:rFonts w:asciiTheme="majorHAnsi" w:hAnsiTheme="majorHAnsi" w:cstheme="majorHAnsi"/>
          <w:sz w:val="22"/>
          <w:szCs w:val="22"/>
        </w:rPr>
        <w:t xml:space="preserve"> aspects of everyday life, with ramifications for energy demand</w:t>
      </w:r>
      <w:r w:rsidR="006F1F12" w:rsidRPr="00CE4C7D">
        <w:rPr>
          <w:rFonts w:asciiTheme="majorHAnsi" w:hAnsiTheme="majorHAnsi" w:cstheme="majorHAnsi"/>
          <w:sz w:val="22"/>
          <w:szCs w:val="22"/>
        </w:rPr>
        <w:t>.</w:t>
      </w:r>
    </w:p>
    <w:p w14:paraId="437601AF" w14:textId="77777777" w:rsidR="00601993" w:rsidRPr="00CE4C7D" w:rsidRDefault="00601993" w:rsidP="00F25A95">
      <w:pPr>
        <w:rPr>
          <w:rFonts w:asciiTheme="majorHAnsi" w:hAnsiTheme="majorHAnsi" w:cstheme="majorHAnsi"/>
          <w:sz w:val="22"/>
          <w:szCs w:val="22"/>
        </w:rPr>
      </w:pPr>
    </w:p>
    <w:p w14:paraId="508F1FC2" w14:textId="3B5D2926" w:rsidR="00FE1669" w:rsidRPr="00CE4C7D" w:rsidRDefault="00B56341" w:rsidP="00F25A95">
      <w:pPr>
        <w:rPr>
          <w:rFonts w:asciiTheme="majorHAnsi" w:hAnsiTheme="majorHAnsi" w:cstheme="majorHAnsi"/>
          <w:sz w:val="22"/>
          <w:szCs w:val="22"/>
        </w:rPr>
      </w:pPr>
      <w:r w:rsidRPr="00CE4C7D">
        <w:rPr>
          <w:rFonts w:asciiTheme="majorHAnsi" w:hAnsiTheme="majorHAnsi" w:cstheme="majorHAnsi"/>
          <w:sz w:val="22"/>
          <w:szCs w:val="22"/>
        </w:rPr>
        <w:t>A key challenge for researchers is to break down complex webs of relationships into parts that can be analysed, while retaining an awareness of wider</w:t>
      </w:r>
      <w:r w:rsidR="001D71BD" w:rsidRPr="00CE4C7D">
        <w:rPr>
          <w:rFonts w:asciiTheme="majorHAnsi" w:hAnsiTheme="majorHAnsi" w:cstheme="majorHAnsi"/>
          <w:sz w:val="22"/>
          <w:szCs w:val="22"/>
        </w:rPr>
        <w:t xml:space="preserve"> systemic processes</w:t>
      </w:r>
      <w:r w:rsidRPr="00CE4C7D">
        <w:rPr>
          <w:rFonts w:asciiTheme="majorHAnsi" w:hAnsiTheme="majorHAnsi" w:cstheme="majorHAnsi"/>
          <w:sz w:val="22"/>
          <w:szCs w:val="22"/>
        </w:rPr>
        <w:t>. Researchers will need to be open to diverse forms of cross-sectoral influence</w:t>
      </w:r>
      <w:r w:rsidR="00765416" w:rsidRPr="00CE4C7D">
        <w:rPr>
          <w:rFonts w:asciiTheme="majorHAnsi" w:hAnsiTheme="majorHAnsi" w:cstheme="majorHAnsi"/>
          <w:sz w:val="22"/>
          <w:szCs w:val="22"/>
        </w:rPr>
        <w:t>, and to all kinds of ‘rebound’ and ‘</w:t>
      </w:r>
      <w:proofErr w:type="spellStart"/>
      <w:r w:rsidR="00765416" w:rsidRPr="00CE4C7D">
        <w:rPr>
          <w:rFonts w:asciiTheme="majorHAnsi" w:hAnsiTheme="majorHAnsi" w:cstheme="majorHAnsi"/>
          <w:sz w:val="22"/>
          <w:szCs w:val="22"/>
        </w:rPr>
        <w:t>spillover</w:t>
      </w:r>
      <w:proofErr w:type="spellEnd"/>
      <w:r w:rsidR="00765416" w:rsidRPr="00CE4C7D">
        <w:rPr>
          <w:rFonts w:asciiTheme="majorHAnsi" w:hAnsiTheme="majorHAnsi" w:cstheme="majorHAnsi"/>
          <w:sz w:val="22"/>
          <w:szCs w:val="22"/>
        </w:rPr>
        <w:t>’ effects, far beyond those conventionally addressed by energy studies</w:t>
      </w:r>
      <w:r w:rsidR="00C94B06" w:rsidRPr="00CE4C7D">
        <w:rPr>
          <w:rFonts w:asciiTheme="majorHAnsi" w:hAnsiTheme="majorHAnsi" w:cstheme="majorHAnsi"/>
          <w:sz w:val="22"/>
          <w:szCs w:val="22"/>
        </w:rPr>
        <w:t>. They will need to</w:t>
      </w:r>
      <w:r w:rsidRPr="00CE4C7D">
        <w:rPr>
          <w:rFonts w:asciiTheme="majorHAnsi" w:hAnsiTheme="majorHAnsi" w:cstheme="majorHAnsi"/>
          <w:sz w:val="22"/>
          <w:szCs w:val="22"/>
        </w:rPr>
        <w:t xml:space="preserve"> creatively integrate data</w:t>
      </w:r>
      <w:r w:rsidR="00C94B06" w:rsidRPr="00CE4C7D">
        <w:rPr>
          <w:rFonts w:asciiTheme="majorHAnsi" w:hAnsiTheme="majorHAnsi" w:cstheme="majorHAnsi"/>
          <w:sz w:val="22"/>
          <w:szCs w:val="22"/>
        </w:rPr>
        <w:t>, draw on diverse techniques to explore causal relationships</w:t>
      </w:r>
      <w:r w:rsidR="007739E4" w:rsidRPr="00CE4C7D">
        <w:rPr>
          <w:rFonts w:asciiTheme="majorHAnsi" w:hAnsiTheme="majorHAnsi" w:cstheme="majorHAnsi"/>
          <w:sz w:val="22"/>
          <w:szCs w:val="22"/>
        </w:rPr>
        <w:t xml:space="preserve">, and </w:t>
      </w:r>
      <w:r w:rsidR="000F6B58" w:rsidRPr="00CE4C7D">
        <w:rPr>
          <w:rFonts w:asciiTheme="majorHAnsi" w:hAnsiTheme="majorHAnsi" w:cstheme="majorHAnsi"/>
          <w:sz w:val="22"/>
          <w:szCs w:val="22"/>
        </w:rPr>
        <w:t xml:space="preserve">forge new relationships </w:t>
      </w:r>
      <w:r w:rsidR="000143D2" w:rsidRPr="00CE4C7D">
        <w:rPr>
          <w:rFonts w:asciiTheme="majorHAnsi" w:hAnsiTheme="majorHAnsi" w:cstheme="majorHAnsi"/>
          <w:sz w:val="22"/>
          <w:szCs w:val="22"/>
        </w:rPr>
        <w:t xml:space="preserve">across </w:t>
      </w:r>
      <w:r w:rsidR="000F6B58" w:rsidRPr="00CE4C7D">
        <w:rPr>
          <w:rFonts w:asciiTheme="majorHAnsi" w:hAnsiTheme="majorHAnsi" w:cstheme="majorHAnsi"/>
          <w:sz w:val="22"/>
          <w:szCs w:val="22"/>
        </w:rPr>
        <w:t>disciplinary boundaries</w:t>
      </w:r>
      <w:r w:rsidR="000143D2" w:rsidRPr="00CE4C7D">
        <w:rPr>
          <w:rFonts w:asciiTheme="majorHAnsi" w:hAnsiTheme="majorHAnsi" w:cstheme="majorHAnsi"/>
          <w:sz w:val="22"/>
          <w:szCs w:val="22"/>
        </w:rPr>
        <w:t>.</w:t>
      </w:r>
      <w:r w:rsidR="00533B61" w:rsidRPr="00CE4C7D">
        <w:rPr>
          <w:rFonts w:asciiTheme="majorHAnsi" w:hAnsiTheme="majorHAnsi" w:cstheme="majorHAnsi"/>
          <w:sz w:val="22"/>
          <w:szCs w:val="22"/>
        </w:rPr>
        <w:t xml:space="preserve"> One example of </w:t>
      </w:r>
      <w:r w:rsidR="00FB5356" w:rsidRPr="00CE4C7D">
        <w:rPr>
          <w:rFonts w:asciiTheme="majorHAnsi" w:hAnsiTheme="majorHAnsi" w:cstheme="majorHAnsi"/>
          <w:sz w:val="22"/>
          <w:szCs w:val="22"/>
        </w:rPr>
        <w:t>exciting work in this direction is that of Blue (</w:t>
      </w:r>
      <w:r w:rsidR="0075480B" w:rsidRPr="00CE4C7D">
        <w:rPr>
          <w:rFonts w:asciiTheme="majorHAnsi" w:hAnsiTheme="majorHAnsi" w:cstheme="majorHAnsi"/>
          <w:sz w:val="22"/>
          <w:szCs w:val="22"/>
        </w:rPr>
        <w:t>2017</w:t>
      </w:r>
      <w:r w:rsidR="00FB5356" w:rsidRPr="00CE4C7D">
        <w:rPr>
          <w:rFonts w:asciiTheme="majorHAnsi" w:hAnsiTheme="majorHAnsi" w:cstheme="majorHAnsi"/>
          <w:sz w:val="22"/>
          <w:szCs w:val="22"/>
        </w:rPr>
        <w:t>) on the temporal rhythms of h</w:t>
      </w:r>
      <w:r w:rsidR="003236D8" w:rsidRPr="00CE4C7D">
        <w:rPr>
          <w:rFonts w:asciiTheme="majorHAnsi" w:hAnsiTheme="majorHAnsi" w:cstheme="majorHAnsi"/>
          <w:sz w:val="22"/>
          <w:szCs w:val="22"/>
        </w:rPr>
        <w:t>ealthcare</w:t>
      </w:r>
      <w:r w:rsidR="009B51E1" w:rsidRPr="00CE4C7D">
        <w:rPr>
          <w:rFonts w:asciiTheme="majorHAnsi" w:hAnsiTheme="majorHAnsi" w:cstheme="majorHAnsi"/>
          <w:sz w:val="22"/>
          <w:szCs w:val="22"/>
        </w:rPr>
        <w:t>. An</w:t>
      </w:r>
      <w:r w:rsidR="00F43F7A" w:rsidRPr="00CE4C7D">
        <w:rPr>
          <w:rFonts w:asciiTheme="majorHAnsi" w:hAnsiTheme="majorHAnsi" w:cstheme="majorHAnsi"/>
          <w:sz w:val="22"/>
          <w:szCs w:val="22"/>
        </w:rPr>
        <w:t>other</w:t>
      </w:r>
      <w:r w:rsidR="009B51E1" w:rsidRPr="00CE4C7D">
        <w:rPr>
          <w:rFonts w:asciiTheme="majorHAnsi" w:hAnsiTheme="majorHAnsi" w:cstheme="majorHAnsi"/>
          <w:sz w:val="22"/>
          <w:szCs w:val="22"/>
        </w:rPr>
        <w:t xml:space="preserve"> excellent example of how non-energy policies can be researched in practice is provided by Green and Fahy (2020), who connect policy agendas of growth, moderni</w:t>
      </w:r>
      <w:r w:rsidR="0029692E" w:rsidRPr="00CE4C7D">
        <w:rPr>
          <w:rFonts w:asciiTheme="majorHAnsi" w:hAnsiTheme="majorHAnsi" w:cstheme="majorHAnsi"/>
          <w:sz w:val="22"/>
          <w:szCs w:val="22"/>
        </w:rPr>
        <w:t>z</w:t>
      </w:r>
      <w:r w:rsidR="009B51E1" w:rsidRPr="00CE4C7D">
        <w:rPr>
          <w:rFonts w:asciiTheme="majorHAnsi" w:hAnsiTheme="majorHAnsi" w:cstheme="majorHAnsi"/>
          <w:sz w:val="22"/>
          <w:szCs w:val="22"/>
        </w:rPr>
        <w:t>ation and neoliberal development, as well as specific policies on work, education and health, with shifts in energy-demanding practices</w:t>
      </w:r>
      <w:r w:rsidR="006C080D" w:rsidRPr="00CE4C7D">
        <w:rPr>
          <w:rFonts w:asciiTheme="majorHAnsi" w:hAnsiTheme="majorHAnsi" w:cstheme="majorHAnsi"/>
          <w:sz w:val="22"/>
          <w:szCs w:val="22"/>
        </w:rPr>
        <w:t xml:space="preserve"> in everyday life.</w:t>
      </w:r>
    </w:p>
    <w:p w14:paraId="3E29A21F" w14:textId="5E3D5FB1" w:rsidR="000143D2" w:rsidRPr="00CE4C7D" w:rsidRDefault="000143D2" w:rsidP="00F25A95">
      <w:pPr>
        <w:rPr>
          <w:rFonts w:asciiTheme="majorHAnsi" w:hAnsiTheme="majorHAnsi" w:cstheme="majorHAnsi"/>
          <w:sz w:val="22"/>
          <w:szCs w:val="22"/>
        </w:rPr>
      </w:pPr>
    </w:p>
    <w:p w14:paraId="03621AAC" w14:textId="61701400" w:rsidR="000143D2" w:rsidRPr="00CE4C7D" w:rsidRDefault="000143D2" w:rsidP="00F25A95">
      <w:pPr>
        <w:autoSpaceDE w:val="0"/>
        <w:autoSpaceDN w:val="0"/>
        <w:adjustRightInd w:val="0"/>
        <w:rPr>
          <w:rFonts w:asciiTheme="majorHAnsi" w:eastAsia="AdvOT596495f2+20" w:hAnsiTheme="majorHAnsi" w:cstheme="majorHAnsi"/>
          <w:sz w:val="22"/>
          <w:szCs w:val="22"/>
        </w:rPr>
      </w:pPr>
      <w:r w:rsidRPr="00CE4C7D">
        <w:rPr>
          <w:rFonts w:asciiTheme="majorHAnsi" w:hAnsiTheme="majorHAnsi" w:cstheme="majorHAnsi"/>
          <w:sz w:val="22"/>
          <w:szCs w:val="22"/>
        </w:rPr>
        <w:lastRenderedPageBreak/>
        <w:t xml:space="preserve">Energy researchers can also draw on </w:t>
      </w:r>
      <w:r w:rsidR="00A92448" w:rsidRPr="00CE4C7D">
        <w:rPr>
          <w:rFonts w:asciiTheme="majorHAnsi" w:hAnsiTheme="majorHAnsi" w:cstheme="majorHAnsi"/>
          <w:sz w:val="22"/>
          <w:szCs w:val="22"/>
        </w:rPr>
        <w:t xml:space="preserve">theoretical </w:t>
      </w:r>
      <w:r w:rsidRPr="00CE4C7D">
        <w:rPr>
          <w:rFonts w:asciiTheme="majorHAnsi" w:hAnsiTheme="majorHAnsi" w:cstheme="majorHAnsi"/>
          <w:sz w:val="22"/>
          <w:szCs w:val="22"/>
        </w:rPr>
        <w:t xml:space="preserve">concepts from other fields, for example, in the health field there is a concept of </w:t>
      </w:r>
      <w:r w:rsidRPr="00CE4C7D">
        <w:rPr>
          <w:rFonts w:asciiTheme="majorHAnsi" w:eastAsia="AdvOT596495f2+20" w:hAnsiTheme="majorHAnsi" w:cstheme="majorHAnsi"/>
          <w:sz w:val="22"/>
          <w:szCs w:val="22"/>
        </w:rPr>
        <w:t>‘</w:t>
      </w:r>
      <w:r w:rsidRPr="00CE4C7D">
        <w:rPr>
          <w:rFonts w:asciiTheme="majorHAnsi" w:hAnsiTheme="majorHAnsi" w:cstheme="majorHAnsi"/>
          <w:sz w:val="22"/>
          <w:szCs w:val="22"/>
        </w:rPr>
        <w:t>obesogenic environments</w:t>
      </w:r>
      <w:r w:rsidRPr="00CE4C7D">
        <w:rPr>
          <w:rFonts w:asciiTheme="majorHAnsi" w:eastAsia="AdvOT596495f2+20" w:hAnsiTheme="majorHAnsi" w:cstheme="majorHAnsi"/>
          <w:sz w:val="22"/>
          <w:szCs w:val="22"/>
        </w:rPr>
        <w:t xml:space="preserve">’ </w:t>
      </w:r>
      <w:r w:rsidRPr="00CE4C7D">
        <w:rPr>
          <w:rFonts w:asciiTheme="majorHAnsi" w:hAnsiTheme="majorHAnsi" w:cstheme="majorHAnsi"/>
          <w:sz w:val="22"/>
          <w:szCs w:val="22"/>
        </w:rPr>
        <w:t>(Egger and Swinburn, 1997)</w:t>
      </w:r>
      <w:r w:rsidRPr="00CE4C7D">
        <w:rPr>
          <w:rFonts w:asciiTheme="majorHAnsi" w:eastAsia="AdvOT596495f2+20" w:hAnsiTheme="majorHAnsi" w:cstheme="majorHAnsi"/>
          <w:sz w:val="22"/>
          <w:szCs w:val="22"/>
        </w:rPr>
        <w:t>, referring to</w:t>
      </w:r>
      <w:r w:rsidRPr="00CE4C7D">
        <w:rPr>
          <w:rFonts w:asciiTheme="majorHAnsi" w:hAnsiTheme="majorHAnsi" w:cstheme="majorHAnsi"/>
          <w:sz w:val="22"/>
          <w:szCs w:val="22"/>
        </w:rPr>
        <w:t xml:space="preserve"> environments which contribute to obesity. </w:t>
      </w:r>
      <w:r w:rsidR="008D0B38" w:rsidRPr="00CE4C7D">
        <w:rPr>
          <w:rFonts w:asciiTheme="majorHAnsi" w:hAnsiTheme="majorHAnsi" w:cstheme="majorHAnsi"/>
          <w:sz w:val="22"/>
          <w:szCs w:val="22"/>
        </w:rPr>
        <w:t>W</w:t>
      </w:r>
      <w:r w:rsidRPr="00CE4C7D">
        <w:rPr>
          <w:rFonts w:asciiTheme="majorHAnsi" w:hAnsiTheme="majorHAnsi" w:cstheme="majorHAnsi"/>
          <w:sz w:val="22"/>
          <w:szCs w:val="22"/>
        </w:rPr>
        <w:t xml:space="preserve">e might ask what kinds of spaces and places would contribute to a less-energy demanding way of life (Kirk et al., 2010). </w:t>
      </w:r>
      <w:r w:rsidR="001C4F87" w:rsidRPr="00CE4C7D">
        <w:rPr>
          <w:rFonts w:asciiTheme="majorHAnsi" w:hAnsiTheme="majorHAnsi" w:cstheme="majorHAnsi"/>
          <w:sz w:val="22"/>
          <w:szCs w:val="22"/>
        </w:rPr>
        <w:t xml:space="preserve">Within </w:t>
      </w:r>
      <w:r w:rsidRPr="00CE4C7D">
        <w:rPr>
          <w:rFonts w:asciiTheme="majorHAnsi" w:hAnsiTheme="majorHAnsi" w:cstheme="majorHAnsi"/>
          <w:sz w:val="22"/>
          <w:szCs w:val="22"/>
        </w:rPr>
        <w:t xml:space="preserve">transport studies it is generally accepted that mobility demand is </w:t>
      </w:r>
      <w:r w:rsidR="008D0B38" w:rsidRPr="00CE4C7D">
        <w:rPr>
          <w:rFonts w:asciiTheme="majorHAnsi" w:hAnsiTheme="majorHAnsi" w:cstheme="majorHAnsi"/>
          <w:sz w:val="22"/>
          <w:szCs w:val="22"/>
        </w:rPr>
        <w:t xml:space="preserve">‘derived’ and </w:t>
      </w:r>
      <w:r w:rsidRPr="00CE4C7D">
        <w:rPr>
          <w:rFonts w:asciiTheme="majorHAnsi" w:hAnsiTheme="majorHAnsi" w:cstheme="majorHAnsi"/>
          <w:sz w:val="22"/>
          <w:szCs w:val="22"/>
        </w:rPr>
        <w:t xml:space="preserve">affected by </w:t>
      </w:r>
      <w:r w:rsidRPr="00CE4C7D">
        <w:rPr>
          <w:rFonts w:asciiTheme="majorHAnsi" w:eastAsia="AdvOT596495f2+20" w:hAnsiTheme="majorHAnsi" w:cstheme="majorHAnsi"/>
          <w:sz w:val="22"/>
          <w:szCs w:val="22"/>
        </w:rPr>
        <w:t>‘</w:t>
      </w:r>
      <w:r w:rsidRPr="00CE4C7D">
        <w:rPr>
          <w:rFonts w:asciiTheme="majorHAnsi" w:hAnsiTheme="majorHAnsi" w:cstheme="majorHAnsi"/>
          <w:sz w:val="22"/>
          <w:szCs w:val="22"/>
        </w:rPr>
        <w:t>non-transport</w:t>
      </w:r>
      <w:r w:rsidRPr="00CE4C7D">
        <w:rPr>
          <w:rFonts w:asciiTheme="majorHAnsi" w:eastAsia="AdvOT596495f2+20" w:hAnsiTheme="majorHAnsi" w:cstheme="majorHAnsi"/>
          <w:sz w:val="22"/>
          <w:szCs w:val="22"/>
        </w:rPr>
        <w:t xml:space="preserve">’ </w:t>
      </w:r>
      <w:r w:rsidRPr="00CE4C7D">
        <w:rPr>
          <w:rFonts w:asciiTheme="majorHAnsi" w:hAnsiTheme="majorHAnsi" w:cstheme="majorHAnsi"/>
          <w:sz w:val="22"/>
          <w:szCs w:val="22"/>
        </w:rPr>
        <w:t>policies, such as land</w:t>
      </w:r>
      <w:r w:rsidR="001C4F87" w:rsidRPr="00CE4C7D">
        <w:rPr>
          <w:rFonts w:asciiTheme="majorHAnsi" w:hAnsiTheme="majorHAnsi" w:cstheme="majorHAnsi"/>
          <w:sz w:val="22"/>
          <w:szCs w:val="22"/>
        </w:rPr>
        <w:t>-</w:t>
      </w:r>
      <w:r w:rsidRPr="00CE4C7D">
        <w:rPr>
          <w:rFonts w:asciiTheme="majorHAnsi" w:hAnsiTheme="majorHAnsi" w:cstheme="majorHAnsi"/>
          <w:sz w:val="22"/>
          <w:szCs w:val="22"/>
        </w:rPr>
        <w:t xml:space="preserve">use planning, economic and employment policies, or those on education or leisure (Brown, 2017; </w:t>
      </w:r>
      <w:proofErr w:type="spellStart"/>
      <w:r w:rsidRPr="00CE4C7D">
        <w:rPr>
          <w:rFonts w:asciiTheme="majorHAnsi" w:hAnsiTheme="majorHAnsi" w:cstheme="majorHAnsi"/>
          <w:sz w:val="22"/>
          <w:szCs w:val="22"/>
        </w:rPr>
        <w:t>Hallsworth</w:t>
      </w:r>
      <w:proofErr w:type="spellEnd"/>
      <w:r w:rsidRPr="00CE4C7D">
        <w:rPr>
          <w:rFonts w:asciiTheme="majorHAnsi" w:hAnsiTheme="majorHAnsi" w:cstheme="majorHAnsi"/>
          <w:sz w:val="22"/>
          <w:szCs w:val="22"/>
        </w:rPr>
        <w:t xml:space="preserve"> et al., 1998; Santos et al., 2010). In these two examples, we are not suggesting that research has fully taken on board the implications of cross-sectoral thinking. But there is a degree of understanding that consumers</w:t>
      </w:r>
      <w:r w:rsidRPr="00CE4C7D">
        <w:rPr>
          <w:rFonts w:asciiTheme="majorHAnsi" w:eastAsia="AdvOT596495f2+20" w:hAnsiTheme="majorHAnsi" w:cstheme="majorHAnsi"/>
          <w:sz w:val="22"/>
          <w:szCs w:val="22"/>
        </w:rPr>
        <w:t>’ ‘</w:t>
      </w:r>
      <w:r w:rsidRPr="00CE4C7D">
        <w:rPr>
          <w:rFonts w:asciiTheme="majorHAnsi" w:hAnsiTheme="majorHAnsi" w:cstheme="majorHAnsi"/>
          <w:sz w:val="22"/>
          <w:szCs w:val="22"/>
        </w:rPr>
        <w:t>needs</w:t>
      </w:r>
      <w:r w:rsidRPr="00CE4C7D">
        <w:rPr>
          <w:rFonts w:asciiTheme="majorHAnsi" w:eastAsia="AdvOT596495f2+20" w:hAnsiTheme="majorHAnsi" w:cstheme="majorHAnsi"/>
          <w:sz w:val="22"/>
          <w:szCs w:val="22"/>
        </w:rPr>
        <w:t>’ are not fixed: rather, they have trajectories, and are subject to many forms of intervention.</w:t>
      </w:r>
    </w:p>
    <w:p w14:paraId="3E58DFB1" w14:textId="77777777" w:rsidR="00FE1669" w:rsidRPr="00CE4C7D" w:rsidRDefault="00FE1669" w:rsidP="00F25A95">
      <w:pPr>
        <w:pStyle w:val="NoSpacing"/>
        <w:rPr>
          <w:rFonts w:asciiTheme="majorHAnsi" w:hAnsiTheme="majorHAnsi" w:cstheme="majorHAnsi"/>
        </w:rPr>
      </w:pPr>
    </w:p>
    <w:p w14:paraId="4BEF4044" w14:textId="15702304" w:rsidR="00CD02EA" w:rsidRPr="00CE4C7D" w:rsidRDefault="005A343A" w:rsidP="00F25A95">
      <w:pPr>
        <w:pStyle w:val="NoSpacing"/>
        <w:rPr>
          <w:rFonts w:asciiTheme="majorHAnsi" w:hAnsiTheme="majorHAnsi" w:cstheme="majorHAnsi"/>
        </w:rPr>
      </w:pPr>
      <w:r w:rsidRPr="00CE4C7D">
        <w:rPr>
          <w:rFonts w:asciiTheme="majorHAnsi" w:hAnsiTheme="majorHAnsi" w:cstheme="majorHAnsi"/>
        </w:rPr>
        <w:t>R</w:t>
      </w:r>
      <w:r w:rsidR="002E1475" w:rsidRPr="00CE4C7D">
        <w:rPr>
          <w:rFonts w:asciiTheme="majorHAnsi" w:hAnsiTheme="majorHAnsi" w:cstheme="majorHAnsi"/>
        </w:rPr>
        <w:t>ecognising the imp</w:t>
      </w:r>
      <w:r w:rsidR="00601993" w:rsidRPr="00CE4C7D">
        <w:rPr>
          <w:rFonts w:asciiTheme="majorHAnsi" w:hAnsiTheme="majorHAnsi" w:cstheme="majorHAnsi"/>
        </w:rPr>
        <w:t>lications</w:t>
      </w:r>
      <w:r w:rsidR="002E1475" w:rsidRPr="00CE4C7D">
        <w:rPr>
          <w:rFonts w:asciiTheme="majorHAnsi" w:hAnsiTheme="majorHAnsi" w:cstheme="majorHAnsi"/>
        </w:rPr>
        <w:t xml:space="preserve"> of non-energy polic</w:t>
      </w:r>
      <w:r w:rsidR="00601993" w:rsidRPr="00CE4C7D">
        <w:rPr>
          <w:rFonts w:asciiTheme="majorHAnsi" w:hAnsiTheme="majorHAnsi" w:cstheme="majorHAnsi"/>
        </w:rPr>
        <w:t>ies</w:t>
      </w:r>
      <w:r w:rsidR="002E1475" w:rsidRPr="00CE4C7D">
        <w:rPr>
          <w:rFonts w:asciiTheme="majorHAnsi" w:hAnsiTheme="majorHAnsi" w:cstheme="majorHAnsi"/>
        </w:rPr>
        <w:t xml:space="preserve"> </w:t>
      </w:r>
      <w:r w:rsidR="00601993" w:rsidRPr="00CE4C7D">
        <w:rPr>
          <w:rFonts w:asciiTheme="majorHAnsi" w:hAnsiTheme="majorHAnsi" w:cstheme="majorHAnsi"/>
        </w:rPr>
        <w:t>for</w:t>
      </w:r>
      <w:r w:rsidR="002E1475" w:rsidRPr="00CE4C7D">
        <w:rPr>
          <w:rFonts w:asciiTheme="majorHAnsi" w:hAnsiTheme="majorHAnsi" w:cstheme="majorHAnsi"/>
        </w:rPr>
        <w:t xml:space="preserve"> energy demand </w:t>
      </w:r>
      <w:proofErr w:type="gramStart"/>
      <w:r w:rsidR="002E1475" w:rsidRPr="00CE4C7D">
        <w:rPr>
          <w:rFonts w:asciiTheme="majorHAnsi" w:hAnsiTheme="majorHAnsi" w:cstheme="majorHAnsi"/>
        </w:rPr>
        <w:t>opens</w:t>
      </w:r>
      <w:r w:rsidR="00601993" w:rsidRPr="00CE4C7D">
        <w:rPr>
          <w:rFonts w:asciiTheme="majorHAnsi" w:hAnsiTheme="majorHAnsi" w:cstheme="majorHAnsi"/>
        </w:rPr>
        <w:t xml:space="preserve"> </w:t>
      </w:r>
      <w:r w:rsidR="002E1475" w:rsidRPr="00CE4C7D">
        <w:rPr>
          <w:rFonts w:asciiTheme="majorHAnsi" w:hAnsiTheme="majorHAnsi" w:cstheme="majorHAnsi"/>
        </w:rPr>
        <w:t>up</w:t>
      </w:r>
      <w:proofErr w:type="gramEnd"/>
      <w:r w:rsidR="001C4F87" w:rsidRPr="00CE4C7D">
        <w:rPr>
          <w:rFonts w:asciiTheme="majorHAnsi" w:hAnsiTheme="majorHAnsi" w:cstheme="majorHAnsi"/>
        </w:rPr>
        <w:t xml:space="preserve"> new questions </w:t>
      </w:r>
      <w:r w:rsidR="002E1475" w:rsidRPr="00CE4C7D">
        <w:rPr>
          <w:rFonts w:asciiTheme="majorHAnsi" w:hAnsiTheme="majorHAnsi" w:cstheme="majorHAnsi"/>
        </w:rPr>
        <w:t>for research and policy, a</w:t>
      </w:r>
      <w:r w:rsidR="00601993" w:rsidRPr="00CE4C7D">
        <w:rPr>
          <w:rFonts w:asciiTheme="majorHAnsi" w:hAnsiTheme="majorHAnsi" w:cstheme="majorHAnsi"/>
        </w:rPr>
        <w:t>s well as revealing</w:t>
      </w:r>
      <w:r w:rsidR="002E1475" w:rsidRPr="00CE4C7D">
        <w:rPr>
          <w:rFonts w:asciiTheme="majorHAnsi" w:hAnsiTheme="majorHAnsi" w:cstheme="majorHAnsi"/>
        </w:rPr>
        <w:t xml:space="preserve"> new opportunities for intervention and change. </w:t>
      </w:r>
      <w:r w:rsidR="00601993" w:rsidRPr="00CE4C7D">
        <w:rPr>
          <w:rFonts w:asciiTheme="majorHAnsi" w:hAnsiTheme="majorHAnsi" w:cstheme="majorHAnsi"/>
        </w:rPr>
        <w:t>Ultimately, t</w:t>
      </w:r>
      <w:r w:rsidR="00A74F52" w:rsidRPr="00CE4C7D">
        <w:rPr>
          <w:rFonts w:asciiTheme="majorHAnsi" w:hAnsiTheme="majorHAnsi" w:cstheme="majorHAnsi"/>
        </w:rPr>
        <w:t>he processes of cross-sectoral governance</w:t>
      </w:r>
      <w:r w:rsidR="00CD02EA" w:rsidRPr="00CE4C7D">
        <w:rPr>
          <w:rFonts w:asciiTheme="majorHAnsi" w:hAnsiTheme="majorHAnsi" w:cstheme="majorHAnsi"/>
        </w:rPr>
        <w:t xml:space="preserve"> discussed here serve as further evidence of the need for a nuanced and </w:t>
      </w:r>
      <w:r w:rsidRPr="00CE4C7D">
        <w:rPr>
          <w:rFonts w:asciiTheme="majorHAnsi" w:hAnsiTheme="majorHAnsi" w:cstheme="majorHAnsi"/>
        </w:rPr>
        <w:t>trans</w:t>
      </w:r>
      <w:r w:rsidR="00CD02EA" w:rsidRPr="00CE4C7D">
        <w:rPr>
          <w:rFonts w:asciiTheme="majorHAnsi" w:hAnsiTheme="majorHAnsi" w:cstheme="majorHAnsi"/>
        </w:rPr>
        <w:t>-disciplinary understanding of energy in society.</w:t>
      </w:r>
    </w:p>
    <w:p w14:paraId="363B5CB5" w14:textId="77777777" w:rsidR="009630E0" w:rsidRPr="00CE4C7D" w:rsidRDefault="009630E0" w:rsidP="00F25A95">
      <w:pPr>
        <w:pStyle w:val="NoSpacing"/>
        <w:rPr>
          <w:rFonts w:asciiTheme="majorHAnsi" w:hAnsiTheme="majorHAnsi" w:cstheme="majorHAnsi"/>
        </w:rPr>
      </w:pPr>
    </w:p>
    <w:p w14:paraId="3934B2D7" w14:textId="77777777" w:rsidR="00E5272A" w:rsidRPr="00CE4C7D" w:rsidRDefault="00E5272A" w:rsidP="00F25A95">
      <w:pPr>
        <w:rPr>
          <w:rFonts w:asciiTheme="majorHAnsi" w:hAnsiTheme="majorHAnsi" w:cstheme="majorHAnsi"/>
          <w:sz w:val="22"/>
          <w:szCs w:val="22"/>
        </w:rPr>
      </w:pPr>
    </w:p>
    <w:p w14:paraId="49FEE0FD" w14:textId="45EC68FF" w:rsidR="00284593" w:rsidRPr="002735C0" w:rsidRDefault="00521278" w:rsidP="002735C0">
      <w:pPr>
        <w:pStyle w:val="Heading1"/>
      </w:pPr>
      <w:r w:rsidRPr="002735C0">
        <w:t xml:space="preserve">&lt;a&gt; </w:t>
      </w:r>
      <w:r w:rsidR="00AC425D" w:rsidRPr="002735C0">
        <w:t>Acknowledgements</w:t>
      </w:r>
    </w:p>
    <w:p w14:paraId="3F1E9ED0" w14:textId="1B285801" w:rsidR="002A4269" w:rsidRPr="00CE4C7D" w:rsidRDefault="002A4269" w:rsidP="00F25A95">
      <w:pPr>
        <w:autoSpaceDE w:val="0"/>
        <w:autoSpaceDN w:val="0"/>
        <w:adjustRightInd w:val="0"/>
        <w:rPr>
          <w:rFonts w:asciiTheme="majorHAnsi" w:hAnsiTheme="majorHAnsi" w:cstheme="majorHAnsi"/>
          <w:sz w:val="22"/>
          <w:szCs w:val="22"/>
        </w:rPr>
      </w:pPr>
      <w:r w:rsidRPr="00CE4C7D">
        <w:rPr>
          <w:rFonts w:asciiTheme="majorHAnsi" w:hAnsiTheme="majorHAnsi" w:cstheme="majorHAnsi"/>
          <w:sz w:val="22"/>
          <w:szCs w:val="22"/>
        </w:rPr>
        <w:t>This work was supported by the DEMAND: Dynamics of Energy,</w:t>
      </w:r>
      <w:r w:rsidR="007D5AD2" w:rsidRPr="00CE4C7D">
        <w:rPr>
          <w:rFonts w:asciiTheme="majorHAnsi" w:hAnsiTheme="majorHAnsi" w:cstheme="majorHAnsi"/>
          <w:sz w:val="22"/>
          <w:szCs w:val="22"/>
        </w:rPr>
        <w:t xml:space="preserve"> </w:t>
      </w:r>
      <w:r w:rsidRPr="00CE4C7D">
        <w:rPr>
          <w:rFonts w:asciiTheme="majorHAnsi" w:hAnsiTheme="majorHAnsi" w:cstheme="majorHAnsi"/>
          <w:sz w:val="22"/>
          <w:szCs w:val="22"/>
        </w:rPr>
        <w:t>Mobility and Demand Research Centre funded by the Engineering and</w:t>
      </w:r>
      <w:r w:rsidR="007D5AD2" w:rsidRPr="00CE4C7D">
        <w:rPr>
          <w:rFonts w:asciiTheme="majorHAnsi" w:hAnsiTheme="majorHAnsi" w:cstheme="majorHAnsi"/>
          <w:sz w:val="22"/>
          <w:szCs w:val="22"/>
        </w:rPr>
        <w:t xml:space="preserve"> </w:t>
      </w:r>
      <w:r w:rsidRPr="00CE4C7D">
        <w:rPr>
          <w:rFonts w:asciiTheme="majorHAnsi" w:hAnsiTheme="majorHAnsi" w:cstheme="majorHAnsi"/>
          <w:sz w:val="22"/>
          <w:szCs w:val="22"/>
        </w:rPr>
        <w:t>Physical Sciences Research Council [grant number EP/K011723/1] as</w:t>
      </w:r>
      <w:r w:rsidR="007D5AD2" w:rsidRPr="00CE4C7D">
        <w:rPr>
          <w:rFonts w:asciiTheme="majorHAnsi" w:hAnsiTheme="majorHAnsi" w:cstheme="majorHAnsi"/>
          <w:sz w:val="22"/>
          <w:szCs w:val="22"/>
        </w:rPr>
        <w:t xml:space="preserve"> </w:t>
      </w:r>
      <w:r w:rsidRPr="00CE4C7D">
        <w:rPr>
          <w:rFonts w:asciiTheme="majorHAnsi" w:hAnsiTheme="majorHAnsi" w:cstheme="majorHAnsi"/>
          <w:sz w:val="22"/>
          <w:szCs w:val="22"/>
        </w:rPr>
        <w:t>part of the Research Councils UK Energy Programme and by EDF as part</w:t>
      </w:r>
      <w:r w:rsidR="007D5AD2" w:rsidRPr="00CE4C7D">
        <w:rPr>
          <w:rFonts w:asciiTheme="majorHAnsi" w:hAnsiTheme="majorHAnsi" w:cstheme="majorHAnsi"/>
          <w:sz w:val="22"/>
          <w:szCs w:val="22"/>
        </w:rPr>
        <w:t xml:space="preserve"> </w:t>
      </w:r>
      <w:r w:rsidRPr="00CE4C7D">
        <w:rPr>
          <w:rFonts w:asciiTheme="majorHAnsi" w:hAnsiTheme="majorHAnsi" w:cstheme="majorHAnsi"/>
          <w:sz w:val="22"/>
          <w:szCs w:val="22"/>
        </w:rPr>
        <w:t>of the R&amp;D ECLEER Programme.</w:t>
      </w:r>
      <w:r w:rsidR="00A87AD7" w:rsidRPr="00CE4C7D">
        <w:rPr>
          <w:rFonts w:asciiTheme="majorHAnsi" w:hAnsiTheme="majorHAnsi" w:cstheme="majorHAnsi"/>
          <w:sz w:val="22"/>
          <w:szCs w:val="22"/>
        </w:rPr>
        <w:t xml:space="preserve"> This chapter draws on the authors’ work in collaboration with Elizabeth Shove.</w:t>
      </w:r>
    </w:p>
    <w:p w14:paraId="7976885C" w14:textId="77777777" w:rsidR="004D6126" w:rsidRPr="00CE4C7D" w:rsidRDefault="004D6126" w:rsidP="00F25A95">
      <w:pPr>
        <w:autoSpaceDE w:val="0"/>
        <w:autoSpaceDN w:val="0"/>
        <w:adjustRightInd w:val="0"/>
        <w:rPr>
          <w:rFonts w:asciiTheme="majorHAnsi" w:hAnsiTheme="majorHAnsi" w:cstheme="majorHAnsi"/>
          <w:sz w:val="22"/>
          <w:szCs w:val="22"/>
        </w:rPr>
      </w:pPr>
    </w:p>
    <w:p w14:paraId="535A226A" w14:textId="00006B8E" w:rsidR="004D6126" w:rsidRPr="00CE4C7D" w:rsidRDefault="00521278" w:rsidP="002735C0">
      <w:pPr>
        <w:pStyle w:val="Heading1"/>
      </w:pPr>
      <w:r w:rsidRPr="00CE4C7D">
        <w:rPr>
          <w:rFonts w:ascii="Calibri" w:hAnsi="Calibri" w:cs="Calibri"/>
        </w:rPr>
        <w:t xml:space="preserve">&lt;a&gt; </w:t>
      </w:r>
      <w:r w:rsidR="004D6126" w:rsidRPr="00CE4C7D">
        <w:t>Endnotes</w:t>
      </w:r>
    </w:p>
    <w:p w14:paraId="7D50F0C1" w14:textId="77777777" w:rsidR="004D6126" w:rsidRPr="00CE4C7D" w:rsidRDefault="004D6126" w:rsidP="004D6126">
      <w:pPr>
        <w:pStyle w:val="EndnoteText"/>
        <w:rPr>
          <w:rFonts w:asciiTheme="majorHAnsi" w:hAnsiTheme="majorHAnsi"/>
          <w:sz w:val="22"/>
          <w:szCs w:val="22"/>
        </w:rPr>
      </w:pPr>
      <w:r w:rsidRPr="00CE4C7D">
        <w:rPr>
          <w:rStyle w:val="EndnoteReference"/>
          <w:rFonts w:asciiTheme="majorHAnsi" w:hAnsiTheme="majorHAnsi"/>
          <w:sz w:val="22"/>
          <w:szCs w:val="22"/>
        </w:rPr>
        <w:footnoteRef/>
      </w:r>
      <w:r w:rsidRPr="00CE4C7D">
        <w:rPr>
          <w:rFonts w:asciiTheme="majorHAnsi" w:hAnsiTheme="majorHAnsi"/>
          <w:sz w:val="22"/>
          <w:szCs w:val="22"/>
        </w:rPr>
        <w:t xml:space="preserve"> The Centre for the Dynamics of Energy, Mobility and Demand; see: www.demand.ac.uk</w:t>
      </w:r>
    </w:p>
    <w:p w14:paraId="2531101B" w14:textId="77777777" w:rsidR="004D6126" w:rsidRPr="00CE4C7D" w:rsidRDefault="004D6126" w:rsidP="004D6126">
      <w:pPr>
        <w:pStyle w:val="EndnoteText"/>
        <w:rPr>
          <w:rFonts w:asciiTheme="majorHAnsi" w:hAnsiTheme="majorHAnsi"/>
          <w:sz w:val="22"/>
          <w:szCs w:val="22"/>
        </w:rPr>
      </w:pPr>
      <w:r w:rsidRPr="00CE4C7D">
        <w:rPr>
          <w:rStyle w:val="EndnoteReference"/>
          <w:rFonts w:asciiTheme="majorHAnsi" w:hAnsiTheme="majorHAnsi"/>
          <w:sz w:val="22"/>
          <w:szCs w:val="22"/>
        </w:rPr>
        <w:footnoteRef/>
      </w:r>
      <w:r w:rsidRPr="00CE4C7D">
        <w:rPr>
          <w:rFonts w:asciiTheme="majorHAnsi" w:hAnsiTheme="majorHAnsi"/>
          <w:sz w:val="22"/>
          <w:szCs w:val="22"/>
        </w:rPr>
        <w:t xml:space="preserve"> We analysed Estates data provided by the Higher Education Statistics Agency (HESA), accessed 28 January 2020 at www.hesa.ac.uk/data-and-analysis/estates/environmental.</w:t>
      </w:r>
    </w:p>
    <w:p w14:paraId="6643962D" w14:textId="77777777" w:rsidR="004D6126" w:rsidRPr="00CE4C7D" w:rsidRDefault="004D6126" w:rsidP="004D6126">
      <w:pPr>
        <w:pStyle w:val="EndnoteText"/>
        <w:rPr>
          <w:rFonts w:asciiTheme="majorHAnsi" w:hAnsiTheme="majorHAnsi"/>
          <w:sz w:val="22"/>
          <w:szCs w:val="22"/>
        </w:rPr>
      </w:pPr>
      <w:r w:rsidRPr="00CE4C7D">
        <w:rPr>
          <w:rStyle w:val="EndnoteReference"/>
          <w:rFonts w:asciiTheme="majorHAnsi" w:hAnsiTheme="majorHAnsi"/>
          <w:sz w:val="22"/>
          <w:szCs w:val="22"/>
        </w:rPr>
        <w:footnoteRef/>
      </w:r>
      <w:r w:rsidRPr="00CE4C7D">
        <w:rPr>
          <w:rFonts w:asciiTheme="majorHAnsi" w:hAnsiTheme="majorHAnsi"/>
          <w:sz w:val="22"/>
          <w:szCs w:val="22"/>
        </w:rPr>
        <w:t xml:space="preserve"> Analysis of Finances data from HESA, accessed 28 January 2020 at www.hesa.ac.uk/data-and-analysis/finances/table-7#.</w:t>
      </w:r>
    </w:p>
    <w:p w14:paraId="49E5294B" w14:textId="77777777" w:rsidR="004D6126" w:rsidRPr="00CE4C7D" w:rsidRDefault="004D6126" w:rsidP="004D6126">
      <w:pPr>
        <w:pStyle w:val="EndnoteText"/>
        <w:rPr>
          <w:rFonts w:asciiTheme="majorHAnsi" w:hAnsiTheme="majorHAnsi"/>
          <w:b/>
          <w:sz w:val="22"/>
          <w:szCs w:val="22"/>
        </w:rPr>
      </w:pPr>
      <w:r w:rsidRPr="00CE4C7D">
        <w:rPr>
          <w:rStyle w:val="EndnoteReference"/>
          <w:rFonts w:asciiTheme="majorHAnsi" w:hAnsiTheme="majorHAnsi"/>
          <w:sz w:val="22"/>
          <w:szCs w:val="22"/>
        </w:rPr>
        <w:footnoteRef/>
      </w:r>
      <w:r w:rsidRPr="00CE4C7D">
        <w:rPr>
          <w:rFonts w:asciiTheme="majorHAnsi" w:hAnsiTheme="majorHAnsi"/>
          <w:sz w:val="22"/>
          <w:szCs w:val="22"/>
        </w:rPr>
        <w:t xml:space="preserve"> The importance of building opening hours has also been highlighted by work on 24-hour labs at Oxford University; see: </w:t>
      </w:r>
      <w:r w:rsidRPr="00CE4C7D">
        <w:rPr>
          <w:rFonts w:asciiTheme="majorHAnsi" w:hAnsiTheme="majorHAnsi"/>
          <w:sz w:val="22"/>
        </w:rPr>
        <w:t>www.sustainabilityexchange.ac.uk/files/midnight_oil_case_study_aug_2012.pdf</w:t>
      </w:r>
    </w:p>
    <w:p w14:paraId="1EB9BD6C" w14:textId="776E0021" w:rsidR="00917D24" w:rsidRPr="00CE4C7D" w:rsidRDefault="004D6126" w:rsidP="004D6126">
      <w:pPr>
        <w:rPr>
          <w:rFonts w:asciiTheme="majorHAnsi" w:hAnsiTheme="majorHAnsi" w:cstheme="majorHAnsi"/>
          <w:sz w:val="22"/>
          <w:szCs w:val="22"/>
        </w:rPr>
      </w:pPr>
      <w:r w:rsidRPr="00CE4C7D">
        <w:rPr>
          <w:rStyle w:val="EndnoteReference"/>
          <w:rFonts w:asciiTheme="majorHAnsi" w:hAnsiTheme="majorHAnsi"/>
          <w:sz w:val="22"/>
          <w:szCs w:val="22"/>
        </w:rPr>
        <w:footnoteRef/>
      </w:r>
      <w:r w:rsidRPr="00CE4C7D">
        <w:rPr>
          <w:rFonts w:asciiTheme="majorHAnsi" w:hAnsiTheme="majorHAnsi"/>
          <w:sz w:val="22"/>
          <w:szCs w:val="22"/>
        </w:rPr>
        <w:t xml:space="preserve"> </w:t>
      </w:r>
      <w:r w:rsidRPr="00CE4C7D">
        <w:rPr>
          <w:rFonts w:asciiTheme="majorHAnsi" w:hAnsiTheme="majorHAnsi" w:cstheme="minorHAnsi"/>
          <w:sz w:val="22"/>
          <w:szCs w:val="22"/>
        </w:rPr>
        <w:t xml:space="preserve">An emerging field focuses on quantifying and communicating how energy efficiency can support organizations’ </w:t>
      </w:r>
      <w:r w:rsidRPr="00CE4C7D">
        <w:rPr>
          <w:rFonts w:asciiTheme="majorHAnsi" w:hAnsiTheme="majorHAnsi"/>
          <w:sz w:val="22"/>
          <w:szCs w:val="22"/>
        </w:rPr>
        <w:t xml:space="preserve">core goals, </w:t>
      </w:r>
      <w:proofErr w:type="gramStart"/>
      <w:r w:rsidRPr="00CE4C7D">
        <w:rPr>
          <w:rFonts w:asciiTheme="majorHAnsi" w:hAnsiTheme="majorHAnsi"/>
          <w:sz w:val="22"/>
          <w:szCs w:val="22"/>
        </w:rPr>
        <w:t>e.g.</w:t>
      </w:r>
      <w:proofErr w:type="gramEnd"/>
      <w:r w:rsidRPr="00CE4C7D">
        <w:rPr>
          <w:rFonts w:asciiTheme="majorHAnsi" w:hAnsiTheme="majorHAnsi"/>
          <w:sz w:val="22"/>
          <w:szCs w:val="22"/>
        </w:rPr>
        <w:t xml:space="preserve"> the M-Benefits</w:t>
      </w:r>
      <w:r w:rsidRPr="00CE4C7D">
        <w:rPr>
          <w:rFonts w:asciiTheme="majorHAnsi" w:hAnsiTheme="majorHAnsi" w:cstheme="minorHAnsi"/>
          <w:sz w:val="22"/>
          <w:szCs w:val="22"/>
        </w:rPr>
        <w:t xml:space="preserve"> project (see www.mbenefits.eu).</w:t>
      </w:r>
    </w:p>
    <w:p w14:paraId="708B67E4" w14:textId="77777777" w:rsidR="009630E0" w:rsidRPr="00CE4C7D" w:rsidRDefault="009630E0" w:rsidP="00F25A95">
      <w:pPr>
        <w:rPr>
          <w:rFonts w:asciiTheme="majorHAnsi" w:hAnsiTheme="majorHAnsi" w:cstheme="majorHAnsi"/>
          <w:sz w:val="22"/>
          <w:szCs w:val="22"/>
        </w:rPr>
      </w:pPr>
    </w:p>
    <w:p w14:paraId="2668DD70" w14:textId="1F2768CE" w:rsidR="00D56336" w:rsidRPr="002735C0" w:rsidRDefault="00521278" w:rsidP="002735C0">
      <w:pPr>
        <w:pStyle w:val="Heading1"/>
      </w:pPr>
      <w:r w:rsidRPr="002735C0">
        <w:t xml:space="preserve">&lt;a&gt; </w:t>
      </w:r>
      <w:r w:rsidR="00917D24" w:rsidRPr="002735C0">
        <w:t>References</w:t>
      </w:r>
    </w:p>
    <w:p w14:paraId="51AB7D0F" w14:textId="627C7514" w:rsidR="003F05BC" w:rsidRPr="00CE4C7D" w:rsidRDefault="00E67A00"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Adelle, C., and Russel, D. (</w:t>
      </w:r>
      <w:r w:rsidR="003F05BC" w:rsidRPr="00CE4C7D">
        <w:rPr>
          <w:rFonts w:asciiTheme="majorHAnsi" w:hAnsiTheme="majorHAnsi" w:cstheme="majorHAnsi"/>
          <w:color w:val="000000" w:themeColor="text1"/>
          <w:sz w:val="22"/>
          <w:szCs w:val="22"/>
        </w:rPr>
        <w:t>2013</w:t>
      </w:r>
      <w:r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xml:space="preserve"> </w:t>
      </w:r>
      <w:r w:rsidR="005124B7"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xml:space="preserve">Climate Policy </w:t>
      </w:r>
      <w:r w:rsidR="0034209F" w:rsidRPr="00CE4C7D">
        <w:rPr>
          <w:rFonts w:asciiTheme="majorHAnsi" w:hAnsiTheme="majorHAnsi" w:cstheme="majorHAnsi"/>
          <w:color w:val="000000" w:themeColor="text1"/>
          <w:sz w:val="22"/>
          <w:szCs w:val="22"/>
        </w:rPr>
        <w:t>Integration: a case of Déjà Vu?</w:t>
      </w:r>
      <w:r w:rsidR="005124B7" w:rsidRPr="00CE4C7D">
        <w:rPr>
          <w:rFonts w:asciiTheme="majorHAnsi" w:hAnsiTheme="majorHAnsi" w:cstheme="majorHAnsi"/>
          <w:color w:val="000000" w:themeColor="text1"/>
          <w:sz w:val="22"/>
          <w:szCs w:val="22"/>
        </w:rPr>
        <w:t>’</w:t>
      </w:r>
      <w:r w:rsidR="0034209F"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i/>
          <w:color w:val="000000" w:themeColor="text1"/>
          <w:sz w:val="22"/>
          <w:szCs w:val="22"/>
        </w:rPr>
        <w:t>Environmental Policy a</w:t>
      </w:r>
      <w:r w:rsidR="00FC2021" w:rsidRPr="00CE4C7D">
        <w:rPr>
          <w:rFonts w:asciiTheme="majorHAnsi" w:hAnsiTheme="majorHAnsi" w:cstheme="majorHAnsi"/>
          <w:i/>
          <w:color w:val="000000" w:themeColor="text1"/>
          <w:sz w:val="22"/>
          <w:szCs w:val="22"/>
        </w:rPr>
        <w:t>nd Governance</w:t>
      </w:r>
      <w:r w:rsidR="00FC2021" w:rsidRPr="00CE4C7D">
        <w:rPr>
          <w:rFonts w:asciiTheme="majorHAnsi" w:hAnsiTheme="majorHAnsi" w:cstheme="majorHAnsi"/>
          <w:color w:val="000000" w:themeColor="text1"/>
          <w:sz w:val="22"/>
          <w:szCs w:val="22"/>
        </w:rPr>
        <w:t xml:space="preserve">, </w:t>
      </w:r>
      <w:r w:rsidR="00FC2021" w:rsidRPr="00CE4C7D">
        <w:rPr>
          <w:rFonts w:asciiTheme="majorHAnsi" w:hAnsiTheme="majorHAnsi" w:cstheme="majorHAnsi"/>
          <w:b/>
          <w:color w:val="000000" w:themeColor="text1"/>
          <w:sz w:val="22"/>
          <w:szCs w:val="22"/>
        </w:rPr>
        <w:t>23</w:t>
      </w:r>
      <w:r w:rsidR="00FA35A9" w:rsidRPr="00CE4C7D">
        <w:rPr>
          <w:rFonts w:asciiTheme="majorHAnsi" w:hAnsiTheme="majorHAnsi" w:cstheme="majorHAnsi"/>
          <w:b/>
          <w:color w:val="000000" w:themeColor="text1"/>
          <w:sz w:val="22"/>
          <w:szCs w:val="22"/>
        </w:rPr>
        <w:t xml:space="preserve"> </w:t>
      </w:r>
      <w:r w:rsidR="00FC2021" w:rsidRPr="00CE4C7D">
        <w:rPr>
          <w:rFonts w:asciiTheme="majorHAnsi" w:hAnsiTheme="majorHAnsi" w:cstheme="majorHAnsi"/>
          <w:color w:val="000000" w:themeColor="text1"/>
          <w:sz w:val="22"/>
          <w:szCs w:val="22"/>
        </w:rPr>
        <w:t xml:space="preserve">(1), </w:t>
      </w:r>
      <w:r w:rsidR="003F05BC" w:rsidRPr="00CE4C7D">
        <w:rPr>
          <w:rFonts w:asciiTheme="majorHAnsi" w:hAnsiTheme="majorHAnsi" w:cstheme="majorHAnsi"/>
          <w:color w:val="000000" w:themeColor="text1"/>
          <w:sz w:val="22"/>
          <w:szCs w:val="22"/>
        </w:rPr>
        <w:t>1</w:t>
      </w:r>
      <w:r w:rsidR="003F05BC" w:rsidRPr="00CE4C7D">
        <w:rPr>
          <w:rFonts w:asciiTheme="majorHAnsi" w:eastAsia="AdvOT596495f2+20"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12.</w:t>
      </w:r>
    </w:p>
    <w:p w14:paraId="3AE9903A" w14:textId="768D47C8" w:rsidR="003F05BC" w:rsidRPr="00CE4C7D" w:rsidRDefault="00E67A00"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Banister, D. (</w:t>
      </w:r>
      <w:r w:rsidR="003F05BC" w:rsidRPr="00CE4C7D">
        <w:rPr>
          <w:rFonts w:asciiTheme="majorHAnsi" w:hAnsiTheme="majorHAnsi" w:cstheme="majorHAnsi"/>
          <w:color w:val="000000" w:themeColor="text1"/>
          <w:sz w:val="22"/>
          <w:szCs w:val="22"/>
        </w:rPr>
        <w:t>1999</w:t>
      </w:r>
      <w:r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xml:space="preserve"> </w:t>
      </w:r>
      <w:r w:rsidR="005124B7"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Planning more to trav</w:t>
      </w:r>
      <w:r w:rsidR="0034209F" w:rsidRPr="00CE4C7D">
        <w:rPr>
          <w:rFonts w:asciiTheme="majorHAnsi" w:hAnsiTheme="majorHAnsi" w:cstheme="majorHAnsi"/>
          <w:color w:val="000000" w:themeColor="text1"/>
          <w:sz w:val="22"/>
          <w:szCs w:val="22"/>
        </w:rPr>
        <w:t>el less: land use and transport</w:t>
      </w:r>
      <w:r w:rsidR="005124B7" w:rsidRPr="00CE4C7D">
        <w:rPr>
          <w:rFonts w:asciiTheme="majorHAnsi" w:hAnsiTheme="majorHAnsi" w:cstheme="majorHAnsi"/>
          <w:color w:val="000000" w:themeColor="text1"/>
          <w:sz w:val="22"/>
          <w:szCs w:val="22"/>
        </w:rPr>
        <w:t>’</w:t>
      </w:r>
      <w:r w:rsidR="0034209F"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i/>
          <w:color w:val="000000" w:themeColor="text1"/>
          <w:sz w:val="22"/>
          <w:szCs w:val="22"/>
        </w:rPr>
        <w:t>Town Planning Review</w:t>
      </w:r>
      <w:r w:rsidR="003F05BC"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b/>
          <w:color w:val="000000" w:themeColor="text1"/>
          <w:sz w:val="22"/>
          <w:szCs w:val="22"/>
        </w:rPr>
        <w:t>70</w:t>
      </w:r>
      <w:r w:rsidR="003F05BC" w:rsidRPr="00CE4C7D">
        <w:rPr>
          <w:rFonts w:asciiTheme="majorHAnsi" w:hAnsiTheme="majorHAnsi" w:cstheme="majorHAnsi"/>
          <w:color w:val="000000" w:themeColor="text1"/>
          <w:sz w:val="22"/>
          <w:szCs w:val="22"/>
        </w:rPr>
        <w:t xml:space="preserve"> (3),</w:t>
      </w:r>
      <w:r w:rsidR="00E377DC"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color w:val="000000" w:themeColor="text1"/>
          <w:sz w:val="22"/>
          <w:szCs w:val="22"/>
        </w:rPr>
        <w:t>313</w:t>
      </w:r>
      <w:r w:rsidR="003F05BC" w:rsidRPr="00CE4C7D">
        <w:rPr>
          <w:rFonts w:asciiTheme="majorHAnsi" w:eastAsia="AdvOT596495f2+20"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338.</w:t>
      </w:r>
    </w:p>
    <w:p w14:paraId="42BB6AA4" w14:textId="3C5FB4F1" w:rsidR="003F05BC" w:rsidRPr="00CE4C7D" w:rsidRDefault="00E67A00"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Bel, G. and Joseph, S. (2015),</w:t>
      </w:r>
      <w:r w:rsidR="003F05BC" w:rsidRPr="00CE4C7D">
        <w:rPr>
          <w:rFonts w:asciiTheme="majorHAnsi" w:hAnsiTheme="majorHAnsi" w:cstheme="majorHAnsi"/>
          <w:color w:val="000000" w:themeColor="text1"/>
          <w:sz w:val="22"/>
          <w:szCs w:val="22"/>
        </w:rPr>
        <w:t xml:space="preserve"> </w:t>
      </w:r>
      <w:r w:rsidR="005124B7"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Emission abatement: untangling the impacts of the</w:t>
      </w:r>
      <w:r w:rsidR="0034209F" w:rsidRPr="00CE4C7D">
        <w:rPr>
          <w:rFonts w:asciiTheme="majorHAnsi" w:hAnsiTheme="majorHAnsi" w:cstheme="majorHAnsi"/>
          <w:color w:val="000000" w:themeColor="text1"/>
          <w:sz w:val="22"/>
          <w:szCs w:val="22"/>
        </w:rPr>
        <w:t xml:space="preserve"> EU ETS and the economic crisis</w:t>
      </w:r>
      <w:r w:rsidR="005124B7" w:rsidRPr="00CE4C7D">
        <w:rPr>
          <w:rFonts w:asciiTheme="majorHAnsi" w:hAnsiTheme="majorHAnsi" w:cstheme="majorHAnsi"/>
          <w:color w:val="000000" w:themeColor="text1"/>
          <w:sz w:val="22"/>
          <w:szCs w:val="22"/>
        </w:rPr>
        <w:t>’</w:t>
      </w:r>
      <w:r w:rsidR="0034209F"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i/>
          <w:color w:val="000000" w:themeColor="text1"/>
          <w:sz w:val="22"/>
          <w:szCs w:val="22"/>
        </w:rPr>
        <w:t>Energy Economics</w:t>
      </w:r>
      <w:r w:rsidR="003F05BC"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b/>
          <w:color w:val="000000" w:themeColor="text1"/>
          <w:sz w:val="22"/>
          <w:szCs w:val="22"/>
        </w:rPr>
        <w:t>49,</w:t>
      </w:r>
      <w:r w:rsidR="00E377DC"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color w:val="000000" w:themeColor="text1"/>
          <w:sz w:val="22"/>
          <w:szCs w:val="22"/>
        </w:rPr>
        <w:t>531</w:t>
      </w:r>
      <w:r w:rsidR="003F05BC" w:rsidRPr="00CE4C7D">
        <w:rPr>
          <w:rFonts w:asciiTheme="majorHAnsi" w:eastAsia="AdvOT596495f2+20"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539.</w:t>
      </w:r>
    </w:p>
    <w:p w14:paraId="2AF6DCC3" w14:textId="37F2296B" w:rsidR="003F05BC" w:rsidRPr="00CE4C7D" w:rsidRDefault="00E67A00"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Blue, S. (2017),</w:t>
      </w:r>
      <w:r w:rsidR="003F05BC" w:rsidRPr="00CE4C7D">
        <w:rPr>
          <w:rFonts w:asciiTheme="majorHAnsi" w:hAnsiTheme="majorHAnsi" w:cstheme="majorHAnsi"/>
          <w:color w:val="000000" w:themeColor="text1"/>
          <w:sz w:val="22"/>
          <w:szCs w:val="22"/>
        </w:rPr>
        <w:t xml:space="preserve"> </w:t>
      </w:r>
      <w:r w:rsidR="005124B7"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Reducing demand for energy in hospitals: Opportunities for and li</w:t>
      </w:r>
      <w:r w:rsidR="0034209F" w:rsidRPr="00CE4C7D">
        <w:rPr>
          <w:rFonts w:asciiTheme="majorHAnsi" w:hAnsiTheme="majorHAnsi" w:cstheme="majorHAnsi"/>
          <w:color w:val="000000" w:themeColor="text1"/>
          <w:sz w:val="22"/>
          <w:szCs w:val="22"/>
        </w:rPr>
        <w:t>mits to temporal coordination</w:t>
      </w:r>
      <w:r w:rsidR="005124B7" w:rsidRPr="00CE4C7D">
        <w:rPr>
          <w:rFonts w:asciiTheme="majorHAnsi" w:hAnsiTheme="majorHAnsi" w:cstheme="majorHAnsi"/>
          <w:color w:val="000000" w:themeColor="text1"/>
          <w:sz w:val="22"/>
          <w:szCs w:val="22"/>
        </w:rPr>
        <w:t>’</w:t>
      </w:r>
      <w:r w:rsidR="0034209F" w:rsidRPr="00CE4C7D">
        <w:rPr>
          <w:rFonts w:asciiTheme="majorHAnsi" w:hAnsiTheme="majorHAnsi" w:cstheme="majorHAnsi"/>
          <w:color w:val="000000" w:themeColor="text1"/>
          <w:sz w:val="22"/>
          <w:szCs w:val="22"/>
        </w:rPr>
        <w:t>, i</w:t>
      </w:r>
      <w:r w:rsidR="00783DEF" w:rsidRPr="00CE4C7D">
        <w:rPr>
          <w:rFonts w:asciiTheme="majorHAnsi" w:hAnsiTheme="majorHAnsi" w:cstheme="majorHAnsi"/>
          <w:color w:val="000000" w:themeColor="text1"/>
          <w:sz w:val="22"/>
          <w:szCs w:val="22"/>
        </w:rPr>
        <w:t>n A. Hui, R. Day and G. Walker (</w:t>
      </w:r>
      <w:r w:rsidR="006C4494" w:rsidRPr="00CE4C7D">
        <w:rPr>
          <w:rFonts w:asciiTheme="majorHAnsi" w:hAnsiTheme="majorHAnsi" w:cstheme="majorHAnsi"/>
          <w:color w:val="000000" w:themeColor="text1"/>
          <w:sz w:val="22"/>
          <w:szCs w:val="22"/>
        </w:rPr>
        <w:t>eds</w:t>
      </w:r>
      <w:r w:rsidR="00783DEF"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i/>
          <w:color w:val="000000" w:themeColor="text1"/>
          <w:sz w:val="22"/>
          <w:szCs w:val="22"/>
        </w:rPr>
        <w:t>Demanding Energy:</w:t>
      </w:r>
      <w:r w:rsidR="00783DEF" w:rsidRPr="00CE4C7D">
        <w:rPr>
          <w:rFonts w:asciiTheme="majorHAnsi" w:hAnsiTheme="majorHAnsi" w:cstheme="majorHAnsi"/>
          <w:i/>
          <w:color w:val="000000" w:themeColor="text1"/>
          <w:sz w:val="22"/>
          <w:szCs w:val="22"/>
        </w:rPr>
        <w:t xml:space="preserve"> Space, Time and Change</w:t>
      </w:r>
      <w:r w:rsidR="00783DEF"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xml:space="preserve"> New York: Palgrave Macmillan,</w:t>
      </w:r>
      <w:r w:rsidR="00E377DC" w:rsidRPr="00CE4C7D">
        <w:rPr>
          <w:rFonts w:asciiTheme="majorHAnsi" w:hAnsiTheme="majorHAnsi" w:cstheme="majorHAnsi"/>
          <w:color w:val="000000" w:themeColor="text1"/>
          <w:sz w:val="22"/>
          <w:szCs w:val="22"/>
        </w:rPr>
        <w:t xml:space="preserve"> </w:t>
      </w:r>
      <w:r w:rsidR="00DE5288" w:rsidRPr="00CE4C7D">
        <w:rPr>
          <w:rFonts w:asciiTheme="majorHAnsi" w:hAnsiTheme="majorHAnsi" w:cstheme="majorHAnsi"/>
          <w:color w:val="000000" w:themeColor="text1"/>
          <w:sz w:val="22"/>
          <w:szCs w:val="22"/>
        </w:rPr>
        <w:t xml:space="preserve">pp. </w:t>
      </w:r>
      <w:r w:rsidR="003F05BC" w:rsidRPr="00CE4C7D">
        <w:rPr>
          <w:rFonts w:asciiTheme="majorHAnsi" w:hAnsiTheme="majorHAnsi" w:cstheme="majorHAnsi"/>
          <w:color w:val="000000" w:themeColor="text1"/>
          <w:sz w:val="22"/>
          <w:szCs w:val="22"/>
        </w:rPr>
        <w:t>313–338.</w:t>
      </w:r>
    </w:p>
    <w:p w14:paraId="5B7FEDBE" w14:textId="50E05CC6" w:rsidR="003F05BC" w:rsidRPr="00CE4C7D" w:rsidRDefault="003F05BC" w:rsidP="00F25A95">
      <w:pPr>
        <w:spacing w:before="220"/>
        <w:rPr>
          <w:rFonts w:asciiTheme="majorHAnsi" w:hAnsiTheme="majorHAnsi" w:cstheme="majorHAnsi"/>
          <w:color w:val="000000" w:themeColor="text1"/>
          <w:sz w:val="22"/>
          <w:szCs w:val="22"/>
        </w:rPr>
      </w:pPr>
      <w:proofErr w:type="spellStart"/>
      <w:r w:rsidRPr="00CE4C7D">
        <w:rPr>
          <w:rFonts w:asciiTheme="majorHAnsi" w:hAnsiTheme="majorHAnsi" w:cstheme="majorHAnsi"/>
          <w:color w:val="000000" w:themeColor="text1"/>
          <w:sz w:val="22"/>
          <w:szCs w:val="22"/>
        </w:rPr>
        <w:lastRenderedPageBreak/>
        <w:t>Bollen</w:t>
      </w:r>
      <w:proofErr w:type="spellEnd"/>
      <w:r w:rsidRPr="00CE4C7D">
        <w:rPr>
          <w:rFonts w:asciiTheme="majorHAnsi" w:hAnsiTheme="majorHAnsi" w:cstheme="majorHAnsi"/>
          <w:color w:val="000000" w:themeColor="text1"/>
          <w:sz w:val="22"/>
          <w:szCs w:val="22"/>
        </w:rPr>
        <w:t xml:space="preserve">, J., </w:t>
      </w:r>
      <w:r w:rsidR="00E67A00" w:rsidRPr="00CE4C7D">
        <w:rPr>
          <w:rFonts w:asciiTheme="majorHAnsi" w:hAnsiTheme="majorHAnsi" w:cstheme="majorHAnsi"/>
          <w:color w:val="000000" w:themeColor="text1"/>
          <w:sz w:val="22"/>
          <w:szCs w:val="22"/>
        </w:rPr>
        <w:t>Hers, S. and van der Zwaan, B. (2010),</w:t>
      </w:r>
      <w:r w:rsidRPr="00CE4C7D">
        <w:rPr>
          <w:rFonts w:asciiTheme="majorHAnsi" w:hAnsiTheme="majorHAnsi" w:cstheme="majorHAnsi"/>
          <w:color w:val="000000" w:themeColor="text1"/>
          <w:sz w:val="22"/>
          <w:szCs w:val="22"/>
        </w:rPr>
        <w:t xml:space="preserve"> </w:t>
      </w:r>
      <w:r w:rsidR="00E53CDF"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An integrated assessment of climate change, air pollut</w:t>
      </w:r>
      <w:r w:rsidR="0034209F" w:rsidRPr="00CE4C7D">
        <w:rPr>
          <w:rFonts w:asciiTheme="majorHAnsi" w:hAnsiTheme="majorHAnsi" w:cstheme="majorHAnsi"/>
          <w:color w:val="000000" w:themeColor="text1"/>
          <w:sz w:val="22"/>
          <w:szCs w:val="22"/>
        </w:rPr>
        <w:t>ion, and energy security policy</w:t>
      </w:r>
      <w:r w:rsidR="00E53CDF" w:rsidRPr="00CE4C7D">
        <w:rPr>
          <w:rFonts w:asciiTheme="majorHAnsi" w:hAnsiTheme="majorHAnsi" w:cstheme="majorHAnsi"/>
          <w:color w:val="000000" w:themeColor="text1"/>
          <w:sz w:val="22"/>
          <w:szCs w:val="22"/>
        </w:rPr>
        <w:t>’</w:t>
      </w:r>
      <w:r w:rsidR="0034209F"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 xml:space="preserve"> </w:t>
      </w:r>
      <w:r w:rsidRPr="00CE4C7D">
        <w:rPr>
          <w:rFonts w:asciiTheme="majorHAnsi" w:hAnsiTheme="majorHAnsi" w:cstheme="majorHAnsi"/>
          <w:i/>
          <w:color w:val="000000" w:themeColor="text1"/>
          <w:sz w:val="22"/>
          <w:szCs w:val="22"/>
        </w:rPr>
        <w:t>Energy Policy</w:t>
      </w:r>
      <w:r w:rsidRPr="00CE4C7D">
        <w:rPr>
          <w:rFonts w:asciiTheme="majorHAnsi" w:hAnsiTheme="majorHAnsi" w:cstheme="majorHAnsi"/>
          <w:b/>
          <w:color w:val="000000" w:themeColor="text1"/>
          <w:sz w:val="22"/>
          <w:szCs w:val="22"/>
        </w:rPr>
        <w:t>, 38,</w:t>
      </w:r>
      <w:r w:rsidR="00E377DC" w:rsidRPr="00CE4C7D">
        <w:rPr>
          <w:rFonts w:asciiTheme="majorHAnsi" w:hAnsiTheme="majorHAnsi" w:cstheme="majorHAnsi"/>
          <w:color w:val="000000" w:themeColor="text1"/>
          <w:sz w:val="22"/>
          <w:szCs w:val="22"/>
        </w:rPr>
        <w:t xml:space="preserve"> </w:t>
      </w:r>
      <w:r w:rsidRPr="00CE4C7D">
        <w:rPr>
          <w:rFonts w:asciiTheme="majorHAnsi" w:hAnsiTheme="majorHAnsi" w:cstheme="majorHAnsi"/>
          <w:color w:val="000000" w:themeColor="text1"/>
          <w:sz w:val="22"/>
          <w:szCs w:val="22"/>
        </w:rPr>
        <w:t xml:space="preserve">4021–4030. </w:t>
      </w:r>
    </w:p>
    <w:p w14:paraId="6FFBCD96" w14:textId="14845EEC" w:rsidR="00103DC8" w:rsidRPr="00CE4C7D" w:rsidRDefault="00E50253"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Bradford E. (2015),</w:t>
      </w:r>
      <w:r w:rsidR="003F05BC" w:rsidRPr="00CE4C7D">
        <w:rPr>
          <w:rFonts w:asciiTheme="majorHAnsi" w:hAnsiTheme="majorHAnsi" w:cstheme="majorHAnsi"/>
          <w:color w:val="000000" w:themeColor="text1"/>
          <w:sz w:val="22"/>
          <w:szCs w:val="22"/>
        </w:rPr>
        <w:t xml:space="preserve"> </w:t>
      </w:r>
      <w:r w:rsidR="00E53CDF"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Singl</w:t>
      </w:r>
      <w:r w:rsidR="0034209F" w:rsidRPr="00CE4C7D">
        <w:rPr>
          <w:rFonts w:asciiTheme="majorHAnsi" w:hAnsiTheme="majorHAnsi" w:cstheme="majorHAnsi"/>
          <w:color w:val="000000" w:themeColor="text1"/>
          <w:sz w:val="22"/>
          <w:szCs w:val="22"/>
        </w:rPr>
        <w:t>e hospital rooms - a good idea?</w:t>
      </w:r>
      <w:r w:rsidR="00E53CDF" w:rsidRPr="00CE4C7D">
        <w:rPr>
          <w:rFonts w:asciiTheme="majorHAnsi" w:hAnsiTheme="majorHAnsi" w:cstheme="majorHAnsi"/>
          <w:color w:val="000000" w:themeColor="text1"/>
          <w:sz w:val="22"/>
          <w:szCs w:val="22"/>
        </w:rPr>
        <w:t>’</w:t>
      </w:r>
      <w:r w:rsidR="0034209F" w:rsidRPr="00CE4C7D">
        <w:rPr>
          <w:rFonts w:asciiTheme="majorHAnsi" w:hAnsiTheme="majorHAnsi" w:cstheme="majorHAnsi"/>
          <w:color w:val="000000" w:themeColor="text1"/>
          <w:sz w:val="22"/>
          <w:szCs w:val="22"/>
        </w:rPr>
        <w:t>,</w:t>
      </w:r>
      <w:r w:rsidR="007B5A7E" w:rsidRPr="00CE4C7D">
        <w:rPr>
          <w:rFonts w:asciiTheme="majorHAnsi" w:hAnsiTheme="majorHAnsi" w:cstheme="majorHAnsi"/>
          <w:color w:val="000000" w:themeColor="text1"/>
          <w:sz w:val="22"/>
          <w:szCs w:val="22"/>
        </w:rPr>
        <w:t xml:space="preserve"> accessed 14 January 2018 at </w:t>
      </w:r>
      <w:r w:rsidR="003F05BC" w:rsidRPr="00CE4C7D">
        <w:rPr>
          <w:rFonts w:asciiTheme="majorHAnsi" w:hAnsiTheme="majorHAnsi" w:cstheme="majorHAnsi"/>
          <w:color w:val="000000" w:themeColor="text1"/>
          <w:sz w:val="22"/>
          <w:szCs w:val="22"/>
        </w:rPr>
        <w:t>www.bbc.co.uk/news/uk-scotland-34043427</w:t>
      </w:r>
      <w:r w:rsidR="007B5A7E" w:rsidRPr="00CE4C7D">
        <w:rPr>
          <w:rFonts w:asciiTheme="majorHAnsi" w:eastAsia="AdvOT596495f2+23" w:hAnsiTheme="majorHAnsi" w:cstheme="majorHAnsi"/>
          <w:color w:val="000000" w:themeColor="text1"/>
          <w:sz w:val="22"/>
          <w:szCs w:val="22"/>
        </w:rPr>
        <w:t>.</w:t>
      </w:r>
    </w:p>
    <w:p w14:paraId="3C027E34" w14:textId="5E521E22" w:rsidR="003F05BC" w:rsidRPr="00CE4C7D" w:rsidRDefault="003F05BC"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 xml:space="preserve">Braun, </w:t>
      </w:r>
      <w:r w:rsidR="00E50253" w:rsidRPr="00CE4C7D">
        <w:rPr>
          <w:rFonts w:asciiTheme="majorHAnsi" w:hAnsiTheme="majorHAnsi" w:cstheme="majorHAnsi"/>
          <w:color w:val="000000" w:themeColor="text1"/>
          <w:sz w:val="22"/>
          <w:szCs w:val="22"/>
        </w:rPr>
        <w:t>T. and Glidden, L. (2014),</w:t>
      </w:r>
      <w:r w:rsidRPr="00CE4C7D">
        <w:rPr>
          <w:rFonts w:asciiTheme="majorHAnsi" w:hAnsiTheme="majorHAnsi" w:cstheme="majorHAnsi"/>
          <w:color w:val="000000" w:themeColor="text1"/>
          <w:sz w:val="22"/>
          <w:szCs w:val="22"/>
        </w:rPr>
        <w:t xml:space="preserve"> </w:t>
      </w:r>
      <w:r w:rsidRPr="00CE4C7D">
        <w:rPr>
          <w:rFonts w:asciiTheme="majorHAnsi" w:hAnsiTheme="majorHAnsi" w:cstheme="majorHAnsi"/>
          <w:i/>
          <w:color w:val="000000" w:themeColor="text1"/>
          <w:sz w:val="22"/>
          <w:szCs w:val="22"/>
        </w:rPr>
        <w:t>Underst</w:t>
      </w:r>
      <w:r w:rsidR="0034209F" w:rsidRPr="00CE4C7D">
        <w:rPr>
          <w:rFonts w:asciiTheme="majorHAnsi" w:hAnsiTheme="majorHAnsi" w:cstheme="majorHAnsi"/>
          <w:i/>
          <w:color w:val="000000" w:themeColor="text1"/>
          <w:sz w:val="22"/>
          <w:szCs w:val="22"/>
        </w:rPr>
        <w:t>anding Energy and Energy Policy</w:t>
      </w:r>
      <w:r w:rsidR="0034209F"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 xml:space="preserve"> London: Zed Books Ltd.</w:t>
      </w:r>
    </w:p>
    <w:p w14:paraId="59764655" w14:textId="7F5AF878" w:rsidR="00103DC8" w:rsidRPr="00CE4C7D" w:rsidRDefault="00E50253" w:rsidP="00F25A95">
      <w:pPr>
        <w:spacing w:before="220"/>
        <w:rPr>
          <w:rFonts w:asciiTheme="majorHAnsi" w:hAnsiTheme="majorHAnsi" w:cstheme="majorHAnsi"/>
          <w:color w:val="000000" w:themeColor="text1"/>
          <w:sz w:val="22"/>
          <w:szCs w:val="22"/>
        </w:rPr>
      </w:pPr>
      <w:proofErr w:type="spellStart"/>
      <w:r w:rsidRPr="00CE4C7D">
        <w:rPr>
          <w:rFonts w:asciiTheme="majorHAnsi" w:hAnsiTheme="majorHAnsi" w:cstheme="majorHAnsi"/>
          <w:color w:val="000000" w:themeColor="text1"/>
          <w:sz w:val="22"/>
          <w:szCs w:val="22"/>
        </w:rPr>
        <w:t>BriteGreen</w:t>
      </w:r>
      <w:proofErr w:type="spellEnd"/>
      <w:r w:rsidRPr="00CE4C7D">
        <w:rPr>
          <w:rFonts w:asciiTheme="majorHAnsi" w:hAnsiTheme="majorHAnsi" w:cstheme="majorHAnsi"/>
          <w:color w:val="000000" w:themeColor="text1"/>
          <w:sz w:val="22"/>
          <w:szCs w:val="22"/>
        </w:rPr>
        <w:t xml:space="preserve"> (2017),</w:t>
      </w:r>
      <w:r w:rsidR="003F05BC" w:rsidRPr="00CE4C7D">
        <w:rPr>
          <w:rFonts w:asciiTheme="majorHAnsi" w:hAnsiTheme="majorHAnsi" w:cstheme="majorHAnsi"/>
          <w:color w:val="000000" w:themeColor="text1"/>
          <w:sz w:val="22"/>
          <w:szCs w:val="22"/>
        </w:rPr>
        <w:t xml:space="preserve"> </w:t>
      </w:r>
      <w:r w:rsidR="00E678DE"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University of Sussex 2020 Carbon Target: Progress Repor</w:t>
      </w:r>
      <w:r w:rsidR="00BE578A" w:rsidRPr="00CE4C7D">
        <w:rPr>
          <w:rFonts w:asciiTheme="majorHAnsi" w:hAnsiTheme="majorHAnsi" w:cstheme="majorHAnsi"/>
          <w:color w:val="000000" w:themeColor="text1"/>
          <w:sz w:val="22"/>
          <w:szCs w:val="22"/>
        </w:rPr>
        <w:t>t for the Academic Year 2015/16</w:t>
      </w:r>
      <w:r w:rsidR="00E678DE" w:rsidRPr="00CE4C7D">
        <w:rPr>
          <w:rFonts w:asciiTheme="majorHAnsi" w:hAnsiTheme="majorHAnsi" w:cstheme="majorHAnsi"/>
          <w:color w:val="000000" w:themeColor="text1"/>
          <w:sz w:val="22"/>
          <w:szCs w:val="22"/>
        </w:rPr>
        <w:t>’</w:t>
      </w:r>
      <w:r w:rsidR="00B529DF"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xml:space="preserve"> London: </w:t>
      </w:r>
      <w:proofErr w:type="spellStart"/>
      <w:r w:rsidR="003F05BC" w:rsidRPr="00CE4C7D">
        <w:rPr>
          <w:rFonts w:asciiTheme="majorHAnsi" w:hAnsiTheme="majorHAnsi" w:cstheme="majorHAnsi"/>
          <w:color w:val="000000" w:themeColor="text1"/>
          <w:sz w:val="22"/>
          <w:szCs w:val="22"/>
        </w:rPr>
        <w:t>BriteGreen</w:t>
      </w:r>
      <w:proofErr w:type="spellEnd"/>
      <w:r w:rsidR="003F05BC" w:rsidRPr="00CE4C7D">
        <w:rPr>
          <w:rFonts w:asciiTheme="majorHAnsi" w:hAnsiTheme="majorHAnsi" w:cstheme="majorHAnsi"/>
          <w:color w:val="000000" w:themeColor="text1"/>
          <w:sz w:val="22"/>
          <w:szCs w:val="22"/>
        </w:rPr>
        <w:t>.</w:t>
      </w:r>
    </w:p>
    <w:p w14:paraId="760D1B5B" w14:textId="078E763F" w:rsidR="003F05BC" w:rsidRPr="00CE4C7D" w:rsidRDefault="007B5A7E"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British Rena</w:t>
      </w:r>
      <w:r w:rsidR="006E7A2B" w:rsidRPr="00CE4C7D">
        <w:rPr>
          <w:rFonts w:asciiTheme="majorHAnsi" w:hAnsiTheme="majorHAnsi" w:cstheme="majorHAnsi"/>
          <w:color w:val="000000" w:themeColor="text1"/>
          <w:sz w:val="22"/>
          <w:szCs w:val="22"/>
        </w:rPr>
        <w:t>l Society (2015),</w:t>
      </w:r>
      <w:r w:rsidR="003F05BC" w:rsidRPr="00CE4C7D">
        <w:rPr>
          <w:rFonts w:asciiTheme="majorHAnsi" w:hAnsiTheme="majorHAnsi" w:cstheme="majorHAnsi"/>
          <w:color w:val="000000" w:themeColor="text1"/>
          <w:sz w:val="22"/>
          <w:szCs w:val="22"/>
        </w:rPr>
        <w:t xml:space="preserve"> National Home Adaptation and Reimbursement Guidance for Peop</w:t>
      </w:r>
      <w:r w:rsidR="00B529DF" w:rsidRPr="00CE4C7D">
        <w:rPr>
          <w:rFonts w:asciiTheme="majorHAnsi" w:hAnsiTheme="majorHAnsi" w:cstheme="majorHAnsi"/>
          <w:color w:val="000000" w:themeColor="text1"/>
          <w:sz w:val="22"/>
          <w:szCs w:val="22"/>
        </w:rPr>
        <w:t>le Undertaking Dialysis at Home</w:t>
      </w:r>
      <w:r w:rsidR="00103DC8" w:rsidRPr="00CE4C7D">
        <w:rPr>
          <w:rFonts w:asciiTheme="majorHAnsi" w:hAnsiTheme="majorHAnsi" w:cstheme="majorHAnsi"/>
          <w:color w:val="000000" w:themeColor="text1"/>
          <w:sz w:val="22"/>
          <w:szCs w:val="22"/>
        </w:rPr>
        <w:t>, accessed 17 January 2020 at www.kidneycareuk.org/documents/54/Home_dialysis_reimbursement_guidance.pdf.</w:t>
      </w:r>
    </w:p>
    <w:p w14:paraId="6FDF733B" w14:textId="1215B1EF" w:rsidR="003F05BC" w:rsidRPr="00CE4C7D" w:rsidRDefault="006E7A2B"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Brown D. (2017),</w:t>
      </w:r>
      <w:r w:rsidR="003F05BC" w:rsidRPr="00CE4C7D">
        <w:rPr>
          <w:rFonts w:asciiTheme="majorHAnsi" w:hAnsiTheme="majorHAnsi" w:cstheme="majorHAnsi"/>
          <w:color w:val="000000" w:themeColor="text1"/>
          <w:sz w:val="22"/>
          <w:szCs w:val="22"/>
        </w:rPr>
        <w:t xml:space="preserve"> </w:t>
      </w:r>
      <w:r w:rsidR="00E678DE"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The enormous potential of cities to reduce GHG emissions: 571 strategies</w:t>
      </w:r>
      <w:r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color w:val="000000" w:themeColor="text1"/>
          <w:sz w:val="22"/>
          <w:szCs w:val="22"/>
        </w:rPr>
        <w:t>adopted by 44 cities around the world</w:t>
      </w:r>
      <w:r w:rsidR="00E678DE" w:rsidRPr="00CE4C7D">
        <w:rPr>
          <w:rFonts w:asciiTheme="majorHAnsi" w:hAnsiTheme="majorHAnsi" w:cstheme="majorHAnsi"/>
          <w:color w:val="000000" w:themeColor="text1"/>
          <w:sz w:val="22"/>
          <w:szCs w:val="22"/>
        </w:rPr>
        <w:t>’</w:t>
      </w:r>
      <w:r w:rsidR="00E145A1" w:rsidRPr="00CE4C7D">
        <w:rPr>
          <w:rFonts w:asciiTheme="majorHAnsi" w:hAnsiTheme="majorHAnsi" w:cstheme="majorHAnsi"/>
          <w:color w:val="000000" w:themeColor="text1"/>
          <w:sz w:val="22"/>
          <w:szCs w:val="22"/>
        </w:rPr>
        <w:t xml:space="preserve">, accessed 15 February 2018 at </w:t>
      </w:r>
      <w:r w:rsidR="003F05BC" w:rsidRPr="00CE4C7D">
        <w:rPr>
          <w:rFonts w:asciiTheme="majorHAnsi" w:hAnsiTheme="majorHAnsi" w:cstheme="majorHAnsi"/>
          <w:color w:val="000000" w:themeColor="text1"/>
          <w:sz w:val="22"/>
          <w:szCs w:val="22"/>
        </w:rPr>
        <w:t>www.ethicsandclimate.org/2017/09/01/the-enormous-potential-of-local-governments-to-reduce-ghg-emissionsa-paper-that-identifies-571-strategies-adopted-by-44-cities-around-the-world</w:t>
      </w:r>
      <w:r w:rsidR="00E145A1" w:rsidRPr="00CE4C7D">
        <w:rPr>
          <w:rFonts w:asciiTheme="majorHAnsi" w:eastAsia="AdvOT596495f2+23" w:hAnsiTheme="majorHAnsi" w:cstheme="majorHAnsi"/>
          <w:color w:val="000000" w:themeColor="text1"/>
          <w:sz w:val="22"/>
          <w:szCs w:val="22"/>
        </w:rPr>
        <w:t>.</w:t>
      </w:r>
    </w:p>
    <w:p w14:paraId="78DD3AC9" w14:textId="67702939" w:rsidR="00F25A95" w:rsidRPr="00CE4C7D" w:rsidRDefault="003F05BC" w:rsidP="00F25A95">
      <w:pPr>
        <w:spacing w:before="220"/>
        <w:rPr>
          <w:rStyle w:val="selectable"/>
          <w:rFonts w:asciiTheme="majorHAnsi" w:hAnsiTheme="majorHAnsi" w:cstheme="majorHAnsi"/>
          <w:color w:val="000000" w:themeColor="text1"/>
          <w:sz w:val="22"/>
          <w:szCs w:val="22"/>
        </w:rPr>
      </w:pPr>
      <w:r w:rsidRPr="00CE4C7D">
        <w:rPr>
          <w:rStyle w:val="selectable"/>
          <w:rFonts w:asciiTheme="majorHAnsi" w:hAnsiTheme="majorHAnsi" w:cstheme="majorHAnsi"/>
          <w:color w:val="000000" w:themeColor="text1"/>
          <w:sz w:val="22"/>
          <w:szCs w:val="22"/>
        </w:rPr>
        <w:t>Commit</w:t>
      </w:r>
      <w:r w:rsidR="00B529DF" w:rsidRPr="00CE4C7D">
        <w:rPr>
          <w:rStyle w:val="selectable"/>
          <w:rFonts w:asciiTheme="majorHAnsi" w:hAnsiTheme="majorHAnsi" w:cstheme="majorHAnsi"/>
          <w:color w:val="000000" w:themeColor="text1"/>
          <w:sz w:val="22"/>
          <w:szCs w:val="22"/>
        </w:rPr>
        <w:t>tee on Climate Change (undated),</w:t>
      </w:r>
      <w:r w:rsidRPr="00CE4C7D">
        <w:rPr>
          <w:rStyle w:val="selectable"/>
          <w:rFonts w:asciiTheme="majorHAnsi" w:hAnsiTheme="majorHAnsi" w:cstheme="majorHAnsi"/>
          <w:color w:val="000000" w:themeColor="text1"/>
          <w:sz w:val="22"/>
          <w:szCs w:val="22"/>
        </w:rPr>
        <w:t> What can be done</w:t>
      </w:r>
      <w:r w:rsidR="00073FCB" w:rsidRPr="00CE4C7D">
        <w:rPr>
          <w:rStyle w:val="selectable"/>
          <w:rFonts w:asciiTheme="majorHAnsi" w:hAnsiTheme="majorHAnsi" w:cstheme="majorHAnsi"/>
          <w:color w:val="000000" w:themeColor="text1"/>
          <w:sz w:val="22"/>
          <w:szCs w:val="22"/>
        </w:rPr>
        <w:t xml:space="preserve">, </w:t>
      </w:r>
      <w:r w:rsidR="00FC0040" w:rsidRPr="00CE4C7D">
        <w:rPr>
          <w:rStyle w:val="selectable"/>
          <w:rFonts w:asciiTheme="majorHAnsi" w:hAnsiTheme="majorHAnsi" w:cstheme="majorHAnsi"/>
          <w:color w:val="000000" w:themeColor="text1"/>
          <w:sz w:val="22"/>
          <w:szCs w:val="22"/>
        </w:rPr>
        <w:t xml:space="preserve">accessed 2 August 2018 at </w:t>
      </w:r>
      <w:r w:rsidRPr="00CE4C7D">
        <w:rPr>
          <w:rStyle w:val="selectable"/>
          <w:rFonts w:asciiTheme="majorHAnsi" w:hAnsiTheme="majorHAnsi" w:cstheme="majorHAnsi"/>
          <w:color w:val="000000" w:themeColor="text1"/>
          <w:sz w:val="22"/>
          <w:szCs w:val="22"/>
        </w:rPr>
        <w:t>www.theccc.org.uk/tackling-climate-change/reducing-carb</w:t>
      </w:r>
      <w:r w:rsidR="00FC0040" w:rsidRPr="00CE4C7D">
        <w:rPr>
          <w:rStyle w:val="selectable"/>
          <w:rFonts w:asciiTheme="majorHAnsi" w:hAnsiTheme="majorHAnsi" w:cstheme="majorHAnsi"/>
          <w:color w:val="000000" w:themeColor="text1"/>
          <w:sz w:val="22"/>
          <w:szCs w:val="22"/>
        </w:rPr>
        <w:t>on-emissions/what-can-be-done.</w:t>
      </w:r>
    </w:p>
    <w:p w14:paraId="4A7C4C8B" w14:textId="2A7BF30A" w:rsidR="00874721" w:rsidRPr="00CE4C7D" w:rsidRDefault="00A610D5" w:rsidP="00F25A95">
      <w:pPr>
        <w:spacing w:before="220"/>
        <w:rPr>
          <w:rStyle w:val="selectable"/>
          <w:rFonts w:asciiTheme="majorHAnsi" w:hAnsiTheme="majorHAnsi"/>
          <w:color w:val="000000" w:themeColor="text1"/>
          <w:sz w:val="22"/>
          <w:szCs w:val="22"/>
        </w:rPr>
      </w:pPr>
      <w:r w:rsidRPr="00CE4C7D">
        <w:rPr>
          <w:rFonts w:asciiTheme="majorHAnsi" w:hAnsiTheme="majorHAnsi"/>
          <w:color w:val="000000" w:themeColor="text1"/>
          <w:sz w:val="22"/>
          <w:szCs w:val="22"/>
        </w:rPr>
        <w:t>Committee on Climate Change (</w:t>
      </w:r>
      <w:r w:rsidR="00874721" w:rsidRPr="00CE4C7D">
        <w:rPr>
          <w:rFonts w:asciiTheme="majorHAnsi" w:hAnsiTheme="majorHAnsi"/>
          <w:color w:val="000000" w:themeColor="text1"/>
          <w:sz w:val="22"/>
          <w:szCs w:val="22"/>
        </w:rPr>
        <w:t>2018</w:t>
      </w:r>
      <w:r w:rsidRPr="00CE4C7D">
        <w:rPr>
          <w:rFonts w:asciiTheme="majorHAnsi" w:hAnsiTheme="majorHAnsi"/>
          <w:color w:val="000000" w:themeColor="text1"/>
          <w:sz w:val="22"/>
          <w:szCs w:val="22"/>
        </w:rPr>
        <w:t>)</w:t>
      </w:r>
      <w:r w:rsidR="00B529DF" w:rsidRPr="00CE4C7D">
        <w:rPr>
          <w:rFonts w:asciiTheme="majorHAnsi" w:hAnsiTheme="majorHAnsi"/>
          <w:color w:val="000000" w:themeColor="text1"/>
          <w:sz w:val="22"/>
          <w:szCs w:val="22"/>
        </w:rPr>
        <w:t>,</w:t>
      </w:r>
      <w:r w:rsidR="00874721" w:rsidRPr="00CE4C7D">
        <w:rPr>
          <w:rFonts w:asciiTheme="majorHAnsi" w:hAnsiTheme="majorHAnsi"/>
          <w:color w:val="000000" w:themeColor="text1"/>
          <w:sz w:val="22"/>
          <w:szCs w:val="22"/>
        </w:rPr>
        <w:t xml:space="preserve"> </w:t>
      </w:r>
      <w:r w:rsidR="00E678DE" w:rsidRPr="00CE4C7D">
        <w:rPr>
          <w:rFonts w:asciiTheme="majorHAnsi" w:hAnsiTheme="majorHAnsi"/>
          <w:color w:val="000000" w:themeColor="text1"/>
          <w:sz w:val="22"/>
          <w:szCs w:val="22"/>
        </w:rPr>
        <w:t>‘</w:t>
      </w:r>
      <w:r w:rsidR="00874721" w:rsidRPr="00CE4C7D">
        <w:rPr>
          <w:rFonts w:asciiTheme="majorHAnsi" w:hAnsiTheme="majorHAnsi"/>
          <w:color w:val="000000" w:themeColor="text1"/>
          <w:sz w:val="22"/>
          <w:szCs w:val="22"/>
        </w:rPr>
        <w:t>An independent assessment of the UK’s Clean Growth Strategy</w:t>
      </w:r>
      <w:r w:rsidR="00157986" w:rsidRPr="00CE4C7D">
        <w:rPr>
          <w:rFonts w:asciiTheme="majorHAnsi" w:hAnsiTheme="majorHAnsi"/>
          <w:color w:val="000000" w:themeColor="text1"/>
          <w:sz w:val="22"/>
          <w:szCs w:val="22"/>
        </w:rPr>
        <w:t>:</w:t>
      </w:r>
      <w:r w:rsidR="00874721" w:rsidRPr="00CE4C7D">
        <w:rPr>
          <w:rFonts w:asciiTheme="majorHAnsi" w:hAnsiTheme="majorHAnsi"/>
          <w:color w:val="000000" w:themeColor="text1"/>
          <w:sz w:val="22"/>
          <w:szCs w:val="22"/>
        </w:rPr>
        <w:t xml:space="preserve"> From ambition to action</w:t>
      </w:r>
      <w:r w:rsidR="00E678DE" w:rsidRPr="00CE4C7D">
        <w:rPr>
          <w:rFonts w:asciiTheme="majorHAnsi" w:hAnsiTheme="majorHAnsi"/>
          <w:color w:val="000000" w:themeColor="text1"/>
          <w:sz w:val="22"/>
          <w:szCs w:val="22"/>
        </w:rPr>
        <w:t>’</w:t>
      </w:r>
      <w:r w:rsidR="00157986" w:rsidRPr="00CE4C7D">
        <w:rPr>
          <w:rFonts w:asciiTheme="majorHAnsi" w:hAnsiTheme="majorHAnsi"/>
          <w:color w:val="000000" w:themeColor="text1"/>
          <w:sz w:val="22"/>
          <w:szCs w:val="22"/>
        </w:rPr>
        <w:t>,</w:t>
      </w:r>
      <w:r w:rsidR="00A91EE9" w:rsidRPr="00CE4C7D">
        <w:rPr>
          <w:rFonts w:asciiTheme="majorHAnsi" w:hAnsiTheme="majorHAnsi"/>
          <w:color w:val="000000" w:themeColor="text1"/>
          <w:sz w:val="22"/>
          <w:szCs w:val="22"/>
        </w:rPr>
        <w:t xml:space="preserve"> accessed 5 October 2020 at </w:t>
      </w:r>
      <w:r w:rsidR="00874721" w:rsidRPr="00CE4C7D">
        <w:rPr>
          <w:rFonts w:asciiTheme="majorHAnsi" w:hAnsiTheme="majorHAnsi"/>
          <w:color w:val="000000" w:themeColor="text1"/>
          <w:sz w:val="22"/>
          <w:szCs w:val="22"/>
        </w:rPr>
        <w:t>www.theccc.org.uk/wp-content/uploads/2018/01/CCC-Independent-Assessment-of-UKs-Clean-Growth-Strategy-2018.pdf</w:t>
      </w:r>
      <w:r w:rsidR="00A91EE9" w:rsidRPr="00CE4C7D">
        <w:rPr>
          <w:rFonts w:asciiTheme="majorHAnsi" w:hAnsiTheme="majorHAnsi"/>
          <w:color w:val="000000" w:themeColor="text1"/>
          <w:sz w:val="22"/>
          <w:szCs w:val="22"/>
        </w:rPr>
        <w:t>.</w:t>
      </w:r>
    </w:p>
    <w:p w14:paraId="530AE615" w14:textId="43FCF2D0" w:rsidR="003F05BC" w:rsidRPr="00CE4C7D" w:rsidRDefault="003F05BC"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Cox,</w:t>
      </w:r>
      <w:r w:rsidR="00A433D5" w:rsidRPr="00CE4C7D">
        <w:rPr>
          <w:rFonts w:asciiTheme="majorHAnsi" w:hAnsiTheme="majorHAnsi" w:cstheme="majorHAnsi"/>
          <w:color w:val="000000" w:themeColor="text1"/>
          <w:sz w:val="22"/>
          <w:szCs w:val="22"/>
        </w:rPr>
        <w:t xml:space="preserve"> E., Royston, S. and Selby, J. (</w:t>
      </w:r>
      <w:r w:rsidRPr="00CE4C7D">
        <w:rPr>
          <w:rFonts w:asciiTheme="majorHAnsi" w:hAnsiTheme="majorHAnsi" w:cstheme="majorHAnsi"/>
          <w:color w:val="000000" w:themeColor="text1"/>
          <w:sz w:val="22"/>
          <w:szCs w:val="22"/>
        </w:rPr>
        <w:t>2016</w:t>
      </w:r>
      <w:r w:rsidR="00A433D5"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 xml:space="preserve"> </w:t>
      </w:r>
      <w:r w:rsidR="00E678DE"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 xml:space="preserve">The impacts of non-energy policies on </w:t>
      </w:r>
      <w:r w:rsidR="00B529DF" w:rsidRPr="00CE4C7D">
        <w:rPr>
          <w:rFonts w:asciiTheme="majorHAnsi" w:hAnsiTheme="majorHAnsi" w:cstheme="majorHAnsi"/>
          <w:color w:val="000000" w:themeColor="text1"/>
          <w:sz w:val="22"/>
          <w:szCs w:val="22"/>
        </w:rPr>
        <w:t>energy systems: A scoping paper</w:t>
      </w:r>
      <w:r w:rsidR="00E678DE" w:rsidRPr="00CE4C7D">
        <w:rPr>
          <w:rFonts w:asciiTheme="majorHAnsi" w:hAnsiTheme="majorHAnsi" w:cstheme="majorHAnsi"/>
          <w:color w:val="000000" w:themeColor="text1"/>
          <w:sz w:val="22"/>
          <w:szCs w:val="22"/>
        </w:rPr>
        <w:t>’</w:t>
      </w:r>
      <w:r w:rsidR="00B529DF"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 xml:space="preserve"> London: UKERC.</w:t>
      </w:r>
    </w:p>
    <w:p w14:paraId="6429A704" w14:textId="5BA47800" w:rsidR="003F05BC" w:rsidRPr="00CE4C7D" w:rsidRDefault="007D3306" w:rsidP="00F25A95">
      <w:pPr>
        <w:spacing w:before="220"/>
        <w:rPr>
          <w:rFonts w:asciiTheme="majorHAnsi" w:hAnsiTheme="majorHAnsi" w:cstheme="majorHAnsi"/>
          <w:color w:val="000000" w:themeColor="text1"/>
          <w:sz w:val="22"/>
          <w:szCs w:val="22"/>
          <w:lang w:val="en-US"/>
        </w:rPr>
      </w:pPr>
      <w:r w:rsidRPr="00CE4C7D">
        <w:rPr>
          <w:rFonts w:asciiTheme="majorHAnsi" w:hAnsiTheme="majorHAnsi" w:cstheme="majorHAnsi"/>
          <w:color w:val="000000" w:themeColor="text1"/>
          <w:sz w:val="22"/>
          <w:szCs w:val="22"/>
          <w:lang w:val="en-US"/>
        </w:rPr>
        <w:t xml:space="preserve">Deem, R., and </w:t>
      </w:r>
      <w:proofErr w:type="spellStart"/>
      <w:r w:rsidRPr="00CE4C7D">
        <w:rPr>
          <w:rFonts w:asciiTheme="majorHAnsi" w:hAnsiTheme="majorHAnsi" w:cstheme="majorHAnsi"/>
          <w:color w:val="000000" w:themeColor="text1"/>
          <w:sz w:val="22"/>
          <w:szCs w:val="22"/>
          <w:lang w:val="en-US"/>
        </w:rPr>
        <w:t>Brehony</w:t>
      </w:r>
      <w:proofErr w:type="spellEnd"/>
      <w:r w:rsidRPr="00CE4C7D">
        <w:rPr>
          <w:rFonts w:asciiTheme="majorHAnsi" w:hAnsiTheme="majorHAnsi" w:cstheme="majorHAnsi"/>
          <w:color w:val="000000" w:themeColor="text1"/>
          <w:sz w:val="22"/>
          <w:szCs w:val="22"/>
          <w:lang w:val="en-US"/>
        </w:rPr>
        <w:t>, K. J. (2005),</w:t>
      </w:r>
      <w:r w:rsidR="003F05BC" w:rsidRPr="00CE4C7D">
        <w:rPr>
          <w:rFonts w:asciiTheme="majorHAnsi" w:hAnsiTheme="majorHAnsi" w:cstheme="majorHAnsi"/>
          <w:color w:val="000000" w:themeColor="text1"/>
          <w:sz w:val="22"/>
          <w:szCs w:val="22"/>
          <w:lang w:val="en-US"/>
        </w:rPr>
        <w:t xml:space="preserve"> </w:t>
      </w:r>
      <w:r w:rsidR="00E678DE" w:rsidRPr="00CE4C7D">
        <w:rPr>
          <w:rFonts w:asciiTheme="majorHAnsi" w:hAnsiTheme="majorHAnsi" w:cstheme="majorHAnsi"/>
          <w:color w:val="000000" w:themeColor="text1"/>
          <w:sz w:val="22"/>
          <w:szCs w:val="22"/>
          <w:lang w:val="en-US"/>
        </w:rPr>
        <w:t>‘</w:t>
      </w:r>
      <w:r w:rsidR="003F05BC" w:rsidRPr="00CE4C7D">
        <w:rPr>
          <w:rFonts w:asciiTheme="majorHAnsi" w:hAnsiTheme="majorHAnsi" w:cstheme="majorHAnsi"/>
          <w:color w:val="000000" w:themeColor="text1"/>
          <w:sz w:val="22"/>
          <w:szCs w:val="22"/>
          <w:lang w:val="en-US"/>
        </w:rPr>
        <w:t xml:space="preserve">Management as ideology: the case of </w:t>
      </w:r>
      <w:r w:rsidR="00F93B9A" w:rsidRPr="00CE4C7D">
        <w:rPr>
          <w:rFonts w:asciiTheme="majorHAnsi" w:hAnsiTheme="majorHAnsi" w:cstheme="majorHAnsi"/>
          <w:color w:val="000000" w:themeColor="text1"/>
          <w:sz w:val="22"/>
          <w:szCs w:val="22"/>
          <w:lang w:val="en-US"/>
        </w:rPr>
        <w:t>‘</w:t>
      </w:r>
      <w:r w:rsidR="003F05BC" w:rsidRPr="00CE4C7D">
        <w:rPr>
          <w:rFonts w:asciiTheme="majorHAnsi" w:hAnsiTheme="majorHAnsi" w:cstheme="majorHAnsi"/>
          <w:color w:val="000000" w:themeColor="text1"/>
          <w:sz w:val="22"/>
          <w:szCs w:val="22"/>
          <w:lang w:val="en-US"/>
        </w:rPr>
        <w:t>new managerialism</w:t>
      </w:r>
      <w:r w:rsidR="00F93B9A" w:rsidRPr="00CE4C7D">
        <w:rPr>
          <w:rFonts w:asciiTheme="majorHAnsi" w:hAnsiTheme="majorHAnsi" w:cstheme="majorHAnsi"/>
          <w:color w:val="000000" w:themeColor="text1"/>
          <w:sz w:val="22"/>
          <w:szCs w:val="22"/>
          <w:lang w:val="en-US"/>
        </w:rPr>
        <w:t>’</w:t>
      </w:r>
      <w:r w:rsidR="003F05BC" w:rsidRPr="00CE4C7D">
        <w:rPr>
          <w:rFonts w:asciiTheme="majorHAnsi" w:hAnsiTheme="majorHAnsi" w:cstheme="majorHAnsi"/>
          <w:color w:val="000000" w:themeColor="text1"/>
          <w:sz w:val="22"/>
          <w:szCs w:val="22"/>
          <w:lang w:val="en-US"/>
        </w:rPr>
        <w:t xml:space="preserve"> in higher ed</w:t>
      </w:r>
      <w:r w:rsidR="00B529DF" w:rsidRPr="00CE4C7D">
        <w:rPr>
          <w:rFonts w:asciiTheme="majorHAnsi" w:hAnsiTheme="majorHAnsi" w:cstheme="majorHAnsi"/>
          <w:color w:val="000000" w:themeColor="text1"/>
          <w:sz w:val="22"/>
          <w:szCs w:val="22"/>
          <w:lang w:val="en-US"/>
        </w:rPr>
        <w:t>ucation</w:t>
      </w:r>
      <w:r w:rsidR="00E678DE" w:rsidRPr="00CE4C7D">
        <w:rPr>
          <w:rFonts w:asciiTheme="majorHAnsi" w:hAnsiTheme="majorHAnsi" w:cstheme="majorHAnsi"/>
          <w:color w:val="000000" w:themeColor="text1"/>
          <w:sz w:val="22"/>
          <w:szCs w:val="22"/>
          <w:lang w:val="en-US"/>
        </w:rPr>
        <w:t>’</w:t>
      </w:r>
      <w:r w:rsidR="00B529DF" w:rsidRPr="00CE4C7D">
        <w:rPr>
          <w:rFonts w:asciiTheme="majorHAnsi" w:hAnsiTheme="majorHAnsi" w:cstheme="majorHAnsi"/>
          <w:color w:val="000000" w:themeColor="text1"/>
          <w:sz w:val="22"/>
          <w:szCs w:val="22"/>
          <w:lang w:val="en-US"/>
        </w:rPr>
        <w:t xml:space="preserve">, </w:t>
      </w:r>
      <w:r w:rsidR="003F05BC" w:rsidRPr="00CE4C7D">
        <w:rPr>
          <w:rFonts w:asciiTheme="majorHAnsi" w:hAnsiTheme="majorHAnsi" w:cstheme="majorHAnsi"/>
          <w:i/>
          <w:color w:val="000000" w:themeColor="text1"/>
          <w:sz w:val="22"/>
          <w:szCs w:val="22"/>
          <w:lang w:val="en-US"/>
        </w:rPr>
        <w:t>Oxford Review of Education</w:t>
      </w:r>
      <w:r w:rsidR="003F05BC" w:rsidRPr="00CE4C7D">
        <w:rPr>
          <w:rFonts w:asciiTheme="majorHAnsi" w:hAnsiTheme="majorHAnsi" w:cstheme="majorHAnsi"/>
          <w:color w:val="000000" w:themeColor="text1"/>
          <w:sz w:val="22"/>
          <w:szCs w:val="22"/>
          <w:lang w:val="en-US"/>
        </w:rPr>
        <w:t xml:space="preserve">, </w:t>
      </w:r>
      <w:r w:rsidR="003F05BC" w:rsidRPr="00CE4C7D">
        <w:rPr>
          <w:rFonts w:asciiTheme="majorHAnsi" w:hAnsiTheme="majorHAnsi" w:cstheme="majorHAnsi"/>
          <w:b/>
          <w:color w:val="000000" w:themeColor="text1"/>
          <w:sz w:val="22"/>
          <w:szCs w:val="22"/>
          <w:lang w:val="en-US"/>
        </w:rPr>
        <w:t>31</w:t>
      </w:r>
      <w:r w:rsidR="00FA35A9" w:rsidRPr="00CE4C7D">
        <w:rPr>
          <w:rFonts w:asciiTheme="majorHAnsi" w:hAnsiTheme="majorHAnsi" w:cstheme="majorHAnsi"/>
          <w:b/>
          <w:color w:val="000000" w:themeColor="text1"/>
          <w:sz w:val="22"/>
          <w:szCs w:val="22"/>
          <w:lang w:val="en-US"/>
        </w:rPr>
        <w:t xml:space="preserve"> </w:t>
      </w:r>
      <w:r w:rsidR="003F05BC" w:rsidRPr="00CE4C7D">
        <w:rPr>
          <w:rFonts w:asciiTheme="majorHAnsi" w:hAnsiTheme="majorHAnsi" w:cstheme="majorHAnsi"/>
          <w:color w:val="000000" w:themeColor="text1"/>
          <w:sz w:val="22"/>
          <w:szCs w:val="22"/>
          <w:lang w:val="en-US"/>
        </w:rPr>
        <w:t xml:space="preserve">(2), 217–235. </w:t>
      </w:r>
    </w:p>
    <w:p w14:paraId="69F2819A" w14:textId="3BBC36C9" w:rsidR="00CD28C6" w:rsidRPr="00CE4C7D" w:rsidRDefault="00CD28C6" w:rsidP="00F25A95">
      <w:pPr>
        <w:spacing w:before="220"/>
        <w:rPr>
          <w:rFonts w:asciiTheme="majorHAnsi" w:hAnsiTheme="majorHAnsi" w:cstheme="majorHAnsi"/>
          <w:color w:val="000000" w:themeColor="text1"/>
          <w:sz w:val="22"/>
          <w:szCs w:val="22"/>
          <w:lang w:val="en-US"/>
        </w:rPr>
      </w:pPr>
      <w:r w:rsidRPr="00CE4C7D">
        <w:rPr>
          <w:rFonts w:asciiTheme="majorHAnsi" w:hAnsiTheme="majorHAnsi" w:cstheme="majorHAnsi"/>
          <w:color w:val="000000" w:themeColor="text1"/>
          <w:sz w:val="22"/>
          <w:szCs w:val="22"/>
          <w:lang w:val="en-US"/>
        </w:rPr>
        <w:t xml:space="preserve">De Melo, </w:t>
      </w:r>
      <w:r w:rsidR="00AD29D1" w:rsidRPr="00CE4C7D">
        <w:rPr>
          <w:rFonts w:asciiTheme="majorHAnsi" w:hAnsiTheme="majorHAnsi" w:cstheme="majorHAnsi"/>
          <w:color w:val="000000" w:themeColor="text1"/>
          <w:sz w:val="22"/>
          <w:szCs w:val="22"/>
          <w:lang w:val="en-US"/>
        </w:rPr>
        <w:t xml:space="preserve">C. A., </w:t>
      </w:r>
      <w:r w:rsidRPr="00CE4C7D">
        <w:rPr>
          <w:rFonts w:asciiTheme="majorHAnsi" w:hAnsiTheme="majorHAnsi" w:cstheme="majorHAnsi"/>
          <w:color w:val="000000" w:themeColor="text1"/>
          <w:sz w:val="22"/>
          <w:szCs w:val="22"/>
          <w:lang w:val="en-US"/>
        </w:rPr>
        <w:t xml:space="preserve">De Martino Jannuzzi, </w:t>
      </w:r>
      <w:r w:rsidR="00AD29D1" w:rsidRPr="00CE4C7D">
        <w:rPr>
          <w:rFonts w:asciiTheme="majorHAnsi" w:hAnsiTheme="majorHAnsi" w:cstheme="majorHAnsi"/>
          <w:color w:val="000000" w:themeColor="text1"/>
          <w:sz w:val="22"/>
          <w:szCs w:val="22"/>
          <w:lang w:val="en-US"/>
        </w:rPr>
        <w:t xml:space="preserve">G., and </w:t>
      </w:r>
      <w:r w:rsidRPr="00CE4C7D">
        <w:rPr>
          <w:rFonts w:asciiTheme="majorHAnsi" w:hAnsiTheme="majorHAnsi" w:cstheme="majorHAnsi"/>
          <w:color w:val="000000" w:themeColor="text1"/>
          <w:sz w:val="22"/>
          <w:szCs w:val="22"/>
          <w:lang w:val="en-US"/>
        </w:rPr>
        <w:t xml:space="preserve">De Mello Santana, </w:t>
      </w:r>
      <w:r w:rsidR="007D3306" w:rsidRPr="00CE4C7D">
        <w:rPr>
          <w:rFonts w:asciiTheme="majorHAnsi" w:hAnsiTheme="majorHAnsi" w:cstheme="majorHAnsi"/>
          <w:color w:val="000000" w:themeColor="text1"/>
          <w:sz w:val="22"/>
          <w:szCs w:val="22"/>
          <w:lang w:val="en-US"/>
        </w:rPr>
        <w:t>P.H. (</w:t>
      </w:r>
      <w:r w:rsidR="00AD29D1" w:rsidRPr="00CE4C7D">
        <w:rPr>
          <w:rFonts w:asciiTheme="majorHAnsi" w:hAnsiTheme="majorHAnsi" w:cstheme="majorHAnsi"/>
          <w:color w:val="000000" w:themeColor="text1"/>
          <w:sz w:val="22"/>
          <w:szCs w:val="22"/>
          <w:lang w:val="en-US"/>
        </w:rPr>
        <w:t>2018</w:t>
      </w:r>
      <w:r w:rsidR="007D3306" w:rsidRPr="00CE4C7D">
        <w:rPr>
          <w:rFonts w:asciiTheme="majorHAnsi" w:hAnsiTheme="majorHAnsi" w:cstheme="majorHAnsi"/>
          <w:color w:val="000000" w:themeColor="text1"/>
          <w:sz w:val="22"/>
          <w:szCs w:val="22"/>
          <w:lang w:val="en-US"/>
        </w:rPr>
        <w:t>),</w:t>
      </w:r>
      <w:r w:rsidR="00AD29D1" w:rsidRPr="00CE4C7D">
        <w:rPr>
          <w:rFonts w:asciiTheme="majorHAnsi" w:hAnsiTheme="majorHAnsi" w:cstheme="majorHAnsi"/>
          <w:color w:val="000000" w:themeColor="text1"/>
          <w:sz w:val="22"/>
          <w:szCs w:val="22"/>
          <w:lang w:val="en-US"/>
        </w:rPr>
        <w:t xml:space="preserve"> </w:t>
      </w:r>
      <w:r w:rsidR="00E678DE" w:rsidRPr="00CE4C7D">
        <w:rPr>
          <w:rFonts w:asciiTheme="majorHAnsi" w:hAnsiTheme="majorHAnsi" w:cstheme="majorHAnsi"/>
          <w:color w:val="000000" w:themeColor="text1"/>
          <w:sz w:val="22"/>
          <w:szCs w:val="22"/>
          <w:lang w:val="en-US"/>
        </w:rPr>
        <w:t>‘</w:t>
      </w:r>
      <w:r w:rsidRPr="00CE4C7D">
        <w:rPr>
          <w:rFonts w:asciiTheme="majorHAnsi" w:hAnsiTheme="majorHAnsi" w:cstheme="majorHAnsi"/>
          <w:color w:val="000000" w:themeColor="text1"/>
          <w:sz w:val="22"/>
          <w:szCs w:val="22"/>
          <w:lang w:val="en-US"/>
        </w:rPr>
        <w:t>Why should Brazil to implement mandatory fuel economy standards for the light vehicle fleet?</w:t>
      </w:r>
      <w:r w:rsidR="00E678DE" w:rsidRPr="00CE4C7D">
        <w:rPr>
          <w:rFonts w:asciiTheme="majorHAnsi" w:hAnsiTheme="majorHAnsi" w:cstheme="majorHAnsi"/>
          <w:color w:val="000000" w:themeColor="text1"/>
          <w:sz w:val="22"/>
          <w:szCs w:val="22"/>
          <w:lang w:val="en-US"/>
        </w:rPr>
        <w:t>’</w:t>
      </w:r>
      <w:r w:rsidRPr="00CE4C7D">
        <w:rPr>
          <w:rFonts w:asciiTheme="majorHAnsi" w:hAnsiTheme="majorHAnsi" w:cstheme="majorHAnsi"/>
          <w:color w:val="000000" w:themeColor="text1"/>
          <w:sz w:val="22"/>
          <w:szCs w:val="22"/>
          <w:lang w:val="en-US"/>
        </w:rPr>
        <w:t xml:space="preserve">, </w:t>
      </w:r>
      <w:r w:rsidRPr="00CE4C7D">
        <w:rPr>
          <w:rFonts w:asciiTheme="majorHAnsi" w:hAnsiTheme="majorHAnsi" w:cstheme="majorHAnsi"/>
          <w:i/>
          <w:color w:val="000000" w:themeColor="text1"/>
          <w:sz w:val="22"/>
          <w:szCs w:val="22"/>
          <w:lang w:val="en-US"/>
        </w:rPr>
        <w:t xml:space="preserve">Renewable and Sustainable Energy </w:t>
      </w:r>
      <w:r w:rsidR="00B529DF" w:rsidRPr="00CE4C7D">
        <w:rPr>
          <w:rFonts w:asciiTheme="majorHAnsi" w:hAnsiTheme="majorHAnsi" w:cstheme="majorHAnsi"/>
          <w:i/>
          <w:color w:val="000000" w:themeColor="text1"/>
          <w:sz w:val="22"/>
          <w:szCs w:val="22"/>
          <w:lang w:val="en-US"/>
        </w:rPr>
        <w:t>Reviews</w:t>
      </w:r>
      <w:r w:rsidR="00B529DF" w:rsidRPr="00CE4C7D">
        <w:rPr>
          <w:rFonts w:asciiTheme="majorHAnsi" w:hAnsiTheme="majorHAnsi" w:cstheme="majorHAnsi"/>
          <w:color w:val="000000" w:themeColor="text1"/>
          <w:sz w:val="22"/>
          <w:szCs w:val="22"/>
          <w:lang w:val="en-US"/>
        </w:rPr>
        <w:t xml:space="preserve">, </w:t>
      </w:r>
      <w:r w:rsidRPr="00CE4C7D">
        <w:rPr>
          <w:rFonts w:asciiTheme="majorHAnsi" w:hAnsiTheme="majorHAnsi" w:cstheme="majorHAnsi"/>
          <w:b/>
          <w:color w:val="000000" w:themeColor="text1"/>
          <w:sz w:val="22"/>
          <w:szCs w:val="22"/>
          <w:lang w:val="en-US"/>
        </w:rPr>
        <w:t>81</w:t>
      </w:r>
      <w:r w:rsidR="00BE04A7" w:rsidRPr="00CE4C7D">
        <w:rPr>
          <w:rFonts w:asciiTheme="majorHAnsi" w:hAnsiTheme="majorHAnsi" w:cstheme="majorHAnsi"/>
          <w:b/>
          <w:color w:val="000000" w:themeColor="text1"/>
          <w:sz w:val="22"/>
          <w:szCs w:val="22"/>
          <w:lang w:val="en-US"/>
        </w:rPr>
        <w:t xml:space="preserve"> </w:t>
      </w:r>
      <w:r w:rsidR="00AD29D1" w:rsidRPr="00CE4C7D">
        <w:rPr>
          <w:rFonts w:asciiTheme="majorHAnsi" w:hAnsiTheme="majorHAnsi" w:cstheme="majorHAnsi"/>
          <w:color w:val="000000" w:themeColor="text1"/>
          <w:sz w:val="22"/>
          <w:szCs w:val="22"/>
          <w:lang w:val="en-US"/>
        </w:rPr>
        <w:t>(</w:t>
      </w:r>
      <w:r w:rsidRPr="00CE4C7D">
        <w:rPr>
          <w:rFonts w:asciiTheme="majorHAnsi" w:hAnsiTheme="majorHAnsi" w:cstheme="majorHAnsi"/>
          <w:color w:val="000000" w:themeColor="text1"/>
          <w:sz w:val="22"/>
          <w:szCs w:val="22"/>
          <w:lang w:val="en-US"/>
        </w:rPr>
        <w:t>1</w:t>
      </w:r>
      <w:r w:rsidR="00AD29D1" w:rsidRPr="00CE4C7D">
        <w:rPr>
          <w:rFonts w:asciiTheme="majorHAnsi" w:hAnsiTheme="majorHAnsi" w:cstheme="majorHAnsi"/>
          <w:color w:val="000000" w:themeColor="text1"/>
          <w:sz w:val="22"/>
          <w:szCs w:val="22"/>
          <w:lang w:val="en-US"/>
        </w:rPr>
        <w:t>)</w:t>
      </w:r>
      <w:r w:rsidR="00B529DF" w:rsidRPr="00CE4C7D">
        <w:rPr>
          <w:rFonts w:asciiTheme="majorHAnsi" w:hAnsiTheme="majorHAnsi" w:cstheme="majorHAnsi"/>
          <w:color w:val="000000" w:themeColor="text1"/>
          <w:sz w:val="22"/>
          <w:szCs w:val="22"/>
          <w:lang w:val="en-US"/>
        </w:rPr>
        <w:t>,</w:t>
      </w:r>
      <w:r w:rsidR="00E377DC" w:rsidRPr="00CE4C7D">
        <w:rPr>
          <w:rFonts w:asciiTheme="majorHAnsi" w:hAnsiTheme="majorHAnsi" w:cstheme="majorHAnsi"/>
          <w:color w:val="000000" w:themeColor="text1"/>
          <w:sz w:val="22"/>
          <w:szCs w:val="22"/>
          <w:lang w:val="en-US"/>
        </w:rPr>
        <w:t xml:space="preserve"> </w:t>
      </w:r>
      <w:r w:rsidRPr="00CE4C7D">
        <w:rPr>
          <w:rFonts w:asciiTheme="majorHAnsi" w:hAnsiTheme="majorHAnsi" w:cstheme="majorHAnsi"/>
          <w:color w:val="000000" w:themeColor="text1"/>
          <w:sz w:val="22"/>
          <w:szCs w:val="22"/>
          <w:lang w:val="en-US"/>
        </w:rPr>
        <w:t>1166-1174</w:t>
      </w:r>
      <w:r w:rsidR="00AD29D1" w:rsidRPr="00CE4C7D">
        <w:rPr>
          <w:rFonts w:asciiTheme="majorHAnsi" w:hAnsiTheme="majorHAnsi" w:cstheme="majorHAnsi"/>
          <w:color w:val="000000" w:themeColor="text1"/>
          <w:sz w:val="22"/>
          <w:szCs w:val="22"/>
          <w:lang w:val="en-US"/>
        </w:rPr>
        <w:t>.</w:t>
      </w:r>
    </w:p>
    <w:p w14:paraId="738254FC" w14:textId="17D53229" w:rsidR="009E5D5B" w:rsidRPr="00CE4C7D" w:rsidRDefault="003F05BC"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Department for Business,</w:t>
      </w:r>
      <w:r w:rsidR="007A09CB" w:rsidRPr="00CE4C7D">
        <w:rPr>
          <w:rFonts w:asciiTheme="majorHAnsi" w:hAnsiTheme="majorHAnsi" w:cstheme="majorHAnsi"/>
          <w:color w:val="000000" w:themeColor="text1"/>
          <w:sz w:val="22"/>
          <w:szCs w:val="22"/>
        </w:rPr>
        <w:t xml:space="preserve"> Energy, Innovation and Skills (2019),</w:t>
      </w:r>
      <w:r w:rsidRPr="00CE4C7D">
        <w:rPr>
          <w:rFonts w:asciiTheme="majorHAnsi" w:hAnsiTheme="majorHAnsi" w:cstheme="majorHAnsi"/>
          <w:color w:val="000000" w:themeColor="text1"/>
          <w:sz w:val="22"/>
          <w:szCs w:val="22"/>
        </w:rPr>
        <w:t xml:space="preserve"> Energy Consumption in the UK (ECUK); End Use Tables</w:t>
      </w:r>
      <w:r w:rsidR="00E94E96" w:rsidRPr="00CE4C7D">
        <w:rPr>
          <w:rFonts w:asciiTheme="majorHAnsi" w:hAnsiTheme="majorHAnsi" w:cstheme="majorHAnsi"/>
          <w:color w:val="000000" w:themeColor="text1"/>
          <w:sz w:val="22"/>
          <w:szCs w:val="22"/>
        </w:rPr>
        <w:t xml:space="preserve">, accessed 28 January 2020 at </w:t>
      </w:r>
      <w:r w:rsidRPr="00CE4C7D">
        <w:rPr>
          <w:rFonts w:asciiTheme="majorHAnsi" w:hAnsiTheme="majorHAnsi" w:cstheme="majorHAnsi"/>
          <w:color w:val="000000" w:themeColor="text1"/>
          <w:sz w:val="22"/>
          <w:szCs w:val="22"/>
        </w:rPr>
        <w:t>www.gov.uk/government/statistics/energy-consumption-in-the-uk</w:t>
      </w:r>
      <w:r w:rsidR="00E94E96" w:rsidRPr="00CE4C7D">
        <w:rPr>
          <w:rFonts w:asciiTheme="majorHAnsi" w:hAnsiTheme="majorHAnsi" w:cstheme="majorHAnsi"/>
          <w:color w:val="000000" w:themeColor="text1"/>
          <w:sz w:val="22"/>
          <w:szCs w:val="22"/>
        </w:rPr>
        <w:t>.</w:t>
      </w:r>
    </w:p>
    <w:p w14:paraId="3A43A7D8" w14:textId="0CC906E4" w:rsidR="009E5D5B" w:rsidRPr="00CE4C7D" w:rsidRDefault="009E5D5B" w:rsidP="00F25A95">
      <w:pPr>
        <w:spacing w:before="220"/>
        <w:rPr>
          <w:rFonts w:asciiTheme="majorHAnsi" w:hAnsiTheme="majorHAnsi" w:cstheme="majorHAnsi"/>
          <w:color w:val="000000" w:themeColor="text1"/>
          <w:sz w:val="22"/>
          <w:szCs w:val="22"/>
        </w:rPr>
      </w:pPr>
      <w:r w:rsidRPr="00CE4C7D">
        <w:rPr>
          <w:rFonts w:asciiTheme="majorHAnsi" w:hAnsiTheme="majorHAnsi"/>
          <w:color w:val="000000" w:themeColor="text1"/>
          <w:sz w:val="22"/>
          <w:szCs w:val="22"/>
        </w:rPr>
        <w:t xml:space="preserve">Department for Business, </w:t>
      </w:r>
      <w:r w:rsidR="007A09CB" w:rsidRPr="00CE4C7D">
        <w:rPr>
          <w:rFonts w:asciiTheme="majorHAnsi" w:hAnsiTheme="majorHAnsi"/>
          <w:color w:val="000000" w:themeColor="text1"/>
          <w:sz w:val="22"/>
          <w:szCs w:val="22"/>
        </w:rPr>
        <w:t>Energy and Industrial Strategy (</w:t>
      </w:r>
      <w:r w:rsidRPr="00CE4C7D">
        <w:rPr>
          <w:rFonts w:asciiTheme="majorHAnsi" w:hAnsiTheme="majorHAnsi"/>
          <w:color w:val="000000" w:themeColor="text1"/>
          <w:sz w:val="22"/>
          <w:szCs w:val="22"/>
        </w:rPr>
        <w:t>2018</w:t>
      </w:r>
      <w:r w:rsidR="007A09CB" w:rsidRPr="00CE4C7D">
        <w:rPr>
          <w:rFonts w:asciiTheme="majorHAnsi" w:hAnsiTheme="majorHAnsi"/>
          <w:color w:val="000000" w:themeColor="text1"/>
          <w:sz w:val="22"/>
          <w:szCs w:val="22"/>
        </w:rPr>
        <w:t>),</w:t>
      </w:r>
      <w:r w:rsidRPr="00CE4C7D">
        <w:rPr>
          <w:rFonts w:asciiTheme="majorHAnsi" w:hAnsiTheme="majorHAnsi"/>
          <w:color w:val="000000" w:themeColor="text1"/>
          <w:sz w:val="22"/>
          <w:szCs w:val="22"/>
        </w:rPr>
        <w:t xml:space="preserve"> The Clean Growth Strategy</w:t>
      </w:r>
      <w:r w:rsidR="008E3BE7" w:rsidRPr="00CE4C7D">
        <w:rPr>
          <w:rFonts w:asciiTheme="majorHAnsi" w:hAnsiTheme="majorHAnsi"/>
          <w:color w:val="000000" w:themeColor="text1"/>
          <w:sz w:val="22"/>
          <w:szCs w:val="22"/>
        </w:rPr>
        <w:t>:</w:t>
      </w:r>
      <w:r w:rsidRPr="00CE4C7D">
        <w:rPr>
          <w:rFonts w:asciiTheme="majorHAnsi" w:hAnsiTheme="majorHAnsi"/>
          <w:color w:val="000000" w:themeColor="text1"/>
          <w:sz w:val="22"/>
          <w:szCs w:val="22"/>
        </w:rPr>
        <w:t xml:space="preserve"> Leading the way to a low carbon future</w:t>
      </w:r>
      <w:r w:rsidR="00D5795B" w:rsidRPr="00CE4C7D">
        <w:rPr>
          <w:rFonts w:asciiTheme="majorHAnsi" w:hAnsiTheme="majorHAnsi"/>
          <w:color w:val="000000" w:themeColor="text1"/>
          <w:sz w:val="22"/>
          <w:szCs w:val="22"/>
        </w:rPr>
        <w:t xml:space="preserve">, accessed 18 March 2020 at </w:t>
      </w:r>
      <w:r w:rsidRPr="00CE4C7D">
        <w:rPr>
          <w:rFonts w:asciiTheme="majorHAnsi" w:hAnsiTheme="majorHAnsi"/>
          <w:color w:val="000000" w:themeColor="text1"/>
          <w:sz w:val="22"/>
          <w:szCs w:val="22"/>
        </w:rPr>
        <w:t>www.gov.uk/government/publications/clean-growth-strategy</w:t>
      </w:r>
      <w:r w:rsidR="00006A7A" w:rsidRPr="00CE4C7D">
        <w:rPr>
          <w:rFonts w:asciiTheme="majorHAnsi" w:hAnsiTheme="majorHAnsi"/>
          <w:color w:val="000000" w:themeColor="text1"/>
          <w:sz w:val="22"/>
          <w:szCs w:val="22"/>
        </w:rPr>
        <w:t>.</w:t>
      </w:r>
    </w:p>
    <w:p w14:paraId="60119416" w14:textId="54A79EC0" w:rsidR="003F05BC" w:rsidRPr="00CE4C7D" w:rsidRDefault="003F05BC" w:rsidP="00F25A95">
      <w:pPr>
        <w:spacing w:before="220"/>
        <w:rPr>
          <w:rFonts w:asciiTheme="majorHAnsi" w:hAnsiTheme="majorHAnsi" w:cstheme="majorHAnsi"/>
          <w:color w:val="000000" w:themeColor="text1"/>
          <w:sz w:val="22"/>
          <w:szCs w:val="22"/>
          <w:lang w:val="en-US"/>
        </w:rPr>
      </w:pPr>
      <w:r w:rsidRPr="00CE4C7D">
        <w:rPr>
          <w:rFonts w:asciiTheme="majorHAnsi" w:hAnsiTheme="majorHAnsi" w:cstheme="majorHAnsi"/>
          <w:color w:val="000000" w:themeColor="text1"/>
          <w:sz w:val="22"/>
          <w:szCs w:val="22"/>
          <w:lang w:val="en-US"/>
        </w:rPr>
        <w:t>Department of B</w:t>
      </w:r>
      <w:r w:rsidR="005176D5" w:rsidRPr="00CE4C7D">
        <w:rPr>
          <w:rFonts w:asciiTheme="majorHAnsi" w:hAnsiTheme="majorHAnsi" w:cstheme="majorHAnsi"/>
          <w:color w:val="000000" w:themeColor="text1"/>
          <w:sz w:val="22"/>
          <w:szCs w:val="22"/>
          <w:lang w:val="en-US"/>
        </w:rPr>
        <w:t>usiness, Innovation and Skills (</w:t>
      </w:r>
      <w:r w:rsidRPr="00CE4C7D">
        <w:rPr>
          <w:rFonts w:asciiTheme="majorHAnsi" w:hAnsiTheme="majorHAnsi" w:cstheme="majorHAnsi"/>
          <w:color w:val="000000" w:themeColor="text1"/>
          <w:sz w:val="22"/>
          <w:szCs w:val="22"/>
          <w:lang w:val="en-US"/>
        </w:rPr>
        <w:t>2015</w:t>
      </w:r>
      <w:r w:rsidR="005176D5" w:rsidRPr="00CE4C7D">
        <w:rPr>
          <w:rFonts w:asciiTheme="majorHAnsi" w:hAnsiTheme="majorHAnsi" w:cstheme="majorHAnsi"/>
          <w:color w:val="000000" w:themeColor="text1"/>
          <w:sz w:val="22"/>
          <w:szCs w:val="22"/>
          <w:lang w:val="en-US"/>
        </w:rPr>
        <w:t>),</w:t>
      </w:r>
      <w:r w:rsidRPr="00CE4C7D">
        <w:rPr>
          <w:rFonts w:asciiTheme="majorHAnsi" w:hAnsiTheme="majorHAnsi" w:cstheme="majorHAnsi"/>
          <w:color w:val="000000" w:themeColor="text1"/>
          <w:sz w:val="22"/>
          <w:szCs w:val="22"/>
          <w:lang w:val="en-US"/>
        </w:rPr>
        <w:t xml:space="preserve"> </w:t>
      </w:r>
      <w:r w:rsidR="00E678DE" w:rsidRPr="00CE4C7D">
        <w:rPr>
          <w:rFonts w:asciiTheme="majorHAnsi" w:hAnsiTheme="majorHAnsi" w:cstheme="majorHAnsi"/>
          <w:color w:val="000000" w:themeColor="text1"/>
          <w:sz w:val="22"/>
          <w:szCs w:val="22"/>
          <w:lang w:val="en-US"/>
        </w:rPr>
        <w:t>‘</w:t>
      </w:r>
      <w:r w:rsidRPr="00CE4C7D">
        <w:rPr>
          <w:rFonts w:asciiTheme="majorHAnsi" w:hAnsiTheme="majorHAnsi" w:cstheme="majorHAnsi"/>
          <w:color w:val="000000" w:themeColor="text1"/>
          <w:sz w:val="22"/>
          <w:szCs w:val="22"/>
          <w:lang w:val="en-US"/>
        </w:rPr>
        <w:t>Fulfilling our potential: teaching excellence, socia</w:t>
      </w:r>
      <w:r w:rsidR="00B529DF" w:rsidRPr="00CE4C7D">
        <w:rPr>
          <w:rFonts w:asciiTheme="majorHAnsi" w:hAnsiTheme="majorHAnsi" w:cstheme="majorHAnsi"/>
          <w:color w:val="000000" w:themeColor="text1"/>
          <w:sz w:val="22"/>
          <w:szCs w:val="22"/>
          <w:lang w:val="en-US"/>
        </w:rPr>
        <w:t>l mobility and student choice</w:t>
      </w:r>
      <w:r w:rsidR="00E678DE" w:rsidRPr="00CE4C7D">
        <w:rPr>
          <w:rFonts w:asciiTheme="majorHAnsi" w:hAnsiTheme="majorHAnsi" w:cstheme="majorHAnsi"/>
          <w:color w:val="000000" w:themeColor="text1"/>
          <w:sz w:val="22"/>
          <w:szCs w:val="22"/>
          <w:lang w:val="en-US"/>
        </w:rPr>
        <w:t>’</w:t>
      </w:r>
      <w:r w:rsidR="00B529DF" w:rsidRPr="00CE4C7D">
        <w:rPr>
          <w:rFonts w:asciiTheme="majorHAnsi" w:hAnsiTheme="majorHAnsi" w:cstheme="majorHAnsi"/>
          <w:color w:val="000000" w:themeColor="text1"/>
          <w:sz w:val="22"/>
          <w:szCs w:val="22"/>
          <w:lang w:val="en-US"/>
        </w:rPr>
        <w:t>,</w:t>
      </w:r>
      <w:r w:rsidRPr="00CE4C7D">
        <w:rPr>
          <w:rFonts w:asciiTheme="majorHAnsi" w:hAnsiTheme="majorHAnsi" w:cstheme="majorHAnsi"/>
          <w:color w:val="000000" w:themeColor="text1"/>
          <w:sz w:val="22"/>
          <w:szCs w:val="22"/>
          <w:lang w:val="en-US"/>
        </w:rPr>
        <w:t xml:space="preserve"> London: TSO.</w:t>
      </w:r>
    </w:p>
    <w:p w14:paraId="2D798F9C" w14:textId="5F2904F9" w:rsidR="003F05BC" w:rsidRPr="00CE4C7D" w:rsidRDefault="003F05BC"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Department for Environment, Food and Ru</w:t>
      </w:r>
      <w:r w:rsidR="005176D5" w:rsidRPr="00CE4C7D">
        <w:rPr>
          <w:rFonts w:asciiTheme="majorHAnsi" w:hAnsiTheme="majorHAnsi" w:cstheme="majorHAnsi"/>
          <w:color w:val="000000" w:themeColor="text1"/>
          <w:sz w:val="22"/>
          <w:szCs w:val="22"/>
        </w:rPr>
        <w:t>ral Affairs and Cabinet Office (</w:t>
      </w:r>
      <w:r w:rsidRPr="00CE4C7D">
        <w:rPr>
          <w:rFonts w:asciiTheme="majorHAnsi" w:hAnsiTheme="majorHAnsi" w:cstheme="majorHAnsi"/>
          <w:color w:val="000000" w:themeColor="text1"/>
          <w:sz w:val="22"/>
          <w:szCs w:val="22"/>
        </w:rPr>
        <w:t>2016</w:t>
      </w:r>
      <w:r w:rsidR="005176D5"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 xml:space="preserve"> </w:t>
      </w:r>
      <w:r w:rsidR="00E678DE"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Greening Government Commitments: Overview of Reporting Requirements 2016</w:t>
      </w:r>
      <w:r w:rsidRPr="00CE4C7D">
        <w:rPr>
          <w:rFonts w:asciiTheme="majorHAnsi" w:eastAsia="AdvOT596495f2+20" w:hAnsiTheme="majorHAnsi" w:cstheme="majorHAnsi"/>
          <w:color w:val="000000" w:themeColor="text1"/>
          <w:sz w:val="22"/>
          <w:szCs w:val="22"/>
        </w:rPr>
        <w:t>–</w:t>
      </w:r>
      <w:r w:rsidR="00B529DF" w:rsidRPr="00CE4C7D">
        <w:rPr>
          <w:rFonts w:asciiTheme="majorHAnsi" w:hAnsiTheme="majorHAnsi" w:cstheme="majorHAnsi"/>
          <w:color w:val="000000" w:themeColor="text1"/>
          <w:sz w:val="22"/>
          <w:szCs w:val="22"/>
        </w:rPr>
        <w:t>2020</w:t>
      </w:r>
      <w:r w:rsidR="00E678DE" w:rsidRPr="00CE4C7D">
        <w:rPr>
          <w:rFonts w:asciiTheme="majorHAnsi" w:hAnsiTheme="majorHAnsi" w:cstheme="majorHAnsi"/>
          <w:color w:val="000000" w:themeColor="text1"/>
          <w:sz w:val="22"/>
          <w:szCs w:val="22"/>
        </w:rPr>
        <w:t>’</w:t>
      </w:r>
      <w:r w:rsidR="00B529DF" w:rsidRPr="00CE4C7D">
        <w:rPr>
          <w:rFonts w:asciiTheme="majorHAnsi" w:hAnsiTheme="majorHAnsi" w:cstheme="majorHAnsi"/>
          <w:color w:val="000000" w:themeColor="text1"/>
          <w:sz w:val="22"/>
          <w:szCs w:val="22"/>
        </w:rPr>
        <w:t xml:space="preserve">, London: </w:t>
      </w:r>
      <w:r w:rsidRPr="00CE4C7D">
        <w:rPr>
          <w:rFonts w:asciiTheme="majorHAnsi" w:hAnsiTheme="majorHAnsi" w:cstheme="majorHAnsi"/>
          <w:color w:val="000000" w:themeColor="text1"/>
          <w:sz w:val="22"/>
          <w:szCs w:val="22"/>
        </w:rPr>
        <w:t xml:space="preserve">Department for Environment, Food and Rural Affairs and </w:t>
      </w:r>
      <w:r w:rsidR="00B529DF" w:rsidRPr="00CE4C7D">
        <w:rPr>
          <w:rFonts w:asciiTheme="majorHAnsi" w:hAnsiTheme="majorHAnsi" w:cstheme="majorHAnsi"/>
          <w:color w:val="000000" w:themeColor="text1"/>
          <w:sz w:val="22"/>
          <w:szCs w:val="22"/>
        </w:rPr>
        <w:t>Cabinet Office.</w:t>
      </w:r>
    </w:p>
    <w:p w14:paraId="2B820C11" w14:textId="52CC1BFF" w:rsidR="003F05BC" w:rsidRPr="00CE4C7D" w:rsidRDefault="00114737"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lastRenderedPageBreak/>
        <w:t>Department of Health (</w:t>
      </w:r>
      <w:r w:rsidR="003F05BC" w:rsidRPr="00CE4C7D">
        <w:rPr>
          <w:rFonts w:asciiTheme="majorHAnsi" w:hAnsiTheme="majorHAnsi" w:cstheme="majorHAnsi"/>
          <w:color w:val="000000" w:themeColor="text1"/>
          <w:sz w:val="22"/>
          <w:szCs w:val="22"/>
        </w:rPr>
        <w:t>2013</w:t>
      </w:r>
      <w:r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xml:space="preserve"> </w:t>
      </w:r>
      <w:r w:rsidR="00CA390F"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xml:space="preserve">Adult </w:t>
      </w:r>
      <w:proofErr w:type="gramStart"/>
      <w:r w:rsidR="003F05BC" w:rsidRPr="00CE4C7D">
        <w:rPr>
          <w:rFonts w:asciiTheme="majorHAnsi" w:hAnsiTheme="majorHAnsi" w:cstheme="majorHAnsi"/>
          <w:color w:val="000000" w:themeColor="text1"/>
          <w:sz w:val="22"/>
          <w:szCs w:val="22"/>
        </w:rPr>
        <w:t>in-Patient</w:t>
      </w:r>
      <w:proofErr w:type="gramEnd"/>
      <w:r w:rsidR="003F05BC" w:rsidRPr="00CE4C7D">
        <w:rPr>
          <w:rFonts w:asciiTheme="majorHAnsi" w:hAnsiTheme="majorHAnsi" w:cstheme="majorHAnsi"/>
          <w:color w:val="000000" w:themeColor="text1"/>
          <w:sz w:val="22"/>
          <w:szCs w:val="22"/>
        </w:rPr>
        <w:t xml:space="preserve"> </w:t>
      </w:r>
      <w:r w:rsidR="006A3532" w:rsidRPr="00CE4C7D">
        <w:rPr>
          <w:rFonts w:asciiTheme="majorHAnsi" w:hAnsiTheme="majorHAnsi" w:cstheme="majorHAnsi"/>
          <w:color w:val="000000" w:themeColor="text1"/>
          <w:sz w:val="22"/>
          <w:szCs w:val="22"/>
        </w:rPr>
        <w:t>Facilities: Planning and Design</w:t>
      </w:r>
      <w:r w:rsidR="00CA390F" w:rsidRPr="00CE4C7D">
        <w:rPr>
          <w:rFonts w:asciiTheme="majorHAnsi" w:hAnsiTheme="majorHAnsi" w:cstheme="majorHAnsi"/>
          <w:color w:val="000000" w:themeColor="text1"/>
          <w:sz w:val="22"/>
          <w:szCs w:val="22"/>
        </w:rPr>
        <w:t>’</w:t>
      </w:r>
      <w:r w:rsidR="006A3532" w:rsidRPr="00CE4C7D">
        <w:rPr>
          <w:rFonts w:asciiTheme="majorHAnsi" w:hAnsiTheme="majorHAnsi" w:cstheme="majorHAnsi"/>
          <w:color w:val="000000" w:themeColor="text1"/>
          <w:sz w:val="22"/>
          <w:szCs w:val="22"/>
        </w:rPr>
        <w:t>, London:</w:t>
      </w:r>
      <w:r w:rsidR="003F05BC" w:rsidRPr="00CE4C7D">
        <w:rPr>
          <w:rFonts w:asciiTheme="majorHAnsi" w:hAnsiTheme="majorHAnsi" w:cstheme="majorHAnsi"/>
          <w:color w:val="000000" w:themeColor="text1"/>
          <w:sz w:val="22"/>
          <w:szCs w:val="22"/>
        </w:rPr>
        <w:t xml:space="preserve"> Department</w:t>
      </w:r>
      <w:r w:rsidR="00D51984" w:rsidRPr="00CE4C7D">
        <w:rPr>
          <w:rFonts w:asciiTheme="majorHAnsi" w:hAnsiTheme="majorHAnsi" w:cstheme="majorHAnsi"/>
          <w:color w:val="000000" w:themeColor="text1"/>
          <w:sz w:val="22"/>
          <w:szCs w:val="22"/>
        </w:rPr>
        <w:t xml:space="preserve"> </w:t>
      </w:r>
      <w:r w:rsidR="006A3532" w:rsidRPr="00CE4C7D">
        <w:rPr>
          <w:rFonts w:asciiTheme="majorHAnsi" w:hAnsiTheme="majorHAnsi" w:cstheme="majorHAnsi"/>
          <w:color w:val="000000" w:themeColor="text1"/>
          <w:sz w:val="22"/>
          <w:szCs w:val="22"/>
        </w:rPr>
        <w:t>of Health</w:t>
      </w:r>
      <w:r w:rsidR="003F05BC" w:rsidRPr="00CE4C7D">
        <w:rPr>
          <w:rFonts w:asciiTheme="majorHAnsi" w:hAnsiTheme="majorHAnsi" w:cstheme="majorHAnsi"/>
          <w:color w:val="000000" w:themeColor="text1"/>
          <w:sz w:val="22"/>
          <w:szCs w:val="22"/>
        </w:rPr>
        <w:t>.</w:t>
      </w:r>
    </w:p>
    <w:p w14:paraId="3715B787" w14:textId="4352339C" w:rsidR="003F05BC" w:rsidRPr="00CE4C7D" w:rsidRDefault="00BE578A" w:rsidP="00F25A95">
      <w:pPr>
        <w:spacing w:before="220"/>
        <w:rPr>
          <w:rFonts w:asciiTheme="majorHAnsi" w:hAnsiTheme="majorHAnsi" w:cstheme="majorHAnsi"/>
          <w:noProof/>
          <w:color w:val="000000" w:themeColor="text1"/>
          <w:sz w:val="22"/>
          <w:szCs w:val="22"/>
          <w:lang w:val="en-US"/>
        </w:rPr>
      </w:pPr>
      <w:r w:rsidRPr="00CE4C7D">
        <w:rPr>
          <w:rFonts w:asciiTheme="majorHAnsi" w:hAnsiTheme="majorHAnsi" w:cstheme="majorHAnsi"/>
          <w:noProof/>
          <w:color w:val="000000" w:themeColor="text1"/>
          <w:sz w:val="22"/>
          <w:szCs w:val="22"/>
          <w:lang w:val="en-US"/>
        </w:rPr>
        <w:t xml:space="preserve">Eccleston, C.H. and </w:t>
      </w:r>
      <w:r w:rsidR="00D51984" w:rsidRPr="00CE4C7D">
        <w:rPr>
          <w:rFonts w:asciiTheme="majorHAnsi" w:hAnsiTheme="majorHAnsi" w:cstheme="majorHAnsi"/>
          <w:noProof/>
          <w:color w:val="000000" w:themeColor="text1"/>
          <w:sz w:val="22"/>
          <w:szCs w:val="22"/>
          <w:lang w:val="en-US"/>
        </w:rPr>
        <w:t>March, F. (</w:t>
      </w:r>
      <w:r w:rsidR="003F05BC" w:rsidRPr="00CE4C7D">
        <w:rPr>
          <w:rFonts w:asciiTheme="majorHAnsi" w:hAnsiTheme="majorHAnsi" w:cstheme="majorHAnsi"/>
          <w:noProof/>
          <w:color w:val="000000" w:themeColor="text1"/>
          <w:sz w:val="22"/>
          <w:szCs w:val="22"/>
          <w:lang w:val="en-US"/>
        </w:rPr>
        <w:t>2011</w:t>
      </w:r>
      <w:r w:rsidR="00D51984" w:rsidRPr="00CE4C7D">
        <w:rPr>
          <w:rFonts w:asciiTheme="majorHAnsi" w:hAnsiTheme="majorHAnsi" w:cstheme="majorHAnsi"/>
          <w:noProof/>
          <w:color w:val="000000" w:themeColor="text1"/>
          <w:sz w:val="22"/>
          <w:szCs w:val="22"/>
          <w:lang w:val="en-US"/>
        </w:rPr>
        <w:t>),</w:t>
      </w:r>
      <w:r w:rsidR="003F05BC" w:rsidRPr="00CE4C7D">
        <w:rPr>
          <w:rFonts w:asciiTheme="majorHAnsi" w:hAnsiTheme="majorHAnsi" w:cstheme="majorHAnsi"/>
          <w:noProof/>
          <w:color w:val="000000" w:themeColor="text1"/>
          <w:sz w:val="22"/>
          <w:szCs w:val="22"/>
          <w:lang w:val="en-US"/>
        </w:rPr>
        <w:t xml:space="preserve"> </w:t>
      </w:r>
      <w:r w:rsidR="003F05BC" w:rsidRPr="00CE4C7D">
        <w:rPr>
          <w:rFonts w:asciiTheme="majorHAnsi" w:hAnsiTheme="majorHAnsi" w:cstheme="majorHAnsi"/>
          <w:i/>
          <w:noProof/>
          <w:color w:val="000000" w:themeColor="text1"/>
          <w:sz w:val="22"/>
          <w:szCs w:val="22"/>
          <w:lang w:val="en-US"/>
        </w:rPr>
        <w:t>Global Environmental Policy: Conc</w:t>
      </w:r>
      <w:r w:rsidR="00A206E6" w:rsidRPr="00CE4C7D">
        <w:rPr>
          <w:rFonts w:asciiTheme="majorHAnsi" w:hAnsiTheme="majorHAnsi" w:cstheme="majorHAnsi"/>
          <w:i/>
          <w:noProof/>
          <w:color w:val="000000" w:themeColor="text1"/>
          <w:sz w:val="22"/>
          <w:szCs w:val="22"/>
          <w:lang w:val="en-US"/>
        </w:rPr>
        <w:t>epts, Principles and Practice</w:t>
      </w:r>
      <w:r w:rsidR="00D31563" w:rsidRPr="00CE4C7D">
        <w:rPr>
          <w:rFonts w:asciiTheme="majorHAnsi" w:hAnsiTheme="majorHAnsi" w:cstheme="majorHAnsi"/>
          <w:noProof/>
          <w:color w:val="000000" w:themeColor="text1"/>
          <w:sz w:val="22"/>
          <w:szCs w:val="22"/>
          <w:lang w:val="en-US"/>
        </w:rPr>
        <w:t>, Boca Raton</w:t>
      </w:r>
      <w:r w:rsidRPr="00CE4C7D">
        <w:rPr>
          <w:rFonts w:asciiTheme="majorHAnsi" w:hAnsiTheme="majorHAnsi" w:cstheme="majorHAnsi"/>
          <w:noProof/>
          <w:color w:val="000000" w:themeColor="text1"/>
          <w:sz w:val="22"/>
          <w:szCs w:val="22"/>
          <w:lang w:val="en-US"/>
        </w:rPr>
        <w:t>, FL</w:t>
      </w:r>
      <w:r w:rsidR="00D31563" w:rsidRPr="00CE4C7D">
        <w:rPr>
          <w:rFonts w:asciiTheme="majorHAnsi" w:hAnsiTheme="majorHAnsi" w:cstheme="majorHAnsi"/>
          <w:noProof/>
          <w:color w:val="000000" w:themeColor="text1"/>
          <w:sz w:val="22"/>
          <w:szCs w:val="22"/>
          <w:lang w:val="en-US"/>
        </w:rPr>
        <w:t>: CRC Press</w:t>
      </w:r>
      <w:r w:rsidR="003F05BC" w:rsidRPr="00CE4C7D">
        <w:rPr>
          <w:rFonts w:asciiTheme="majorHAnsi" w:hAnsiTheme="majorHAnsi" w:cstheme="majorHAnsi"/>
          <w:noProof/>
          <w:color w:val="000000" w:themeColor="text1"/>
          <w:sz w:val="22"/>
          <w:szCs w:val="22"/>
          <w:lang w:val="en-US"/>
        </w:rPr>
        <w:t>.</w:t>
      </w:r>
    </w:p>
    <w:p w14:paraId="572E773B" w14:textId="146DAAF3" w:rsidR="003F05BC" w:rsidRPr="00CE4C7D" w:rsidRDefault="003F05BC" w:rsidP="00F25A95">
      <w:pPr>
        <w:spacing w:before="220"/>
        <w:rPr>
          <w:rFonts w:asciiTheme="majorHAnsi" w:hAnsiTheme="majorHAnsi" w:cstheme="majorHAnsi"/>
          <w:noProof/>
          <w:color w:val="000000" w:themeColor="text1"/>
          <w:sz w:val="22"/>
          <w:szCs w:val="22"/>
          <w:lang w:val="en-US"/>
        </w:rPr>
      </w:pPr>
      <w:r w:rsidRPr="00CE4C7D">
        <w:rPr>
          <w:rFonts w:asciiTheme="majorHAnsi" w:hAnsiTheme="majorHAnsi" w:cstheme="majorHAnsi"/>
          <w:noProof/>
          <w:color w:val="000000" w:themeColor="text1"/>
          <w:sz w:val="22"/>
          <w:szCs w:val="22"/>
          <w:lang w:val="en-US"/>
        </w:rPr>
        <w:t>Egge</w:t>
      </w:r>
      <w:r w:rsidR="00D51984" w:rsidRPr="00CE4C7D">
        <w:rPr>
          <w:rFonts w:asciiTheme="majorHAnsi" w:hAnsiTheme="majorHAnsi" w:cstheme="majorHAnsi"/>
          <w:noProof/>
          <w:color w:val="000000" w:themeColor="text1"/>
          <w:sz w:val="22"/>
          <w:szCs w:val="22"/>
          <w:lang w:val="en-US"/>
        </w:rPr>
        <w:t>r, G. and Swinburn, B. (1997),</w:t>
      </w:r>
      <w:r w:rsidRPr="00CE4C7D">
        <w:rPr>
          <w:rFonts w:asciiTheme="majorHAnsi" w:hAnsiTheme="majorHAnsi" w:cstheme="majorHAnsi"/>
          <w:noProof/>
          <w:color w:val="000000" w:themeColor="text1"/>
          <w:sz w:val="22"/>
          <w:szCs w:val="22"/>
          <w:lang w:val="en-US"/>
        </w:rPr>
        <w:t xml:space="preserve"> </w:t>
      </w:r>
      <w:r w:rsidR="00CA390F" w:rsidRPr="00CE4C7D">
        <w:rPr>
          <w:rFonts w:asciiTheme="majorHAnsi" w:hAnsiTheme="majorHAnsi" w:cstheme="majorHAnsi"/>
          <w:noProof/>
          <w:color w:val="000000" w:themeColor="text1"/>
          <w:sz w:val="22"/>
          <w:szCs w:val="22"/>
          <w:lang w:val="en-US"/>
        </w:rPr>
        <w:t>‘</w:t>
      </w:r>
      <w:r w:rsidRPr="00CE4C7D">
        <w:rPr>
          <w:rFonts w:asciiTheme="majorHAnsi" w:hAnsiTheme="majorHAnsi" w:cstheme="majorHAnsi"/>
          <w:noProof/>
          <w:color w:val="000000" w:themeColor="text1"/>
          <w:sz w:val="22"/>
          <w:szCs w:val="22"/>
          <w:lang w:val="en-US"/>
        </w:rPr>
        <w:t xml:space="preserve">An </w:t>
      </w:r>
      <w:r w:rsidR="00F93B9A" w:rsidRPr="00CE4C7D">
        <w:rPr>
          <w:rFonts w:asciiTheme="majorHAnsi" w:hAnsiTheme="majorHAnsi" w:cstheme="majorHAnsi"/>
          <w:noProof/>
          <w:color w:val="000000" w:themeColor="text1"/>
          <w:sz w:val="22"/>
          <w:szCs w:val="22"/>
          <w:lang w:val="en-US"/>
        </w:rPr>
        <w:t>‘</w:t>
      </w:r>
      <w:r w:rsidRPr="00CE4C7D">
        <w:rPr>
          <w:rFonts w:asciiTheme="majorHAnsi" w:hAnsiTheme="majorHAnsi" w:cstheme="majorHAnsi"/>
          <w:noProof/>
          <w:color w:val="000000" w:themeColor="text1"/>
          <w:sz w:val="22"/>
          <w:szCs w:val="22"/>
          <w:lang w:val="en-US"/>
        </w:rPr>
        <w:t>ecological</w:t>
      </w:r>
      <w:r w:rsidR="00F93B9A" w:rsidRPr="00CE4C7D">
        <w:rPr>
          <w:rFonts w:asciiTheme="majorHAnsi" w:hAnsiTheme="majorHAnsi" w:cstheme="majorHAnsi"/>
          <w:noProof/>
          <w:color w:val="000000" w:themeColor="text1"/>
          <w:sz w:val="22"/>
          <w:szCs w:val="22"/>
          <w:lang w:val="en-US"/>
        </w:rPr>
        <w:t>’</w:t>
      </w:r>
      <w:r w:rsidRPr="00CE4C7D">
        <w:rPr>
          <w:rFonts w:asciiTheme="majorHAnsi" w:hAnsiTheme="majorHAnsi" w:cstheme="majorHAnsi"/>
          <w:noProof/>
          <w:color w:val="000000" w:themeColor="text1"/>
          <w:sz w:val="22"/>
          <w:szCs w:val="22"/>
          <w:lang w:val="en-US"/>
        </w:rPr>
        <w:t xml:space="preserve"> a</w:t>
      </w:r>
      <w:r w:rsidR="00933C45" w:rsidRPr="00CE4C7D">
        <w:rPr>
          <w:rFonts w:asciiTheme="majorHAnsi" w:hAnsiTheme="majorHAnsi" w:cstheme="majorHAnsi"/>
          <w:noProof/>
          <w:color w:val="000000" w:themeColor="text1"/>
          <w:sz w:val="22"/>
          <w:szCs w:val="22"/>
          <w:lang w:val="en-US"/>
        </w:rPr>
        <w:t>pproach to the obesity pandemic</w:t>
      </w:r>
      <w:r w:rsidR="00CA390F" w:rsidRPr="00CE4C7D">
        <w:rPr>
          <w:rFonts w:asciiTheme="majorHAnsi" w:hAnsiTheme="majorHAnsi" w:cstheme="majorHAnsi"/>
          <w:noProof/>
          <w:color w:val="000000" w:themeColor="text1"/>
          <w:sz w:val="22"/>
          <w:szCs w:val="22"/>
          <w:lang w:val="en-US"/>
        </w:rPr>
        <w:t>’</w:t>
      </w:r>
      <w:r w:rsidR="00933C45" w:rsidRPr="00CE4C7D">
        <w:rPr>
          <w:rFonts w:asciiTheme="majorHAnsi" w:hAnsiTheme="majorHAnsi" w:cstheme="majorHAnsi"/>
          <w:noProof/>
          <w:color w:val="000000" w:themeColor="text1"/>
          <w:sz w:val="22"/>
          <w:szCs w:val="22"/>
          <w:lang w:val="en-US"/>
        </w:rPr>
        <w:t>,</w:t>
      </w:r>
      <w:r w:rsidRPr="00CE4C7D">
        <w:rPr>
          <w:rFonts w:asciiTheme="majorHAnsi" w:hAnsiTheme="majorHAnsi" w:cstheme="majorHAnsi"/>
          <w:noProof/>
          <w:color w:val="000000" w:themeColor="text1"/>
          <w:sz w:val="22"/>
          <w:szCs w:val="22"/>
          <w:lang w:val="en-US"/>
        </w:rPr>
        <w:t xml:space="preserve"> </w:t>
      </w:r>
      <w:r w:rsidRPr="00CE4C7D">
        <w:rPr>
          <w:rFonts w:asciiTheme="majorHAnsi" w:hAnsiTheme="majorHAnsi" w:cstheme="majorHAnsi"/>
          <w:i/>
          <w:noProof/>
          <w:color w:val="000000" w:themeColor="text1"/>
          <w:sz w:val="22"/>
          <w:szCs w:val="22"/>
          <w:lang w:val="en-US"/>
        </w:rPr>
        <w:t>BMJ</w:t>
      </w:r>
      <w:r w:rsidRPr="00CE4C7D">
        <w:rPr>
          <w:rFonts w:asciiTheme="majorHAnsi" w:hAnsiTheme="majorHAnsi" w:cstheme="majorHAnsi"/>
          <w:noProof/>
          <w:color w:val="000000" w:themeColor="text1"/>
          <w:sz w:val="22"/>
          <w:szCs w:val="22"/>
          <w:lang w:val="en-US"/>
        </w:rPr>
        <w:t xml:space="preserve">, </w:t>
      </w:r>
      <w:r w:rsidRPr="00CE4C7D">
        <w:rPr>
          <w:rFonts w:asciiTheme="majorHAnsi" w:hAnsiTheme="majorHAnsi" w:cstheme="majorHAnsi"/>
          <w:b/>
          <w:noProof/>
          <w:color w:val="000000" w:themeColor="text1"/>
          <w:sz w:val="22"/>
          <w:szCs w:val="22"/>
          <w:lang w:val="en-US"/>
        </w:rPr>
        <w:t>315,</w:t>
      </w:r>
      <w:r w:rsidR="00E377DC" w:rsidRPr="00CE4C7D">
        <w:rPr>
          <w:rFonts w:asciiTheme="majorHAnsi" w:hAnsiTheme="majorHAnsi" w:cstheme="majorHAnsi"/>
          <w:noProof/>
          <w:color w:val="000000" w:themeColor="text1"/>
          <w:sz w:val="22"/>
          <w:szCs w:val="22"/>
          <w:lang w:val="en-US"/>
        </w:rPr>
        <w:t xml:space="preserve"> </w:t>
      </w:r>
      <w:r w:rsidR="00753E4E" w:rsidRPr="00CE4C7D">
        <w:rPr>
          <w:rFonts w:asciiTheme="majorHAnsi" w:hAnsiTheme="majorHAnsi" w:cstheme="majorHAnsi"/>
          <w:noProof/>
          <w:color w:val="000000" w:themeColor="text1"/>
          <w:sz w:val="22"/>
          <w:szCs w:val="22"/>
          <w:lang w:val="en-US"/>
        </w:rPr>
        <w:t>477–480.</w:t>
      </w:r>
    </w:p>
    <w:p w14:paraId="2CA0ED53" w14:textId="1BD2B315" w:rsidR="003F05BC" w:rsidRPr="00CE4C7D" w:rsidRDefault="00E42B8B" w:rsidP="00F25A95">
      <w:pPr>
        <w:spacing w:before="220"/>
        <w:rPr>
          <w:rFonts w:asciiTheme="majorHAnsi" w:hAnsiTheme="majorHAnsi" w:cstheme="majorHAnsi"/>
          <w:noProof/>
          <w:color w:val="000000" w:themeColor="text1"/>
          <w:sz w:val="22"/>
          <w:szCs w:val="22"/>
          <w:lang w:val="en-US"/>
        </w:rPr>
      </w:pPr>
      <w:r w:rsidRPr="00CE4C7D">
        <w:rPr>
          <w:rFonts w:asciiTheme="majorHAnsi" w:hAnsiTheme="majorHAnsi" w:cstheme="majorHAnsi"/>
          <w:noProof/>
          <w:color w:val="000000" w:themeColor="text1"/>
          <w:sz w:val="22"/>
          <w:szCs w:val="22"/>
          <w:lang w:val="en-US"/>
        </w:rPr>
        <w:t>End Use Energy Demand Centres (</w:t>
      </w:r>
      <w:r w:rsidR="003F05BC" w:rsidRPr="00CE4C7D">
        <w:rPr>
          <w:rFonts w:asciiTheme="majorHAnsi" w:hAnsiTheme="majorHAnsi" w:cstheme="majorHAnsi"/>
          <w:noProof/>
          <w:color w:val="000000" w:themeColor="text1"/>
          <w:sz w:val="22"/>
          <w:szCs w:val="22"/>
          <w:lang w:val="en-US"/>
        </w:rPr>
        <w:t>2018</w:t>
      </w:r>
      <w:r w:rsidRPr="00CE4C7D">
        <w:rPr>
          <w:rFonts w:asciiTheme="majorHAnsi" w:hAnsiTheme="majorHAnsi" w:cstheme="majorHAnsi"/>
          <w:noProof/>
          <w:color w:val="000000" w:themeColor="text1"/>
          <w:sz w:val="22"/>
          <w:szCs w:val="22"/>
          <w:lang w:val="en-US"/>
        </w:rPr>
        <w:t>),</w:t>
      </w:r>
      <w:r w:rsidR="003F05BC" w:rsidRPr="00CE4C7D">
        <w:rPr>
          <w:rFonts w:asciiTheme="majorHAnsi" w:hAnsiTheme="majorHAnsi" w:cstheme="majorHAnsi"/>
          <w:noProof/>
          <w:color w:val="000000" w:themeColor="text1"/>
          <w:sz w:val="22"/>
          <w:szCs w:val="22"/>
          <w:lang w:val="en-US"/>
        </w:rPr>
        <w:t> Energy efficiency: the missing piece in the Energy Cost Review jigsaw</w:t>
      </w:r>
      <w:r w:rsidR="00CA390F" w:rsidRPr="00CE4C7D">
        <w:rPr>
          <w:rFonts w:asciiTheme="majorHAnsi" w:hAnsiTheme="majorHAnsi" w:cstheme="majorHAnsi"/>
          <w:noProof/>
          <w:color w:val="000000" w:themeColor="text1"/>
          <w:sz w:val="22"/>
          <w:szCs w:val="22"/>
          <w:lang w:val="en-US"/>
        </w:rPr>
        <w:t>,</w:t>
      </w:r>
      <w:r w:rsidR="00306E7D" w:rsidRPr="00CE4C7D">
        <w:rPr>
          <w:rFonts w:asciiTheme="majorHAnsi" w:hAnsiTheme="majorHAnsi" w:cstheme="majorHAnsi"/>
          <w:noProof/>
          <w:color w:val="000000" w:themeColor="text1"/>
          <w:sz w:val="22"/>
          <w:szCs w:val="22"/>
          <w:lang w:val="en-US"/>
        </w:rPr>
        <w:t xml:space="preserve"> accessed 2 August 2018 at </w:t>
      </w:r>
      <w:r w:rsidR="003F05BC" w:rsidRPr="00CE4C7D">
        <w:rPr>
          <w:rFonts w:asciiTheme="majorHAnsi" w:hAnsiTheme="majorHAnsi" w:cstheme="majorHAnsi"/>
          <w:noProof/>
          <w:color w:val="000000" w:themeColor="text1"/>
          <w:sz w:val="22"/>
          <w:szCs w:val="22"/>
          <w:lang w:val="en-US"/>
        </w:rPr>
        <w:t>ww</w:t>
      </w:r>
      <w:r w:rsidR="00306E7D" w:rsidRPr="00CE4C7D">
        <w:rPr>
          <w:rFonts w:asciiTheme="majorHAnsi" w:hAnsiTheme="majorHAnsi" w:cstheme="majorHAnsi"/>
          <w:noProof/>
          <w:color w:val="000000" w:themeColor="text1"/>
          <w:sz w:val="22"/>
          <w:szCs w:val="22"/>
          <w:lang w:val="en-US"/>
        </w:rPr>
        <w:t>w.eueduk.com/energy-efficiency.</w:t>
      </w:r>
    </w:p>
    <w:p w14:paraId="0DD2A5F9" w14:textId="56AA9E86" w:rsidR="009E3D85" w:rsidRPr="00CE4C7D" w:rsidRDefault="009B51E1" w:rsidP="00F25A95">
      <w:pPr>
        <w:spacing w:before="220"/>
        <w:rPr>
          <w:rFonts w:asciiTheme="majorHAnsi" w:hAnsiTheme="majorHAnsi" w:cstheme="majorHAnsi"/>
          <w:noProof/>
          <w:color w:val="000000" w:themeColor="text1"/>
          <w:sz w:val="22"/>
          <w:szCs w:val="22"/>
          <w:lang w:val="en-US"/>
        </w:rPr>
      </w:pPr>
      <w:r w:rsidRPr="00CE4C7D">
        <w:rPr>
          <w:rFonts w:asciiTheme="majorHAnsi" w:hAnsiTheme="majorHAnsi" w:cstheme="majorHAnsi"/>
          <w:noProof/>
          <w:color w:val="000000" w:themeColor="text1"/>
          <w:sz w:val="22"/>
          <w:szCs w:val="22"/>
          <w:lang w:val="en-US"/>
        </w:rPr>
        <w:t xml:space="preserve">Greene, </w:t>
      </w:r>
      <w:r w:rsidR="009E3D85" w:rsidRPr="00CE4C7D">
        <w:rPr>
          <w:rFonts w:asciiTheme="majorHAnsi" w:hAnsiTheme="majorHAnsi" w:cstheme="majorHAnsi"/>
          <w:noProof/>
          <w:color w:val="000000" w:themeColor="text1"/>
          <w:sz w:val="22"/>
          <w:szCs w:val="22"/>
          <w:lang w:val="en-US"/>
        </w:rPr>
        <w:t xml:space="preserve">M. and </w:t>
      </w:r>
      <w:r w:rsidRPr="00CE4C7D">
        <w:rPr>
          <w:rFonts w:asciiTheme="majorHAnsi" w:hAnsiTheme="majorHAnsi" w:cstheme="majorHAnsi"/>
          <w:noProof/>
          <w:color w:val="000000" w:themeColor="text1"/>
          <w:sz w:val="22"/>
          <w:szCs w:val="22"/>
          <w:lang w:val="en-US"/>
        </w:rPr>
        <w:t>Fahy,</w:t>
      </w:r>
      <w:r w:rsidR="00EA1A34" w:rsidRPr="00CE4C7D">
        <w:rPr>
          <w:rFonts w:asciiTheme="majorHAnsi" w:hAnsiTheme="majorHAnsi" w:cstheme="majorHAnsi"/>
          <w:noProof/>
          <w:color w:val="000000" w:themeColor="text1"/>
          <w:sz w:val="22"/>
          <w:szCs w:val="22"/>
          <w:lang w:val="en-US"/>
        </w:rPr>
        <w:t xml:space="preserve"> F. (</w:t>
      </w:r>
      <w:r w:rsidR="009E3D85" w:rsidRPr="00CE4C7D">
        <w:rPr>
          <w:rFonts w:asciiTheme="majorHAnsi" w:hAnsiTheme="majorHAnsi" w:cstheme="majorHAnsi"/>
          <w:noProof/>
          <w:color w:val="000000" w:themeColor="text1"/>
          <w:sz w:val="22"/>
          <w:szCs w:val="22"/>
          <w:lang w:val="en-US"/>
        </w:rPr>
        <w:t>2020</w:t>
      </w:r>
      <w:r w:rsidR="00EA1A34" w:rsidRPr="00CE4C7D">
        <w:rPr>
          <w:rFonts w:asciiTheme="majorHAnsi" w:hAnsiTheme="majorHAnsi" w:cstheme="majorHAnsi"/>
          <w:noProof/>
          <w:color w:val="000000" w:themeColor="text1"/>
          <w:sz w:val="22"/>
          <w:szCs w:val="22"/>
          <w:lang w:val="en-US"/>
        </w:rPr>
        <w:t>),</w:t>
      </w:r>
      <w:r w:rsidR="009E3D85" w:rsidRPr="00CE4C7D">
        <w:rPr>
          <w:rFonts w:asciiTheme="majorHAnsi" w:hAnsiTheme="majorHAnsi" w:cstheme="majorHAnsi"/>
          <w:noProof/>
          <w:color w:val="000000" w:themeColor="text1"/>
          <w:sz w:val="22"/>
          <w:szCs w:val="22"/>
          <w:lang w:val="en-US"/>
        </w:rPr>
        <w:t xml:space="preserve"> </w:t>
      </w:r>
      <w:r w:rsidR="000D49BD" w:rsidRPr="00CE4C7D">
        <w:rPr>
          <w:rFonts w:asciiTheme="majorHAnsi" w:hAnsiTheme="majorHAnsi" w:cstheme="majorHAnsi"/>
          <w:noProof/>
          <w:color w:val="000000" w:themeColor="text1"/>
          <w:sz w:val="22"/>
          <w:szCs w:val="22"/>
          <w:lang w:val="en-US"/>
        </w:rPr>
        <w:t>‘</w:t>
      </w:r>
      <w:r w:rsidRPr="00CE4C7D">
        <w:rPr>
          <w:rFonts w:asciiTheme="majorHAnsi" w:hAnsiTheme="majorHAnsi" w:cstheme="majorHAnsi"/>
          <w:noProof/>
          <w:color w:val="000000" w:themeColor="text1"/>
          <w:sz w:val="22"/>
          <w:szCs w:val="22"/>
          <w:lang w:val="en-US"/>
        </w:rPr>
        <w:t>Steering demand? Exploring the intersection of policy, practice and lives in e</w:t>
      </w:r>
      <w:r w:rsidR="00933C45" w:rsidRPr="00CE4C7D">
        <w:rPr>
          <w:rFonts w:asciiTheme="majorHAnsi" w:hAnsiTheme="majorHAnsi" w:cstheme="majorHAnsi"/>
          <w:noProof/>
          <w:color w:val="000000" w:themeColor="text1"/>
          <w:sz w:val="22"/>
          <w:szCs w:val="22"/>
          <w:lang w:val="en-US"/>
        </w:rPr>
        <w:t>nergy systems change in Ireland</w:t>
      </w:r>
      <w:r w:rsidR="000D49BD" w:rsidRPr="00CE4C7D">
        <w:rPr>
          <w:rFonts w:asciiTheme="majorHAnsi" w:hAnsiTheme="majorHAnsi" w:cstheme="majorHAnsi"/>
          <w:noProof/>
          <w:color w:val="000000" w:themeColor="text1"/>
          <w:sz w:val="22"/>
          <w:szCs w:val="22"/>
          <w:lang w:val="en-US"/>
        </w:rPr>
        <w:t>’</w:t>
      </w:r>
      <w:r w:rsidR="00933C45" w:rsidRPr="00CE4C7D">
        <w:rPr>
          <w:rFonts w:asciiTheme="majorHAnsi" w:hAnsiTheme="majorHAnsi" w:cstheme="majorHAnsi"/>
          <w:noProof/>
          <w:color w:val="000000" w:themeColor="text1"/>
          <w:sz w:val="22"/>
          <w:szCs w:val="22"/>
          <w:lang w:val="en-US"/>
        </w:rPr>
        <w:t>,</w:t>
      </w:r>
      <w:r w:rsidR="009E3D85" w:rsidRPr="00CE4C7D">
        <w:rPr>
          <w:rFonts w:asciiTheme="majorHAnsi" w:hAnsiTheme="majorHAnsi" w:cstheme="majorHAnsi"/>
          <w:noProof/>
          <w:color w:val="000000" w:themeColor="text1"/>
          <w:sz w:val="22"/>
          <w:szCs w:val="22"/>
          <w:lang w:val="en-US"/>
        </w:rPr>
        <w:t xml:space="preserve"> </w:t>
      </w:r>
      <w:r w:rsidRPr="00CE4C7D">
        <w:rPr>
          <w:rFonts w:asciiTheme="majorHAnsi" w:hAnsiTheme="majorHAnsi" w:cstheme="majorHAnsi"/>
          <w:i/>
          <w:noProof/>
          <w:color w:val="000000" w:themeColor="text1"/>
          <w:sz w:val="22"/>
          <w:szCs w:val="22"/>
          <w:lang w:val="en-US"/>
        </w:rPr>
        <w:t>Energy Research &amp; Social Science</w:t>
      </w:r>
      <w:r w:rsidRPr="00CE4C7D">
        <w:rPr>
          <w:rFonts w:asciiTheme="majorHAnsi" w:hAnsiTheme="majorHAnsi" w:cstheme="majorHAnsi"/>
          <w:noProof/>
          <w:color w:val="000000" w:themeColor="text1"/>
          <w:sz w:val="22"/>
          <w:szCs w:val="22"/>
          <w:lang w:val="en-US"/>
        </w:rPr>
        <w:t>,</w:t>
      </w:r>
      <w:r w:rsidR="009E3D85" w:rsidRPr="00CE4C7D">
        <w:rPr>
          <w:rFonts w:asciiTheme="majorHAnsi" w:hAnsiTheme="majorHAnsi" w:cstheme="majorHAnsi"/>
          <w:noProof/>
          <w:color w:val="000000" w:themeColor="text1"/>
          <w:sz w:val="22"/>
          <w:szCs w:val="22"/>
          <w:lang w:val="en-US"/>
        </w:rPr>
        <w:t xml:space="preserve"> </w:t>
      </w:r>
      <w:r w:rsidRPr="00CE4C7D">
        <w:rPr>
          <w:rFonts w:asciiTheme="majorHAnsi" w:hAnsiTheme="majorHAnsi" w:cstheme="majorHAnsi"/>
          <w:b/>
          <w:noProof/>
          <w:color w:val="000000" w:themeColor="text1"/>
          <w:sz w:val="22"/>
          <w:szCs w:val="22"/>
          <w:lang w:val="en-US"/>
        </w:rPr>
        <w:t>61,</w:t>
      </w:r>
      <w:r w:rsidR="009E3D85" w:rsidRPr="00CE4C7D">
        <w:rPr>
          <w:rFonts w:asciiTheme="majorHAnsi" w:hAnsiTheme="majorHAnsi" w:cstheme="majorHAnsi"/>
          <w:noProof/>
          <w:color w:val="000000" w:themeColor="text1"/>
          <w:sz w:val="22"/>
          <w:szCs w:val="22"/>
          <w:lang w:val="en-US"/>
        </w:rPr>
        <w:t xml:space="preserve"> </w:t>
      </w:r>
      <w:r w:rsidRPr="00CE4C7D">
        <w:rPr>
          <w:rFonts w:asciiTheme="majorHAnsi" w:hAnsiTheme="majorHAnsi" w:cstheme="majorHAnsi"/>
          <w:noProof/>
          <w:color w:val="000000" w:themeColor="text1"/>
          <w:sz w:val="22"/>
          <w:szCs w:val="22"/>
          <w:lang w:val="en-US"/>
        </w:rPr>
        <w:t>101331</w:t>
      </w:r>
      <w:r w:rsidR="009E3D85" w:rsidRPr="00CE4C7D">
        <w:rPr>
          <w:rFonts w:asciiTheme="majorHAnsi" w:hAnsiTheme="majorHAnsi" w:cstheme="majorHAnsi"/>
          <w:noProof/>
          <w:color w:val="000000" w:themeColor="text1"/>
          <w:sz w:val="22"/>
          <w:szCs w:val="22"/>
          <w:lang w:val="en-US"/>
        </w:rPr>
        <w:t>.</w:t>
      </w:r>
    </w:p>
    <w:p w14:paraId="34BD494B" w14:textId="7E945335" w:rsidR="003F05BC" w:rsidRPr="00CE4C7D" w:rsidRDefault="003F05BC" w:rsidP="00F25A95">
      <w:pPr>
        <w:spacing w:before="220"/>
        <w:rPr>
          <w:rFonts w:asciiTheme="majorHAnsi" w:hAnsiTheme="majorHAnsi" w:cstheme="majorHAnsi"/>
          <w:noProof/>
          <w:color w:val="000000" w:themeColor="text1"/>
          <w:sz w:val="22"/>
          <w:szCs w:val="22"/>
          <w:lang w:val="en-US"/>
        </w:rPr>
      </w:pPr>
      <w:r w:rsidRPr="00CE4C7D">
        <w:rPr>
          <w:rFonts w:asciiTheme="majorHAnsi" w:hAnsiTheme="majorHAnsi" w:cstheme="majorHAnsi"/>
          <w:noProof/>
          <w:color w:val="000000" w:themeColor="text1"/>
          <w:sz w:val="22"/>
          <w:szCs w:val="22"/>
          <w:lang w:val="en-US"/>
        </w:rPr>
        <w:t>Hallswo</w:t>
      </w:r>
      <w:r w:rsidR="00B45F44" w:rsidRPr="00CE4C7D">
        <w:rPr>
          <w:rFonts w:asciiTheme="majorHAnsi" w:hAnsiTheme="majorHAnsi" w:cstheme="majorHAnsi"/>
          <w:noProof/>
          <w:color w:val="000000" w:themeColor="text1"/>
          <w:sz w:val="22"/>
          <w:szCs w:val="22"/>
          <w:lang w:val="en-US"/>
        </w:rPr>
        <w:t xml:space="preserve">rth, A., Tolley, R., </w:t>
      </w:r>
      <w:r w:rsidR="00BE04A7" w:rsidRPr="00CE4C7D">
        <w:rPr>
          <w:rFonts w:asciiTheme="majorHAnsi" w:hAnsiTheme="majorHAnsi" w:cstheme="majorHAnsi"/>
          <w:noProof/>
          <w:color w:val="000000" w:themeColor="text1"/>
          <w:sz w:val="22"/>
          <w:szCs w:val="22"/>
          <w:lang w:val="en-US"/>
        </w:rPr>
        <w:t xml:space="preserve">and </w:t>
      </w:r>
      <w:r w:rsidR="00B45F44" w:rsidRPr="00CE4C7D">
        <w:rPr>
          <w:rFonts w:asciiTheme="majorHAnsi" w:hAnsiTheme="majorHAnsi" w:cstheme="majorHAnsi"/>
          <w:noProof/>
          <w:color w:val="000000" w:themeColor="text1"/>
          <w:sz w:val="22"/>
          <w:szCs w:val="22"/>
          <w:lang w:val="en-US"/>
        </w:rPr>
        <w:t>Black, C. (1998),</w:t>
      </w:r>
      <w:r w:rsidRPr="00CE4C7D">
        <w:rPr>
          <w:rFonts w:asciiTheme="majorHAnsi" w:hAnsiTheme="majorHAnsi" w:cstheme="majorHAnsi"/>
          <w:noProof/>
          <w:color w:val="000000" w:themeColor="text1"/>
          <w:sz w:val="22"/>
          <w:szCs w:val="22"/>
          <w:lang w:val="en-US"/>
        </w:rPr>
        <w:t xml:space="preserve"> </w:t>
      </w:r>
      <w:r w:rsidR="000D49BD" w:rsidRPr="00CE4C7D">
        <w:rPr>
          <w:rFonts w:asciiTheme="majorHAnsi" w:hAnsiTheme="majorHAnsi" w:cstheme="majorHAnsi"/>
          <w:noProof/>
          <w:color w:val="000000" w:themeColor="text1"/>
          <w:sz w:val="22"/>
          <w:szCs w:val="22"/>
          <w:lang w:val="en-US"/>
        </w:rPr>
        <w:t>‘</w:t>
      </w:r>
      <w:r w:rsidRPr="00CE4C7D">
        <w:rPr>
          <w:rFonts w:asciiTheme="majorHAnsi" w:hAnsiTheme="majorHAnsi" w:cstheme="majorHAnsi"/>
          <w:noProof/>
          <w:color w:val="000000" w:themeColor="text1"/>
          <w:sz w:val="22"/>
          <w:szCs w:val="22"/>
          <w:lang w:val="en-US"/>
        </w:rPr>
        <w:t>Transport policy-making: the curse of</w:t>
      </w:r>
      <w:r w:rsidR="00933C45" w:rsidRPr="00CE4C7D">
        <w:rPr>
          <w:rFonts w:asciiTheme="majorHAnsi" w:hAnsiTheme="majorHAnsi" w:cstheme="majorHAnsi"/>
          <w:noProof/>
          <w:color w:val="000000" w:themeColor="text1"/>
          <w:sz w:val="22"/>
          <w:szCs w:val="22"/>
          <w:lang w:val="en-US"/>
        </w:rPr>
        <w:t xml:space="preserve"> the uncomfortable consequence</w:t>
      </w:r>
      <w:r w:rsidR="000D49BD" w:rsidRPr="00CE4C7D">
        <w:rPr>
          <w:rFonts w:asciiTheme="majorHAnsi" w:hAnsiTheme="majorHAnsi" w:cstheme="majorHAnsi"/>
          <w:noProof/>
          <w:color w:val="000000" w:themeColor="text1"/>
          <w:sz w:val="22"/>
          <w:szCs w:val="22"/>
          <w:lang w:val="en-US"/>
        </w:rPr>
        <w:t>’</w:t>
      </w:r>
      <w:r w:rsidR="00933C45" w:rsidRPr="00CE4C7D">
        <w:rPr>
          <w:rFonts w:asciiTheme="majorHAnsi" w:hAnsiTheme="majorHAnsi" w:cstheme="majorHAnsi"/>
          <w:noProof/>
          <w:color w:val="000000" w:themeColor="text1"/>
          <w:sz w:val="22"/>
          <w:szCs w:val="22"/>
          <w:lang w:val="en-US"/>
        </w:rPr>
        <w:t xml:space="preserve">, </w:t>
      </w:r>
      <w:r w:rsidRPr="00CE4C7D">
        <w:rPr>
          <w:rFonts w:asciiTheme="majorHAnsi" w:hAnsiTheme="majorHAnsi" w:cstheme="majorHAnsi"/>
          <w:i/>
          <w:noProof/>
          <w:color w:val="000000" w:themeColor="text1"/>
          <w:sz w:val="22"/>
          <w:szCs w:val="22"/>
          <w:lang w:val="en-US"/>
        </w:rPr>
        <w:t>Journal of Transport Geography</w:t>
      </w:r>
      <w:r w:rsidRPr="00CE4C7D">
        <w:rPr>
          <w:rFonts w:asciiTheme="majorHAnsi" w:hAnsiTheme="majorHAnsi" w:cstheme="majorHAnsi"/>
          <w:noProof/>
          <w:color w:val="000000" w:themeColor="text1"/>
          <w:sz w:val="22"/>
          <w:szCs w:val="22"/>
          <w:lang w:val="en-US"/>
        </w:rPr>
        <w:t xml:space="preserve">, </w:t>
      </w:r>
      <w:r w:rsidRPr="00CE4C7D">
        <w:rPr>
          <w:rFonts w:asciiTheme="majorHAnsi" w:hAnsiTheme="majorHAnsi" w:cstheme="majorHAnsi"/>
          <w:b/>
          <w:noProof/>
          <w:color w:val="000000" w:themeColor="text1"/>
          <w:sz w:val="22"/>
          <w:szCs w:val="22"/>
          <w:lang w:val="en-US"/>
        </w:rPr>
        <w:t>6</w:t>
      </w:r>
      <w:r w:rsidR="00BE04A7" w:rsidRPr="00CE4C7D">
        <w:rPr>
          <w:rFonts w:asciiTheme="majorHAnsi" w:hAnsiTheme="majorHAnsi" w:cstheme="majorHAnsi"/>
          <w:noProof/>
          <w:color w:val="000000" w:themeColor="text1"/>
          <w:sz w:val="22"/>
          <w:szCs w:val="22"/>
          <w:lang w:val="en-US"/>
        </w:rPr>
        <w:t xml:space="preserve"> </w:t>
      </w:r>
      <w:r w:rsidRPr="00CE4C7D">
        <w:rPr>
          <w:rFonts w:asciiTheme="majorHAnsi" w:hAnsiTheme="majorHAnsi" w:cstheme="majorHAnsi"/>
          <w:noProof/>
          <w:color w:val="000000" w:themeColor="text1"/>
          <w:sz w:val="22"/>
          <w:szCs w:val="22"/>
          <w:lang w:val="en-US"/>
        </w:rPr>
        <w:t>(2),</w:t>
      </w:r>
      <w:r w:rsidR="00E377DC" w:rsidRPr="00CE4C7D">
        <w:rPr>
          <w:rFonts w:asciiTheme="majorHAnsi" w:hAnsiTheme="majorHAnsi" w:cstheme="majorHAnsi"/>
          <w:noProof/>
          <w:color w:val="000000" w:themeColor="text1"/>
          <w:sz w:val="22"/>
          <w:szCs w:val="22"/>
          <w:lang w:val="en-US"/>
        </w:rPr>
        <w:t xml:space="preserve"> </w:t>
      </w:r>
      <w:r w:rsidRPr="00CE4C7D">
        <w:rPr>
          <w:rFonts w:asciiTheme="majorHAnsi" w:hAnsiTheme="majorHAnsi" w:cstheme="majorHAnsi"/>
          <w:noProof/>
          <w:color w:val="000000" w:themeColor="text1"/>
          <w:sz w:val="22"/>
          <w:szCs w:val="22"/>
          <w:lang w:val="en-US"/>
        </w:rPr>
        <w:t>159–166.</w:t>
      </w:r>
    </w:p>
    <w:p w14:paraId="5CB1884D" w14:textId="4B25A3C4" w:rsidR="003F05BC" w:rsidRPr="00CE4C7D" w:rsidRDefault="00B45F44" w:rsidP="00F25A95">
      <w:pPr>
        <w:spacing w:before="220"/>
        <w:rPr>
          <w:rFonts w:asciiTheme="majorHAnsi" w:hAnsiTheme="majorHAnsi" w:cstheme="majorHAnsi"/>
          <w:noProof/>
          <w:color w:val="000000" w:themeColor="text1"/>
          <w:sz w:val="22"/>
          <w:szCs w:val="22"/>
          <w:lang w:val="en-US"/>
        </w:rPr>
      </w:pPr>
      <w:r w:rsidRPr="00CE4C7D">
        <w:rPr>
          <w:rFonts w:asciiTheme="majorHAnsi" w:hAnsiTheme="majorHAnsi" w:cstheme="majorHAnsi"/>
          <w:noProof/>
          <w:color w:val="000000" w:themeColor="text1"/>
          <w:sz w:val="22"/>
          <w:szCs w:val="22"/>
          <w:lang w:val="en-US"/>
        </w:rPr>
        <w:t>He, S.Y. and Giuliano, G. (</w:t>
      </w:r>
      <w:r w:rsidR="003F05BC" w:rsidRPr="00CE4C7D">
        <w:rPr>
          <w:rFonts w:asciiTheme="majorHAnsi" w:hAnsiTheme="majorHAnsi" w:cstheme="majorHAnsi"/>
          <w:noProof/>
          <w:color w:val="000000" w:themeColor="text1"/>
          <w:sz w:val="22"/>
          <w:szCs w:val="22"/>
          <w:lang w:val="en-US"/>
        </w:rPr>
        <w:t>2017</w:t>
      </w:r>
      <w:r w:rsidRPr="00CE4C7D">
        <w:rPr>
          <w:rFonts w:asciiTheme="majorHAnsi" w:hAnsiTheme="majorHAnsi" w:cstheme="majorHAnsi"/>
          <w:noProof/>
          <w:color w:val="000000" w:themeColor="text1"/>
          <w:sz w:val="22"/>
          <w:szCs w:val="22"/>
          <w:lang w:val="en-US"/>
        </w:rPr>
        <w:t>),</w:t>
      </w:r>
      <w:r w:rsidR="003F05BC" w:rsidRPr="00CE4C7D">
        <w:rPr>
          <w:rFonts w:asciiTheme="majorHAnsi" w:hAnsiTheme="majorHAnsi" w:cstheme="majorHAnsi"/>
          <w:noProof/>
          <w:color w:val="000000" w:themeColor="text1"/>
          <w:sz w:val="22"/>
          <w:szCs w:val="22"/>
          <w:lang w:val="en-US"/>
        </w:rPr>
        <w:t xml:space="preserve"> </w:t>
      </w:r>
      <w:r w:rsidR="000D49BD" w:rsidRPr="00CE4C7D">
        <w:rPr>
          <w:rFonts w:asciiTheme="majorHAnsi" w:hAnsiTheme="majorHAnsi" w:cstheme="majorHAnsi"/>
          <w:noProof/>
          <w:color w:val="000000" w:themeColor="text1"/>
          <w:sz w:val="22"/>
          <w:szCs w:val="22"/>
          <w:lang w:val="en-US"/>
        </w:rPr>
        <w:t>‘</w:t>
      </w:r>
      <w:r w:rsidR="003F05BC" w:rsidRPr="00CE4C7D">
        <w:rPr>
          <w:rFonts w:asciiTheme="majorHAnsi" w:hAnsiTheme="majorHAnsi" w:cstheme="majorHAnsi"/>
          <w:noProof/>
          <w:color w:val="000000" w:themeColor="text1"/>
          <w:sz w:val="22"/>
          <w:szCs w:val="22"/>
          <w:lang w:val="en-US"/>
        </w:rPr>
        <w:t xml:space="preserve">School choice: understanding the trade-off between travel </w:t>
      </w:r>
      <w:r w:rsidR="000D49BD" w:rsidRPr="00CE4C7D">
        <w:rPr>
          <w:rFonts w:asciiTheme="majorHAnsi" w:hAnsiTheme="majorHAnsi" w:cstheme="majorHAnsi"/>
          <w:noProof/>
          <w:color w:val="000000" w:themeColor="text1"/>
          <w:sz w:val="22"/>
          <w:szCs w:val="22"/>
          <w:lang w:val="en-US"/>
        </w:rPr>
        <w:t xml:space="preserve">distance and school quality’, </w:t>
      </w:r>
      <w:r w:rsidR="003F05BC" w:rsidRPr="00CE4C7D">
        <w:rPr>
          <w:rFonts w:asciiTheme="majorHAnsi" w:hAnsiTheme="majorHAnsi" w:cstheme="majorHAnsi"/>
          <w:i/>
          <w:noProof/>
          <w:color w:val="000000" w:themeColor="text1"/>
          <w:sz w:val="22"/>
          <w:szCs w:val="22"/>
          <w:lang w:val="en-US"/>
        </w:rPr>
        <w:t>Transportation,</w:t>
      </w:r>
      <w:r w:rsidR="003F05BC" w:rsidRPr="00CE4C7D">
        <w:rPr>
          <w:rFonts w:asciiTheme="majorHAnsi" w:hAnsiTheme="majorHAnsi" w:cstheme="majorHAnsi"/>
          <w:noProof/>
          <w:color w:val="000000" w:themeColor="text1"/>
          <w:sz w:val="22"/>
          <w:szCs w:val="22"/>
          <w:lang w:val="en-US"/>
        </w:rPr>
        <w:t xml:space="preserve"> </w:t>
      </w:r>
      <w:r w:rsidR="003F05BC" w:rsidRPr="00CE4C7D">
        <w:rPr>
          <w:rFonts w:asciiTheme="majorHAnsi" w:hAnsiTheme="majorHAnsi" w:cstheme="majorHAnsi"/>
          <w:b/>
          <w:noProof/>
          <w:color w:val="000000" w:themeColor="text1"/>
          <w:sz w:val="22"/>
          <w:szCs w:val="22"/>
          <w:lang w:val="en-US"/>
        </w:rPr>
        <w:t>44,</w:t>
      </w:r>
      <w:r w:rsidR="00E377DC" w:rsidRPr="00CE4C7D">
        <w:rPr>
          <w:rFonts w:asciiTheme="majorHAnsi" w:hAnsiTheme="majorHAnsi" w:cstheme="majorHAnsi"/>
          <w:noProof/>
          <w:color w:val="000000" w:themeColor="text1"/>
          <w:sz w:val="22"/>
          <w:szCs w:val="22"/>
          <w:lang w:val="en-US"/>
        </w:rPr>
        <w:t xml:space="preserve"> </w:t>
      </w:r>
      <w:r w:rsidR="003F05BC" w:rsidRPr="00CE4C7D">
        <w:rPr>
          <w:rFonts w:asciiTheme="majorHAnsi" w:hAnsiTheme="majorHAnsi" w:cstheme="majorHAnsi"/>
          <w:noProof/>
          <w:color w:val="000000" w:themeColor="text1"/>
          <w:sz w:val="22"/>
          <w:szCs w:val="22"/>
          <w:lang w:val="en-US"/>
        </w:rPr>
        <w:t>1-24.</w:t>
      </w:r>
    </w:p>
    <w:p w14:paraId="21C6EBCF" w14:textId="0D355ACE" w:rsidR="003F05BC" w:rsidRPr="00CE4C7D" w:rsidRDefault="003F05BC" w:rsidP="00F25A95">
      <w:pPr>
        <w:spacing w:before="220"/>
        <w:rPr>
          <w:rFonts w:asciiTheme="majorHAnsi" w:hAnsiTheme="majorHAnsi" w:cstheme="majorHAnsi"/>
          <w:noProof/>
          <w:color w:val="000000" w:themeColor="text1"/>
          <w:sz w:val="22"/>
          <w:szCs w:val="22"/>
          <w:lang w:val="en-US"/>
        </w:rPr>
      </w:pPr>
      <w:r w:rsidRPr="00CE4C7D">
        <w:rPr>
          <w:rFonts w:asciiTheme="majorHAnsi" w:hAnsiTheme="majorHAnsi" w:cstheme="majorHAnsi"/>
          <w:noProof/>
          <w:color w:val="000000" w:themeColor="text1"/>
          <w:sz w:val="22"/>
          <w:szCs w:val="22"/>
          <w:lang w:val="en-US"/>
        </w:rPr>
        <w:t>Hems</w:t>
      </w:r>
      <w:r w:rsidR="00B45F44" w:rsidRPr="00CE4C7D">
        <w:rPr>
          <w:rFonts w:asciiTheme="majorHAnsi" w:hAnsiTheme="majorHAnsi" w:cstheme="majorHAnsi"/>
          <w:noProof/>
          <w:color w:val="000000" w:themeColor="text1"/>
          <w:sz w:val="22"/>
          <w:szCs w:val="22"/>
          <w:lang w:val="en-US"/>
        </w:rPr>
        <w:t>ley‐Brown, J., and Oplatka, I. (</w:t>
      </w:r>
      <w:r w:rsidRPr="00CE4C7D">
        <w:rPr>
          <w:rFonts w:asciiTheme="majorHAnsi" w:hAnsiTheme="majorHAnsi" w:cstheme="majorHAnsi"/>
          <w:noProof/>
          <w:color w:val="000000" w:themeColor="text1"/>
          <w:sz w:val="22"/>
          <w:szCs w:val="22"/>
          <w:lang w:val="en-US"/>
        </w:rPr>
        <w:t>2006</w:t>
      </w:r>
      <w:r w:rsidR="00B45F44" w:rsidRPr="00CE4C7D">
        <w:rPr>
          <w:rFonts w:asciiTheme="majorHAnsi" w:hAnsiTheme="majorHAnsi" w:cstheme="majorHAnsi"/>
          <w:noProof/>
          <w:color w:val="000000" w:themeColor="text1"/>
          <w:sz w:val="22"/>
          <w:szCs w:val="22"/>
          <w:lang w:val="en-US"/>
        </w:rPr>
        <w:t>),</w:t>
      </w:r>
      <w:r w:rsidRPr="00CE4C7D">
        <w:rPr>
          <w:rFonts w:asciiTheme="majorHAnsi" w:hAnsiTheme="majorHAnsi" w:cstheme="majorHAnsi"/>
          <w:noProof/>
          <w:color w:val="000000" w:themeColor="text1"/>
          <w:sz w:val="22"/>
          <w:szCs w:val="22"/>
          <w:lang w:val="en-US"/>
        </w:rPr>
        <w:t xml:space="preserve"> </w:t>
      </w:r>
      <w:r w:rsidR="000D49BD" w:rsidRPr="00CE4C7D">
        <w:rPr>
          <w:rFonts w:asciiTheme="majorHAnsi" w:hAnsiTheme="majorHAnsi" w:cstheme="majorHAnsi"/>
          <w:noProof/>
          <w:color w:val="000000" w:themeColor="text1"/>
          <w:sz w:val="22"/>
          <w:szCs w:val="22"/>
          <w:lang w:val="en-US"/>
        </w:rPr>
        <w:t>‘</w:t>
      </w:r>
      <w:r w:rsidRPr="00CE4C7D">
        <w:rPr>
          <w:rFonts w:asciiTheme="majorHAnsi" w:hAnsiTheme="majorHAnsi" w:cstheme="majorHAnsi"/>
          <w:noProof/>
          <w:color w:val="000000" w:themeColor="text1"/>
          <w:sz w:val="22"/>
          <w:szCs w:val="22"/>
          <w:lang w:val="en-US"/>
        </w:rPr>
        <w:t>Universities in a competitive global marketplace: A systematic review of the literature</w:t>
      </w:r>
      <w:r w:rsidR="007A40D4" w:rsidRPr="00CE4C7D">
        <w:rPr>
          <w:rFonts w:asciiTheme="majorHAnsi" w:hAnsiTheme="majorHAnsi" w:cstheme="majorHAnsi"/>
          <w:noProof/>
          <w:color w:val="000000" w:themeColor="text1"/>
          <w:sz w:val="22"/>
          <w:szCs w:val="22"/>
          <w:lang w:val="en-US"/>
        </w:rPr>
        <w:t xml:space="preserve"> on higher education marketing</w:t>
      </w:r>
      <w:r w:rsidR="000D49BD" w:rsidRPr="00CE4C7D">
        <w:rPr>
          <w:rFonts w:asciiTheme="majorHAnsi" w:hAnsiTheme="majorHAnsi" w:cstheme="majorHAnsi"/>
          <w:noProof/>
          <w:color w:val="000000" w:themeColor="text1"/>
          <w:sz w:val="22"/>
          <w:szCs w:val="22"/>
          <w:lang w:val="en-US"/>
        </w:rPr>
        <w:t>’</w:t>
      </w:r>
      <w:r w:rsidR="007A40D4" w:rsidRPr="00CE4C7D">
        <w:rPr>
          <w:rFonts w:asciiTheme="majorHAnsi" w:hAnsiTheme="majorHAnsi" w:cstheme="majorHAnsi"/>
          <w:noProof/>
          <w:color w:val="000000" w:themeColor="text1"/>
          <w:sz w:val="22"/>
          <w:szCs w:val="22"/>
          <w:lang w:val="en-US"/>
        </w:rPr>
        <w:t xml:space="preserve">, </w:t>
      </w:r>
      <w:r w:rsidRPr="00CE4C7D">
        <w:rPr>
          <w:rFonts w:asciiTheme="majorHAnsi" w:hAnsiTheme="majorHAnsi" w:cstheme="majorHAnsi"/>
          <w:i/>
          <w:noProof/>
          <w:color w:val="000000" w:themeColor="text1"/>
          <w:sz w:val="22"/>
          <w:szCs w:val="22"/>
          <w:lang w:val="en-US"/>
        </w:rPr>
        <w:t>International Journal of Public Sector Management,</w:t>
      </w:r>
      <w:r w:rsidRPr="00CE4C7D">
        <w:rPr>
          <w:rFonts w:asciiTheme="majorHAnsi" w:hAnsiTheme="majorHAnsi" w:cstheme="majorHAnsi"/>
          <w:noProof/>
          <w:color w:val="000000" w:themeColor="text1"/>
          <w:sz w:val="22"/>
          <w:szCs w:val="22"/>
          <w:lang w:val="en-US"/>
        </w:rPr>
        <w:t xml:space="preserve"> </w:t>
      </w:r>
      <w:r w:rsidRPr="00CE4C7D">
        <w:rPr>
          <w:rFonts w:asciiTheme="majorHAnsi" w:hAnsiTheme="majorHAnsi" w:cstheme="majorHAnsi"/>
          <w:b/>
          <w:noProof/>
          <w:color w:val="000000" w:themeColor="text1"/>
          <w:sz w:val="22"/>
          <w:szCs w:val="22"/>
          <w:lang w:val="en-US"/>
        </w:rPr>
        <w:t>19</w:t>
      </w:r>
      <w:r w:rsidR="00E150AC" w:rsidRPr="00CE4C7D">
        <w:rPr>
          <w:rFonts w:asciiTheme="majorHAnsi" w:hAnsiTheme="majorHAnsi" w:cstheme="majorHAnsi"/>
          <w:b/>
          <w:noProof/>
          <w:color w:val="000000" w:themeColor="text1"/>
          <w:sz w:val="22"/>
          <w:szCs w:val="22"/>
          <w:lang w:val="en-US"/>
        </w:rPr>
        <w:t xml:space="preserve"> </w:t>
      </w:r>
      <w:r w:rsidRPr="00CE4C7D">
        <w:rPr>
          <w:rFonts w:asciiTheme="majorHAnsi" w:hAnsiTheme="majorHAnsi" w:cstheme="majorHAnsi"/>
          <w:noProof/>
          <w:color w:val="000000" w:themeColor="text1"/>
          <w:sz w:val="22"/>
          <w:szCs w:val="22"/>
          <w:lang w:val="en-US"/>
        </w:rPr>
        <w:t>(4),</w:t>
      </w:r>
      <w:r w:rsidR="00E377DC" w:rsidRPr="00CE4C7D">
        <w:rPr>
          <w:rFonts w:asciiTheme="majorHAnsi" w:hAnsiTheme="majorHAnsi" w:cstheme="majorHAnsi"/>
          <w:noProof/>
          <w:color w:val="000000" w:themeColor="text1"/>
          <w:sz w:val="22"/>
          <w:szCs w:val="22"/>
          <w:lang w:val="en-US"/>
        </w:rPr>
        <w:t xml:space="preserve"> </w:t>
      </w:r>
      <w:r w:rsidRPr="00CE4C7D">
        <w:rPr>
          <w:rFonts w:asciiTheme="majorHAnsi" w:hAnsiTheme="majorHAnsi" w:cstheme="majorHAnsi"/>
          <w:noProof/>
          <w:color w:val="000000" w:themeColor="text1"/>
          <w:sz w:val="22"/>
          <w:szCs w:val="22"/>
          <w:lang w:val="en-US"/>
        </w:rPr>
        <w:t>316–338.</w:t>
      </w:r>
    </w:p>
    <w:p w14:paraId="67512503" w14:textId="3FAECF8A" w:rsidR="003F05BC" w:rsidRPr="00CE4C7D" w:rsidRDefault="003F05BC" w:rsidP="00F25A95">
      <w:pPr>
        <w:spacing w:before="220"/>
        <w:rPr>
          <w:rFonts w:asciiTheme="majorHAnsi" w:hAnsiTheme="majorHAnsi" w:cstheme="majorHAnsi"/>
          <w:noProof/>
          <w:color w:val="000000" w:themeColor="text1"/>
          <w:sz w:val="22"/>
          <w:szCs w:val="22"/>
          <w:lang w:val="en-US"/>
        </w:rPr>
      </w:pPr>
      <w:r w:rsidRPr="00CE4C7D">
        <w:rPr>
          <w:rFonts w:asciiTheme="majorHAnsi" w:hAnsiTheme="majorHAnsi" w:cstheme="majorHAnsi"/>
          <w:noProof/>
          <w:color w:val="000000" w:themeColor="text1"/>
          <w:sz w:val="22"/>
          <w:szCs w:val="22"/>
          <w:lang w:val="en-US"/>
        </w:rPr>
        <w:t>Higher Educati</w:t>
      </w:r>
      <w:r w:rsidR="006C20D2" w:rsidRPr="00CE4C7D">
        <w:rPr>
          <w:rFonts w:asciiTheme="majorHAnsi" w:hAnsiTheme="majorHAnsi" w:cstheme="majorHAnsi"/>
          <w:noProof/>
          <w:color w:val="000000" w:themeColor="text1"/>
          <w:sz w:val="22"/>
          <w:szCs w:val="22"/>
          <w:lang w:val="en-US"/>
        </w:rPr>
        <w:t>on Funding Council for England (</w:t>
      </w:r>
      <w:r w:rsidRPr="00CE4C7D">
        <w:rPr>
          <w:rFonts w:asciiTheme="majorHAnsi" w:hAnsiTheme="majorHAnsi" w:cstheme="majorHAnsi"/>
          <w:noProof/>
          <w:color w:val="000000" w:themeColor="text1"/>
          <w:sz w:val="22"/>
          <w:szCs w:val="22"/>
          <w:lang w:val="en-US"/>
        </w:rPr>
        <w:t>2014</w:t>
      </w:r>
      <w:r w:rsidR="006C20D2" w:rsidRPr="00CE4C7D">
        <w:rPr>
          <w:rFonts w:asciiTheme="majorHAnsi" w:hAnsiTheme="majorHAnsi" w:cstheme="majorHAnsi"/>
          <w:noProof/>
          <w:color w:val="000000" w:themeColor="text1"/>
          <w:sz w:val="22"/>
          <w:szCs w:val="22"/>
          <w:lang w:val="en-US"/>
        </w:rPr>
        <w:t>),</w:t>
      </w:r>
      <w:r w:rsidRPr="00CE4C7D">
        <w:rPr>
          <w:rFonts w:asciiTheme="majorHAnsi" w:hAnsiTheme="majorHAnsi" w:cstheme="majorHAnsi"/>
          <w:noProof/>
          <w:color w:val="000000" w:themeColor="text1"/>
          <w:sz w:val="22"/>
          <w:szCs w:val="22"/>
          <w:lang w:val="en-US"/>
        </w:rPr>
        <w:t xml:space="preserve"> </w:t>
      </w:r>
      <w:r w:rsidR="000D49BD" w:rsidRPr="00CE4C7D">
        <w:rPr>
          <w:rFonts w:asciiTheme="majorHAnsi" w:hAnsiTheme="majorHAnsi" w:cstheme="majorHAnsi"/>
          <w:noProof/>
          <w:color w:val="000000" w:themeColor="text1"/>
          <w:sz w:val="22"/>
          <w:szCs w:val="22"/>
          <w:lang w:val="en-US"/>
        </w:rPr>
        <w:t>‘</w:t>
      </w:r>
      <w:r w:rsidRPr="00CE4C7D">
        <w:rPr>
          <w:rFonts w:asciiTheme="majorHAnsi" w:hAnsiTheme="majorHAnsi" w:cstheme="majorHAnsi"/>
          <w:noProof/>
          <w:color w:val="000000" w:themeColor="text1"/>
          <w:sz w:val="22"/>
          <w:szCs w:val="22"/>
          <w:lang w:val="en-US"/>
        </w:rPr>
        <w:t>Sustainable Development in Higher Education: HEFCE's Role to Date and a F</w:t>
      </w:r>
      <w:r w:rsidR="007A40D4" w:rsidRPr="00CE4C7D">
        <w:rPr>
          <w:rFonts w:asciiTheme="majorHAnsi" w:hAnsiTheme="majorHAnsi" w:cstheme="majorHAnsi"/>
          <w:noProof/>
          <w:color w:val="000000" w:themeColor="text1"/>
          <w:sz w:val="22"/>
          <w:szCs w:val="22"/>
          <w:lang w:val="en-US"/>
        </w:rPr>
        <w:t>ramework for its Future Actions</w:t>
      </w:r>
      <w:r w:rsidR="000D49BD" w:rsidRPr="00CE4C7D">
        <w:rPr>
          <w:rFonts w:asciiTheme="majorHAnsi" w:hAnsiTheme="majorHAnsi" w:cstheme="majorHAnsi"/>
          <w:noProof/>
          <w:color w:val="000000" w:themeColor="text1"/>
          <w:sz w:val="22"/>
          <w:szCs w:val="22"/>
          <w:lang w:val="en-US"/>
        </w:rPr>
        <w:t>’</w:t>
      </w:r>
      <w:r w:rsidR="007A40D4" w:rsidRPr="00CE4C7D">
        <w:rPr>
          <w:rFonts w:asciiTheme="majorHAnsi" w:hAnsiTheme="majorHAnsi" w:cstheme="majorHAnsi"/>
          <w:noProof/>
          <w:color w:val="000000" w:themeColor="text1"/>
          <w:sz w:val="22"/>
          <w:szCs w:val="22"/>
          <w:lang w:val="en-US"/>
        </w:rPr>
        <w:t>, Bristol:</w:t>
      </w:r>
      <w:r w:rsidRPr="00CE4C7D">
        <w:rPr>
          <w:rFonts w:asciiTheme="majorHAnsi" w:hAnsiTheme="majorHAnsi" w:cstheme="majorHAnsi"/>
          <w:noProof/>
          <w:color w:val="000000" w:themeColor="text1"/>
          <w:sz w:val="22"/>
          <w:szCs w:val="22"/>
          <w:lang w:val="en-US"/>
        </w:rPr>
        <w:t xml:space="preserve"> Higher Education Fundi</w:t>
      </w:r>
      <w:r w:rsidR="007A40D4" w:rsidRPr="00CE4C7D">
        <w:rPr>
          <w:rFonts w:asciiTheme="majorHAnsi" w:hAnsiTheme="majorHAnsi" w:cstheme="majorHAnsi"/>
          <w:noProof/>
          <w:color w:val="000000" w:themeColor="text1"/>
          <w:sz w:val="22"/>
          <w:szCs w:val="22"/>
          <w:lang w:val="en-US"/>
        </w:rPr>
        <w:t>ng Council for England.</w:t>
      </w:r>
    </w:p>
    <w:p w14:paraId="2F05C280" w14:textId="52E94CC7" w:rsidR="003F05BC" w:rsidRPr="00CE4C7D" w:rsidRDefault="003F05BC" w:rsidP="00F25A95">
      <w:pPr>
        <w:spacing w:before="220"/>
        <w:rPr>
          <w:rFonts w:asciiTheme="majorHAnsi" w:hAnsiTheme="majorHAnsi" w:cstheme="majorHAnsi"/>
          <w:noProof/>
          <w:color w:val="000000" w:themeColor="text1"/>
          <w:sz w:val="22"/>
          <w:szCs w:val="22"/>
          <w:lang w:val="en-US"/>
        </w:rPr>
      </w:pPr>
      <w:r w:rsidRPr="00CE4C7D">
        <w:rPr>
          <w:rFonts w:asciiTheme="majorHAnsi" w:hAnsiTheme="majorHAnsi" w:cstheme="majorHAnsi"/>
          <w:noProof/>
          <w:color w:val="000000" w:themeColor="text1"/>
          <w:sz w:val="22"/>
          <w:szCs w:val="22"/>
          <w:lang w:val="en-US"/>
        </w:rPr>
        <w:t>Jordan, A.</w:t>
      </w:r>
      <w:r w:rsidR="006C20D2" w:rsidRPr="00CE4C7D">
        <w:rPr>
          <w:rFonts w:asciiTheme="majorHAnsi" w:hAnsiTheme="majorHAnsi" w:cstheme="majorHAnsi"/>
          <w:noProof/>
          <w:color w:val="000000" w:themeColor="text1"/>
          <w:sz w:val="22"/>
          <w:szCs w:val="22"/>
          <w:lang w:val="en-US"/>
        </w:rPr>
        <w:t xml:space="preserve"> and Lenschow, A. (2010),</w:t>
      </w:r>
      <w:r w:rsidRPr="00CE4C7D">
        <w:rPr>
          <w:rFonts w:asciiTheme="majorHAnsi" w:hAnsiTheme="majorHAnsi" w:cstheme="majorHAnsi"/>
          <w:noProof/>
          <w:color w:val="000000" w:themeColor="text1"/>
          <w:sz w:val="22"/>
          <w:szCs w:val="22"/>
          <w:lang w:val="en-US"/>
        </w:rPr>
        <w:t xml:space="preserve"> </w:t>
      </w:r>
      <w:r w:rsidR="000D49BD" w:rsidRPr="00CE4C7D">
        <w:rPr>
          <w:rFonts w:asciiTheme="majorHAnsi" w:hAnsiTheme="majorHAnsi" w:cstheme="majorHAnsi"/>
          <w:noProof/>
          <w:color w:val="000000" w:themeColor="text1"/>
          <w:sz w:val="22"/>
          <w:szCs w:val="22"/>
          <w:lang w:val="en-US"/>
        </w:rPr>
        <w:t>‘</w:t>
      </w:r>
      <w:r w:rsidRPr="00CE4C7D">
        <w:rPr>
          <w:rFonts w:asciiTheme="majorHAnsi" w:hAnsiTheme="majorHAnsi" w:cstheme="majorHAnsi"/>
          <w:noProof/>
          <w:color w:val="000000" w:themeColor="text1"/>
          <w:sz w:val="22"/>
          <w:szCs w:val="22"/>
          <w:lang w:val="en-US"/>
        </w:rPr>
        <w:t>Environmental policy integra</w:t>
      </w:r>
      <w:r w:rsidR="007A40D4" w:rsidRPr="00CE4C7D">
        <w:rPr>
          <w:rFonts w:asciiTheme="majorHAnsi" w:hAnsiTheme="majorHAnsi" w:cstheme="majorHAnsi"/>
          <w:noProof/>
          <w:color w:val="000000" w:themeColor="text1"/>
          <w:sz w:val="22"/>
          <w:szCs w:val="22"/>
          <w:lang w:val="en-US"/>
        </w:rPr>
        <w:t>tion: a state of the art review</w:t>
      </w:r>
      <w:r w:rsidR="000D49BD" w:rsidRPr="00CE4C7D">
        <w:rPr>
          <w:rFonts w:asciiTheme="majorHAnsi" w:hAnsiTheme="majorHAnsi" w:cstheme="majorHAnsi"/>
          <w:noProof/>
          <w:color w:val="000000" w:themeColor="text1"/>
          <w:sz w:val="22"/>
          <w:szCs w:val="22"/>
          <w:lang w:val="en-US"/>
        </w:rPr>
        <w:t>’</w:t>
      </w:r>
      <w:r w:rsidR="007A40D4" w:rsidRPr="00CE4C7D">
        <w:rPr>
          <w:rFonts w:asciiTheme="majorHAnsi" w:hAnsiTheme="majorHAnsi" w:cstheme="majorHAnsi"/>
          <w:noProof/>
          <w:color w:val="000000" w:themeColor="text1"/>
          <w:sz w:val="22"/>
          <w:szCs w:val="22"/>
          <w:lang w:val="en-US"/>
        </w:rPr>
        <w:t>,</w:t>
      </w:r>
      <w:r w:rsidRPr="00CE4C7D">
        <w:rPr>
          <w:rFonts w:asciiTheme="majorHAnsi" w:hAnsiTheme="majorHAnsi" w:cstheme="majorHAnsi"/>
          <w:noProof/>
          <w:color w:val="000000" w:themeColor="text1"/>
          <w:sz w:val="22"/>
          <w:szCs w:val="22"/>
          <w:lang w:val="en-US"/>
        </w:rPr>
        <w:t xml:space="preserve"> </w:t>
      </w:r>
      <w:r w:rsidRPr="00CE4C7D">
        <w:rPr>
          <w:rFonts w:asciiTheme="majorHAnsi" w:hAnsiTheme="majorHAnsi" w:cstheme="majorHAnsi"/>
          <w:i/>
          <w:noProof/>
          <w:color w:val="000000" w:themeColor="text1"/>
          <w:sz w:val="22"/>
          <w:szCs w:val="22"/>
          <w:lang w:val="en-US"/>
        </w:rPr>
        <w:t>Environmental Policy and Governance</w:t>
      </w:r>
      <w:r w:rsidR="00E4239F" w:rsidRPr="00CE4C7D">
        <w:rPr>
          <w:rFonts w:asciiTheme="majorHAnsi" w:hAnsiTheme="majorHAnsi" w:cstheme="majorHAnsi"/>
          <w:noProof/>
          <w:color w:val="000000" w:themeColor="text1"/>
          <w:sz w:val="22"/>
          <w:szCs w:val="22"/>
          <w:lang w:val="en-US"/>
        </w:rPr>
        <w:t>,</w:t>
      </w:r>
      <w:r w:rsidRPr="00CE4C7D">
        <w:rPr>
          <w:rFonts w:asciiTheme="majorHAnsi" w:hAnsiTheme="majorHAnsi" w:cstheme="majorHAnsi"/>
          <w:noProof/>
          <w:color w:val="000000" w:themeColor="text1"/>
          <w:sz w:val="22"/>
          <w:szCs w:val="22"/>
          <w:lang w:val="en-US"/>
        </w:rPr>
        <w:t xml:space="preserve"> </w:t>
      </w:r>
      <w:r w:rsidRPr="00CE4C7D">
        <w:rPr>
          <w:rFonts w:asciiTheme="majorHAnsi" w:hAnsiTheme="majorHAnsi" w:cstheme="majorHAnsi"/>
          <w:b/>
          <w:noProof/>
          <w:color w:val="000000" w:themeColor="text1"/>
          <w:sz w:val="22"/>
          <w:szCs w:val="22"/>
          <w:lang w:val="en-US"/>
        </w:rPr>
        <w:t>20</w:t>
      </w:r>
      <w:r w:rsidR="00E150AC" w:rsidRPr="00CE4C7D">
        <w:rPr>
          <w:rFonts w:asciiTheme="majorHAnsi" w:hAnsiTheme="majorHAnsi" w:cstheme="majorHAnsi"/>
          <w:b/>
          <w:noProof/>
          <w:color w:val="000000" w:themeColor="text1"/>
          <w:sz w:val="22"/>
          <w:szCs w:val="22"/>
          <w:lang w:val="en-US"/>
        </w:rPr>
        <w:t xml:space="preserve"> </w:t>
      </w:r>
      <w:r w:rsidRPr="00CE4C7D">
        <w:rPr>
          <w:rFonts w:asciiTheme="majorHAnsi" w:hAnsiTheme="majorHAnsi" w:cstheme="majorHAnsi"/>
          <w:noProof/>
          <w:color w:val="000000" w:themeColor="text1"/>
          <w:sz w:val="22"/>
          <w:szCs w:val="22"/>
          <w:lang w:val="en-US"/>
        </w:rPr>
        <w:t>(3),</w:t>
      </w:r>
      <w:r w:rsidR="00E377DC" w:rsidRPr="00CE4C7D">
        <w:rPr>
          <w:rFonts w:asciiTheme="majorHAnsi" w:hAnsiTheme="majorHAnsi" w:cstheme="majorHAnsi"/>
          <w:noProof/>
          <w:color w:val="000000" w:themeColor="text1"/>
          <w:sz w:val="22"/>
          <w:szCs w:val="22"/>
          <w:lang w:val="en-US"/>
        </w:rPr>
        <w:t xml:space="preserve"> </w:t>
      </w:r>
      <w:r w:rsidRPr="00CE4C7D">
        <w:rPr>
          <w:rFonts w:asciiTheme="majorHAnsi" w:hAnsiTheme="majorHAnsi" w:cstheme="majorHAnsi"/>
          <w:noProof/>
          <w:color w:val="000000" w:themeColor="text1"/>
          <w:sz w:val="22"/>
          <w:szCs w:val="22"/>
          <w:lang w:val="en-US"/>
        </w:rPr>
        <w:t>147–158.</w:t>
      </w:r>
    </w:p>
    <w:p w14:paraId="3A04FD9E" w14:textId="4EC12A39" w:rsidR="003F05BC" w:rsidRPr="00CE4C7D" w:rsidRDefault="006C20D2" w:rsidP="00F25A95">
      <w:pPr>
        <w:spacing w:before="220"/>
        <w:rPr>
          <w:rFonts w:asciiTheme="majorHAnsi" w:hAnsiTheme="majorHAnsi" w:cstheme="majorHAnsi"/>
          <w:noProof/>
          <w:color w:val="000000" w:themeColor="text1"/>
          <w:sz w:val="22"/>
          <w:szCs w:val="22"/>
          <w:lang w:val="en-US"/>
        </w:rPr>
      </w:pPr>
      <w:r w:rsidRPr="00CE4C7D">
        <w:rPr>
          <w:rFonts w:asciiTheme="majorHAnsi" w:hAnsiTheme="majorHAnsi" w:cstheme="majorHAnsi"/>
          <w:noProof/>
          <w:color w:val="000000" w:themeColor="text1"/>
          <w:sz w:val="22"/>
          <w:szCs w:val="22"/>
          <w:lang w:val="en-US"/>
        </w:rPr>
        <w:t>Ling, T. (2002),</w:t>
      </w:r>
      <w:r w:rsidR="003F05BC" w:rsidRPr="00CE4C7D">
        <w:rPr>
          <w:rFonts w:asciiTheme="majorHAnsi" w:hAnsiTheme="majorHAnsi" w:cstheme="majorHAnsi"/>
          <w:noProof/>
          <w:color w:val="000000" w:themeColor="text1"/>
          <w:sz w:val="22"/>
          <w:szCs w:val="22"/>
          <w:lang w:val="en-US"/>
        </w:rPr>
        <w:t xml:space="preserve"> </w:t>
      </w:r>
      <w:r w:rsidR="000D49BD" w:rsidRPr="00CE4C7D">
        <w:rPr>
          <w:rFonts w:asciiTheme="majorHAnsi" w:hAnsiTheme="majorHAnsi" w:cstheme="majorHAnsi"/>
          <w:noProof/>
          <w:color w:val="000000" w:themeColor="text1"/>
          <w:sz w:val="22"/>
          <w:szCs w:val="22"/>
          <w:lang w:val="en-US"/>
        </w:rPr>
        <w:t>‘</w:t>
      </w:r>
      <w:r w:rsidR="003F05BC" w:rsidRPr="00CE4C7D">
        <w:rPr>
          <w:rFonts w:asciiTheme="majorHAnsi" w:hAnsiTheme="majorHAnsi" w:cstheme="majorHAnsi"/>
          <w:noProof/>
          <w:color w:val="000000" w:themeColor="text1"/>
          <w:sz w:val="22"/>
          <w:szCs w:val="22"/>
          <w:lang w:val="en-US"/>
        </w:rPr>
        <w:t>Delivering joined-up government in the UK:</w:t>
      </w:r>
      <w:r w:rsidR="00E4239F" w:rsidRPr="00CE4C7D">
        <w:rPr>
          <w:rFonts w:asciiTheme="majorHAnsi" w:hAnsiTheme="majorHAnsi" w:cstheme="majorHAnsi"/>
          <w:noProof/>
          <w:color w:val="000000" w:themeColor="text1"/>
          <w:sz w:val="22"/>
          <w:szCs w:val="22"/>
          <w:lang w:val="en-US"/>
        </w:rPr>
        <w:t xml:space="preserve"> dimensions issues and problems</w:t>
      </w:r>
      <w:r w:rsidR="000D49BD" w:rsidRPr="00CE4C7D">
        <w:rPr>
          <w:rFonts w:asciiTheme="majorHAnsi" w:hAnsiTheme="majorHAnsi" w:cstheme="majorHAnsi"/>
          <w:noProof/>
          <w:color w:val="000000" w:themeColor="text1"/>
          <w:sz w:val="22"/>
          <w:szCs w:val="22"/>
          <w:lang w:val="en-US"/>
        </w:rPr>
        <w:t>’</w:t>
      </w:r>
      <w:r w:rsidR="00E4239F" w:rsidRPr="00CE4C7D">
        <w:rPr>
          <w:rFonts w:asciiTheme="majorHAnsi" w:hAnsiTheme="majorHAnsi" w:cstheme="majorHAnsi"/>
          <w:noProof/>
          <w:color w:val="000000" w:themeColor="text1"/>
          <w:sz w:val="22"/>
          <w:szCs w:val="22"/>
          <w:lang w:val="en-US"/>
        </w:rPr>
        <w:t>,</w:t>
      </w:r>
      <w:r w:rsidR="003F05BC" w:rsidRPr="00CE4C7D">
        <w:rPr>
          <w:rFonts w:asciiTheme="majorHAnsi" w:hAnsiTheme="majorHAnsi" w:cstheme="majorHAnsi"/>
          <w:noProof/>
          <w:color w:val="000000" w:themeColor="text1"/>
          <w:sz w:val="22"/>
          <w:szCs w:val="22"/>
          <w:lang w:val="en-US"/>
        </w:rPr>
        <w:t xml:space="preserve"> </w:t>
      </w:r>
      <w:r w:rsidR="003F05BC" w:rsidRPr="00CE4C7D">
        <w:rPr>
          <w:rFonts w:asciiTheme="majorHAnsi" w:hAnsiTheme="majorHAnsi" w:cstheme="majorHAnsi"/>
          <w:i/>
          <w:noProof/>
          <w:color w:val="000000" w:themeColor="text1"/>
          <w:sz w:val="22"/>
          <w:szCs w:val="22"/>
          <w:lang w:val="en-US"/>
        </w:rPr>
        <w:t>Public Administration</w:t>
      </w:r>
      <w:r w:rsidR="00E4239F" w:rsidRPr="00CE4C7D">
        <w:rPr>
          <w:rFonts w:asciiTheme="majorHAnsi" w:hAnsiTheme="majorHAnsi" w:cstheme="majorHAnsi"/>
          <w:noProof/>
          <w:color w:val="000000" w:themeColor="text1"/>
          <w:sz w:val="22"/>
          <w:szCs w:val="22"/>
          <w:lang w:val="en-US"/>
        </w:rPr>
        <w:t>,</w:t>
      </w:r>
      <w:r w:rsidR="003F05BC" w:rsidRPr="00CE4C7D">
        <w:rPr>
          <w:rFonts w:asciiTheme="majorHAnsi" w:hAnsiTheme="majorHAnsi" w:cstheme="majorHAnsi"/>
          <w:noProof/>
          <w:color w:val="000000" w:themeColor="text1"/>
          <w:sz w:val="22"/>
          <w:szCs w:val="22"/>
          <w:lang w:val="en-US"/>
        </w:rPr>
        <w:t xml:space="preserve"> </w:t>
      </w:r>
      <w:r w:rsidR="003F05BC" w:rsidRPr="00CE4C7D">
        <w:rPr>
          <w:rFonts w:asciiTheme="majorHAnsi" w:hAnsiTheme="majorHAnsi" w:cstheme="majorHAnsi"/>
          <w:b/>
          <w:noProof/>
          <w:color w:val="000000" w:themeColor="text1"/>
          <w:sz w:val="22"/>
          <w:szCs w:val="22"/>
          <w:lang w:val="en-US"/>
        </w:rPr>
        <w:t>80</w:t>
      </w:r>
      <w:r w:rsidR="00FC6C7A" w:rsidRPr="00CE4C7D">
        <w:rPr>
          <w:rFonts w:asciiTheme="majorHAnsi" w:hAnsiTheme="majorHAnsi" w:cstheme="majorHAnsi"/>
          <w:noProof/>
          <w:color w:val="000000" w:themeColor="text1"/>
          <w:sz w:val="22"/>
          <w:szCs w:val="22"/>
          <w:lang w:val="en-US"/>
        </w:rPr>
        <w:t xml:space="preserve"> </w:t>
      </w:r>
      <w:r w:rsidR="003F05BC" w:rsidRPr="00CE4C7D">
        <w:rPr>
          <w:rFonts w:asciiTheme="majorHAnsi" w:hAnsiTheme="majorHAnsi" w:cstheme="majorHAnsi"/>
          <w:noProof/>
          <w:color w:val="000000" w:themeColor="text1"/>
          <w:sz w:val="22"/>
          <w:szCs w:val="22"/>
          <w:lang w:val="en-US"/>
        </w:rPr>
        <w:t>(4),</w:t>
      </w:r>
      <w:r w:rsidR="00E377DC" w:rsidRPr="00CE4C7D">
        <w:rPr>
          <w:rFonts w:asciiTheme="majorHAnsi" w:hAnsiTheme="majorHAnsi" w:cstheme="majorHAnsi"/>
          <w:noProof/>
          <w:color w:val="000000" w:themeColor="text1"/>
          <w:sz w:val="22"/>
          <w:szCs w:val="22"/>
          <w:lang w:val="en-US"/>
        </w:rPr>
        <w:t xml:space="preserve"> </w:t>
      </w:r>
      <w:r w:rsidR="003F05BC" w:rsidRPr="00CE4C7D">
        <w:rPr>
          <w:rFonts w:asciiTheme="majorHAnsi" w:hAnsiTheme="majorHAnsi" w:cstheme="majorHAnsi"/>
          <w:noProof/>
          <w:color w:val="000000" w:themeColor="text1"/>
          <w:sz w:val="22"/>
          <w:szCs w:val="22"/>
          <w:lang w:val="en-US"/>
        </w:rPr>
        <w:t>615–642.</w:t>
      </w:r>
    </w:p>
    <w:p w14:paraId="634983A2" w14:textId="637DA173" w:rsidR="003F05BC" w:rsidRPr="00CE4C7D" w:rsidRDefault="006C20D2" w:rsidP="00F25A95">
      <w:pPr>
        <w:spacing w:before="220"/>
        <w:rPr>
          <w:rFonts w:asciiTheme="majorHAnsi" w:hAnsiTheme="majorHAnsi" w:cstheme="majorHAnsi"/>
          <w:noProof/>
          <w:color w:val="000000" w:themeColor="text1"/>
          <w:sz w:val="22"/>
          <w:szCs w:val="22"/>
          <w:lang w:val="en-US"/>
        </w:rPr>
      </w:pPr>
      <w:r w:rsidRPr="00CE4C7D">
        <w:rPr>
          <w:rFonts w:asciiTheme="majorHAnsi" w:hAnsiTheme="majorHAnsi" w:cstheme="majorHAnsi"/>
          <w:noProof/>
          <w:color w:val="000000" w:themeColor="text1"/>
          <w:sz w:val="22"/>
          <w:szCs w:val="22"/>
          <w:lang w:val="en-US"/>
        </w:rPr>
        <w:t>Lynch, K. (2006),</w:t>
      </w:r>
      <w:r w:rsidR="003F05BC" w:rsidRPr="00CE4C7D">
        <w:rPr>
          <w:rFonts w:asciiTheme="majorHAnsi" w:hAnsiTheme="majorHAnsi" w:cstheme="majorHAnsi"/>
          <w:noProof/>
          <w:color w:val="000000" w:themeColor="text1"/>
          <w:sz w:val="22"/>
          <w:szCs w:val="22"/>
          <w:lang w:val="en-US"/>
        </w:rPr>
        <w:t xml:space="preserve"> </w:t>
      </w:r>
      <w:r w:rsidR="00B918A5" w:rsidRPr="00CE4C7D">
        <w:rPr>
          <w:rFonts w:asciiTheme="majorHAnsi" w:hAnsiTheme="majorHAnsi" w:cstheme="majorHAnsi"/>
          <w:noProof/>
          <w:color w:val="000000" w:themeColor="text1"/>
          <w:sz w:val="22"/>
          <w:szCs w:val="22"/>
          <w:lang w:val="en-US"/>
        </w:rPr>
        <w:t>‘</w:t>
      </w:r>
      <w:r w:rsidR="003F05BC" w:rsidRPr="00CE4C7D">
        <w:rPr>
          <w:rFonts w:asciiTheme="majorHAnsi" w:hAnsiTheme="majorHAnsi" w:cstheme="majorHAnsi"/>
          <w:noProof/>
          <w:color w:val="000000" w:themeColor="text1"/>
          <w:sz w:val="22"/>
          <w:szCs w:val="22"/>
          <w:lang w:val="en-US"/>
        </w:rPr>
        <w:t>Neo-Liberalism and Marketisation: The Im</w:t>
      </w:r>
      <w:r w:rsidR="00E4239F" w:rsidRPr="00CE4C7D">
        <w:rPr>
          <w:rFonts w:asciiTheme="majorHAnsi" w:hAnsiTheme="majorHAnsi" w:cstheme="majorHAnsi"/>
          <w:noProof/>
          <w:color w:val="000000" w:themeColor="text1"/>
          <w:sz w:val="22"/>
          <w:szCs w:val="22"/>
          <w:lang w:val="en-US"/>
        </w:rPr>
        <w:t>plications for Higher Education</w:t>
      </w:r>
      <w:r w:rsidR="00B918A5" w:rsidRPr="00CE4C7D">
        <w:rPr>
          <w:rFonts w:asciiTheme="majorHAnsi" w:hAnsiTheme="majorHAnsi" w:cstheme="majorHAnsi"/>
          <w:noProof/>
          <w:color w:val="000000" w:themeColor="text1"/>
          <w:sz w:val="22"/>
          <w:szCs w:val="22"/>
          <w:lang w:val="en-US"/>
        </w:rPr>
        <w:t>’</w:t>
      </w:r>
      <w:r w:rsidR="00E4239F" w:rsidRPr="00CE4C7D">
        <w:rPr>
          <w:rFonts w:asciiTheme="majorHAnsi" w:hAnsiTheme="majorHAnsi" w:cstheme="majorHAnsi"/>
          <w:noProof/>
          <w:color w:val="000000" w:themeColor="text1"/>
          <w:sz w:val="22"/>
          <w:szCs w:val="22"/>
          <w:lang w:val="en-US"/>
        </w:rPr>
        <w:t>,</w:t>
      </w:r>
      <w:r w:rsidR="003F05BC" w:rsidRPr="00CE4C7D">
        <w:rPr>
          <w:rFonts w:asciiTheme="majorHAnsi" w:hAnsiTheme="majorHAnsi" w:cstheme="majorHAnsi"/>
          <w:noProof/>
          <w:color w:val="000000" w:themeColor="text1"/>
          <w:sz w:val="22"/>
          <w:szCs w:val="22"/>
          <w:lang w:val="en-US"/>
        </w:rPr>
        <w:t xml:space="preserve"> </w:t>
      </w:r>
      <w:r w:rsidR="003F05BC" w:rsidRPr="00CE4C7D">
        <w:rPr>
          <w:rFonts w:asciiTheme="majorHAnsi" w:hAnsiTheme="majorHAnsi" w:cstheme="majorHAnsi"/>
          <w:i/>
          <w:noProof/>
          <w:color w:val="000000" w:themeColor="text1"/>
          <w:sz w:val="22"/>
          <w:szCs w:val="22"/>
          <w:lang w:val="en-US"/>
        </w:rPr>
        <w:t>European Educational Research Journal</w:t>
      </w:r>
      <w:r w:rsidR="003F05BC" w:rsidRPr="00CE4C7D">
        <w:rPr>
          <w:rFonts w:asciiTheme="majorHAnsi" w:hAnsiTheme="majorHAnsi" w:cstheme="majorHAnsi"/>
          <w:noProof/>
          <w:color w:val="000000" w:themeColor="text1"/>
          <w:sz w:val="22"/>
          <w:szCs w:val="22"/>
          <w:lang w:val="en-US"/>
        </w:rPr>
        <w:t>,</w:t>
      </w:r>
      <w:r w:rsidR="003F05BC" w:rsidRPr="00CE4C7D">
        <w:rPr>
          <w:rFonts w:asciiTheme="majorHAnsi" w:hAnsiTheme="majorHAnsi" w:cstheme="majorHAnsi"/>
          <w:b/>
          <w:noProof/>
          <w:color w:val="000000" w:themeColor="text1"/>
          <w:sz w:val="22"/>
          <w:szCs w:val="22"/>
          <w:lang w:val="en-US"/>
        </w:rPr>
        <w:t xml:space="preserve"> 5</w:t>
      </w:r>
      <w:r w:rsidR="00FC6C7A" w:rsidRPr="00CE4C7D">
        <w:rPr>
          <w:rFonts w:asciiTheme="majorHAnsi" w:hAnsiTheme="majorHAnsi" w:cstheme="majorHAnsi"/>
          <w:noProof/>
          <w:color w:val="000000" w:themeColor="text1"/>
          <w:sz w:val="22"/>
          <w:szCs w:val="22"/>
          <w:lang w:val="en-US"/>
        </w:rPr>
        <w:t xml:space="preserve"> </w:t>
      </w:r>
      <w:r w:rsidR="003F05BC" w:rsidRPr="00CE4C7D">
        <w:rPr>
          <w:rFonts w:asciiTheme="majorHAnsi" w:hAnsiTheme="majorHAnsi" w:cstheme="majorHAnsi"/>
          <w:noProof/>
          <w:color w:val="000000" w:themeColor="text1"/>
          <w:sz w:val="22"/>
          <w:szCs w:val="22"/>
          <w:lang w:val="en-US"/>
        </w:rPr>
        <w:t>(1),</w:t>
      </w:r>
      <w:r w:rsidR="00E377DC" w:rsidRPr="00CE4C7D">
        <w:rPr>
          <w:rFonts w:asciiTheme="majorHAnsi" w:hAnsiTheme="majorHAnsi" w:cstheme="majorHAnsi"/>
          <w:noProof/>
          <w:color w:val="000000" w:themeColor="text1"/>
          <w:sz w:val="22"/>
          <w:szCs w:val="22"/>
          <w:lang w:val="en-US"/>
        </w:rPr>
        <w:t xml:space="preserve"> </w:t>
      </w:r>
      <w:r w:rsidR="003F05BC" w:rsidRPr="00CE4C7D">
        <w:rPr>
          <w:rFonts w:asciiTheme="majorHAnsi" w:hAnsiTheme="majorHAnsi" w:cstheme="majorHAnsi"/>
          <w:noProof/>
          <w:color w:val="000000" w:themeColor="text1"/>
          <w:sz w:val="22"/>
          <w:szCs w:val="22"/>
          <w:lang w:val="en-US"/>
        </w:rPr>
        <w:t xml:space="preserve">1–17. </w:t>
      </w:r>
    </w:p>
    <w:p w14:paraId="164BBDFD" w14:textId="65A7A353" w:rsidR="003F05BC" w:rsidRPr="00CE4C7D" w:rsidRDefault="003F05BC" w:rsidP="00F25A95">
      <w:pPr>
        <w:spacing w:before="220"/>
        <w:rPr>
          <w:rFonts w:asciiTheme="majorHAnsi" w:hAnsiTheme="majorHAnsi" w:cstheme="majorHAnsi"/>
          <w:noProof/>
          <w:color w:val="000000" w:themeColor="text1"/>
          <w:sz w:val="22"/>
          <w:szCs w:val="22"/>
          <w:lang w:val="en-US"/>
        </w:rPr>
      </w:pPr>
      <w:r w:rsidRPr="00CE4C7D">
        <w:rPr>
          <w:rFonts w:asciiTheme="majorHAnsi" w:hAnsiTheme="majorHAnsi" w:cstheme="majorHAnsi"/>
          <w:noProof/>
          <w:color w:val="000000" w:themeColor="text1"/>
          <w:sz w:val="22"/>
          <w:szCs w:val="22"/>
          <w:lang w:val="en-US"/>
        </w:rPr>
        <w:t>Marshall, J.D., Wilson, R.D., Meyer, K.L., Rajangam, S.K., M</w:t>
      </w:r>
      <w:r w:rsidR="006C20D2" w:rsidRPr="00CE4C7D">
        <w:rPr>
          <w:rFonts w:asciiTheme="majorHAnsi" w:hAnsiTheme="majorHAnsi" w:cstheme="majorHAnsi"/>
          <w:noProof/>
          <w:color w:val="000000" w:themeColor="text1"/>
          <w:sz w:val="22"/>
          <w:szCs w:val="22"/>
          <w:lang w:val="en-US"/>
        </w:rPr>
        <w:t>cDonald, N.C. and Wilson, E.J. (2010),</w:t>
      </w:r>
      <w:r w:rsidRPr="00CE4C7D">
        <w:rPr>
          <w:rFonts w:asciiTheme="majorHAnsi" w:hAnsiTheme="majorHAnsi" w:cstheme="majorHAnsi"/>
          <w:noProof/>
          <w:color w:val="000000" w:themeColor="text1"/>
          <w:sz w:val="22"/>
          <w:szCs w:val="22"/>
          <w:lang w:val="en-US"/>
        </w:rPr>
        <w:t xml:space="preserve"> </w:t>
      </w:r>
      <w:r w:rsidR="00B918A5" w:rsidRPr="00CE4C7D">
        <w:rPr>
          <w:rFonts w:asciiTheme="majorHAnsi" w:hAnsiTheme="majorHAnsi" w:cstheme="majorHAnsi"/>
          <w:noProof/>
          <w:color w:val="000000" w:themeColor="text1"/>
          <w:sz w:val="22"/>
          <w:szCs w:val="22"/>
          <w:lang w:val="en-US"/>
        </w:rPr>
        <w:t>‘</w:t>
      </w:r>
      <w:r w:rsidRPr="00CE4C7D">
        <w:rPr>
          <w:rFonts w:asciiTheme="majorHAnsi" w:hAnsiTheme="majorHAnsi" w:cstheme="majorHAnsi"/>
          <w:noProof/>
          <w:color w:val="000000" w:themeColor="text1"/>
          <w:sz w:val="22"/>
          <w:szCs w:val="22"/>
          <w:lang w:val="en-US"/>
        </w:rPr>
        <w:t>Vehicle Emissions during Children’s School Commuti</w:t>
      </w:r>
      <w:r w:rsidR="00E4239F" w:rsidRPr="00CE4C7D">
        <w:rPr>
          <w:rFonts w:asciiTheme="majorHAnsi" w:hAnsiTheme="majorHAnsi" w:cstheme="majorHAnsi"/>
          <w:noProof/>
          <w:color w:val="000000" w:themeColor="text1"/>
          <w:sz w:val="22"/>
          <w:szCs w:val="22"/>
          <w:lang w:val="en-US"/>
        </w:rPr>
        <w:t>ng: Impacts of Education Policy</w:t>
      </w:r>
      <w:r w:rsidR="00B918A5" w:rsidRPr="00CE4C7D">
        <w:rPr>
          <w:rFonts w:asciiTheme="majorHAnsi" w:hAnsiTheme="majorHAnsi" w:cstheme="majorHAnsi"/>
          <w:noProof/>
          <w:color w:val="000000" w:themeColor="text1"/>
          <w:sz w:val="22"/>
          <w:szCs w:val="22"/>
          <w:lang w:val="en-US"/>
        </w:rPr>
        <w:t>’</w:t>
      </w:r>
      <w:r w:rsidR="00E4239F" w:rsidRPr="00CE4C7D">
        <w:rPr>
          <w:rFonts w:asciiTheme="majorHAnsi" w:hAnsiTheme="majorHAnsi" w:cstheme="majorHAnsi"/>
          <w:noProof/>
          <w:color w:val="000000" w:themeColor="text1"/>
          <w:sz w:val="22"/>
          <w:szCs w:val="22"/>
          <w:lang w:val="en-US"/>
        </w:rPr>
        <w:t>,</w:t>
      </w:r>
      <w:r w:rsidRPr="00CE4C7D">
        <w:rPr>
          <w:rFonts w:asciiTheme="majorHAnsi" w:hAnsiTheme="majorHAnsi" w:cstheme="majorHAnsi"/>
          <w:noProof/>
          <w:color w:val="000000" w:themeColor="text1"/>
          <w:sz w:val="22"/>
          <w:szCs w:val="22"/>
          <w:lang w:val="en-US"/>
        </w:rPr>
        <w:t xml:space="preserve"> </w:t>
      </w:r>
      <w:r w:rsidRPr="00CE4C7D">
        <w:rPr>
          <w:rFonts w:asciiTheme="majorHAnsi" w:hAnsiTheme="majorHAnsi" w:cstheme="majorHAnsi"/>
          <w:i/>
          <w:noProof/>
          <w:color w:val="000000" w:themeColor="text1"/>
          <w:sz w:val="22"/>
          <w:szCs w:val="22"/>
          <w:lang w:val="en-US"/>
        </w:rPr>
        <w:t>Environmental Science and Technology,</w:t>
      </w:r>
      <w:r w:rsidRPr="00CE4C7D">
        <w:rPr>
          <w:rFonts w:asciiTheme="majorHAnsi" w:hAnsiTheme="majorHAnsi" w:cstheme="majorHAnsi"/>
          <w:noProof/>
          <w:color w:val="000000" w:themeColor="text1"/>
          <w:sz w:val="22"/>
          <w:szCs w:val="22"/>
          <w:lang w:val="en-US"/>
        </w:rPr>
        <w:t xml:space="preserve"> </w:t>
      </w:r>
      <w:r w:rsidRPr="00CE4C7D">
        <w:rPr>
          <w:rFonts w:asciiTheme="majorHAnsi" w:hAnsiTheme="majorHAnsi" w:cstheme="majorHAnsi"/>
          <w:b/>
          <w:noProof/>
          <w:color w:val="000000" w:themeColor="text1"/>
          <w:sz w:val="22"/>
          <w:szCs w:val="22"/>
          <w:lang w:val="en-US"/>
        </w:rPr>
        <w:t>44</w:t>
      </w:r>
      <w:r w:rsidR="00FC6C7A" w:rsidRPr="00CE4C7D">
        <w:rPr>
          <w:rFonts w:asciiTheme="majorHAnsi" w:hAnsiTheme="majorHAnsi" w:cstheme="majorHAnsi"/>
          <w:b/>
          <w:noProof/>
          <w:color w:val="000000" w:themeColor="text1"/>
          <w:sz w:val="22"/>
          <w:szCs w:val="22"/>
          <w:lang w:val="en-US"/>
        </w:rPr>
        <w:t xml:space="preserve"> </w:t>
      </w:r>
      <w:r w:rsidRPr="00CE4C7D">
        <w:rPr>
          <w:rFonts w:asciiTheme="majorHAnsi" w:hAnsiTheme="majorHAnsi" w:cstheme="majorHAnsi"/>
          <w:noProof/>
          <w:color w:val="000000" w:themeColor="text1"/>
          <w:sz w:val="22"/>
          <w:szCs w:val="22"/>
          <w:lang w:val="en-US"/>
        </w:rPr>
        <w:t>(5),</w:t>
      </w:r>
      <w:r w:rsidR="00E377DC" w:rsidRPr="00CE4C7D">
        <w:rPr>
          <w:rFonts w:asciiTheme="majorHAnsi" w:hAnsiTheme="majorHAnsi" w:cstheme="majorHAnsi"/>
          <w:noProof/>
          <w:color w:val="000000" w:themeColor="text1"/>
          <w:sz w:val="22"/>
          <w:szCs w:val="22"/>
          <w:lang w:val="en-US"/>
        </w:rPr>
        <w:t xml:space="preserve"> </w:t>
      </w:r>
      <w:r w:rsidRPr="00CE4C7D">
        <w:rPr>
          <w:rFonts w:asciiTheme="majorHAnsi" w:hAnsiTheme="majorHAnsi" w:cstheme="majorHAnsi"/>
          <w:noProof/>
          <w:color w:val="000000" w:themeColor="text1"/>
          <w:sz w:val="22"/>
          <w:szCs w:val="22"/>
          <w:lang w:val="en-US"/>
        </w:rPr>
        <w:t xml:space="preserve">1537–1543. </w:t>
      </w:r>
    </w:p>
    <w:p w14:paraId="72C4481B" w14:textId="5FD2488C" w:rsidR="003F05BC" w:rsidRPr="00CE4C7D" w:rsidRDefault="003F05BC" w:rsidP="00F25A95">
      <w:pPr>
        <w:spacing w:before="220"/>
        <w:rPr>
          <w:rFonts w:asciiTheme="majorHAnsi" w:hAnsiTheme="majorHAnsi" w:cstheme="majorHAnsi"/>
          <w:color w:val="000000" w:themeColor="text1"/>
          <w:sz w:val="22"/>
          <w:szCs w:val="22"/>
          <w:lang w:val="en-US"/>
        </w:rPr>
      </w:pPr>
      <w:r w:rsidRPr="00CE4C7D">
        <w:rPr>
          <w:rFonts w:asciiTheme="majorHAnsi" w:hAnsiTheme="majorHAnsi" w:cstheme="majorHAnsi"/>
          <w:color w:val="000000" w:themeColor="text1"/>
          <w:sz w:val="22"/>
          <w:szCs w:val="22"/>
          <w:lang w:val="en-US"/>
        </w:rPr>
        <w:t>Molesworth, M., Scul</w:t>
      </w:r>
      <w:r w:rsidR="00E4239F" w:rsidRPr="00CE4C7D">
        <w:rPr>
          <w:rFonts w:asciiTheme="majorHAnsi" w:hAnsiTheme="majorHAnsi" w:cstheme="majorHAnsi"/>
          <w:color w:val="000000" w:themeColor="text1"/>
          <w:sz w:val="22"/>
          <w:szCs w:val="22"/>
          <w:lang w:val="en-US"/>
        </w:rPr>
        <w:t>lion, R., and Nixon, E. (e</w:t>
      </w:r>
      <w:r w:rsidR="003A6C29" w:rsidRPr="00CE4C7D">
        <w:rPr>
          <w:rFonts w:asciiTheme="majorHAnsi" w:hAnsiTheme="majorHAnsi" w:cstheme="majorHAnsi"/>
          <w:color w:val="000000" w:themeColor="text1"/>
          <w:sz w:val="22"/>
          <w:szCs w:val="22"/>
          <w:lang w:val="en-US"/>
        </w:rPr>
        <w:t>ds</w:t>
      </w:r>
      <w:r w:rsidR="00522C62" w:rsidRPr="00CE4C7D">
        <w:rPr>
          <w:rFonts w:asciiTheme="majorHAnsi" w:hAnsiTheme="majorHAnsi" w:cstheme="majorHAnsi"/>
          <w:color w:val="000000" w:themeColor="text1"/>
          <w:sz w:val="22"/>
          <w:szCs w:val="22"/>
          <w:lang w:val="en-US"/>
        </w:rPr>
        <w:t>) (2011),</w:t>
      </w:r>
      <w:r w:rsidRPr="00CE4C7D">
        <w:rPr>
          <w:rFonts w:asciiTheme="majorHAnsi" w:hAnsiTheme="majorHAnsi" w:cstheme="majorHAnsi"/>
          <w:color w:val="000000" w:themeColor="text1"/>
          <w:sz w:val="22"/>
          <w:szCs w:val="22"/>
          <w:lang w:val="en-US"/>
        </w:rPr>
        <w:t xml:space="preserve"> </w:t>
      </w:r>
      <w:r w:rsidRPr="00CE4C7D">
        <w:rPr>
          <w:rFonts w:asciiTheme="majorHAnsi" w:hAnsiTheme="majorHAnsi" w:cstheme="majorHAnsi"/>
          <w:i/>
          <w:color w:val="000000" w:themeColor="text1"/>
          <w:sz w:val="22"/>
          <w:szCs w:val="22"/>
          <w:lang w:val="en-US"/>
        </w:rPr>
        <w:t>The Marketisation of Higher Education and the Stu</w:t>
      </w:r>
      <w:r w:rsidR="00E4239F" w:rsidRPr="00CE4C7D">
        <w:rPr>
          <w:rFonts w:asciiTheme="majorHAnsi" w:hAnsiTheme="majorHAnsi" w:cstheme="majorHAnsi"/>
          <w:i/>
          <w:color w:val="000000" w:themeColor="text1"/>
          <w:sz w:val="22"/>
          <w:szCs w:val="22"/>
          <w:lang w:val="en-US"/>
        </w:rPr>
        <w:t>dent as Consumer</w:t>
      </w:r>
      <w:r w:rsidR="00E4239F" w:rsidRPr="00CE4C7D">
        <w:rPr>
          <w:rFonts w:asciiTheme="majorHAnsi" w:hAnsiTheme="majorHAnsi" w:cstheme="majorHAnsi"/>
          <w:color w:val="000000" w:themeColor="text1"/>
          <w:sz w:val="22"/>
          <w:szCs w:val="22"/>
          <w:lang w:val="en-US"/>
        </w:rPr>
        <w:t>,</w:t>
      </w:r>
      <w:r w:rsidR="00494070" w:rsidRPr="00CE4C7D">
        <w:rPr>
          <w:rFonts w:asciiTheme="majorHAnsi" w:hAnsiTheme="majorHAnsi" w:cstheme="majorHAnsi"/>
          <w:color w:val="000000" w:themeColor="text1"/>
          <w:sz w:val="22"/>
          <w:szCs w:val="22"/>
          <w:lang w:val="en-US"/>
        </w:rPr>
        <w:t xml:space="preserve"> Abingdon and </w:t>
      </w:r>
      <w:r w:rsidRPr="00CE4C7D">
        <w:rPr>
          <w:rFonts w:asciiTheme="majorHAnsi" w:hAnsiTheme="majorHAnsi" w:cstheme="majorHAnsi"/>
          <w:color w:val="000000" w:themeColor="text1"/>
          <w:sz w:val="22"/>
          <w:szCs w:val="22"/>
          <w:lang w:val="en-US"/>
        </w:rPr>
        <w:t>New York</w:t>
      </w:r>
      <w:r w:rsidR="00DD54B2" w:rsidRPr="00CE4C7D">
        <w:rPr>
          <w:rFonts w:asciiTheme="majorHAnsi" w:hAnsiTheme="majorHAnsi" w:cstheme="majorHAnsi"/>
          <w:color w:val="000000" w:themeColor="text1"/>
          <w:sz w:val="22"/>
          <w:szCs w:val="22"/>
          <w:lang w:val="en-US"/>
        </w:rPr>
        <w:t>, NY</w:t>
      </w:r>
      <w:r w:rsidRPr="00CE4C7D">
        <w:rPr>
          <w:rFonts w:asciiTheme="majorHAnsi" w:hAnsiTheme="majorHAnsi" w:cstheme="majorHAnsi"/>
          <w:color w:val="000000" w:themeColor="text1"/>
          <w:sz w:val="22"/>
          <w:szCs w:val="22"/>
          <w:lang w:val="en-US"/>
        </w:rPr>
        <w:t>: Routledge.</w:t>
      </w:r>
    </w:p>
    <w:p w14:paraId="6F0F32A9" w14:textId="232D9DA5" w:rsidR="003F05BC" w:rsidRPr="00CE4C7D" w:rsidRDefault="00522C62"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Morgan, N. (</w:t>
      </w:r>
      <w:r w:rsidR="003F05BC" w:rsidRPr="00CE4C7D">
        <w:rPr>
          <w:rFonts w:asciiTheme="majorHAnsi" w:hAnsiTheme="majorHAnsi" w:cstheme="majorHAnsi"/>
          <w:color w:val="000000" w:themeColor="text1"/>
          <w:sz w:val="22"/>
          <w:szCs w:val="22"/>
        </w:rPr>
        <w:t>2011</w:t>
      </w:r>
      <w:r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xml:space="preserve"> </w:t>
      </w:r>
      <w:r w:rsidR="00B918A5"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xml:space="preserve">Carbon Emission Accounting </w:t>
      </w:r>
      <w:r w:rsidR="003F05BC" w:rsidRPr="00CE4C7D">
        <w:rPr>
          <w:rFonts w:asciiTheme="majorHAnsi" w:eastAsia="AdvOT596495f2+20" w:hAnsiTheme="majorHAnsi" w:cstheme="majorHAnsi"/>
          <w:color w:val="000000" w:themeColor="text1"/>
          <w:sz w:val="22"/>
          <w:szCs w:val="22"/>
        </w:rPr>
        <w:t xml:space="preserve">– </w:t>
      </w:r>
      <w:r w:rsidR="003F05BC" w:rsidRPr="00CE4C7D">
        <w:rPr>
          <w:rFonts w:asciiTheme="majorHAnsi" w:hAnsiTheme="majorHAnsi" w:cstheme="majorHAnsi"/>
          <w:color w:val="000000" w:themeColor="text1"/>
          <w:sz w:val="22"/>
          <w:szCs w:val="22"/>
        </w:rPr>
        <w:t>Balancing the books for the UK</w:t>
      </w:r>
      <w:r w:rsidR="00DD54B2" w:rsidRPr="00CE4C7D">
        <w:rPr>
          <w:rFonts w:asciiTheme="majorHAnsi" w:hAnsiTheme="majorHAnsi" w:cstheme="majorHAnsi"/>
          <w:color w:val="000000" w:themeColor="text1"/>
          <w:sz w:val="22"/>
          <w:szCs w:val="22"/>
        </w:rPr>
        <w:t>,</w:t>
      </w:r>
      <w:r w:rsidR="00E4239F" w:rsidRPr="00CE4C7D">
        <w:rPr>
          <w:rFonts w:asciiTheme="majorHAnsi" w:hAnsiTheme="majorHAnsi" w:cstheme="majorHAnsi"/>
          <w:color w:val="000000" w:themeColor="text1"/>
          <w:sz w:val="22"/>
          <w:szCs w:val="22"/>
        </w:rPr>
        <w:t xml:space="preserve"> Energy Insight briefing paper</w:t>
      </w:r>
      <w:r w:rsidR="00B918A5" w:rsidRPr="00CE4C7D">
        <w:rPr>
          <w:rFonts w:asciiTheme="majorHAnsi" w:hAnsiTheme="majorHAnsi" w:cstheme="majorHAnsi"/>
          <w:color w:val="000000" w:themeColor="text1"/>
          <w:sz w:val="22"/>
          <w:szCs w:val="22"/>
        </w:rPr>
        <w:t>’</w:t>
      </w:r>
      <w:r w:rsidR="00E4239F" w:rsidRPr="00CE4C7D">
        <w:rPr>
          <w:rFonts w:asciiTheme="majorHAnsi" w:hAnsiTheme="majorHAnsi" w:cstheme="majorHAnsi"/>
          <w:color w:val="000000" w:themeColor="text1"/>
          <w:sz w:val="22"/>
          <w:szCs w:val="22"/>
        </w:rPr>
        <w:t>, London: UKERC</w:t>
      </w:r>
      <w:r w:rsidR="003F05BC" w:rsidRPr="00CE4C7D">
        <w:rPr>
          <w:rFonts w:asciiTheme="majorHAnsi" w:hAnsiTheme="majorHAnsi" w:cstheme="majorHAnsi"/>
          <w:color w:val="000000" w:themeColor="text1"/>
          <w:sz w:val="22"/>
          <w:szCs w:val="22"/>
        </w:rPr>
        <w:t>.</w:t>
      </w:r>
    </w:p>
    <w:p w14:paraId="35176B2A" w14:textId="6B318C3A" w:rsidR="003F05BC" w:rsidRPr="00CE4C7D" w:rsidRDefault="00E114F9"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Moser, C. and Moser, A. (</w:t>
      </w:r>
      <w:r w:rsidR="003F05BC" w:rsidRPr="00CE4C7D">
        <w:rPr>
          <w:rFonts w:asciiTheme="majorHAnsi" w:hAnsiTheme="majorHAnsi" w:cstheme="majorHAnsi"/>
          <w:color w:val="000000" w:themeColor="text1"/>
          <w:sz w:val="22"/>
          <w:szCs w:val="22"/>
        </w:rPr>
        <w:t>2005</w:t>
      </w:r>
      <w:r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xml:space="preserve"> </w:t>
      </w:r>
      <w:r w:rsidR="00B918A5"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Gender mainstreaming since Beijing: a review of success and limitations</w:t>
      </w:r>
      <w:r w:rsidR="006610F1" w:rsidRPr="00CE4C7D">
        <w:rPr>
          <w:rFonts w:asciiTheme="majorHAnsi" w:hAnsiTheme="majorHAnsi" w:cstheme="majorHAnsi"/>
          <w:color w:val="000000" w:themeColor="text1"/>
          <w:sz w:val="22"/>
          <w:szCs w:val="22"/>
        </w:rPr>
        <w:t xml:space="preserve"> in international institutions</w:t>
      </w:r>
      <w:r w:rsidR="00B918A5" w:rsidRPr="00CE4C7D">
        <w:rPr>
          <w:rFonts w:asciiTheme="majorHAnsi" w:hAnsiTheme="majorHAnsi" w:cstheme="majorHAnsi"/>
          <w:color w:val="000000" w:themeColor="text1"/>
          <w:sz w:val="22"/>
          <w:szCs w:val="22"/>
        </w:rPr>
        <w:t>’</w:t>
      </w:r>
      <w:r w:rsidR="006610F1"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i/>
          <w:color w:val="000000" w:themeColor="text1"/>
          <w:sz w:val="22"/>
          <w:szCs w:val="22"/>
        </w:rPr>
        <w:t>Gender and Development,</w:t>
      </w:r>
      <w:r w:rsidR="003F05BC"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b/>
          <w:color w:val="000000" w:themeColor="text1"/>
          <w:sz w:val="22"/>
          <w:szCs w:val="22"/>
        </w:rPr>
        <w:t>13</w:t>
      </w:r>
      <w:r w:rsidR="00FC6C7A"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color w:val="000000" w:themeColor="text1"/>
          <w:sz w:val="22"/>
          <w:szCs w:val="22"/>
        </w:rPr>
        <w:t>(2),</w:t>
      </w:r>
      <w:r w:rsidR="00E377DC"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color w:val="000000" w:themeColor="text1"/>
          <w:sz w:val="22"/>
          <w:szCs w:val="22"/>
        </w:rPr>
        <w:t>11</w:t>
      </w:r>
      <w:r w:rsidR="003F05BC" w:rsidRPr="00CE4C7D">
        <w:rPr>
          <w:rFonts w:asciiTheme="majorHAnsi" w:eastAsia="AdvOT596495f2+20"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22.</w:t>
      </w:r>
    </w:p>
    <w:p w14:paraId="5E770824" w14:textId="58079090" w:rsidR="003F05BC" w:rsidRPr="00CE4C7D" w:rsidRDefault="00E114F9"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Pennington, H., and Isles, C. (2013),</w:t>
      </w:r>
      <w:r w:rsidR="003F05BC" w:rsidRPr="00CE4C7D">
        <w:rPr>
          <w:rFonts w:asciiTheme="majorHAnsi" w:hAnsiTheme="majorHAnsi" w:cstheme="majorHAnsi"/>
          <w:color w:val="000000" w:themeColor="text1"/>
          <w:sz w:val="22"/>
          <w:szCs w:val="22"/>
        </w:rPr>
        <w:t xml:space="preserve"> </w:t>
      </w:r>
      <w:r w:rsidR="00B918A5"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Should hospitals provide all patients with single rooms?</w:t>
      </w:r>
      <w:r w:rsidR="00B918A5"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i/>
          <w:color w:val="000000" w:themeColor="text1"/>
          <w:sz w:val="22"/>
          <w:szCs w:val="22"/>
        </w:rPr>
        <w:t>BMJ</w:t>
      </w:r>
      <w:r w:rsidR="006610F1" w:rsidRPr="00CE4C7D">
        <w:rPr>
          <w:rFonts w:asciiTheme="majorHAnsi" w:hAnsiTheme="majorHAnsi" w:cstheme="majorHAnsi"/>
          <w:i/>
          <w:color w:val="000000" w:themeColor="text1"/>
          <w:sz w:val="22"/>
          <w:szCs w:val="22"/>
        </w:rPr>
        <w:t>,</w:t>
      </w:r>
      <w:r w:rsidR="004F1E20" w:rsidRPr="00CE4C7D">
        <w:rPr>
          <w:rFonts w:asciiTheme="majorHAnsi" w:hAnsiTheme="majorHAnsi" w:cstheme="majorHAnsi"/>
          <w:color w:val="000000" w:themeColor="text1"/>
          <w:sz w:val="22"/>
          <w:szCs w:val="22"/>
        </w:rPr>
        <w:t xml:space="preserve"> </w:t>
      </w:r>
      <w:r w:rsidR="004F1E20" w:rsidRPr="00CE4C7D">
        <w:rPr>
          <w:rFonts w:asciiTheme="majorHAnsi" w:hAnsiTheme="majorHAnsi" w:cstheme="majorHAnsi"/>
          <w:b/>
          <w:color w:val="000000" w:themeColor="text1"/>
          <w:sz w:val="22"/>
          <w:szCs w:val="22"/>
        </w:rPr>
        <w:t>347</w:t>
      </w:r>
      <w:r w:rsidR="004F1E20" w:rsidRPr="00CE4C7D">
        <w:rPr>
          <w:rFonts w:asciiTheme="majorHAnsi" w:hAnsiTheme="majorHAnsi" w:cstheme="majorHAnsi"/>
          <w:color w:val="000000" w:themeColor="text1"/>
          <w:sz w:val="22"/>
          <w:szCs w:val="22"/>
        </w:rPr>
        <w:t>, 24.</w:t>
      </w:r>
    </w:p>
    <w:p w14:paraId="17803DC6" w14:textId="3404A9B8" w:rsidR="003F05BC" w:rsidRPr="00CE4C7D" w:rsidRDefault="003F05BC"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lastRenderedPageBreak/>
        <w:t>Priestley</w:t>
      </w:r>
      <w:r w:rsidR="00E114F9" w:rsidRPr="00CE4C7D">
        <w:rPr>
          <w:rFonts w:asciiTheme="majorHAnsi" w:hAnsiTheme="majorHAnsi" w:cstheme="majorHAnsi"/>
          <w:color w:val="000000" w:themeColor="text1"/>
          <w:sz w:val="22"/>
          <w:szCs w:val="22"/>
        </w:rPr>
        <w:t>, S., Baker, C. and Adcock, A. (2017),</w:t>
      </w:r>
      <w:r w:rsidRPr="00CE4C7D">
        <w:rPr>
          <w:rFonts w:asciiTheme="majorHAnsi" w:hAnsiTheme="majorHAnsi" w:cstheme="majorHAnsi"/>
          <w:color w:val="000000" w:themeColor="text1"/>
          <w:sz w:val="22"/>
          <w:szCs w:val="22"/>
        </w:rPr>
        <w:t xml:space="preserve"> </w:t>
      </w:r>
      <w:r w:rsidR="002E5AF2"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Superfa</w:t>
      </w:r>
      <w:r w:rsidR="006610F1" w:rsidRPr="00CE4C7D">
        <w:rPr>
          <w:rFonts w:asciiTheme="majorHAnsi" w:hAnsiTheme="majorHAnsi" w:cstheme="majorHAnsi"/>
          <w:color w:val="000000" w:themeColor="text1"/>
          <w:sz w:val="22"/>
          <w:szCs w:val="22"/>
        </w:rPr>
        <w:t>st Broadband Coverage in the UK,</w:t>
      </w:r>
      <w:r w:rsidRPr="00CE4C7D">
        <w:rPr>
          <w:rFonts w:asciiTheme="majorHAnsi" w:hAnsiTheme="majorHAnsi" w:cstheme="majorHAnsi"/>
          <w:color w:val="000000" w:themeColor="text1"/>
          <w:sz w:val="22"/>
          <w:szCs w:val="22"/>
        </w:rPr>
        <w:t xml:space="preserve"> House of </w:t>
      </w:r>
      <w:r w:rsidR="006610F1" w:rsidRPr="00CE4C7D">
        <w:rPr>
          <w:rFonts w:asciiTheme="majorHAnsi" w:hAnsiTheme="majorHAnsi" w:cstheme="majorHAnsi"/>
          <w:color w:val="000000" w:themeColor="text1"/>
          <w:sz w:val="22"/>
          <w:szCs w:val="22"/>
        </w:rPr>
        <w:t>Commons Briefing Paper CBP06643</w:t>
      </w:r>
      <w:r w:rsidR="002E5AF2" w:rsidRPr="00CE4C7D">
        <w:rPr>
          <w:rFonts w:asciiTheme="majorHAnsi" w:hAnsiTheme="majorHAnsi" w:cstheme="majorHAnsi"/>
          <w:color w:val="000000" w:themeColor="text1"/>
          <w:sz w:val="22"/>
          <w:szCs w:val="22"/>
        </w:rPr>
        <w:t>’</w:t>
      </w:r>
      <w:r w:rsidR="006610F1"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 xml:space="preserve"> London: House of Commons Library.</w:t>
      </w:r>
    </w:p>
    <w:p w14:paraId="2DCE8F9A" w14:textId="4265EEAC" w:rsidR="003F05BC" w:rsidRPr="00CE4C7D" w:rsidRDefault="003F05BC"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 xml:space="preserve">Rees, T., </w:t>
      </w:r>
      <w:r w:rsidR="00E114F9" w:rsidRPr="00CE4C7D">
        <w:rPr>
          <w:rFonts w:asciiTheme="majorHAnsi" w:hAnsiTheme="majorHAnsi" w:cstheme="majorHAnsi"/>
          <w:color w:val="000000" w:themeColor="text1"/>
          <w:sz w:val="22"/>
          <w:szCs w:val="22"/>
        </w:rPr>
        <w:t>(2005),</w:t>
      </w:r>
      <w:r w:rsidRPr="00CE4C7D">
        <w:rPr>
          <w:rFonts w:asciiTheme="majorHAnsi" w:hAnsiTheme="majorHAnsi" w:cstheme="majorHAnsi"/>
          <w:color w:val="000000" w:themeColor="text1"/>
          <w:sz w:val="22"/>
          <w:szCs w:val="22"/>
        </w:rPr>
        <w:t xml:space="preserve"> </w:t>
      </w:r>
      <w:r w:rsidR="002E5AF2"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Reflections on the uneven development of gender mainstreaming in Europe</w:t>
      </w:r>
      <w:r w:rsidR="002E5AF2" w:rsidRPr="00CE4C7D">
        <w:rPr>
          <w:rFonts w:asciiTheme="majorHAnsi" w:hAnsiTheme="majorHAnsi" w:cstheme="majorHAnsi"/>
          <w:color w:val="000000" w:themeColor="text1"/>
          <w:sz w:val="22"/>
          <w:szCs w:val="22"/>
        </w:rPr>
        <w:t>’</w:t>
      </w:r>
      <w:r w:rsidR="006610F1"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shd w:val="clear" w:color="auto" w:fill="FFFFFF"/>
        </w:rPr>
        <w:t> </w:t>
      </w:r>
      <w:r w:rsidRPr="00CE4C7D">
        <w:rPr>
          <w:rFonts w:asciiTheme="majorHAnsi" w:hAnsiTheme="majorHAnsi" w:cstheme="majorHAnsi"/>
          <w:i/>
          <w:color w:val="000000" w:themeColor="text1"/>
          <w:sz w:val="22"/>
          <w:szCs w:val="22"/>
          <w:shd w:val="clear" w:color="auto" w:fill="FFFFFF"/>
        </w:rPr>
        <w:t>International Feminist Journal of Politics</w:t>
      </w:r>
      <w:r w:rsidRPr="00CE4C7D">
        <w:rPr>
          <w:rFonts w:asciiTheme="majorHAnsi" w:hAnsiTheme="majorHAnsi" w:cstheme="majorHAnsi"/>
          <w:color w:val="000000" w:themeColor="text1"/>
          <w:sz w:val="22"/>
          <w:szCs w:val="22"/>
          <w:shd w:val="clear" w:color="auto" w:fill="FFFFFF"/>
        </w:rPr>
        <w:t xml:space="preserve">, </w:t>
      </w:r>
      <w:r w:rsidRPr="00CE4C7D">
        <w:rPr>
          <w:rFonts w:asciiTheme="majorHAnsi" w:hAnsiTheme="majorHAnsi" w:cstheme="majorHAnsi"/>
          <w:b/>
          <w:color w:val="000000" w:themeColor="text1"/>
          <w:sz w:val="22"/>
          <w:szCs w:val="22"/>
        </w:rPr>
        <w:t>7</w:t>
      </w:r>
      <w:r w:rsidR="00950EE3" w:rsidRPr="00CE4C7D">
        <w:rPr>
          <w:rFonts w:asciiTheme="majorHAnsi" w:hAnsiTheme="majorHAnsi" w:cstheme="majorHAnsi"/>
          <w:color w:val="000000" w:themeColor="text1"/>
          <w:sz w:val="22"/>
          <w:szCs w:val="22"/>
        </w:rPr>
        <w:t xml:space="preserve"> </w:t>
      </w:r>
      <w:r w:rsidRPr="00CE4C7D">
        <w:rPr>
          <w:rFonts w:asciiTheme="majorHAnsi" w:hAnsiTheme="majorHAnsi" w:cstheme="majorHAnsi"/>
          <w:color w:val="000000" w:themeColor="text1"/>
          <w:sz w:val="22"/>
          <w:szCs w:val="22"/>
        </w:rPr>
        <w:t>(4),</w:t>
      </w:r>
      <w:r w:rsidR="00E377DC" w:rsidRPr="00CE4C7D">
        <w:rPr>
          <w:rFonts w:asciiTheme="majorHAnsi" w:hAnsiTheme="majorHAnsi" w:cstheme="majorHAnsi"/>
          <w:color w:val="000000" w:themeColor="text1"/>
          <w:sz w:val="22"/>
          <w:szCs w:val="22"/>
        </w:rPr>
        <w:t xml:space="preserve"> </w:t>
      </w:r>
      <w:r w:rsidRPr="00CE4C7D">
        <w:rPr>
          <w:rFonts w:asciiTheme="majorHAnsi" w:hAnsiTheme="majorHAnsi" w:cstheme="majorHAnsi"/>
          <w:color w:val="000000" w:themeColor="text1"/>
          <w:sz w:val="22"/>
          <w:szCs w:val="22"/>
        </w:rPr>
        <w:t>555</w:t>
      </w:r>
      <w:r w:rsidRPr="00CE4C7D">
        <w:rPr>
          <w:rFonts w:asciiTheme="majorHAnsi" w:eastAsia="AdvOT596495f2+20" w:hAnsiTheme="majorHAnsi" w:cstheme="majorHAnsi"/>
          <w:color w:val="000000" w:themeColor="text1"/>
          <w:sz w:val="22"/>
          <w:szCs w:val="22"/>
        </w:rPr>
        <w:t>–</w:t>
      </w:r>
      <w:r w:rsidRPr="00CE4C7D">
        <w:rPr>
          <w:rFonts w:asciiTheme="majorHAnsi" w:hAnsiTheme="majorHAnsi" w:cstheme="majorHAnsi"/>
          <w:color w:val="000000" w:themeColor="text1"/>
          <w:sz w:val="22"/>
          <w:szCs w:val="22"/>
        </w:rPr>
        <w:t>574.</w:t>
      </w:r>
    </w:p>
    <w:p w14:paraId="6867C309" w14:textId="5B8225AF" w:rsidR="003F05BC" w:rsidRPr="00CE4C7D" w:rsidRDefault="003F05BC"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Reid, J., Wilson, K., Ander</w:t>
      </w:r>
      <w:r w:rsidR="00A9470F" w:rsidRPr="00CE4C7D">
        <w:rPr>
          <w:rFonts w:asciiTheme="majorHAnsi" w:hAnsiTheme="majorHAnsi" w:cstheme="majorHAnsi"/>
          <w:color w:val="000000" w:themeColor="text1"/>
          <w:sz w:val="22"/>
          <w:szCs w:val="22"/>
        </w:rPr>
        <w:t>son, K.E., and Maguire, C.P.J. (2015),</w:t>
      </w:r>
      <w:r w:rsidRPr="00CE4C7D">
        <w:rPr>
          <w:rFonts w:asciiTheme="majorHAnsi" w:hAnsiTheme="majorHAnsi" w:cstheme="majorHAnsi"/>
          <w:color w:val="000000" w:themeColor="text1"/>
          <w:sz w:val="22"/>
          <w:szCs w:val="22"/>
        </w:rPr>
        <w:t xml:space="preserve"> </w:t>
      </w:r>
      <w:r w:rsidR="002E5AF2"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Older inpatients' room preference: sin</w:t>
      </w:r>
      <w:r w:rsidR="00311D7E" w:rsidRPr="00CE4C7D">
        <w:rPr>
          <w:rFonts w:asciiTheme="majorHAnsi" w:hAnsiTheme="majorHAnsi" w:cstheme="majorHAnsi"/>
          <w:color w:val="000000" w:themeColor="text1"/>
          <w:sz w:val="22"/>
          <w:szCs w:val="22"/>
        </w:rPr>
        <w:t>gle versus shared accommodation</w:t>
      </w:r>
      <w:r w:rsidR="002E5AF2" w:rsidRPr="00CE4C7D">
        <w:rPr>
          <w:rFonts w:asciiTheme="majorHAnsi" w:hAnsiTheme="majorHAnsi" w:cstheme="majorHAnsi"/>
          <w:color w:val="000000" w:themeColor="text1"/>
          <w:sz w:val="22"/>
          <w:szCs w:val="22"/>
        </w:rPr>
        <w:t>’</w:t>
      </w:r>
      <w:r w:rsidR="00311D7E"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 xml:space="preserve"> </w:t>
      </w:r>
      <w:r w:rsidRPr="00CE4C7D">
        <w:rPr>
          <w:rFonts w:asciiTheme="majorHAnsi" w:hAnsiTheme="majorHAnsi" w:cstheme="majorHAnsi"/>
          <w:i/>
          <w:color w:val="000000" w:themeColor="text1"/>
          <w:sz w:val="22"/>
          <w:szCs w:val="22"/>
        </w:rPr>
        <w:t>Age and Ageing,</w:t>
      </w:r>
      <w:r w:rsidRPr="00CE4C7D">
        <w:rPr>
          <w:rFonts w:asciiTheme="majorHAnsi" w:hAnsiTheme="majorHAnsi" w:cstheme="majorHAnsi"/>
          <w:b/>
          <w:color w:val="000000" w:themeColor="text1"/>
          <w:sz w:val="22"/>
          <w:szCs w:val="22"/>
        </w:rPr>
        <w:t xml:space="preserve"> 44</w:t>
      </w:r>
      <w:r w:rsidR="00950EE3" w:rsidRPr="00CE4C7D">
        <w:rPr>
          <w:rFonts w:asciiTheme="majorHAnsi" w:hAnsiTheme="majorHAnsi" w:cstheme="majorHAnsi"/>
          <w:color w:val="000000" w:themeColor="text1"/>
          <w:sz w:val="22"/>
          <w:szCs w:val="22"/>
        </w:rPr>
        <w:t xml:space="preserve"> </w:t>
      </w:r>
      <w:r w:rsidRPr="00CE4C7D">
        <w:rPr>
          <w:rFonts w:asciiTheme="majorHAnsi" w:hAnsiTheme="majorHAnsi" w:cstheme="majorHAnsi"/>
          <w:color w:val="000000" w:themeColor="text1"/>
          <w:sz w:val="22"/>
          <w:szCs w:val="22"/>
        </w:rPr>
        <w:t>(2),</w:t>
      </w:r>
      <w:r w:rsidR="00E377DC" w:rsidRPr="00CE4C7D">
        <w:rPr>
          <w:rFonts w:asciiTheme="majorHAnsi" w:hAnsiTheme="majorHAnsi" w:cstheme="majorHAnsi"/>
          <w:color w:val="000000" w:themeColor="text1"/>
          <w:sz w:val="22"/>
          <w:szCs w:val="22"/>
        </w:rPr>
        <w:t xml:space="preserve"> </w:t>
      </w:r>
      <w:r w:rsidRPr="00CE4C7D">
        <w:rPr>
          <w:rFonts w:asciiTheme="majorHAnsi" w:hAnsiTheme="majorHAnsi" w:cstheme="majorHAnsi"/>
          <w:color w:val="000000" w:themeColor="text1"/>
          <w:sz w:val="22"/>
          <w:szCs w:val="22"/>
        </w:rPr>
        <w:t>331</w:t>
      </w:r>
      <w:r w:rsidRPr="00CE4C7D">
        <w:rPr>
          <w:rFonts w:asciiTheme="majorHAnsi" w:eastAsia="AdvOT596495f2+20" w:hAnsiTheme="majorHAnsi" w:cstheme="majorHAnsi"/>
          <w:color w:val="000000" w:themeColor="text1"/>
          <w:sz w:val="22"/>
          <w:szCs w:val="22"/>
        </w:rPr>
        <w:t>–</w:t>
      </w:r>
      <w:r w:rsidRPr="00CE4C7D">
        <w:rPr>
          <w:rFonts w:asciiTheme="majorHAnsi" w:hAnsiTheme="majorHAnsi" w:cstheme="majorHAnsi"/>
          <w:color w:val="000000" w:themeColor="text1"/>
          <w:sz w:val="22"/>
          <w:szCs w:val="22"/>
        </w:rPr>
        <w:t>333.</w:t>
      </w:r>
    </w:p>
    <w:p w14:paraId="5C4DB4BD" w14:textId="2DCCD2E9" w:rsidR="00EF34FF" w:rsidRPr="00CE4C7D" w:rsidRDefault="00EF34FF" w:rsidP="00F25A95">
      <w:pPr>
        <w:spacing w:before="220"/>
        <w:rPr>
          <w:rFonts w:asciiTheme="majorHAnsi" w:hAnsiTheme="majorHAnsi" w:cstheme="majorHAnsi"/>
          <w:color w:val="000000" w:themeColor="text1"/>
          <w:spacing w:val="-15"/>
          <w:sz w:val="22"/>
          <w:szCs w:val="22"/>
        </w:rPr>
      </w:pPr>
      <w:proofErr w:type="spellStart"/>
      <w:r w:rsidRPr="00CE4C7D">
        <w:rPr>
          <w:rFonts w:asciiTheme="majorHAnsi" w:hAnsiTheme="majorHAnsi" w:cstheme="majorHAnsi"/>
          <w:color w:val="000000" w:themeColor="text1"/>
          <w:sz w:val="22"/>
          <w:szCs w:val="22"/>
        </w:rPr>
        <w:t>Rinkinen</w:t>
      </w:r>
      <w:proofErr w:type="spellEnd"/>
      <w:r w:rsidRPr="00CE4C7D">
        <w:rPr>
          <w:rFonts w:asciiTheme="majorHAnsi" w:hAnsiTheme="majorHAnsi" w:cstheme="majorHAnsi"/>
          <w:color w:val="000000" w:themeColor="text1"/>
          <w:sz w:val="22"/>
          <w:szCs w:val="22"/>
        </w:rPr>
        <w:t xml:space="preserve">, J., Shove, E., and </w:t>
      </w:r>
      <w:r w:rsidR="00A9470F" w:rsidRPr="00CE4C7D">
        <w:rPr>
          <w:rFonts w:asciiTheme="majorHAnsi" w:hAnsiTheme="majorHAnsi" w:cstheme="majorHAnsi"/>
          <w:color w:val="000000" w:themeColor="text1"/>
          <w:sz w:val="22"/>
          <w:szCs w:val="22"/>
        </w:rPr>
        <w:t>Marsden, G. (2020),</w:t>
      </w:r>
      <w:r w:rsidRPr="00CE4C7D">
        <w:rPr>
          <w:rFonts w:asciiTheme="majorHAnsi" w:hAnsiTheme="majorHAnsi" w:cstheme="majorHAnsi"/>
          <w:color w:val="000000" w:themeColor="text1"/>
          <w:sz w:val="22"/>
          <w:szCs w:val="22"/>
        </w:rPr>
        <w:t> </w:t>
      </w:r>
      <w:r w:rsidRPr="00CE4C7D">
        <w:rPr>
          <w:rFonts w:asciiTheme="majorHAnsi" w:hAnsiTheme="majorHAnsi" w:cstheme="majorHAnsi"/>
          <w:i/>
          <w:color w:val="000000" w:themeColor="text1"/>
          <w:sz w:val="22"/>
          <w:szCs w:val="22"/>
        </w:rPr>
        <w:t>Conceptualising Demand: Distinctive approaches to consumption and practice</w:t>
      </w:r>
      <w:r w:rsidR="00311D7E"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 xml:space="preserve"> London: Routledge.</w:t>
      </w:r>
    </w:p>
    <w:p w14:paraId="6FB22408" w14:textId="09D68323" w:rsidR="003F05BC" w:rsidRPr="00CE4C7D" w:rsidRDefault="00A9470F" w:rsidP="00F25A95">
      <w:pPr>
        <w:spacing w:before="220"/>
        <w:rPr>
          <w:rFonts w:asciiTheme="majorHAnsi" w:hAnsiTheme="majorHAnsi" w:cstheme="majorHAnsi"/>
          <w:color w:val="000000" w:themeColor="text1"/>
          <w:sz w:val="22"/>
          <w:szCs w:val="22"/>
        </w:rPr>
      </w:pPr>
      <w:proofErr w:type="spellStart"/>
      <w:r w:rsidRPr="00CE4C7D">
        <w:rPr>
          <w:rFonts w:asciiTheme="majorHAnsi" w:hAnsiTheme="majorHAnsi" w:cstheme="majorHAnsi"/>
          <w:color w:val="000000" w:themeColor="text1"/>
          <w:sz w:val="22"/>
          <w:szCs w:val="22"/>
        </w:rPr>
        <w:t>Rosenow</w:t>
      </w:r>
      <w:proofErr w:type="spellEnd"/>
      <w:r w:rsidRPr="00CE4C7D">
        <w:rPr>
          <w:rFonts w:asciiTheme="majorHAnsi" w:hAnsiTheme="majorHAnsi" w:cstheme="majorHAnsi"/>
          <w:color w:val="000000" w:themeColor="text1"/>
          <w:sz w:val="22"/>
          <w:szCs w:val="22"/>
        </w:rPr>
        <w:t>, J. and Galvin, R. (2013),</w:t>
      </w:r>
      <w:r w:rsidR="003F05BC" w:rsidRPr="00CE4C7D">
        <w:rPr>
          <w:rFonts w:asciiTheme="majorHAnsi" w:hAnsiTheme="majorHAnsi" w:cstheme="majorHAnsi"/>
          <w:color w:val="000000" w:themeColor="text1"/>
          <w:sz w:val="22"/>
          <w:szCs w:val="22"/>
        </w:rPr>
        <w:t xml:space="preserve"> </w:t>
      </w:r>
      <w:r w:rsidR="002E5AF2"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Evaluating the evaluations: Evidence from energy efficiency p</w:t>
      </w:r>
      <w:r w:rsidR="00311D7E" w:rsidRPr="00CE4C7D">
        <w:rPr>
          <w:rFonts w:asciiTheme="majorHAnsi" w:hAnsiTheme="majorHAnsi" w:cstheme="majorHAnsi"/>
          <w:color w:val="000000" w:themeColor="text1"/>
          <w:sz w:val="22"/>
          <w:szCs w:val="22"/>
        </w:rPr>
        <w:t>rogrammes in Germany and the UK</w:t>
      </w:r>
      <w:r w:rsidR="002E5AF2" w:rsidRPr="00CE4C7D">
        <w:rPr>
          <w:rFonts w:asciiTheme="majorHAnsi" w:hAnsiTheme="majorHAnsi" w:cstheme="majorHAnsi"/>
          <w:color w:val="000000" w:themeColor="text1"/>
          <w:sz w:val="22"/>
          <w:szCs w:val="22"/>
        </w:rPr>
        <w:t>’</w:t>
      </w:r>
      <w:r w:rsidR="00311D7E"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i/>
          <w:color w:val="000000" w:themeColor="text1"/>
          <w:sz w:val="22"/>
          <w:szCs w:val="22"/>
        </w:rPr>
        <w:t>Energy and Buildings,</w:t>
      </w:r>
      <w:r w:rsidR="003F05BC"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b/>
          <w:color w:val="000000" w:themeColor="text1"/>
          <w:sz w:val="22"/>
          <w:szCs w:val="22"/>
        </w:rPr>
        <w:t>62,</w:t>
      </w:r>
      <w:r w:rsidR="00E377DC"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color w:val="000000" w:themeColor="text1"/>
          <w:sz w:val="22"/>
          <w:szCs w:val="22"/>
        </w:rPr>
        <w:t xml:space="preserve">450–458. </w:t>
      </w:r>
    </w:p>
    <w:p w14:paraId="1C244708" w14:textId="65BBE027" w:rsidR="003F05BC" w:rsidRPr="00CE4C7D" w:rsidRDefault="00E739E7"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Royston, S. (2016),</w:t>
      </w:r>
      <w:r w:rsidR="003F05BC" w:rsidRPr="00CE4C7D">
        <w:rPr>
          <w:rFonts w:asciiTheme="majorHAnsi" w:hAnsiTheme="majorHAnsi" w:cstheme="majorHAnsi"/>
          <w:color w:val="000000" w:themeColor="text1"/>
          <w:sz w:val="22"/>
          <w:szCs w:val="22"/>
        </w:rPr>
        <w:t xml:space="preserve"> </w:t>
      </w:r>
      <w:r w:rsidR="002E5AF2"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Invisible en</w:t>
      </w:r>
      <w:r w:rsidR="00311D7E" w:rsidRPr="00CE4C7D">
        <w:rPr>
          <w:rFonts w:asciiTheme="majorHAnsi" w:hAnsiTheme="majorHAnsi" w:cstheme="majorHAnsi"/>
          <w:color w:val="000000" w:themeColor="text1"/>
          <w:sz w:val="22"/>
          <w:szCs w:val="22"/>
        </w:rPr>
        <w:t>ergy policy in Higher Education</w:t>
      </w:r>
      <w:r w:rsidR="002E5AF2" w:rsidRPr="00CE4C7D">
        <w:rPr>
          <w:rFonts w:asciiTheme="majorHAnsi" w:hAnsiTheme="majorHAnsi" w:cstheme="majorHAnsi"/>
          <w:color w:val="000000" w:themeColor="text1"/>
          <w:sz w:val="22"/>
          <w:szCs w:val="22"/>
        </w:rPr>
        <w:t>’</w:t>
      </w:r>
      <w:r w:rsidR="00311D7E" w:rsidRPr="00CE4C7D">
        <w:rPr>
          <w:rFonts w:asciiTheme="majorHAnsi" w:hAnsiTheme="majorHAnsi" w:cstheme="majorHAnsi"/>
          <w:color w:val="000000" w:themeColor="text1"/>
          <w:sz w:val="22"/>
          <w:szCs w:val="22"/>
        </w:rPr>
        <w:t>, i</w:t>
      </w:r>
      <w:r w:rsidR="00ED4029" w:rsidRPr="00CE4C7D">
        <w:rPr>
          <w:rFonts w:asciiTheme="majorHAnsi" w:hAnsiTheme="majorHAnsi" w:cstheme="majorHAnsi"/>
          <w:color w:val="000000" w:themeColor="text1"/>
          <w:sz w:val="22"/>
          <w:szCs w:val="22"/>
        </w:rPr>
        <w:t>n</w:t>
      </w:r>
      <w:r w:rsidR="003F05BC" w:rsidRPr="00CE4C7D">
        <w:rPr>
          <w:rFonts w:asciiTheme="majorHAnsi" w:hAnsiTheme="majorHAnsi" w:cstheme="majorHAnsi"/>
          <w:color w:val="000000" w:themeColor="text1"/>
          <w:sz w:val="22"/>
          <w:szCs w:val="22"/>
        </w:rPr>
        <w:t xml:space="preserve"> DEMAN</w:t>
      </w:r>
      <w:r w:rsidR="00ED4029" w:rsidRPr="00CE4C7D">
        <w:rPr>
          <w:rFonts w:asciiTheme="majorHAnsi" w:hAnsiTheme="majorHAnsi" w:cstheme="majorHAnsi"/>
          <w:color w:val="000000" w:themeColor="text1"/>
          <w:sz w:val="22"/>
          <w:szCs w:val="22"/>
        </w:rPr>
        <w:t>D conference proceedings,</w:t>
      </w:r>
      <w:r w:rsidR="003F05BC" w:rsidRPr="00CE4C7D">
        <w:rPr>
          <w:rFonts w:asciiTheme="majorHAnsi" w:hAnsiTheme="majorHAnsi" w:cstheme="majorHAnsi"/>
          <w:color w:val="000000" w:themeColor="text1"/>
          <w:sz w:val="22"/>
          <w:szCs w:val="22"/>
        </w:rPr>
        <w:t xml:space="preserve"> L</w:t>
      </w:r>
      <w:r w:rsidR="00883C8F" w:rsidRPr="00CE4C7D">
        <w:rPr>
          <w:rFonts w:asciiTheme="majorHAnsi" w:hAnsiTheme="majorHAnsi" w:cstheme="majorHAnsi"/>
          <w:color w:val="000000" w:themeColor="text1"/>
          <w:sz w:val="22"/>
          <w:szCs w:val="22"/>
        </w:rPr>
        <w:t xml:space="preserve">ancaster: DEMAND, accessed 1 August 2018 at </w:t>
      </w:r>
      <w:r w:rsidR="003F05BC" w:rsidRPr="00CE4C7D">
        <w:rPr>
          <w:rFonts w:asciiTheme="majorHAnsi" w:hAnsiTheme="majorHAnsi" w:cstheme="majorHAnsi"/>
          <w:color w:val="000000" w:themeColor="text1"/>
          <w:sz w:val="22"/>
          <w:szCs w:val="22"/>
        </w:rPr>
        <w:t>www.demand.ac.uk/wp-content/uploads/2016/05/Royston-Inv</w:t>
      </w:r>
      <w:r w:rsidR="00883C8F" w:rsidRPr="00CE4C7D">
        <w:rPr>
          <w:rFonts w:asciiTheme="majorHAnsi" w:hAnsiTheme="majorHAnsi" w:cstheme="majorHAnsi"/>
          <w:color w:val="000000" w:themeColor="text1"/>
          <w:sz w:val="22"/>
          <w:szCs w:val="22"/>
        </w:rPr>
        <w:t>isible-energy-policy-in-HE.pdf.</w:t>
      </w:r>
    </w:p>
    <w:p w14:paraId="14977919" w14:textId="18FAF513" w:rsidR="00C71659" w:rsidRPr="00CE4C7D" w:rsidRDefault="00E739E7"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Royston, S. and Foulds, C. (2019),</w:t>
      </w:r>
      <w:r w:rsidR="00C71659" w:rsidRPr="00CE4C7D">
        <w:rPr>
          <w:rFonts w:asciiTheme="majorHAnsi" w:hAnsiTheme="majorHAnsi" w:cstheme="majorHAnsi"/>
          <w:color w:val="000000" w:themeColor="text1"/>
          <w:sz w:val="22"/>
          <w:szCs w:val="22"/>
        </w:rPr>
        <w:t xml:space="preserve"> </w:t>
      </w:r>
      <w:r w:rsidR="002E5AF2" w:rsidRPr="00CE4C7D">
        <w:rPr>
          <w:rFonts w:asciiTheme="majorHAnsi" w:hAnsiTheme="majorHAnsi" w:cstheme="majorHAnsi"/>
          <w:color w:val="000000" w:themeColor="text1"/>
          <w:sz w:val="22"/>
          <w:szCs w:val="22"/>
        </w:rPr>
        <w:t>‘</w:t>
      </w:r>
      <w:r w:rsidR="00C71659" w:rsidRPr="00CE4C7D">
        <w:rPr>
          <w:rFonts w:asciiTheme="majorHAnsi" w:hAnsiTheme="majorHAnsi" w:cstheme="majorHAnsi"/>
          <w:color w:val="000000" w:themeColor="text1"/>
          <w:sz w:val="22"/>
          <w:szCs w:val="22"/>
        </w:rPr>
        <w:t>Use of evidence in energy policy: the roles, capacities and expectations of Social Sciences and Humanities</w:t>
      </w:r>
      <w:r w:rsidR="008D4491" w:rsidRPr="00CE4C7D">
        <w:rPr>
          <w:rFonts w:asciiTheme="majorHAnsi" w:hAnsiTheme="majorHAnsi" w:cstheme="majorHAnsi"/>
          <w:color w:val="000000" w:themeColor="text1"/>
          <w:sz w:val="22"/>
          <w:szCs w:val="22"/>
        </w:rPr>
        <w:t>: Scoping workshop report</w:t>
      </w:r>
      <w:r w:rsidR="002E5AF2" w:rsidRPr="00CE4C7D">
        <w:rPr>
          <w:rFonts w:asciiTheme="majorHAnsi" w:hAnsiTheme="majorHAnsi" w:cstheme="majorHAnsi"/>
          <w:color w:val="000000" w:themeColor="text1"/>
          <w:sz w:val="22"/>
          <w:szCs w:val="22"/>
        </w:rPr>
        <w:t>’</w:t>
      </w:r>
      <w:r w:rsidR="008D4491" w:rsidRPr="00CE4C7D">
        <w:rPr>
          <w:rFonts w:asciiTheme="majorHAnsi" w:hAnsiTheme="majorHAnsi" w:cstheme="majorHAnsi"/>
          <w:color w:val="000000" w:themeColor="text1"/>
          <w:sz w:val="22"/>
          <w:szCs w:val="22"/>
        </w:rPr>
        <w:t xml:space="preserve">, </w:t>
      </w:r>
      <w:r w:rsidR="00C71659" w:rsidRPr="00CE4C7D">
        <w:rPr>
          <w:rFonts w:asciiTheme="majorHAnsi" w:hAnsiTheme="majorHAnsi" w:cstheme="majorHAnsi"/>
          <w:color w:val="000000" w:themeColor="text1"/>
          <w:sz w:val="22"/>
          <w:szCs w:val="22"/>
        </w:rPr>
        <w:t>Cambridge: Energy-SHIFTS.</w:t>
      </w:r>
    </w:p>
    <w:p w14:paraId="6BE9FEA3" w14:textId="6E1C4051" w:rsidR="00AE7CB2" w:rsidRPr="00CE4C7D" w:rsidRDefault="003F05BC"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Roysto</w:t>
      </w:r>
      <w:r w:rsidR="00E739E7" w:rsidRPr="00CE4C7D">
        <w:rPr>
          <w:rFonts w:asciiTheme="majorHAnsi" w:hAnsiTheme="majorHAnsi" w:cstheme="majorHAnsi"/>
          <w:color w:val="000000" w:themeColor="text1"/>
          <w:sz w:val="22"/>
          <w:szCs w:val="22"/>
        </w:rPr>
        <w:t>n, S., Selby, J. and Shove, E. (2018),</w:t>
      </w:r>
      <w:r w:rsidRPr="00CE4C7D">
        <w:rPr>
          <w:rFonts w:asciiTheme="majorHAnsi" w:hAnsiTheme="majorHAnsi" w:cstheme="majorHAnsi"/>
          <w:color w:val="000000" w:themeColor="text1"/>
          <w:sz w:val="22"/>
          <w:szCs w:val="22"/>
        </w:rPr>
        <w:t xml:space="preserve"> </w:t>
      </w:r>
      <w:r w:rsidR="002E5AF2"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Invisible energy policies: A new age</w:t>
      </w:r>
      <w:r w:rsidR="008D4491" w:rsidRPr="00CE4C7D">
        <w:rPr>
          <w:rFonts w:asciiTheme="majorHAnsi" w:hAnsiTheme="majorHAnsi" w:cstheme="majorHAnsi"/>
          <w:color w:val="000000" w:themeColor="text1"/>
          <w:sz w:val="22"/>
          <w:szCs w:val="22"/>
        </w:rPr>
        <w:t>nda for energy demand reduction</w:t>
      </w:r>
      <w:r w:rsidR="002E5AF2" w:rsidRPr="00CE4C7D">
        <w:rPr>
          <w:rFonts w:asciiTheme="majorHAnsi" w:hAnsiTheme="majorHAnsi" w:cstheme="majorHAnsi"/>
          <w:color w:val="000000" w:themeColor="text1"/>
          <w:sz w:val="22"/>
          <w:szCs w:val="22"/>
        </w:rPr>
        <w:t>’</w:t>
      </w:r>
      <w:r w:rsidR="008D4491"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 xml:space="preserve"> </w:t>
      </w:r>
      <w:r w:rsidRPr="00CE4C7D">
        <w:rPr>
          <w:rFonts w:asciiTheme="majorHAnsi" w:hAnsiTheme="majorHAnsi" w:cstheme="majorHAnsi"/>
          <w:i/>
          <w:color w:val="000000" w:themeColor="text1"/>
          <w:sz w:val="22"/>
          <w:szCs w:val="22"/>
        </w:rPr>
        <w:t>Energy Policy,</w:t>
      </w:r>
      <w:r w:rsidRPr="00CE4C7D">
        <w:rPr>
          <w:rFonts w:asciiTheme="majorHAnsi" w:hAnsiTheme="majorHAnsi" w:cstheme="majorHAnsi"/>
          <w:color w:val="000000" w:themeColor="text1"/>
          <w:sz w:val="22"/>
          <w:szCs w:val="22"/>
        </w:rPr>
        <w:t xml:space="preserve"> </w:t>
      </w:r>
      <w:r w:rsidRPr="00CE4C7D">
        <w:rPr>
          <w:rFonts w:asciiTheme="majorHAnsi" w:hAnsiTheme="majorHAnsi" w:cstheme="majorHAnsi"/>
          <w:b/>
          <w:color w:val="000000" w:themeColor="text1"/>
          <w:sz w:val="22"/>
          <w:szCs w:val="22"/>
        </w:rPr>
        <w:t>123,</w:t>
      </w:r>
      <w:r w:rsidR="00E377DC" w:rsidRPr="00CE4C7D">
        <w:rPr>
          <w:rFonts w:asciiTheme="majorHAnsi" w:hAnsiTheme="majorHAnsi" w:cstheme="majorHAnsi"/>
          <w:color w:val="000000" w:themeColor="text1"/>
          <w:sz w:val="22"/>
          <w:szCs w:val="22"/>
        </w:rPr>
        <w:t xml:space="preserve"> </w:t>
      </w:r>
      <w:r w:rsidRPr="00CE4C7D">
        <w:rPr>
          <w:rFonts w:asciiTheme="majorHAnsi" w:hAnsiTheme="majorHAnsi" w:cstheme="majorHAnsi"/>
          <w:color w:val="000000" w:themeColor="text1"/>
          <w:sz w:val="22"/>
          <w:szCs w:val="22"/>
        </w:rPr>
        <w:t>127-135.</w:t>
      </w:r>
    </w:p>
    <w:p w14:paraId="2B13F31E" w14:textId="581C1558" w:rsidR="00AE7CB2" w:rsidRPr="00CE4C7D" w:rsidRDefault="00AE7CB2"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 xml:space="preserve">Royston, S., Selby, J. and </w:t>
      </w:r>
      <w:proofErr w:type="spellStart"/>
      <w:r w:rsidRPr="00CE4C7D">
        <w:rPr>
          <w:rFonts w:asciiTheme="majorHAnsi" w:hAnsiTheme="majorHAnsi" w:cstheme="majorHAnsi"/>
          <w:color w:val="000000" w:themeColor="text1"/>
          <w:sz w:val="22"/>
          <w:szCs w:val="22"/>
        </w:rPr>
        <w:t>Kesidou</w:t>
      </w:r>
      <w:proofErr w:type="spellEnd"/>
      <w:r w:rsidRPr="00CE4C7D">
        <w:rPr>
          <w:rFonts w:asciiTheme="majorHAnsi" w:hAnsiTheme="majorHAnsi" w:cstheme="majorHAnsi"/>
          <w:color w:val="000000" w:themeColor="text1"/>
          <w:sz w:val="22"/>
          <w:szCs w:val="22"/>
        </w:rPr>
        <w:t>, S.</w:t>
      </w:r>
      <w:r w:rsidR="00E739E7" w:rsidRPr="00CE4C7D">
        <w:rPr>
          <w:rFonts w:asciiTheme="majorHAnsi" w:hAnsiTheme="majorHAnsi" w:cstheme="majorHAnsi"/>
          <w:color w:val="000000" w:themeColor="text1"/>
          <w:sz w:val="22"/>
          <w:szCs w:val="22"/>
        </w:rPr>
        <w:t xml:space="preserve"> (2020),</w:t>
      </w:r>
      <w:r w:rsidR="00E575FF" w:rsidRPr="00CE4C7D">
        <w:rPr>
          <w:rFonts w:asciiTheme="majorHAnsi" w:hAnsiTheme="majorHAnsi" w:cstheme="majorHAnsi"/>
          <w:color w:val="000000" w:themeColor="text1"/>
          <w:sz w:val="22"/>
          <w:szCs w:val="22"/>
        </w:rPr>
        <w:t xml:space="preserve"> </w:t>
      </w:r>
      <w:r w:rsidR="002E5AF2" w:rsidRPr="00CE4C7D">
        <w:rPr>
          <w:rFonts w:asciiTheme="majorHAnsi" w:hAnsiTheme="majorHAnsi" w:cstheme="majorHAnsi"/>
          <w:color w:val="000000" w:themeColor="text1"/>
          <w:sz w:val="22"/>
          <w:szCs w:val="22"/>
        </w:rPr>
        <w:t>‘</w:t>
      </w:r>
      <w:r w:rsidR="00E575FF" w:rsidRPr="00CE4C7D">
        <w:rPr>
          <w:rFonts w:asciiTheme="majorHAnsi" w:hAnsiTheme="majorHAnsi" w:cstheme="majorHAnsi"/>
          <w:color w:val="000000" w:themeColor="text1"/>
          <w:sz w:val="22"/>
          <w:szCs w:val="22"/>
        </w:rPr>
        <w:t>Governing energy in organisations: Energy management professionals, marginalised prac</w:t>
      </w:r>
      <w:r w:rsidR="008D4491" w:rsidRPr="00CE4C7D">
        <w:rPr>
          <w:rFonts w:asciiTheme="majorHAnsi" w:hAnsiTheme="majorHAnsi" w:cstheme="majorHAnsi"/>
          <w:color w:val="000000" w:themeColor="text1"/>
          <w:sz w:val="22"/>
          <w:szCs w:val="22"/>
        </w:rPr>
        <w:t>tices, and the limits to change</w:t>
      </w:r>
      <w:r w:rsidR="002E5AF2" w:rsidRPr="00CE4C7D">
        <w:rPr>
          <w:rFonts w:asciiTheme="majorHAnsi" w:hAnsiTheme="majorHAnsi" w:cstheme="majorHAnsi"/>
          <w:color w:val="000000" w:themeColor="text1"/>
          <w:sz w:val="22"/>
          <w:szCs w:val="22"/>
        </w:rPr>
        <w:t>’</w:t>
      </w:r>
      <w:r w:rsidR="008D4491" w:rsidRPr="00CE4C7D">
        <w:rPr>
          <w:rFonts w:asciiTheme="majorHAnsi" w:hAnsiTheme="majorHAnsi" w:cstheme="majorHAnsi"/>
          <w:color w:val="000000" w:themeColor="text1"/>
          <w:sz w:val="22"/>
          <w:szCs w:val="22"/>
        </w:rPr>
        <w:t>,</w:t>
      </w:r>
      <w:r w:rsidR="00E575FF" w:rsidRPr="00CE4C7D">
        <w:rPr>
          <w:rFonts w:asciiTheme="majorHAnsi" w:hAnsiTheme="majorHAnsi" w:cstheme="majorHAnsi"/>
          <w:i/>
          <w:color w:val="000000" w:themeColor="text1"/>
          <w:sz w:val="22"/>
          <w:szCs w:val="22"/>
        </w:rPr>
        <w:t xml:space="preserve"> Environmental Policy and Governance</w:t>
      </w:r>
      <w:r w:rsidR="00E575FF" w:rsidRPr="00CE4C7D">
        <w:rPr>
          <w:rFonts w:asciiTheme="majorHAnsi" w:hAnsiTheme="majorHAnsi" w:cstheme="majorHAnsi"/>
          <w:color w:val="000000" w:themeColor="text1"/>
          <w:sz w:val="22"/>
          <w:szCs w:val="22"/>
        </w:rPr>
        <w:t>, 1</w:t>
      </w:r>
      <w:r w:rsidR="00D759A4" w:rsidRPr="00CE4C7D">
        <w:rPr>
          <w:rFonts w:asciiTheme="majorHAnsi" w:hAnsiTheme="majorHAnsi" w:cstheme="majorHAnsi"/>
          <w:color w:val="000000" w:themeColor="text1"/>
          <w:sz w:val="22"/>
          <w:szCs w:val="22"/>
        </w:rPr>
        <w:t>– 16, published online before publication at</w:t>
      </w:r>
      <w:r w:rsidR="00E575FF" w:rsidRPr="00CE4C7D">
        <w:rPr>
          <w:rFonts w:asciiTheme="majorHAnsi" w:hAnsiTheme="majorHAnsi" w:cstheme="majorHAnsi"/>
          <w:color w:val="000000" w:themeColor="text1"/>
          <w:sz w:val="22"/>
          <w:szCs w:val="22"/>
        </w:rPr>
        <w:t xml:space="preserve"> </w:t>
      </w:r>
      <w:hyperlink r:id="rId11" w:history="1">
        <w:r w:rsidR="00E575FF" w:rsidRPr="00CE4C7D">
          <w:rPr>
            <w:rFonts w:asciiTheme="majorHAnsi" w:hAnsiTheme="majorHAnsi" w:cstheme="majorHAnsi"/>
            <w:color w:val="000000" w:themeColor="text1"/>
            <w:sz w:val="22"/>
            <w:szCs w:val="22"/>
          </w:rPr>
          <w:t>https://doi.org/10.1002/eet.1914</w:t>
        </w:r>
      </w:hyperlink>
      <w:r w:rsidR="00D759A4" w:rsidRPr="00CE4C7D">
        <w:rPr>
          <w:rFonts w:asciiTheme="majorHAnsi" w:hAnsiTheme="majorHAnsi" w:cstheme="majorHAnsi"/>
          <w:color w:val="000000" w:themeColor="text1"/>
          <w:sz w:val="22"/>
          <w:szCs w:val="22"/>
        </w:rPr>
        <w:t>.</w:t>
      </w:r>
    </w:p>
    <w:p w14:paraId="59A2E93A" w14:textId="5B68E299" w:rsidR="003F05BC" w:rsidRPr="00CE4C7D" w:rsidRDefault="003F05BC"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Santos, G., Be</w:t>
      </w:r>
      <w:r w:rsidR="00E739E7" w:rsidRPr="00CE4C7D">
        <w:rPr>
          <w:rFonts w:asciiTheme="majorHAnsi" w:hAnsiTheme="majorHAnsi" w:cstheme="majorHAnsi"/>
          <w:color w:val="000000" w:themeColor="text1"/>
          <w:sz w:val="22"/>
          <w:szCs w:val="22"/>
        </w:rPr>
        <w:t xml:space="preserve">hrendt, H., and </w:t>
      </w:r>
      <w:proofErr w:type="spellStart"/>
      <w:r w:rsidR="00E739E7" w:rsidRPr="00CE4C7D">
        <w:rPr>
          <w:rFonts w:asciiTheme="majorHAnsi" w:hAnsiTheme="majorHAnsi" w:cstheme="majorHAnsi"/>
          <w:color w:val="000000" w:themeColor="text1"/>
          <w:sz w:val="22"/>
          <w:szCs w:val="22"/>
        </w:rPr>
        <w:t>Teytelboym</w:t>
      </w:r>
      <w:proofErr w:type="spellEnd"/>
      <w:r w:rsidR="00E739E7" w:rsidRPr="00CE4C7D">
        <w:rPr>
          <w:rFonts w:asciiTheme="majorHAnsi" w:hAnsiTheme="majorHAnsi" w:cstheme="majorHAnsi"/>
          <w:color w:val="000000" w:themeColor="text1"/>
          <w:sz w:val="22"/>
          <w:szCs w:val="22"/>
        </w:rPr>
        <w:t>, A. (2010),</w:t>
      </w:r>
      <w:r w:rsidRPr="00CE4C7D">
        <w:rPr>
          <w:rFonts w:asciiTheme="majorHAnsi" w:hAnsiTheme="majorHAnsi" w:cstheme="majorHAnsi"/>
          <w:color w:val="000000" w:themeColor="text1"/>
          <w:sz w:val="22"/>
          <w:szCs w:val="22"/>
        </w:rPr>
        <w:t xml:space="preserve"> </w:t>
      </w:r>
      <w:r w:rsidR="002E5AF2"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 xml:space="preserve">Part II: policy instruments for sustainable </w:t>
      </w:r>
      <w:r w:rsidR="00D85BF0" w:rsidRPr="00CE4C7D">
        <w:rPr>
          <w:rFonts w:asciiTheme="majorHAnsi" w:hAnsiTheme="majorHAnsi" w:cstheme="majorHAnsi"/>
          <w:color w:val="000000" w:themeColor="text1"/>
          <w:sz w:val="22"/>
          <w:szCs w:val="22"/>
        </w:rPr>
        <w:t>road transport</w:t>
      </w:r>
      <w:r w:rsidR="002E5AF2" w:rsidRPr="00CE4C7D">
        <w:rPr>
          <w:rFonts w:asciiTheme="majorHAnsi" w:hAnsiTheme="majorHAnsi" w:cstheme="majorHAnsi"/>
          <w:color w:val="000000" w:themeColor="text1"/>
          <w:sz w:val="22"/>
          <w:szCs w:val="22"/>
        </w:rPr>
        <w:t>’</w:t>
      </w:r>
      <w:r w:rsidR="00D85BF0"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 xml:space="preserve"> </w:t>
      </w:r>
      <w:r w:rsidRPr="00CE4C7D">
        <w:rPr>
          <w:rFonts w:asciiTheme="majorHAnsi" w:hAnsiTheme="majorHAnsi" w:cstheme="majorHAnsi"/>
          <w:i/>
          <w:color w:val="000000" w:themeColor="text1"/>
          <w:sz w:val="22"/>
          <w:szCs w:val="22"/>
        </w:rPr>
        <w:t>Research in Transportation Economics</w:t>
      </w:r>
      <w:r w:rsidR="00D85BF0"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 xml:space="preserve"> </w:t>
      </w:r>
      <w:r w:rsidRPr="00CE4C7D">
        <w:rPr>
          <w:rFonts w:asciiTheme="majorHAnsi" w:hAnsiTheme="majorHAnsi" w:cstheme="majorHAnsi"/>
          <w:b/>
          <w:color w:val="000000" w:themeColor="text1"/>
          <w:sz w:val="22"/>
          <w:szCs w:val="22"/>
        </w:rPr>
        <w:t>28</w:t>
      </w:r>
      <w:r w:rsidR="00C16325" w:rsidRPr="00CE4C7D">
        <w:rPr>
          <w:rFonts w:asciiTheme="majorHAnsi" w:hAnsiTheme="majorHAnsi" w:cstheme="majorHAnsi"/>
          <w:b/>
          <w:color w:val="000000" w:themeColor="text1"/>
          <w:sz w:val="22"/>
          <w:szCs w:val="22"/>
        </w:rPr>
        <w:t xml:space="preserve"> </w:t>
      </w:r>
      <w:r w:rsidRPr="00CE4C7D">
        <w:rPr>
          <w:rFonts w:asciiTheme="majorHAnsi" w:hAnsiTheme="majorHAnsi" w:cstheme="majorHAnsi"/>
          <w:color w:val="000000" w:themeColor="text1"/>
          <w:sz w:val="22"/>
          <w:szCs w:val="22"/>
        </w:rPr>
        <w:t>(1),</w:t>
      </w:r>
      <w:r w:rsidR="00E377DC" w:rsidRPr="00CE4C7D">
        <w:rPr>
          <w:rFonts w:asciiTheme="majorHAnsi" w:hAnsiTheme="majorHAnsi" w:cstheme="majorHAnsi"/>
          <w:color w:val="000000" w:themeColor="text1"/>
          <w:sz w:val="22"/>
          <w:szCs w:val="22"/>
        </w:rPr>
        <w:t xml:space="preserve"> </w:t>
      </w:r>
      <w:r w:rsidRPr="00CE4C7D">
        <w:rPr>
          <w:rFonts w:asciiTheme="majorHAnsi" w:hAnsiTheme="majorHAnsi" w:cstheme="majorHAnsi"/>
          <w:color w:val="000000" w:themeColor="text1"/>
          <w:sz w:val="22"/>
          <w:szCs w:val="22"/>
        </w:rPr>
        <w:t>46–91.</w:t>
      </w:r>
    </w:p>
    <w:p w14:paraId="59DA4E8E" w14:textId="5FAC4C2B" w:rsidR="003F05BC" w:rsidRPr="00CE4C7D" w:rsidRDefault="003F05BC"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 xml:space="preserve">Shove, E. </w:t>
      </w:r>
      <w:r w:rsidR="00E739E7" w:rsidRPr="00CE4C7D">
        <w:rPr>
          <w:rFonts w:asciiTheme="majorHAnsi" w:hAnsiTheme="majorHAnsi" w:cstheme="majorHAnsi"/>
          <w:color w:val="000000" w:themeColor="text1"/>
          <w:sz w:val="22"/>
          <w:szCs w:val="22"/>
        </w:rPr>
        <w:t>(2003),</w:t>
      </w:r>
      <w:r w:rsidRPr="00CE4C7D">
        <w:rPr>
          <w:rFonts w:asciiTheme="majorHAnsi" w:hAnsiTheme="majorHAnsi" w:cstheme="majorHAnsi"/>
          <w:color w:val="000000" w:themeColor="text1"/>
          <w:sz w:val="22"/>
          <w:szCs w:val="22"/>
        </w:rPr>
        <w:t xml:space="preserve"> </w:t>
      </w:r>
      <w:r w:rsidR="002E5AF2"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Converging Conventions of Comfo</w:t>
      </w:r>
      <w:r w:rsidR="00D85BF0" w:rsidRPr="00CE4C7D">
        <w:rPr>
          <w:rFonts w:asciiTheme="majorHAnsi" w:hAnsiTheme="majorHAnsi" w:cstheme="majorHAnsi"/>
          <w:color w:val="000000" w:themeColor="text1"/>
          <w:sz w:val="22"/>
          <w:szCs w:val="22"/>
        </w:rPr>
        <w:t>rt, Cleanliness and Convenience</w:t>
      </w:r>
      <w:r w:rsidR="002E5AF2" w:rsidRPr="00CE4C7D">
        <w:rPr>
          <w:rFonts w:asciiTheme="majorHAnsi" w:hAnsiTheme="majorHAnsi" w:cstheme="majorHAnsi"/>
          <w:color w:val="000000" w:themeColor="text1"/>
          <w:sz w:val="22"/>
          <w:szCs w:val="22"/>
        </w:rPr>
        <w:t>’</w:t>
      </w:r>
      <w:r w:rsidR="00D85BF0"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 xml:space="preserve"> </w:t>
      </w:r>
      <w:r w:rsidRPr="00CE4C7D">
        <w:rPr>
          <w:rFonts w:asciiTheme="majorHAnsi" w:hAnsiTheme="majorHAnsi" w:cstheme="majorHAnsi"/>
          <w:i/>
          <w:color w:val="000000" w:themeColor="text1"/>
          <w:sz w:val="22"/>
          <w:szCs w:val="22"/>
        </w:rPr>
        <w:t>Journal of Consumer Policy,</w:t>
      </w:r>
      <w:r w:rsidRPr="00CE4C7D">
        <w:rPr>
          <w:rFonts w:asciiTheme="majorHAnsi" w:hAnsiTheme="majorHAnsi" w:cstheme="majorHAnsi"/>
          <w:b/>
          <w:i/>
          <w:color w:val="000000" w:themeColor="text1"/>
          <w:sz w:val="22"/>
          <w:szCs w:val="22"/>
        </w:rPr>
        <w:t xml:space="preserve"> </w:t>
      </w:r>
      <w:r w:rsidRPr="00CE4C7D">
        <w:rPr>
          <w:rFonts w:asciiTheme="majorHAnsi" w:hAnsiTheme="majorHAnsi" w:cstheme="majorHAnsi"/>
          <w:b/>
          <w:color w:val="000000" w:themeColor="text1"/>
          <w:sz w:val="22"/>
          <w:szCs w:val="22"/>
        </w:rPr>
        <w:t>26,</w:t>
      </w:r>
      <w:r w:rsidR="00E377DC" w:rsidRPr="00CE4C7D">
        <w:rPr>
          <w:rFonts w:asciiTheme="majorHAnsi" w:hAnsiTheme="majorHAnsi" w:cstheme="majorHAnsi"/>
          <w:b/>
          <w:color w:val="000000" w:themeColor="text1"/>
          <w:sz w:val="22"/>
          <w:szCs w:val="22"/>
        </w:rPr>
        <w:t xml:space="preserve"> </w:t>
      </w:r>
      <w:r w:rsidRPr="00CE4C7D">
        <w:rPr>
          <w:rFonts w:asciiTheme="majorHAnsi" w:hAnsiTheme="majorHAnsi" w:cstheme="majorHAnsi"/>
          <w:color w:val="000000" w:themeColor="text1"/>
          <w:sz w:val="22"/>
          <w:szCs w:val="22"/>
        </w:rPr>
        <w:t>395–418.</w:t>
      </w:r>
    </w:p>
    <w:p w14:paraId="27047A6D" w14:textId="61C9EF35" w:rsidR="003F05BC" w:rsidRPr="00CE4C7D" w:rsidRDefault="00E739E7"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Shove, E. (2018),</w:t>
      </w:r>
      <w:r w:rsidR="003F05BC" w:rsidRPr="00CE4C7D">
        <w:rPr>
          <w:rFonts w:asciiTheme="majorHAnsi" w:hAnsiTheme="majorHAnsi" w:cstheme="majorHAnsi"/>
          <w:color w:val="000000" w:themeColor="text1"/>
          <w:sz w:val="22"/>
          <w:szCs w:val="22"/>
        </w:rPr>
        <w:t> </w:t>
      </w:r>
      <w:r w:rsidR="009001E5"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What is wrong with energy efficiency?</w:t>
      </w:r>
      <w:r w:rsidR="009001E5"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w:t>
      </w:r>
      <w:r w:rsidR="003F05BC" w:rsidRPr="00CE4C7D">
        <w:rPr>
          <w:rFonts w:asciiTheme="majorHAnsi" w:hAnsiTheme="majorHAnsi" w:cstheme="majorHAnsi"/>
          <w:i/>
          <w:color w:val="000000" w:themeColor="text1"/>
          <w:sz w:val="22"/>
          <w:szCs w:val="22"/>
        </w:rPr>
        <w:t>Building Research and Information</w:t>
      </w:r>
      <w:r w:rsidR="003F05BC" w:rsidRPr="00CE4C7D">
        <w:rPr>
          <w:rFonts w:asciiTheme="majorHAnsi" w:hAnsiTheme="majorHAnsi" w:cstheme="majorHAnsi"/>
          <w:color w:val="000000" w:themeColor="text1"/>
          <w:sz w:val="22"/>
          <w:szCs w:val="22"/>
        </w:rPr>
        <w:t>, </w:t>
      </w:r>
      <w:r w:rsidR="003F05BC" w:rsidRPr="00CE4C7D">
        <w:rPr>
          <w:rFonts w:asciiTheme="majorHAnsi" w:hAnsiTheme="majorHAnsi" w:cstheme="majorHAnsi"/>
          <w:b/>
          <w:color w:val="000000" w:themeColor="text1"/>
          <w:sz w:val="22"/>
          <w:szCs w:val="22"/>
        </w:rPr>
        <w:t>46</w:t>
      </w:r>
      <w:r w:rsidR="00C16325" w:rsidRPr="00CE4C7D">
        <w:rPr>
          <w:rFonts w:asciiTheme="majorHAnsi" w:hAnsiTheme="majorHAnsi" w:cstheme="majorHAnsi"/>
          <w:b/>
          <w:color w:val="000000" w:themeColor="text1"/>
          <w:sz w:val="22"/>
          <w:szCs w:val="22"/>
        </w:rPr>
        <w:t xml:space="preserve"> </w:t>
      </w:r>
      <w:r w:rsidR="003F05BC" w:rsidRPr="00CE4C7D">
        <w:rPr>
          <w:rFonts w:asciiTheme="majorHAnsi" w:hAnsiTheme="majorHAnsi" w:cstheme="majorHAnsi"/>
          <w:color w:val="000000" w:themeColor="text1"/>
          <w:sz w:val="22"/>
          <w:szCs w:val="22"/>
        </w:rPr>
        <w:t>(7),</w:t>
      </w:r>
      <w:r w:rsidR="00E377DC"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color w:val="000000" w:themeColor="text1"/>
          <w:sz w:val="22"/>
          <w:szCs w:val="22"/>
        </w:rPr>
        <w:t>779-789.</w:t>
      </w:r>
    </w:p>
    <w:p w14:paraId="71D95D18" w14:textId="0C2EB08F" w:rsidR="003F05BC" w:rsidRPr="00CE4C7D" w:rsidRDefault="00E739E7"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Smith, A. (2009),</w:t>
      </w:r>
      <w:r w:rsidR="003F05BC" w:rsidRPr="00CE4C7D">
        <w:rPr>
          <w:rFonts w:asciiTheme="majorHAnsi" w:hAnsiTheme="majorHAnsi" w:cstheme="majorHAnsi"/>
          <w:color w:val="000000" w:themeColor="text1"/>
          <w:sz w:val="22"/>
          <w:szCs w:val="22"/>
        </w:rPr>
        <w:t xml:space="preserve"> </w:t>
      </w:r>
      <w:r w:rsidR="009001E5"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Energy governance: the</w:t>
      </w:r>
      <w:r w:rsidR="00D85BF0" w:rsidRPr="00CE4C7D">
        <w:rPr>
          <w:rFonts w:asciiTheme="majorHAnsi" w:hAnsiTheme="majorHAnsi" w:cstheme="majorHAnsi"/>
          <w:color w:val="000000" w:themeColor="text1"/>
          <w:sz w:val="22"/>
          <w:szCs w:val="22"/>
        </w:rPr>
        <w:t xml:space="preserve"> challenges of sustainability</w:t>
      </w:r>
      <w:r w:rsidR="009001E5" w:rsidRPr="00CE4C7D">
        <w:rPr>
          <w:rFonts w:asciiTheme="majorHAnsi" w:hAnsiTheme="majorHAnsi" w:cstheme="majorHAnsi"/>
          <w:color w:val="000000" w:themeColor="text1"/>
          <w:sz w:val="22"/>
          <w:szCs w:val="22"/>
        </w:rPr>
        <w:t>’</w:t>
      </w:r>
      <w:r w:rsidR="00D85BF0" w:rsidRPr="00CE4C7D">
        <w:rPr>
          <w:rFonts w:asciiTheme="majorHAnsi" w:hAnsiTheme="majorHAnsi" w:cstheme="majorHAnsi"/>
          <w:color w:val="000000" w:themeColor="text1"/>
          <w:sz w:val="22"/>
          <w:szCs w:val="22"/>
        </w:rPr>
        <w:t>, i</w:t>
      </w:r>
      <w:r w:rsidR="00B17693" w:rsidRPr="00CE4C7D">
        <w:rPr>
          <w:rFonts w:asciiTheme="majorHAnsi" w:hAnsiTheme="majorHAnsi" w:cstheme="majorHAnsi"/>
          <w:color w:val="000000" w:themeColor="text1"/>
          <w:sz w:val="22"/>
          <w:szCs w:val="22"/>
        </w:rPr>
        <w:t xml:space="preserve">n I. </w:t>
      </w:r>
      <w:proofErr w:type="spellStart"/>
      <w:r w:rsidR="00B17693" w:rsidRPr="00CE4C7D">
        <w:rPr>
          <w:rFonts w:asciiTheme="majorHAnsi" w:hAnsiTheme="majorHAnsi" w:cstheme="majorHAnsi"/>
          <w:color w:val="000000" w:themeColor="text1"/>
          <w:sz w:val="22"/>
          <w:szCs w:val="22"/>
        </w:rPr>
        <w:t>Scrase</w:t>
      </w:r>
      <w:proofErr w:type="spellEnd"/>
      <w:r w:rsidR="00B17693" w:rsidRPr="00CE4C7D">
        <w:rPr>
          <w:rFonts w:asciiTheme="majorHAnsi" w:hAnsiTheme="majorHAnsi" w:cstheme="majorHAnsi"/>
          <w:color w:val="000000" w:themeColor="text1"/>
          <w:sz w:val="22"/>
          <w:szCs w:val="22"/>
        </w:rPr>
        <w:t xml:space="preserve"> and G. </w:t>
      </w:r>
      <w:proofErr w:type="spellStart"/>
      <w:r w:rsidR="00B17693" w:rsidRPr="00CE4C7D">
        <w:rPr>
          <w:rFonts w:asciiTheme="majorHAnsi" w:hAnsiTheme="majorHAnsi" w:cstheme="majorHAnsi"/>
          <w:color w:val="000000" w:themeColor="text1"/>
          <w:sz w:val="22"/>
          <w:szCs w:val="22"/>
        </w:rPr>
        <w:t>MacKerron</w:t>
      </w:r>
      <w:proofErr w:type="spellEnd"/>
      <w:r w:rsidR="00B17693" w:rsidRPr="00CE4C7D">
        <w:rPr>
          <w:rFonts w:asciiTheme="majorHAnsi" w:hAnsiTheme="majorHAnsi" w:cstheme="majorHAnsi"/>
          <w:color w:val="000000" w:themeColor="text1"/>
          <w:sz w:val="22"/>
          <w:szCs w:val="22"/>
        </w:rPr>
        <w:t xml:space="preserve"> (eds)</w:t>
      </w:r>
      <w:r w:rsidR="003F05BC"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i/>
          <w:color w:val="000000" w:themeColor="text1"/>
          <w:sz w:val="22"/>
          <w:szCs w:val="22"/>
        </w:rPr>
        <w:t>Energy for t</w:t>
      </w:r>
      <w:r w:rsidR="00B17693" w:rsidRPr="00CE4C7D">
        <w:rPr>
          <w:rFonts w:asciiTheme="majorHAnsi" w:hAnsiTheme="majorHAnsi" w:cstheme="majorHAnsi"/>
          <w:i/>
          <w:color w:val="000000" w:themeColor="text1"/>
          <w:sz w:val="22"/>
          <w:szCs w:val="22"/>
        </w:rPr>
        <w:t>he Future: A New Agenda</w:t>
      </w:r>
      <w:r w:rsidR="00B17693"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xml:space="preserve"> Basingstoke: Palgrave Macmillan,</w:t>
      </w:r>
      <w:r w:rsidR="00E377DC" w:rsidRPr="00CE4C7D">
        <w:rPr>
          <w:rFonts w:asciiTheme="majorHAnsi" w:hAnsiTheme="majorHAnsi" w:cstheme="majorHAnsi"/>
          <w:color w:val="000000" w:themeColor="text1"/>
          <w:sz w:val="22"/>
          <w:szCs w:val="22"/>
        </w:rPr>
        <w:t xml:space="preserve"> </w:t>
      </w:r>
      <w:r w:rsidR="00DE5288" w:rsidRPr="00CE4C7D">
        <w:rPr>
          <w:rFonts w:asciiTheme="majorHAnsi" w:hAnsiTheme="majorHAnsi" w:cstheme="majorHAnsi"/>
          <w:color w:val="000000" w:themeColor="text1"/>
          <w:sz w:val="22"/>
          <w:szCs w:val="22"/>
        </w:rPr>
        <w:t xml:space="preserve">pp. </w:t>
      </w:r>
      <w:r w:rsidR="003F05BC" w:rsidRPr="00CE4C7D">
        <w:rPr>
          <w:rFonts w:asciiTheme="majorHAnsi" w:hAnsiTheme="majorHAnsi" w:cstheme="majorHAnsi"/>
          <w:color w:val="000000" w:themeColor="text1"/>
          <w:sz w:val="22"/>
          <w:szCs w:val="22"/>
        </w:rPr>
        <w:t>54–76.</w:t>
      </w:r>
    </w:p>
    <w:p w14:paraId="3AD55615" w14:textId="43BBB05B" w:rsidR="003F05BC" w:rsidRPr="00CE4C7D" w:rsidRDefault="00E739E7"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Sustainable Development Unit (2012),</w:t>
      </w:r>
      <w:r w:rsidR="003F05BC" w:rsidRPr="00CE4C7D">
        <w:rPr>
          <w:rFonts w:asciiTheme="majorHAnsi" w:hAnsiTheme="majorHAnsi" w:cstheme="majorHAnsi"/>
          <w:color w:val="000000" w:themeColor="text1"/>
          <w:sz w:val="22"/>
          <w:szCs w:val="22"/>
        </w:rPr>
        <w:t xml:space="preserve"> </w:t>
      </w:r>
      <w:r w:rsidR="009001E5"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Goo</w:t>
      </w:r>
      <w:r w:rsidR="00D85BF0" w:rsidRPr="00CE4C7D">
        <w:rPr>
          <w:rFonts w:asciiTheme="majorHAnsi" w:hAnsiTheme="majorHAnsi" w:cstheme="majorHAnsi"/>
          <w:color w:val="000000" w:themeColor="text1"/>
          <w:sz w:val="22"/>
          <w:szCs w:val="22"/>
        </w:rPr>
        <w:t>ds and services carbon hotspots</w:t>
      </w:r>
      <w:r w:rsidR="009001E5" w:rsidRPr="00CE4C7D">
        <w:rPr>
          <w:rFonts w:asciiTheme="majorHAnsi" w:hAnsiTheme="majorHAnsi" w:cstheme="majorHAnsi"/>
          <w:color w:val="000000" w:themeColor="text1"/>
          <w:sz w:val="22"/>
          <w:szCs w:val="22"/>
        </w:rPr>
        <w:t>’</w:t>
      </w:r>
      <w:r w:rsidR="00D85BF0" w:rsidRPr="00CE4C7D">
        <w:rPr>
          <w:rFonts w:asciiTheme="majorHAnsi" w:hAnsiTheme="majorHAnsi" w:cstheme="majorHAnsi"/>
          <w:color w:val="000000" w:themeColor="text1"/>
          <w:sz w:val="22"/>
          <w:szCs w:val="22"/>
        </w:rPr>
        <w:t>, Cambridge:</w:t>
      </w:r>
      <w:r w:rsidR="003F05BC" w:rsidRPr="00CE4C7D">
        <w:rPr>
          <w:rFonts w:asciiTheme="majorHAnsi" w:hAnsiTheme="majorHAnsi" w:cstheme="majorHAnsi"/>
          <w:color w:val="000000" w:themeColor="text1"/>
          <w:sz w:val="22"/>
          <w:szCs w:val="22"/>
        </w:rPr>
        <w:t xml:space="preserve"> Sustainable Development Unit. </w:t>
      </w:r>
    </w:p>
    <w:p w14:paraId="255440EB" w14:textId="5BA78DE7" w:rsidR="003F05BC" w:rsidRPr="00CE4C7D" w:rsidRDefault="00E739E7"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Sustainable Development Unit (2014),</w:t>
      </w:r>
      <w:r w:rsidR="003F05BC" w:rsidRPr="00CE4C7D">
        <w:rPr>
          <w:rFonts w:asciiTheme="majorHAnsi" w:hAnsiTheme="majorHAnsi" w:cstheme="majorHAnsi"/>
          <w:color w:val="000000" w:themeColor="text1"/>
          <w:sz w:val="22"/>
          <w:szCs w:val="22"/>
        </w:rPr>
        <w:t xml:space="preserve"> </w:t>
      </w:r>
      <w:r w:rsidR="009001E5"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xml:space="preserve">Sustainable, Resilient, Healthy People &amp; Places: </w:t>
      </w:r>
      <w:proofErr w:type="gramStart"/>
      <w:r w:rsidR="003F05BC" w:rsidRPr="00CE4C7D">
        <w:rPr>
          <w:rFonts w:asciiTheme="majorHAnsi" w:hAnsiTheme="majorHAnsi" w:cstheme="majorHAnsi"/>
          <w:color w:val="000000" w:themeColor="text1"/>
          <w:sz w:val="22"/>
          <w:szCs w:val="22"/>
        </w:rPr>
        <w:t>a</w:t>
      </w:r>
      <w:proofErr w:type="gramEnd"/>
      <w:r w:rsidR="003F05BC" w:rsidRPr="00CE4C7D">
        <w:rPr>
          <w:rFonts w:asciiTheme="majorHAnsi" w:hAnsiTheme="majorHAnsi" w:cstheme="majorHAnsi"/>
          <w:color w:val="000000" w:themeColor="text1"/>
          <w:sz w:val="22"/>
          <w:szCs w:val="22"/>
        </w:rPr>
        <w:t xml:space="preserve"> Sustainable Development Strategy for the NHS, Public Health and Social Care System</w:t>
      </w:r>
      <w:r w:rsidR="009001E5" w:rsidRPr="00CE4C7D">
        <w:rPr>
          <w:rFonts w:asciiTheme="majorHAnsi" w:hAnsiTheme="majorHAnsi" w:cstheme="majorHAnsi"/>
          <w:color w:val="000000" w:themeColor="text1"/>
          <w:sz w:val="22"/>
          <w:szCs w:val="22"/>
        </w:rPr>
        <w:t>’</w:t>
      </w:r>
      <w:r w:rsidR="00B41FFE" w:rsidRPr="00CE4C7D">
        <w:rPr>
          <w:rFonts w:asciiTheme="majorHAnsi" w:hAnsiTheme="majorHAnsi" w:cstheme="majorHAnsi"/>
          <w:color w:val="000000" w:themeColor="text1"/>
          <w:sz w:val="22"/>
          <w:szCs w:val="22"/>
        </w:rPr>
        <w:t xml:space="preserve">, </w:t>
      </w:r>
      <w:r w:rsidR="00D85BF0" w:rsidRPr="00CE4C7D">
        <w:rPr>
          <w:rFonts w:asciiTheme="majorHAnsi" w:hAnsiTheme="majorHAnsi" w:cstheme="majorHAnsi"/>
          <w:color w:val="000000" w:themeColor="text1"/>
          <w:sz w:val="22"/>
          <w:szCs w:val="22"/>
        </w:rPr>
        <w:t>Cambridge: Sustainable Development Unit.</w:t>
      </w:r>
    </w:p>
    <w:p w14:paraId="2C4B3051" w14:textId="06D5C3FE" w:rsidR="003F05BC" w:rsidRPr="00CE4C7D" w:rsidRDefault="00D67812"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Sustainable Development Unit (2016),</w:t>
      </w:r>
      <w:r w:rsidR="003F05BC" w:rsidRPr="00CE4C7D">
        <w:rPr>
          <w:rFonts w:asciiTheme="majorHAnsi" w:hAnsiTheme="majorHAnsi" w:cstheme="majorHAnsi"/>
          <w:color w:val="000000" w:themeColor="text1"/>
          <w:sz w:val="22"/>
          <w:szCs w:val="22"/>
        </w:rPr>
        <w:t xml:space="preserve"> </w:t>
      </w:r>
      <w:r w:rsidR="009001E5"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Securing Healthy Returns: Realising the financial value of su</w:t>
      </w:r>
      <w:r w:rsidR="00B41FFE" w:rsidRPr="00CE4C7D">
        <w:rPr>
          <w:rFonts w:asciiTheme="majorHAnsi" w:hAnsiTheme="majorHAnsi" w:cstheme="majorHAnsi"/>
          <w:color w:val="000000" w:themeColor="text1"/>
          <w:sz w:val="22"/>
          <w:szCs w:val="22"/>
        </w:rPr>
        <w:t>stainable development</w:t>
      </w:r>
      <w:r w:rsidR="009001E5" w:rsidRPr="00CE4C7D">
        <w:rPr>
          <w:rFonts w:asciiTheme="majorHAnsi" w:hAnsiTheme="majorHAnsi" w:cstheme="majorHAnsi"/>
          <w:color w:val="000000" w:themeColor="text1"/>
          <w:sz w:val="22"/>
          <w:szCs w:val="22"/>
        </w:rPr>
        <w:t>’</w:t>
      </w:r>
      <w:r w:rsidR="00B41FFE"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xml:space="preserve"> </w:t>
      </w:r>
      <w:r w:rsidR="00D85BF0" w:rsidRPr="00CE4C7D">
        <w:rPr>
          <w:rFonts w:asciiTheme="majorHAnsi" w:hAnsiTheme="majorHAnsi" w:cstheme="majorHAnsi"/>
          <w:color w:val="000000" w:themeColor="text1"/>
          <w:sz w:val="22"/>
          <w:szCs w:val="22"/>
        </w:rPr>
        <w:t>Cambridge: Sustainable Development Unit.</w:t>
      </w:r>
    </w:p>
    <w:p w14:paraId="24957D34" w14:textId="5F187EBE" w:rsidR="00B33138" w:rsidRPr="00CE4C7D" w:rsidRDefault="00B33138" w:rsidP="00F25A95">
      <w:pPr>
        <w:pStyle w:val="CommentText"/>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lastRenderedPageBreak/>
        <w:t xml:space="preserve">Takahashi, </w:t>
      </w:r>
      <w:r w:rsidR="004C1BD0" w:rsidRPr="00CE4C7D">
        <w:rPr>
          <w:rFonts w:asciiTheme="majorHAnsi" w:hAnsiTheme="majorHAnsi" w:cstheme="majorHAnsi"/>
          <w:color w:val="000000" w:themeColor="text1"/>
          <w:sz w:val="22"/>
          <w:szCs w:val="22"/>
        </w:rPr>
        <w:t xml:space="preserve">S.J., </w:t>
      </w:r>
      <w:r w:rsidR="00D67812" w:rsidRPr="00CE4C7D">
        <w:rPr>
          <w:rFonts w:asciiTheme="majorHAnsi" w:hAnsiTheme="majorHAnsi" w:cstheme="majorHAnsi"/>
          <w:color w:val="000000" w:themeColor="text1"/>
          <w:sz w:val="22"/>
          <w:szCs w:val="22"/>
        </w:rPr>
        <w:t>(2019),</w:t>
      </w:r>
      <w:r w:rsidRPr="00CE4C7D">
        <w:rPr>
          <w:rFonts w:asciiTheme="majorHAnsi" w:hAnsiTheme="majorHAnsi" w:cstheme="majorHAnsi"/>
          <w:color w:val="000000" w:themeColor="text1"/>
          <w:sz w:val="22"/>
          <w:szCs w:val="22"/>
        </w:rPr>
        <w:t xml:space="preserve"> </w:t>
      </w:r>
      <w:r w:rsidR="00882018" w:rsidRPr="00CE4C7D">
        <w:rPr>
          <w:rFonts w:asciiTheme="majorHAnsi" w:hAnsiTheme="majorHAnsi" w:cstheme="majorHAnsi"/>
          <w:color w:val="000000" w:themeColor="text1"/>
          <w:sz w:val="22"/>
          <w:szCs w:val="22"/>
        </w:rPr>
        <w:t>‘</w:t>
      </w:r>
      <w:proofErr w:type="spellStart"/>
      <w:r w:rsidRPr="00CE4C7D">
        <w:rPr>
          <w:rFonts w:asciiTheme="majorHAnsi" w:hAnsiTheme="majorHAnsi" w:cstheme="majorHAnsi"/>
          <w:color w:val="000000" w:themeColor="text1"/>
          <w:sz w:val="22"/>
          <w:szCs w:val="22"/>
        </w:rPr>
        <w:t>Seizen-setsu</w:t>
      </w:r>
      <w:proofErr w:type="spellEnd"/>
      <w:r w:rsidRPr="00CE4C7D">
        <w:rPr>
          <w:rFonts w:asciiTheme="majorHAnsi" w:hAnsiTheme="majorHAnsi" w:cstheme="majorHAnsi"/>
          <w:color w:val="000000" w:themeColor="text1"/>
          <w:sz w:val="22"/>
          <w:szCs w:val="22"/>
        </w:rPr>
        <w:t xml:space="preserve"> and the inad</w:t>
      </w:r>
      <w:r w:rsidR="0062244F" w:rsidRPr="00CE4C7D">
        <w:rPr>
          <w:rFonts w:asciiTheme="majorHAnsi" w:hAnsiTheme="majorHAnsi" w:cstheme="majorHAnsi"/>
          <w:color w:val="000000" w:themeColor="text1"/>
          <w:sz w:val="22"/>
          <w:szCs w:val="22"/>
        </w:rPr>
        <w:t>equacy of voluntary frameworks</w:t>
      </w:r>
      <w:r w:rsidR="00882018" w:rsidRPr="00CE4C7D">
        <w:rPr>
          <w:rFonts w:asciiTheme="majorHAnsi" w:hAnsiTheme="majorHAnsi" w:cstheme="majorHAnsi"/>
          <w:color w:val="000000" w:themeColor="text1"/>
          <w:sz w:val="22"/>
          <w:szCs w:val="22"/>
        </w:rPr>
        <w:t>’</w:t>
      </w:r>
      <w:r w:rsidR="0062244F" w:rsidRPr="00CE4C7D">
        <w:rPr>
          <w:rFonts w:asciiTheme="majorHAnsi" w:hAnsiTheme="majorHAnsi" w:cstheme="majorHAnsi"/>
          <w:color w:val="000000" w:themeColor="text1"/>
          <w:sz w:val="22"/>
          <w:szCs w:val="22"/>
        </w:rPr>
        <w:t>, in</w:t>
      </w:r>
      <w:r w:rsidRPr="00CE4C7D">
        <w:rPr>
          <w:rFonts w:asciiTheme="majorHAnsi" w:hAnsiTheme="majorHAnsi" w:cstheme="majorHAnsi"/>
          <w:color w:val="000000" w:themeColor="text1"/>
          <w:sz w:val="22"/>
          <w:szCs w:val="22"/>
        </w:rPr>
        <w:t xml:space="preserve"> </w:t>
      </w:r>
      <w:r w:rsidR="0062244F" w:rsidRPr="00CE4C7D">
        <w:rPr>
          <w:rFonts w:asciiTheme="majorHAnsi" w:hAnsiTheme="majorHAnsi" w:cstheme="majorHAnsi"/>
          <w:color w:val="000000" w:themeColor="text1"/>
          <w:sz w:val="22"/>
          <w:szCs w:val="22"/>
        </w:rPr>
        <w:t xml:space="preserve">M. Mullen, D. </w:t>
      </w:r>
      <w:proofErr w:type="spellStart"/>
      <w:r w:rsidR="0062244F" w:rsidRPr="00CE4C7D">
        <w:rPr>
          <w:rFonts w:asciiTheme="majorHAnsi" w:hAnsiTheme="majorHAnsi" w:cstheme="majorHAnsi"/>
          <w:color w:val="000000" w:themeColor="text1"/>
          <w:sz w:val="22"/>
          <w:szCs w:val="22"/>
        </w:rPr>
        <w:t>Polomski</w:t>
      </w:r>
      <w:proofErr w:type="spellEnd"/>
      <w:r w:rsidR="0062244F" w:rsidRPr="00CE4C7D">
        <w:rPr>
          <w:rFonts w:asciiTheme="majorHAnsi" w:hAnsiTheme="majorHAnsi" w:cstheme="majorHAnsi"/>
          <w:color w:val="000000" w:themeColor="text1"/>
          <w:sz w:val="22"/>
          <w:szCs w:val="22"/>
        </w:rPr>
        <w:t xml:space="preserve">, T. Soares, J. </w:t>
      </w:r>
      <w:proofErr w:type="spellStart"/>
      <w:r w:rsidR="0062244F" w:rsidRPr="00CE4C7D">
        <w:rPr>
          <w:rFonts w:asciiTheme="majorHAnsi" w:hAnsiTheme="majorHAnsi" w:cstheme="majorHAnsi"/>
          <w:color w:val="000000" w:themeColor="text1"/>
          <w:sz w:val="22"/>
          <w:szCs w:val="22"/>
        </w:rPr>
        <w:t>Cassinerio</w:t>
      </w:r>
      <w:proofErr w:type="spellEnd"/>
      <w:r w:rsidR="0062244F" w:rsidRPr="00CE4C7D">
        <w:rPr>
          <w:rFonts w:asciiTheme="majorHAnsi" w:hAnsiTheme="majorHAnsi" w:cstheme="majorHAnsi"/>
          <w:color w:val="000000" w:themeColor="text1"/>
          <w:sz w:val="22"/>
          <w:szCs w:val="22"/>
        </w:rPr>
        <w:t xml:space="preserve">, </w:t>
      </w:r>
      <w:r w:rsidR="00D67BFE" w:rsidRPr="00CE4C7D">
        <w:rPr>
          <w:rFonts w:asciiTheme="majorHAnsi" w:hAnsiTheme="majorHAnsi" w:cstheme="majorHAnsi"/>
          <w:color w:val="000000" w:themeColor="text1"/>
          <w:sz w:val="22"/>
          <w:szCs w:val="22"/>
        </w:rPr>
        <w:t xml:space="preserve">M. </w:t>
      </w:r>
      <w:proofErr w:type="spellStart"/>
      <w:r w:rsidR="00D67BFE" w:rsidRPr="00CE4C7D">
        <w:rPr>
          <w:rFonts w:asciiTheme="majorHAnsi" w:hAnsiTheme="majorHAnsi" w:cstheme="majorHAnsi"/>
          <w:color w:val="000000" w:themeColor="text1"/>
          <w:sz w:val="22"/>
          <w:szCs w:val="22"/>
        </w:rPr>
        <w:t>D’Cruz</w:t>
      </w:r>
      <w:proofErr w:type="spellEnd"/>
      <w:r w:rsidR="00D67BFE" w:rsidRPr="00CE4C7D">
        <w:rPr>
          <w:rFonts w:asciiTheme="majorHAnsi" w:hAnsiTheme="majorHAnsi" w:cstheme="majorHAnsi"/>
          <w:color w:val="000000" w:themeColor="text1"/>
          <w:sz w:val="22"/>
          <w:szCs w:val="22"/>
        </w:rPr>
        <w:t xml:space="preserve">, and V. </w:t>
      </w:r>
      <w:proofErr w:type="spellStart"/>
      <w:r w:rsidR="00D67BFE" w:rsidRPr="00CE4C7D">
        <w:rPr>
          <w:rFonts w:asciiTheme="majorHAnsi" w:hAnsiTheme="majorHAnsi" w:cstheme="majorHAnsi"/>
          <w:color w:val="000000" w:themeColor="text1"/>
          <w:sz w:val="22"/>
          <w:szCs w:val="22"/>
        </w:rPr>
        <w:t>Hongsathavij</w:t>
      </w:r>
      <w:proofErr w:type="spellEnd"/>
      <w:r w:rsidR="00D67BFE" w:rsidRPr="00CE4C7D">
        <w:rPr>
          <w:rFonts w:asciiTheme="majorHAnsi" w:hAnsiTheme="majorHAnsi" w:cstheme="majorHAnsi"/>
          <w:color w:val="000000" w:themeColor="text1"/>
          <w:sz w:val="22"/>
          <w:szCs w:val="22"/>
        </w:rPr>
        <w:t xml:space="preserve"> (eds),</w:t>
      </w:r>
      <w:r w:rsidR="0062244F" w:rsidRPr="00CE4C7D">
        <w:rPr>
          <w:rFonts w:asciiTheme="majorHAnsi" w:hAnsiTheme="majorHAnsi" w:cstheme="majorHAnsi"/>
          <w:color w:val="000000" w:themeColor="text1"/>
          <w:sz w:val="22"/>
          <w:szCs w:val="22"/>
        </w:rPr>
        <w:t xml:space="preserve"> </w:t>
      </w:r>
      <w:r w:rsidRPr="00CE4C7D">
        <w:rPr>
          <w:rFonts w:asciiTheme="majorHAnsi" w:hAnsiTheme="majorHAnsi" w:cstheme="majorHAnsi"/>
          <w:i/>
          <w:color w:val="000000" w:themeColor="text1"/>
          <w:sz w:val="22"/>
          <w:szCs w:val="22"/>
        </w:rPr>
        <w:t>Navigating a New Era i</w:t>
      </w:r>
      <w:r w:rsidR="004C1BD0" w:rsidRPr="00CE4C7D">
        <w:rPr>
          <w:rFonts w:asciiTheme="majorHAnsi" w:hAnsiTheme="majorHAnsi" w:cstheme="majorHAnsi"/>
          <w:i/>
          <w:color w:val="000000" w:themeColor="text1"/>
          <w:sz w:val="22"/>
          <w:szCs w:val="22"/>
        </w:rPr>
        <w:t>n Business and Human Rights</w:t>
      </w:r>
      <w:r w:rsidR="004C1BD0" w:rsidRPr="00CE4C7D">
        <w:rPr>
          <w:rFonts w:asciiTheme="majorHAnsi" w:hAnsiTheme="majorHAnsi" w:cstheme="majorHAnsi"/>
          <w:color w:val="000000" w:themeColor="text1"/>
          <w:sz w:val="22"/>
          <w:szCs w:val="22"/>
        </w:rPr>
        <w:t xml:space="preserve">, </w:t>
      </w:r>
      <w:r w:rsidR="0062244F" w:rsidRPr="00CE4C7D">
        <w:rPr>
          <w:rFonts w:asciiTheme="majorHAnsi" w:hAnsiTheme="majorHAnsi" w:cstheme="majorHAnsi"/>
          <w:color w:val="000000" w:themeColor="text1"/>
          <w:sz w:val="22"/>
          <w:szCs w:val="22"/>
        </w:rPr>
        <w:t xml:space="preserve">Lincoln, Nebraska: </w:t>
      </w:r>
      <w:r w:rsidRPr="00CE4C7D">
        <w:rPr>
          <w:rFonts w:asciiTheme="majorHAnsi" w:hAnsiTheme="majorHAnsi" w:cstheme="majorHAnsi"/>
          <w:color w:val="000000" w:themeColor="text1"/>
          <w:sz w:val="22"/>
          <w:szCs w:val="22"/>
        </w:rPr>
        <w:t>Article 30</w:t>
      </w:r>
      <w:r w:rsidR="0062244F" w:rsidRPr="00CE4C7D">
        <w:rPr>
          <w:rFonts w:asciiTheme="majorHAnsi" w:hAnsiTheme="majorHAnsi" w:cstheme="majorHAnsi"/>
          <w:color w:val="000000" w:themeColor="text1"/>
          <w:sz w:val="22"/>
          <w:szCs w:val="22"/>
        </w:rPr>
        <w:t>,</w:t>
      </w:r>
      <w:r w:rsidR="00E377DC" w:rsidRPr="00CE4C7D">
        <w:rPr>
          <w:rFonts w:asciiTheme="majorHAnsi" w:hAnsiTheme="majorHAnsi" w:cstheme="majorHAnsi"/>
          <w:color w:val="000000" w:themeColor="text1"/>
          <w:sz w:val="22"/>
          <w:szCs w:val="22"/>
        </w:rPr>
        <w:t xml:space="preserve"> </w:t>
      </w:r>
      <w:r w:rsidR="00DE5288" w:rsidRPr="00CE4C7D">
        <w:rPr>
          <w:rFonts w:asciiTheme="majorHAnsi" w:hAnsiTheme="majorHAnsi" w:cstheme="majorHAnsi"/>
          <w:color w:val="000000" w:themeColor="text1"/>
          <w:sz w:val="22"/>
          <w:szCs w:val="22"/>
        </w:rPr>
        <w:t xml:space="preserve">pp. </w:t>
      </w:r>
      <w:r w:rsidRPr="00CE4C7D">
        <w:rPr>
          <w:rFonts w:asciiTheme="majorHAnsi" w:hAnsiTheme="majorHAnsi" w:cstheme="majorHAnsi"/>
          <w:color w:val="000000" w:themeColor="text1"/>
          <w:sz w:val="22"/>
          <w:szCs w:val="22"/>
        </w:rPr>
        <w:t>57-62.</w:t>
      </w:r>
    </w:p>
    <w:p w14:paraId="42769845" w14:textId="6DF5DC19" w:rsidR="003F05BC" w:rsidRPr="00CE4C7D" w:rsidRDefault="00D67812"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Vera, M. (2014),</w:t>
      </w:r>
      <w:r w:rsidR="003F05BC" w:rsidRPr="00CE4C7D">
        <w:rPr>
          <w:rFonts w:asciiTheme="majorHAnsi" w:hAnsiTheme="majorHAnsi" w:cstheme="majorHAnsi"/>
          <w:color w:val="000000" w:themeColor="text1"/>
          <w:sz w:val="22"/>
          <w:szCs w:val="22"/>
        </w:rPr>
        <w:t xml:space="preserve"> </w:t>
      </w:r>
      <w:r w:rsidR="00882018"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Features of energy efficient upgrade of historic buildings: Illustrated with th</w:t>
      </w:r>
      <w:r w:rsidR="00F25A95" w:rsidRPr="00CE4C7D">
        <w:rPr>
          <w:rFonts w:asciiTheme="majorHAnsi" w:hAnsiTheme="majorHAnsi" w:cstheme="majorHAnsi"/>
          <w:color w:val="000000" w:themeColor="text1"/>
          <w:sz w:val="22"/>
          <w:szCs w:val="22"/>
        </w:rPr>
        <w:t>e example of Saint-Petersburg</w:t>
      </w:r>
      <w:r w:rsidR="00882018" w:rsidRPr="00CE4C7D">
        <w:rPr>
          <w:rFonts w:asciiTheme="majorHAnsi" w:hAnsiTheme="majorHAnsi" w:cstheme="majorHAnsi"/>
          <w:color w:val="000000" w:themeColor="text1"/>
          <w:sz w:val="22"/>
          <w:szCs w:val="22"/>
        </w:rPr>
        <w:t>’</w:t>
      </w:r>
      <w:r w:rsidR="00F25A95"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i/>
          <w:color w:val="000000" w:themeColor="text1"/>
          <w:sz w:val="22"/>
          <w:szCs w:val="22"/>
        </w:rPr>
        <w:t>Journal of Applied Engineering Science</w:t>
      </w:r>
      <w:r w:rsidR="004D749E"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b/>
          <w:color w:val="000000" w:themeColor="text1"/>
          <w:sz w:val="22"/>
          <w:szCs w:val="22"/>
        </w:rPr>
        <w:t>12</w:t>
      </w:r>
      <w:r w:rsidR="00FB75D6"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color w:val="000000" w:themeColor="text1"/>
          <w:sz w:val="22"/>
          <w:szCs w:val="22"/>
        </w:rPr>
        <w:t>(1),</w:t>
      </w:r>
      <w:r w:rsidR="00E377DC"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color w:val="000000" w:themeColor="text1"/>
          <w:sz w:val="22"/>
          <w:szCs w:val="22"/>
        </w:rPr>
        <w:t>1-10.</w:t>
      </w:r>
    </w:p>
    <w:p w14:paraId="5ABC78A4" w14:textId="15877299" w:rsidR="003F05BC" w:rsidRPr="00CE4C7D" w:rsidRDefault="003F05BC" w:rsidP="00F25A95">
      <w:pPr>
        <w:spacing w:before="220"/>
        <w:rPr>
          <w:rFonts w:asciiTheme="majorHAnsi" w:hAnsiTheme="majorHAnsi" w:cstheme="majorHAnsi"/>
          <w:color w:val="000000" w:themeColor="text1"/>
          <w:sz w:val="22"/>
          <w:szCs w:val="22"/>
        </w:rPr>
      </w:pPr>
      <w:proofErr w:type="spellStart"/>
      <w:r w:rsidRPr="00CE4C7D">
        <w:rPr>
          <w:rFonts w:asciiTheme="majorHAnsi" w:hAnsiTheme="majorHAnsi" w:cstheme="majorHAnsi"/>
          <w:color w:val="000000" w:themeColor="text1"/>
          <w:sz w:val="22"/>
          <w:szCs w:val="22"/>
        </w:rPr>
        <w:t>Wadud</w:t>
      </w:r>
      <w:proofErr w:type="spellEnd"/>
      <w:r w:rsidRPr="00CE4C7D">
        <w:rPr>
          <w:rFonts w:asciiTheme="majorHAnsi" w:hAnsiTheme="majorHAnsi" w:cstheme="majorHAnsi"/>
          <w:color w:val="000000" w:themeColor="text1"/>
          <w:sz w:val="22"/>
          <w:szCs w:val="22"/>
        </w:rPr>
        <w:t>,</w:t>
      </w:r>
      <w:r w:rsidR="00D67812" w:rsidRPr="00CE4C7D">
        <w:rPr>
          <w:rFonts w:asciiTheme="majorHAnsi" w:hAnsiTheme="majorHAnsi" w:cstheme="majorHAnsi"/>
          <w:color w:val="000000" w:themeColor="text1"/>
          <w:sz w:val="22"/>
          <w:szCs w:val="22"/>
        </w:rPr>
        <w:t xml:space="preserve"> Z., Royston, S. and Selby, J. (2019),</w:t>
      </w:r>
      <w:r w:rsidRPr="00CE4C7D">
        <w:rPr>
          <w:rFonts w:asciiTheme="majorHAnsi" w:hAnsiTheme="majorHAnsi" w:cstheme="majorHAnsi"/>
          <w:color w:val="000000" w:themeColor="text1"/>
          <w:sz w:val="22"/>
          <w:szCs w:val="22"/>
        </w:rPr>
        <w:t xml:space="preserve"> </w:t>
      </w:r>
      <w:r w:rsidR="00882018"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 xml:space="preserve">Modelling energy demand from higher education institutions: A case study </w:t>
      </w:r>
      <w:r w:rsidR="004D749E" w:rsidRPr="00CE4C7D">
        <w:rPr>
          <w:rFonts w:asciiTheme="majorHAnsi" w:hAnsiTheme="majorHAnsi" w:cstheme="majorHAnsi"/>
          <w:color w:val="000000" w:themeColor="text1"/>
          <w:sz w:val="22"/>
          <w:szCs w:val="22"/>
        </w:rPr>
        <w:t>of the UK</w:t>
      </w:r>
      <w:r w:rsidR="00882018" w:rsidRPr="00CE4C7D">
        <w:rPr>
          <w:rFonts w:asciiTheme="majorHAnsi" w:hAnsiTheme="majorHAnsi" w:cstheme="majorHAnsi"/>
          <w:color w:val="000000" w:themeColor="text1"/>
          <w:sz w:val="22"/>
          <w:szCs w:val="22"/>
        </w:rPr>
        <w:t>’</w:t>
      </w:r>
      <w:r w:rsidR="004D749E"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 xml:space="preserve"> </w:t>
      </w:r>
      <w:r w:rsidRPr="00CE4C7D">
        <w:rPr>
          <w:rFonts w:asciiTheme="majorHAnsi" w:hAnsiTheme="majorHAnsi" w:cstheme="majorHAnsi"/>
          <w:i/>
          <w:color w:val="000000" w:themeColor="text1"/>
          <w:sz w:val="22"/>
          <w:szCs w:val="22"/>
        </w:rPr>
        <w:t>Applied Energy</w:t>
      </w:r>
      <w:r w:rsidRPr="00CE4C7D">
        <w:rPr>
          <w:rFonts w:asciiTheme="majorHAnsi" w:hAnsiTheme="majorHAnsi" w:cstheme="majorHAnsi"/>
          <w:color w:val="000000" w:themeColor="text1"/>
          <w:sz w:val="22"/>
          <w:szCs w:val="22"/>
        </w:rPr>
        <w:t xml:space="preserve">, </w:t>
      </w:r>
      <w:r w:rsidRPr="00CE4C7D">
        <w:rPr>
          <w:rFonts w:asciiTheme="majorHAnsi" w:hAnsiTheme="majorHAnsi" w:cstheme="majorHAnsi"/>
          <w:b/>
          <w:color w:val="000000" w:themeColor="text1"/>
          <w:sz w:val="22"/>
          <w:szCs w:val="22"/>
        </w:rPr>
        <w:t>233-23</w:t>
      </w:r>
      <w:r w:rsidR="00FB75D6" w:rsidRPr="00CE4C7D">
        <w:rPr>
          <w:rFonts w:asciiTheme="majorHAnsi" w:hAnsiTheme="majorHAnsi" w:cstheme="majorHAnsi"/>
          <w:b/>
          <w:color w:val="000000" w:themeColor="text1"/>
          <w:sz w:val="22"/>
          <w:szCs w:val="22"/>
        </w:rPr>
        <w:t>4</w:t>
      </w:r>
      <w:r w:rsidR="00FB75D6" w:rsidRPr="00CE4C7D">
        <w:rPr>
          <w:rFonts w:asciiTheme="majorHAnsi" w:hAnsiTheme="majorHAnsi" w:cstheme="majorHAnsi"/>
          <w:color w:val="000000" w:themeColor="text1"/>
          <w:sz w:val="22"/>
          <w:szCs w:val="22"/>
        </w:rPr>
        <w:t>,</w:t>
      </w:r>
      <w:r w:rsidRPr="00CE4C7D">
        <w:rPr>
          <w:rFonts w:asciiTheme="majorHAnsi" w:hAnsiTheme="majorHAnsi" w:cstheme="majorHAnsi"/>
          <w:color w:val="000000" w:themeColor="text1"/>
          <w:sz w:val="22"/>
          <w:szCs w:val="22"/>
        </w:rPr>
        <w:t xml:space="preserve"> 816-826.</w:t>
      </w:r>
    </w:p>
    <w:p w14:paraId="77AAD463" w14:textId="757FD989" w:rsidR="00B92B15" w:rsidRPr="00CE4C7D" w:rsidRDefault="00CA329C" w:rsidP="00F25A95">
      <w:pPr>
        <w:spacing w:before="220"/>
        <w:rPr>
          <w:rFonts w:asciiTheme="majorHAnsi" w:eastAsia="AdvOT596495f2+23" w:hAnsiTheme="majorHAnsi" w:cstheme="majorHAnsi"/>
          <w:color w:val="000000" w:themeColor="text1"/>
          <w:sz w:val="22"/>
          <w:szCs w:val="22"/>
        </w:rPr>
      </w:pPr>
      <w:proofErr w:type="spellStart"/>
      <w:r w:rsidRPr="00CE4C7D">
        <w:rPr>
          <w:rFonts w:asciiTheme="majorHAnsi" w:hAnsiTheme="majorHAnsi" w:cstheme="majorHAnsi"/>
          <w:color w:val="000000" w:themeColor="text1"/>
          <w:sz w:val="22"/>
          <w:szCs w:val="22"/>
        </w:rPr>
        <w:t>Weisbrot</w:t>
      </w:r>
      <w:proofErr w:type="spellEnd"/>
      <w:r w:rsidRPr="00CE4C7D">
        <w:rPr>
          <w:rFonts w:asciiTheme="majorHAnsi" w:hAnsiTheme="majorHAnsi" w:cstheme="majorHAnsi"/>
          <w:color w:val="000000" w:themeColor="text1"/>
          <w:sz w:val="22"/>
          <w:szCs w:val="22"/>
        </w:rPr>
        <w:t>, M. (2014),</w:t>
      </w:r>
      <w:r w:rsidR="003F05BC" w:rsidRPr="00CE4C7D">
        <w:rPr>
          <w:rFonts w:asciiTheme="majorHAnsi" w:hAnsiTheme="majorHAnsi" w:cstheme="majorHAnsi"/>
          <w:color w:val="000000" w:themeColor="text1"/>
          <w:sz w:val="22"/>
          <w:szCs w:val="22"/>
        </w:rPr>
        <w:t xml:space="preserve"> </w:t>
      </w:r>
      <w:r w:rsidR="00882018"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Why has Europe's Economy Done Worse Than the US?</w:t>
      </w:r>
      <w:r w:rsidR="00882018" w:rsidRPr="00CE4C7D">
        <w:rPr>
          <w:rFonts w:asciiTheme="majorHAnsi" w:hAnsiTheme="majorHAnsi" w:cstheme="majorHAnsi"/>
          <w:color w:val="000000" w:themeColor="text1"/>
          <w:sz w:val="22"/>
          <w:szCs w:val="22"/>
        </w:rPr>
        <w:t>’,</w:t>
      </w:r>
      <w:r w:rsidR="008368D7" w:rsidRPr="00CE4C7D">
        <w:rPr>
          <w:rFonts w:asciiTheme="majorHAnsi" w:hAnsiTheme="majorHAnsi" w:cstheme="majorHAnsi"/>
          <w:color w:val="000000" w:themeColor="text1"/>
          <w:sz w:val="22"/>
          <w:szCs w:val="22"/>
        </w:rPr>
        <w:t xml:space="preserve"> accessed 13 March 2018 at</w:t>
      </w:r>
      <w:r w:rsidR="003F05BC" w:rsidRPr="00CE4C7D">
        <w:rPr>
          <w:rFonts w:asciiTheme="majorHAnsi" w:hAnsiTheme="majorHAnsi" w:cstheme="majorHAnsi"/>
          <w:color w:val="000000" w:themeColor="text1"/>
          <w:sz w:val="22"/>
          <w:szCs w:val="22"/>
        </w:rPr>
        <w:t xml:space="preserve"> </w:t>
      </w:r>
      <w:r w:rsidR="00B92B15" w:rsidRPr="00CE4C7D">
        <w:rPr>
          <w:rFonts w:asciiTheme="majorHAnsi" w:hAnsiTheme="majorHAnsi" w:cstheme="majorHAnsi"/>
          <w:color w:val="000000" w:themeColor="text1"/>
          <w:sz w:val="22"/>
          <w:szCs w:val="22"/>
        </w:rPr>
        <w:t>www.theguardian.com/commentisfree/2014/jan/16/why-the-european-economy-is-worse</w:t>
      </w:r>
      <w:r w:rsidR="008368D7" w:rsidRPr="00CE4C7D">
        <w:rPr>
          <w:rFonts w:asciiTheme="majorHAnsi" w:eastAsia="AdvOT596495f2+23" w:hAnsiTheme="majorHAnsi" w:cstheme="majorHAnsi"/>
          <w:color w:val="000000" w:themeColor="text1"/>
          <w:sz w:val="22"/>
          <w:szCs w:val="22"/>
        </w:rPr>
        <w:t>.</w:t>
      </w:r>
    </w:p>
    <w:p w14:paraId="546C15E1" w14:textId="4C89351B" w:rsidR="003F05BC" w:rsidRPr="00DB6697" w:rsidRDefault="00CA329C" w:rsidP="00F25A95">
      <w:pPr>
        <w:spacing w:before="220"/>
        <w:rPr>
          <w:rFonts w:asciiTheme="majorHAnsi" w:hAnsiTheme="majorHAnsi" w:cstheme="majorHAnsi"/>
          <w:color w:val="000000" w:themeColor="text1"/>
          <w:sz w:val="22"/>
          <w:szCs w:val="22"/>
        </w:rPr>
      </w:pPr>
      <w:r w:rsidRPr="00CE4C7D">
        <w:rPr>
          <w:rFonts w:asciiTheme="majorHAnsi" w:hAnsiTheme="majorHAnsi" w:cstheme="majorHAnsi"/>
          <w:color w:val="000000" w:themeColor="text1"/>
          <w:sz w:val="22"/>
          <w:szCs w:val="22"/>
        </w:rPr>
        <w:t>Zhuang, G., (2008),</w:t>
      </w:r>
      <w:r w:rsidR="003F05BC" w:rsidRPr="00CE4C7D">
        <w:rPr>
          <w:rFonts w:asciiTheme="majorHAnsi" w:hAnsiTheme="majorHAnsi" w:cstheme="majorHAnsi"/>
          <w:color w:val="000000" w:themeColor="text1"/>
          <w:sz w:val="22"/>
          <w:szCs w:val="22"/>
        </w:rPr>
        <w:t xml:space="preserve"> </w:t>
      </w:r>
      <w:r w:rsidR="00882018"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How will China move towards becoming a low carbon economy?</w:t>
      </w:r>
      <w:r w:rsidR="00882018" w:rsidRPr="00CE4C7D">
        <w:rPr>
          <w:rFonts w:asciiTheme="majorHAnsi" w:hAnsiTheme="majorHAnsi" w:cstheme="majorHAnsi"/>
          <w:color w:val="000000" w:themeColor="text1"/>
          <w:sz w:val="22"/>
          <w:szCs w:val="22"/>
        </w:rPr>
        <w:t>’</w:t>
      </w:r>
      <w:r w:rsidR="004D749E" w:rsidRPr="00CE4C7D">
        <w:rPr>
          <w:rFonts w:asciiTheme="majorHAnsi"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i/>
          <w:color w:val="000000" w:themeColor="text1"/>
          <w:sz w:val="22"/>
          <w:szCs w:val="22"/>
        </w:rPr>
        <w:t>China and World Economy</w:t>
      </w:r>
      <w:r w:rsidR="003F05BC"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b/>
          <w:color w:val="000000" w:themeColor="text1"/>
          <w:sz w:val="22"/>
          <w:szCs w:val="22"/>
        </w:rPr>
        <w:t>16</w:t>
      </w:r>
      <w:r w:rsidR="00DA19D6"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color w:val="000000" w:themeColor="text1"/>
          <w:sz w:val="22"/>
          <w:szCs w:val="22"/>
        </w:rPr>
        <w:t>(3),</w:t>
      </w:r>
      <w:r w:rsidR="00E377DC" w:rsidRPr="00CE4C7D">
        <w:rPr>
          <w:rFonts w:asciiTheme="majorHAnsi" w:hAnsiTheme="majorHAnsi" w:cstheme="majorHAnsi"/>
          <w:color w:val="000000" w:themeColor="text1"/>
          <w:sz w:val="22"/>
          <w:szCs w:val="22"/>
        </w:rPr>
        <w:t xml:space="preserve"> </w:t>
      </w:r>
      <w:r w:rsidR="003F05BC" w:rsidRPr="00CE4C7D">
        <w:rPr>
          <w:rFonts w:asciiTheme="majorHAnsi" w:hAnsiTheme="majorHAnsi" w:cstheme="majorHAnsi"/>
          <w:color w:val="000000" w:themeColor="text1"/>
          <w:sz w:val="22"/>
          <w:szCs w:val="22"/>
        </w:rPr>
        <w:t>93</w:t>
      </w:r>
      <w:r w:rsidR="003F05BC" w:rsidRPr="00CE4C7D">
        <w:rPr>
          <w:rFonts w:asciiTheme="majorHAnsi" w:eastAsia="AdvOT596495f2+20" w:hAnsiTheme="majorHAnsi" w:cstheme="majorHAnsi"/>
          <w:color w:val="000000" w:themeColor="text1"/>
          <w:sz w:val="22"/>
          <w:szCs w:val="22"/>
        </w:rPr>
        <w:t>–</w:t>
      </w:r>
      <w:r w:rsidR="003F05BC" w:rsidRPr="00CE4C7D">
        <w:rPr>
          <w:rFonts w:asciiTheme="majorHAnsi" w:hAnsiTheme="majorHAnsi" w:cstheme="majorHAnsi"/>
          <w:color w:val="000000" w:themeColor="text1"/>
          <w:sz w:val="22"/>
          <w:szCs w:val="22"/>
        </w:rPr>
        <w:t>105.</w:t>
      </w:r>
    </w:p>
    <w:p w14:paraId="383791B3" w14:textId="06F5C7CE" w:rsidR="00C12383" w:rsidRPr="00440500" w:rsidRDefault="00C12383" w:rsidP="00F25A95">
      <w:pPr>
        <w:rPr>
          <w:rFonts w:asciiTheme="majorHAnsi" w:hAnsiTheme="majorHAnsi" w:cstheme="majorHAnsi"/>
          <w:sz w:val="22"/>
          <w:szCs w:val="22"/>
        </w:rPr>
      </w:pPr>
    </w:p>
    <w:sectPr w:rsidR="00C12383" w:rsidRPr="00440500" w:rsidSect="00DB68B6">
      <w:footerReference w:type="even" r:id="rId12"/>
      <w:footerReference w:type="default" r:id="rId13"/>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2366E" w14:textId="77777777" w:rsidR="00D15BF7" w:rsidRDefault="00D15BF7" w:rsidP="00F86C6C">
      <w:r>
        <w:separator/>
      </w:r>
    </w:p>
  </w:endnote>
  <w:endnote w:type="continuationSeparator" w:id="0">
    <w:p w14:paraId="401C1176" w14:textId="77777777" w:rsidR="00D15BF7" w:rsidRDefault="00D15BF7" w:rsidP="00F86C6C">
      <w:r>
        <w:continuationSeparator/>
      </w:r>
    </w:p>
  </w:endnote>
  <w:endnote w:id="1">
    <w:p w14:paraId="508BAB70" w14:textId="172525CA" w:rsidR="00FC2021" w:rsidRPr="007D6611" w:rsidRDefault="00FC2021">
      <w:pPr>
        <w:pStyle w:val="EndnoteText"/>
        <w:rPr>
          <w:rFonts w:asciiTheme="majorHAnsi" w:hAnsiTheme="majorHAnsi"/>
          <w:sz w:val="22"/>
          <w:szCs w:val="22"/>
        </w:rPr>
      </w:pPr>
      <w:r w:rsidRPr="007D6611">
        <w:rPr>
          <w:rStyle w:val="EndnoteReference"/>
          <w:rFonts w:asciiTheme="majorHAnsi" w:hAnsiTheme="majorHAnsi"/>
          <w:sz w:val="22"/>
          <w:szCs w:val="22"/>
        </w:rPr>
        <w:endnoteRef/>
      </w:r>
      <w:r w:rsidRPr="007D6611">
        <w:rPr>
          <w:rFonts w:asciiTheme="majorHAnsi" w:hAnsiTheme="majorHAnsi"/>
          <w:sz w:val="22"/>
          <w:szCs w:val="22"/>
        </w:rPr>
        <w:t xml:space="preserve"> The Centre for the Dynamics </w:t>
      </w:r>
      <w:r w:rsidR="00AC0644">
        <w:rPr>
          <w:rFonts w:asciiTheme="majorHAnsi" w:hAnsiTheme="majorHAnsi"/>
          <w:sz w:val="22"/>
          <w:szCs w:val="22"/>
        </w:rPr>
        <w:t xml:space="preserve">of Energy, Mobility and Demand; see: </w:t>
      </w:r>
      <w:r w:rsidRPr="007D6611">
        <w:rPr>
          <w:rFonts w:asciiTheme="majorHAnsi" w:hAnsiTheme="majorHAnsi"/>
          <w:sz w:val="22"/>
          <w:szCs w:val="22"/>
        </w:rPr>
        <w:t>www.demand.ac.uk</w:t>
      </w:r>
    </w:p>
  </w:endnote>
  <w:endnote w:id="2">
    <w:p w14:paraId="1C5D96D7" w14:textId="49B96DCB" w:rsidR="00FC2021" w:rsidRPr="007D6611" w:rsidRDefault="00FC2021" w:rsidP="00FD1B0C">
      <w:pPr>
        <w:pStyle w:val="EndnoteText"/>
        <w:rPr>
          <w:rFonts w:asciiTheme="majorHAnsi" w:hAnsiTheme="majorHAnsi"/>
          <w:sz w:val="22"/>
          <w:szCs w:val="22"/>
        </w:rPr>
      </w:pPr>
      <w:r w:rsidRPr="007D6611">
        <w:rPr>
          <w:rStyle w:val="EndnoteReference"/>
          <w:rFonts w:asciiTheme="majorHAnsi" w:hAnsiTheme="majorHAnsi"/>
          <w:sz w:val="22"/>
          <w:szCs w:val="22"/>
        </w:rPr>
        <w:endnoteRef/>
      </w:r>
      <w:r w:rsidRPr="007D6611">
        <w:rPr>
          <w:rFonts w:asciiTheme="majorHAnsi" w:hAnsiTheme="majorHAnsi"/>
          <w:sz w:val="22"/>
          <w:szCs w:val="22"/>
        </w:rPr>
        <w:t xml:space="preserve"> We analysed Estates data provided by the Higher Education Statistics Agency (HESA</w:t>
      </w:r>
      <w:r w:rsidR="00AC0644">
        <w:rPr>
          <w:rFonts w:asciiTheme="majorHAnsi" w:hAnsiTheme="majorHAnsi"/>
          <w:sz w:val="22"/>
          <w:szCs w:val="22"/>
        </w:rPr>
        <w:t xml:space="preserve">), accessed 28 January 2020 at </w:t>
      </w:r>
      <w:r w:rsidRPr="00AC0644">
        <w:rPr>
          <w:rFonts w:asciiTheme="majorHAnsi" w:hAnsiTheme="majorHAnsi"/>
          <w:sz w:val="22"/>
          <w:szCs w:val="22"/>
        </w:rPr>
        <w:t>www.hesa.ac.uk/data-and-analysis/estates/environmental</w:t>
      </w:r>
      <w:r w:rsidR="00AC0644" w:rsidRPr="00AC0644">
        <w:rPr>
          <w:rFonts w:asciiTheme="majorHAnsi" w:hAnsiTheme="majorHAnsi"/>
          <w:sz w:val="22"/>
          <w:szCs w:val="22"/>
        </w:rPr>
        <w:t>.</w:t>
      </w:r>
    </w:p>
  </w:endnote>
  <w:endnote w:id="3">
    <w:p w14:paraId="4CACE407" w14:textId="21DA318F" w:rsidR="00FC2021" w:rsidRPr="007D6611" w:rsidRDefault="00FC2021">
      <w:pPr>
        <w:pStyle w:val="EndnoteText"/>
        <w:rPr>
          <w:rFonts w:asciiTheme="majorHAnsi" w:hAnsiTheme="majorHAnsi"/>
          <w:sz w:val="22"/>
          <w:szCs w:val="22"/>
        </w:rPr>
      </w:pPr>
      <w:r w:rsidRPr="007D6611">
        <w:rPr>
          <w:rStyle w:val="EndnoteReference"/>
          <w:rFonts w:asciiTheme="majorHAnsi" w:hAnsiTheme="majorHAnsi"/>
          <w:sz w:val="22"/>
          <w:szCs w:val="22"/>
        </w:rPr>
        <w:endnoteRef/>
      </w:r>
      <w:r w:rsidRPr="007D6611">
        <w:rPr>
          <w:rFonts w:asciiTheme="majorHAnsi" w:hAnsiTheme="majorHAnsi"/>
          <w:sz w:val="22"/>
          <w:szCs w:val="22"/>
        </w:rPr>
        <w:t xml:space="preserve"> Analysis of Finances data from HESA</w:t>
      </w:r>
      <w:r w:rsidR="00AC0644">
        <w:rPr>
          <w:rFonts w:asciiTheme="majorHAnsi" w:hAnsiTheme="majorHAnsi"/>
          <w:sz w:val="22"/>
          <w:szCs w:val="22"/>
        </w:rPr>
        <w:t>,</w:t>
      </w:r>
      <w:r w:rsidRPr="007D6611">
        <w:rPr>
          <w:rFonts w:asciiTheme="majorHAnsi" w:hAnsiTheme="majorHAnsi"/>
          <w:sz w:val="22"/>
          <w:szCs w:val="22"/>
        </w:rPr>
        <w:t xml:space="preserve"> </w:t>
      </w:r>
      <w:r w:rsidR="00AC0644">
        <w:rPr>
          <w:rFonts w:asciiTheme="majorHAnsi" w:hAnsiTheme="majorHAnsi"/>
          <w:sz w:val="22"/>
          <w:szCs w:val="22"/>
        </w:rPr>
        <w:t xml:space="preserve">accessed 28 January 2020 </w:t>
      </w:r>
      <w:r w:rsidRPr="007D6611">
        <w:rPr>
          <w:rFonts w:asciiTheme="majorHAnsi" w:hAnsiTheme="majorHAnsi"/>
          <w:sz w:val="22"/>
          <w:szCs w:val="22"/>
        </w:rPr>
        <w:t>at</w:t>
      </w:r>
      <w:r w:rsidR="00AC0644">
        <w:rPr>
          <w:rFonts w:asciiTheme="majorHAnsi" w:hAnsiTheme="majorHAnsi"/>
          <w:sz w:val="22"/>
          <w:szCs w:val="22"/>
        </w:rPr>
        <w:t xml:space="preserve"> </w:t>
      </w:r>
      <w:r w:rsidRPr="00AC0644">
        <w:rPr>
          <w:rFonts w:asciiTheme="majorHAnsi" w:hAnsiTheme="majorHAnsi"/>
          <w:sz w:val="22"/>
          <w:szCs w:val="22"/>
        </w:rPr>
        <w:t>www.hesa.ac.uk/data-and-analysis/finances/table-7#</w:t>
      </w:r>
      <w:r w:rsidR="00AC0644">
        <w:rPr>
          <w:rFonts w:asciiTheme="majorHAnsi" w:hAnsiTheme="majorHAnsi"/>
          <w:sz w:val="22"/>
          <w:szCs w:val="22"/>
        </w:rPr>
        <w:t>.</w:t>
      </w:r>
    </w:p>
  </w:endnote>
  <w:endnote w:id="4">
    <w:p w14:paraId="07161E30" w14:textId="4DB90BF5" w:rsidR="00FC2021" w:rsidRPr="007D6611" w:rsidRDefault="00FC2021">
      <w:pPr>
        <w:pStyle w:val="EndnoteText"/>
        <w:rPr>
          <w:rFonts w:asciiTheme="majorHAnsi" w:hAnsiTheme="majorHAnsi"/>
          <w:b/>
          <w:sz w:val="22"/>
          <w:szCs w:val="22"/>
        </w:rPr>
      </w:pPr>
      <w:r w:rsidRPr="007D6611">
        <w:rPr>
          <w:rStyle w:val="EndnoteReference"/>
          <w:rFonts w:asciiTheme="majorHAnsi" w:hAnsiTheme="majorHAnsi"/>
          <w:sz w:val="22"/>
          <w:szCs w:val="22"/>
        </w:rPr>
        <w:endnoteRef/>
      </w:r>
      <w:r w:rsidRPr="007D6611">
        <w:rPr>
          <w:rFonts w:asciiTheme="majorHAnsi" w:hAnsiTheme="majorHAnsi"/>
          <w:sz w:val="22"/>
          <w:szCs w:val="22"/>
        </w:rPr>
        <w:t xml:space="preserve"> The importance of building opening hours has also been highlighted by work on 24-hour labs at Oxford University; see: </w:t>
      </w:r>
      <w:r w:rsidRPr="00AC0644">
        <w:rPr>
          <w:rFonts w:asciiTheme="majorHAnsi" w:hAnsiTheme="majorHAnsi"/>
          <w:sz w:val="22"/>
        </w:rPr>
        <w:t>www.sustainabilityexchange.ac.uk/files/midnight_oil_case_study_aug_2012.pdf</w:t>
      </w:r>
    </w:p>
  </w:endnote>
  <w:endnote w:id="5">
    <w:p w14:paraId="4CEFE5B7" w14:textId="2B2AC469" w:rsidR="00FC2021" w:rsidRDefault="00FC2021">
      <w:pPr>
        <w:pStyle w:val="EndnoteText"/>
      </w:pPr>
      <w:r w:rsidRPr="007D6611">
        <w:rPr>
          <w:rStyle w:val="EndnoteReference"/>
          <w:rFonts w:asciiTheme="majorHAnsi" w:hAnsiTheme="majorHAnsi"/>
          <w:sz w:val="22"/>
          <w:szCs w:val="22"/>
        </w:rPr>
        <w:endnoteRef/>
      </w:r>
      <w:r w:rsidRPr="007D6611">
        <w:rPr>
          <w:rFonts w:asciiTheme="majorHAnsi" w:hAnsiTheme="majorHAnsi"/>
          <w:sz w:val="22"/>
          <w:szCs w:val="22"/>
        </w:rPr>
        <w:t xml:space="preserve"> </w:t>
      </w:r>
      <w:r w:rsidRPr="007D6611">
        <w:rPr>
          <w:rFonts w:asciiTheme="majorHAnsi" w:hAnsiTheme="majorHAnsi" w:cstheme="minorHAnsi"/>
          <w:sz w:val="22"/>
          <w:szCs w:val="22"/>
        </w:rPr>
        <w:t>An emerging field focuses on quantifying and communicating how energy efficiency can support organi</w:t>
      </w:r>
      <w:r w:rsidR="0029692E">
        <w:rPr>
          <w:rFonts w:asciiTheme="majorHAnsi" w:hAnsiTheme="majorHAnsi" w:cstheme="minorHAnsi"/>
          <w:sz w:val="22"/>
          <w:szCs w:val="22"/>
        </w:rPr>
        <w:t>z</w:t>
      </w:r>
      <w:r w:rsidRPr="007D6611">
        <w:rPr>
          <w:rFonts w:asciiTheme="majorHAnsi" w:hAnsiTheme="majorHAnsi" w:cstheme="minorHAnsi"/>
          <w:sz w:val="22"/>
          <w:szCs w:val="22"/>
        </w:rPr>
        <w:t xml:space="preserve">ations’ </w:t>
      </w:r>
      <w:r w:rsidRPr="00AC0644">
        <w:rPr>
          <w:rFonts w:asciiTheme="majorHAnsi" w:hAnsiTheme="majorHAnsi"/>
          <w:sz w:val="22"/>
          <w:szCs w:val="22"/>
        </w:rPr>
        <w:t>core goals, e.g. the M-Benefits</w:t>
      </w:r>
      <w:r w:rsidRPr="007D6611">
        <w:rPr>
          <w:rFonts w:asciiTheme="majorHAnsi" w:hAnsiTheme="majorHAnsi" w:cstheme="minorHAnsi"/>
          <w:sz w:val="22"/>
          <w:szCs w:val="22"/>
        </w:rPr>
        <w:t xml:space="preserve"> project (see </w:t>
      </w:r>
      <w:r w:rsidRPr="00AC0644">
        <w:rPr>
          <w:rFonts w:asciiTheme="majorHAnsi" w:hAnsiTheme="majorHAnsi" w:cstheme="minorHAnsi"/>
          <w:sz w:val="22"/>
          <w:szCs w:val="22"/>
        </w:rPr>
        <w:t>www.mbenefits.eu</w:t>
      </w:r>
      <w:r w:rsidR="00AC0644">
        <w:rPr>
          <w:rFonts w:asciiTheme="majorHAnsi" w:hAnsiTheme="majorHAnsi" w:cstheme="minorHAnsi"/>
          <w:sz w:val="22"/>
          <w:szCs w:val="22"/>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harisSIL">
    <w:altName w:val="MS Gothic"/>
    <w:panose1 w:val="00000000000000000000"/>
    <w:charset w:val="80"/>
    <w:family w:val="swiss"/>
    <w:notTrueType/>
    <w:pitch w:val="default"/>
    <w:sig w:usb0="00000003" w:usb1="08070000" w:usb2="00000010" w:usb3="00000000" w:csb0="00020001" w:csb1="00000000"/>
  </w:font>
  <w:font w:name="AdvOT596495f2+20">
    <w:altName w:val="MS Gothic"/>
    <w:panose1 w:val="00000000000000000000"/>
    <w:charset w:val="80"/>
    <w:family w:val="auto"/>
    <w:notTrueType/>
    <w:pitch w:val="default"/>
    <w:sig w:usb0="00000000" w:usb1="08070000" w:usb2="00000010" w:usb3="00000000" w:csb0="00020000" w:csb1="00000000"/>
  </w:font>
  <w:font w:name="AdvOT596495f2+23">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3ED34" w14:textId="77777777" w:rsidR="00FC2021" w:rsidRDefault="00FC2021" w:rsidP="00C91B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FD7D7D" w14:textId="77777777" w:rsidR="00FC2021" w:rsidRDefault="00FC2021" w:rsidP="00F86C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1ECC2" w14:textId="4AFACCFC" w:rsidR="00FC2021" w:rsidRDefault="00FC2021" w:rsidP="00C91B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B3966">
      <w:rPr>
        <w:rStyle w:val="PageNumber"/>
        <w:noProof/>
      </w:rPr>
      <w:t>9</w:t>
    </w:r>
    <w:r>
      <w:rPr>
        <w:rStyle w:val="PageNumber"/>
      </w:rPr>
      <w:fldChar w:fldCharType="end"/>
    </w:r>
  </w:p>
  <w:p w14:paraId="20995300" w14:textId="77777777" w:rsidR="00FC2021" w:rsidRDefault="00FC2021" w:rsidP="00F86C6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82E18" w14:textId="77777777" w:rsidR="00D15BF7" w:rsidRDefault="00D15BF7" w:rsidP="00F86C6C">
      <w:r>
        <w:separator/>
      </w:r>
    </w:p>
  </w:footnote>
  <w:footnote w:type="continuationSeparator" w:id="0">
    <w:p w14:paraId="7A0323ED" w14:textId="77777777" w:rsidR="00D15BF7" w:rsidRDefault="00D15BF7" w:rsidP="00F86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D316A4"/>
    <w:multiLevelType w:val="hybridMultilevel"/>
    <w:tmpl w:val="7AFA3108"/>
    <w:lvl w:ilvl="0" w:tplc="696E1B20">
      <w:start w:val="5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7824C6"/>
    <w:multiLevelType w:val="hybridMultilevel"/>
    <w:tmpl w:val="EE88789C"/>
    <w:lvl w:ilvl="0" w:tplc="696E1B20">
      <w:start w:val="5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EB1CDA"/>
    <w:multiLevelType w:val="multilevel"/>
    <w:tmpl w:val="12989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E5168E"/>
    <w:multiLevelType w:val="hybridMultilevel"/>
    <w:tmpl w:val="E4565D78"/>
    <w:lvl w:ilvl="0" w:tplc="989075FC">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F62A32"/>
    <w:multiLevelType w:val="hybridMultilevel"/>
    <w:tmpl w:val="D2F6C6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80459E"/>
    <w:multiLevelType w:val="hybridMultilevel"/>
    <w:tmpl w:val="98FC854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312E1A"/>
    <w:multiLevelType w:val="hybridMultilevel"/>
    <w:tmpl w:val="98FC854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C4020B"/>
    <w:multiLevelType w:val="hybridMultilevel"/>
    <w:tmpl w:val="099865CA"/>
    <w:lvl w:ilvl="0" w:tplc="696E1B20">
      <w:start w:val="5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65416">
    <w:abstractNumId w:val="7"/>
  </w:num>
  <w:num w:numId="2" w16cid:durableId="248781464">
    <w:abstractNumId w:val="0"/>
  </w:num>
  <w:num w:numId="3" w16cid:durableId="1355382279">
    <w:abstractNumId w:val="6"/>
  </w:num>
  <w:num w:numId="4" w16cid:durableId="286745804">
    <w:abstractNumId w:val="4"/>
  </w:num>
  <w:num w:numId="5" w16cid:durableId="937368604">
    <w:abstractNumId w:val="3"/>
  </w:num>
  <w:num w:numId="6" w16cid:durableId="197663244">
    <w:abstractNumId w:val="1"/>
  </w:num>
  <w:num w:numId="7" w16cid:durableId="1830368733">
    <w:abstractNumId w:val="2"/>
  </w:num>
  <w:num w:numId="8" w16cid:durableId="5787077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B1C"/>
    <w:rsid w:val="00005AEB"/>
    <w:rsid w:val="00006A7A"/>
    <w:rsid w:val="00007419"/>
    <w:rsid w:val="00011367"/>
    <w:rsid w:val="000143D2"/>
    <w:rsid w:val="00015930"/>
    <w:rsid w:val="00023C34"/>
    <w:rsid w:val="00025126"/>
    <w:rsid w:val="00025742"/>
    <w:rsid w:val="000266DE"/>
    <w:rsid w:val="000304D8"/>
    <w:rsid w:val="0003200F"/>
    <w:rsid w:val="000372C0"/>
    <w:rsid w:val="00041621"/>
    <w:rsid w:val="0004413B"/>
    <w:rsid w:val="000465BF"/>
    <w:rsid w:val="0004695A"/>
    <w:rsid w:val="00046F4F"/>
    <w:rsid w:val="00054794"/>
    <w:rsid w:val="00054FA7"/>
    <w:rsid w:val="00055E66"/>
    <w:rsid w:val="00060416"/>
    <w:rsid w:val="000636CD"/>
    <w:rsid w:val="00063EFA"/>
    <w:rsid w:val="000712C1"/>
    <w:rsid w:val="00072292"/>
    <w:rsid w:val="00073107"/>
    <w:rsid w:val="00073FCB"/>
    <w:rsid w:val="00080419"/>
    <w:rsid w:val="0008398D"/>
    <w:rsid w:val="00084733"/>
    <w:rsid w:val="00084D1A"/>
    <w:rsid w:val="00087D5E"/>
    <w:rsid w:val="00091ACF"/>
    <w:rsid w:val="000A25B3"/>
    <w:rsid w:val="000A2C9D"/>
    <w:rsid w:val="000A3CBB"/>
    <w:rsid w:val="000A51AA"/>
    <w:rsid w:val="000A663F"/>
    <w:rsid w:val="000A6997"/>
    <w:rsid w:val="000B24B0"/>
    <w:rsid w:val="000C0D7B"/>
    <w:rsid w:val="000C288A"/>
    <w:rsid w:val="000C3B43"/>
    <w:rsid w:val="000C76EF"/>
    <w:rsid w:val="000C7A98"/>
    <w:rsid w:val="000D2D5C"/>
    <w:rsid w:val="000D49BD"/>
    <w:rsid w:val="000E77DD"/>
    <w:rsid w:val="000F20DE"/>
    <w:rsid w:val="000F40E3"/>
    <w:rsid w:val="000F603E"/>
    <w:rsid w:val="000F646E"/>
    <w:rsid w:val="000F6928"/>
    <w:rsid w:val="000F6B58"/>
    <w:rsid w:val="00102169"/>
    <w:rsid w:val="00103DC8"/>
    <w:rsid w:val="00104D40"/>
    <w:rsid w:val="00106C77"/>
    <w:rsid w:val="001079AA"/>
    <w:rsid w:val="001117ED"/>
    <w:rsid w:val="001120C8"/>
    <w:rsid w:val="00114092"/>
    <w:rsid w:val="00114737"/>
    <w:rsid w:val="00121521"/>
    <w:rsid w:val="00121C9E"/>
    <w:rsid w:val="00122491"/>
    <w:rsid w:val="00125DC2"/>
    <w:rsid w:val="00130DE6"/>
    <w:rsid w:val="001313F7"/>
    <w:rsid w:val="00134771"/>
    <w:rsid w:val="001365A0"/>
    <w:rsid w:val="00136FFB"/>
    <w:rsid w:val="001372A3"/>
    <w:rsid w:val="00137B47"/>
    <w:rsid w:val="00142A3E"/>
    <w:rsid w:val="0014314E"/>
    <w:rsid w:val="0014397F"/>
    <w:rsid w:val="001450C2"/>
    <w:rsid w:val="00151E89"/>
    <w:rsid w:val="0015505A"/>
    <w:rsid w:val="00157986"/>
    <w:rsid w:val="0016254E"/>
    <w:rsid w:val="00162A32"/>
    <w:rsid w:val="0016359B"/>
    <w:rsid w:val="00165F1A"/>
    <w:rsid w:val="001700E9"/>
    <w:rsid w:val="00176764"/>
    <w:rsid w:val="00180A35"/>
    <w:rsid w:val="00187989"/>
    <w:rsid w:val="00191586"/>
    <w:rsid w:val="00195880"/>
    <w:rsid w:val="00196D28"/>
    <w:rsid w:val="00197DD3"/>
    <w:rsid w:val="00197FD2"/>
    <w:rsid w:val="001A17E7"/>
    <w:rsid w:val="001A37F4"/>
    <w:rsid w:val="001A4CC9"/>
    <w:rsid w:val="001A76A3"/>
    <w:rsid w:val="001B1CC1"/>
    <w:rsid w:val="001B3120"/>
    <w:rsid w:val="001B32C7"/>
    <w:rsid w:val="001B593F"/>
    <w:rsid w:val="001C0E45"/>
    <w:rsid w:val="001C3D6F"/>
    <w:rsid w:val="001C4F87"/>
    <w:rsid w:val="001D458E"/>
    <w:rsid w:val="001D6289"/>
    <w:rsid w:val="001D7085"/>
    <w:rsid w:val="001D71BD"/>
    <w:rsid w:val="001E2193"/>
    <w:rsid w:val="001F3659"/>
    <w:rsid w:val="001F471B"/>
    <w:rsid w:val="0020090C"/>
    <w:rsid w:val="00202D39"/>
    <w:rsid w:val="00206C27"/>
    <w:rsid w:val="00210967"/>
    <w:rsid w:val="00210CDF"/>
    <w:rsid w:val="002146EB"/>
    <w:rsid w:val="00216D94"/>
    <w:rsid w:val="002221ED"/>
    <w:rsid w:val="00226A0F"/>
    <w:rsid w:val="00234523"/>
    <w:rsid w:val="00234705"/>
    <w:rsid w:val="002405F6"/>
    <w:rsid w:val="0024081C"/>
    <w:rsid w:val="00245D38"/>
    <w:rsid w:val="00247E05"/>
    <w:rsid w:val="0025193A"/>
    <w:rsid w:val="00253B0C"/>
    <w:rsid w:val="002545A1"/>
    <w:rsid w:val="002555CB"/>
    <w:rsid w:val="00265A35"/>
    <w:rsid w:val="00267F68"/>
    <w:rsid w:val="0027054A"/>
    <w:rsid w:val="00271C23"/>
    <w:rsid w:val="002735C0"/>
    <w:rsid w:val="00273C8D"/>
    <w:rsid w:val="00275DF2"/>
    <w:rsid w:val="00276F49"/>
    <w:rsid w:val="0027734F"/>
    <w:rsid w:val="00282309"/>
    <w:rsid w:val="00283344"/>
    <w:rsid w:val="00284593"/>
    <w:rsid w:val="002850B7"/>
    <w:rsid w:val="0028590B"/>
    <w:rsid w:val="002919C1"/>
    <w:rsid w:val="00291D5E"/>
    <w:rsid w:val="00293309"/>
    <w:rsid w:val="002934FC"/>
    <w:rsid w:val="00296723"/>
    <w:rsid w:val="0029692E"/>
    <w:rsid w:val="00297B69"/>
    <w:rsid w:val="002A1139"/>
    <w:rsid w:val="002A1F77"/>
    <w:rsid w:val="002A4269"/>
    <w:rsid w:val="002A42C6"/>
    <w:rsid w:val="002A7794"/>
    <w:rsid w:val="002A7B79"/>
    <w:rsid w:val="002A7D9E"/>
    <w:rsid w:val="002B0D17"/>
    <w:rsid w:val="002B0F16"/>
    <w:rsid w:val="002B26C6"/>
    <w:rsid w:val="002B3966"/>
    <w:rsid w:val="002B6494"/>
    <w:rsid w:val="002B6B16"/>
    <w:rsid w:val="002B78A6"/>
    <w:rsid w:val="002C043B"/>
    <w:rsid w:val="002C2EA3"/>
    <w:rsid w:val="002C3123"/>
    <w:rsid w:val="002C3CE3"/>
    <w:rsid w:val="002C7CDE"/>
    <w:rsid w:val="002D2022"/>
    <w:rsid w:val="002D37E4"/>
    <w:rsid w:val="002D3A45"/>
    <w:rsid w:val="002D44F6"/>
    <w:rsid w:val="002D50EF"/>
    <w:rsid w:val="002D591A"/>
    <w:rsid w:val="002D5F6A"/>
    <w:rsid w:val="002D7625"/>
    <w:rsid w:val="002E1475"/>
    <w:rsid w:val="002E5AE7"/>
    <w:rsid w:val="002E5AF2"/>
    <w:rsid w:val="002E7B20"/>
    <w:rsid w:val="002F0294"/>
    <w:rsid w:val="002F1986"/>
    <w:rsid w:val="002F361A"/>
    <w:rsid w:val="00304C0F"/>
    <w:rsid w:val="003065B4"/>
    <w:rsid w:val="00306E7D"/>
    <w:rsid w:val="00310566"/>
    <w:rsid w:val="00310DC8"/>
    <w:rsid w:val="00311D7E"/>
    <w:rsid w:val="003121E1"/>
    <w:rsid w:val="00313AA5"/>
    <w:rsid w:val="00313B14"/>
    <w:rsid w:val="00313E6B"/>
    <w:rsid w:val="00315B29"/>
    <w:rsid w:val="00316810"/>
    <w:rsid w:val="003178BF"/>
    <w:rsid w:val="003236D8"/>
    <w:rsid w:val="00323A21"/>
    <w:rsid w:val="00323E74"/>
    <w:rsid w:val="00325C06"/>
    <w:rsid w:val="00326493"/>
    <w:rsid w:val="0032680C"/>
    <w:rsid w:val="00326DCA"/>
    <w:rsid w:val="00327BC0"/>
    <w:rsid w:val="00337599"/>
    <w:rsid w:val="00337C44"/>
    <w:rsid w:val="00341C59"/>
    <w:rsid w:val="0034209F"/>
    <w:rsid w:val="00342E2E"/>
    <w:rsid w:val="0034528D"/>
    <w:rsid w:val="003469BA"/>
    <w:rsid w:val="00351229"/>
    <w:rsid w:val="003563D2"/>
    <w:rsid w:val="00357370"/>
    <w:rsid w:val="003573CD"/>
    <w:rsid w:val="0036107E"/>
    <w:rsid w:val="00363179"/>
    <w:rsid w:val="00363A6B"/>
    <w:rsid w:val="00364ED1"/>
    <w:rsid w:val="003650CB"/>
    <w:rsid w:val="0036522B"/>
    <w:rsid w:val="00367684"/>
    <w:rsid w:val="0037182E"/>
    <w:rsid w:val="00371BE6"/>
    <w:rsid w:val="00371D02"/>
    <w:rsid w:val="00372916"/>
    <w:rsid w:val="00373802"/>
    <w:rsid w:val="003743AF"/>
    <w:rsid w:val="0037494A"/>
    <w:rsid w:val="00374F3C"/>
    <w:rsid w:val="00377B1C"/>
    <w:rsid w:val="0038205F"/>
    <w:rsid w:val="003858E0"/>
    <w:rsid w:val="0038612B"/>
    <w:rsid w:val="003873C4"/>
    <w:rsid w:val="00390E70"/>
    <w:rsid w:val="00392F0C"/>
    <w:rsid w:val="00392FFD"/>
    <w:rsid w:val="00394CF8"/>
    <w:rsid w:val="003A0D48"/>
    <w:rsid w:val="003A5A94"/>
    <w:rsid w:val="003A6C29"/>
    <w:rsid w:val="003A6FC7"/>
    <w:rsid w:val="003A756F"/>
    <w:rsid w:val="003A7B17"/>
    <w:rsid w:val="003B0713"/>
    <w:rsid w:val="003B4CCC"/>
    <w:rsid w:val="003B5EAD"/>
    <w:rsid w:val="003D02BB"/>
    <w:rsid w:val="003D0330"/>
    <w:rsid w:val="003D6856"/>
    <w:rsid w:val="003D7920"/>
    <w:rsid w:val="003F05BC"/>
    <w:rsid w:val="003F076C"/>
    <w:rsid w:val="003F31F4"/>
    <w:rsid w:val="003F3565"/>
    <w:rsid w:val="003F3E9F"/>
    <w:rsid w:val="003F76AA"/>
    <w:rsid w:val="004036C5"/>
    <w:rsid w:val="00403958"/>
    <w:rsid w:val="00404CFF"/>
    <w:rsid w:val="00406467"/>
    <w:rsid w:val="004071B5"/>
    <w:rsid w:val="00407B30"/>
    <w:rsid w:val="00407F09"/>
    <w:rsid w:val="00414F4A"/>
    <w:rsid w:val="00421F0E"/>
    <w:rsid w:val="0042328E"/>
    <w:rsid w:val="00425A28"/>
    <w:rsid w:val="0043016C"/>
    <w:rsid w:val="0043368F"/>
    <w:rsid w:val="00433AF9"/>
    <w:rsid w:val="004346AD"/>
    <w:rsid w:val="00440500"/>
    <w:rsid w:val="00441D13"/>
    <w:rsid w:val="0045105D"/>
    <w:rsid w:val="00452675"/>
    <w:rsid w:val="0045499F"/>
    <w:rsid w:val="00455824"/>
    <w:rsid w:val="0046285D"/>
    <w:rsid w:val="00463B62"/>
    <w:rsid w:val="00465E2C"/>
    <w:rsid w:val="00467E08"/>
    <w:rsid w:val="004756EC"/>
    <w:rsid w:val="00480141"/>
    <w:rsid w:val="0048043C"/>
    <w:rsid w:val="00480C73"/>
    <w:rsid w:val="00482FDA"/>
    <w:rsid w:val="0048444E"/>
    <w:rsid w:val="0048630F"/>
    <w:rsid w:val="00487F20"/>
    <w:rsid w:val="00494070"/>
    <w:rsid w:val="00494266"/>
    <w:rsid w:val="00494C83"/>
    <w:rsid w:val="00494D32"/>
    <w:rsid w:val="004A1402"/>
    <w:rsid w:val="004A1DE1"/>
    <w:rsid w:val="004A37A2"/>
    <w:rsid w:val="004A3DE6"/>
    <w:rsid w:val="004A3E86"/>
    <w:rsid w:val="004A4134"/>
    <w:rsid w:val="004B0693"/>
    <w:rsid w:val="004B128F"/>
    <w:rsid w:val="004B1643"/>
    <w:rsid w:val="004B1D9B"/>
    <w:rsid w:val="004B315E"/>
    <w:rsid w:val="004B4748"/>
    <w:rsid w:val="004C1BD0"/>
    <w:rsid w:val="004C36EF"/>
    <w:rsid w:val="004C5E8B"/>
    <w:rsid w:val="004D3CAB"/>
    <w:rsid w:val="004D4600"/>
    <w:rsid w:val="004D6126"/>
    <w:rsid w:val="004D749E"/>
    <w:rsid w:val="004E2AAE"/>
    <w:rsid w:val="004E4C4A"/>
    <w:rsid w:val="004E7133"/>
    <w:rsid w:val="004E7B0B"/>
    <w:rsid w:val="004F05BF"/>
    <w:rsid w:val="004F075C"/>
    <w:rsid w:val="004F0923"/>
    <w:rsid w:val="004F1855"/>
    <w:rsid w:val="004F1E20"/>
    <w:rsid w:val="004F3933"/>
    <w:rsid w:val="004F4B71"/>
    <w:rsid w:val="005031A8"/>
    <w:rsid w:val="005124B7"/>
    <w:rsid w:val="00513FE8"/>
    <w:rsid w:val="00515C55"/>
    <w:rsid w:val="00516FCD"/>
    <w:rsid w:val="005174CF"/>
    <w:rsid w:val="005176D5"/>
    <w:rsid w:val="00517AD4"/>
    <w:rsid w:val="00520E19"/>
    <w:rsid w:val="00521278"/>
    <w:rsid w:val="00522C62"/>
    <w:rsid w:val="0053116B"/>
    <w:rsid w:val="00533B61"/>
    <w:rsid w:val="005340CF"/>
    <w:rsid w:val="0053749D"/>
    <w:rsid w:val="00544907"/>
    <w:rsid w:val="00544D6C"/>
    <w:rsid w:val="00546E12"/>
    <w:rsid w:val="005470F7"/>
    <w:rsid w:val="005511A0"/>
    <w:rsid w:val="005528B7"/>
    <w:rsid w:val="005531EB"/>
    <w:rsid w:val="0055373B"/>
    <w:rsid w:val="005650BB"/>
    <w:rsid w:val="0056558A"/>
    <w:rsid w:val="005675B0"/>
    <w:rsid w:val="00573C8F"/>
    <w:rsid w:val="00575018"/>
    <w:rsid w:val="00575DA6"/>
    <w:rsid w:val="005761ED"/>
    <w:rsid w:val="005835F4"/>
    <w:rsid w:val="0058370A"/>
    <w:rsid w:val="00586C54"/>
    <w:rsid w:val="00586C7D"/>
    <w:rsid w:val="00586F0F"/>
    <w:rsid w:val="00587488"/>
    <w:rsid w:val="00587DA5"/>
    <w:rsid w:val="00590722"/>
    <w:rsid w:val="005949E2"/>
    <w:rsid w:val="00595684"/>
    <w:rsid w:val="00595736"/>
    <w:rsid w:val="005A343A"/>
    <w:rsid w:val="005A41B1"/>
    <w:rsid w:val="005A4268"/>
    <w:rsid w:val="005A5656"/>
    <w:rsid w:val="005A6D4A"/>
    <w:rsid w:val="005B2F31"/>
    <w:rsid w:val="005B384A"/>
    <w:rsid w:val="005B734C"/>
    <w:rsid w:val="005C0624"/>
    <w:rsid w:val="005C6932"/>
    <w:rsid w:val="005D10E0"/>
    <w:rsid w:val="005D66B2"/>
    <w:rsid w:val="005D78E1"/>
    <w:rsid w:val="005E1AEE"/>
    <w:rsid w:val="005E1BED"/>
    <w:rsid w:val="005E2086"/>
    <w:rsid w:val="005E491B"/>
    <w:rsid w:val="005E51E4"/>
    <w:rsid w:val="005E5764"/>
    <w:rsid w:val="005E59EB"/>
    <w:rsid w:val="005F06D2"/>
    <w:rsid w:val="005F0FC5"/>
    <w:rsid w:val="005F103B"/>
    <w:rsid w:val="005F3D86"/>
    <w:rsid w:val="00600541"/>
    <w:rsid w:val="00601993"/>
    <w:rsid w:val="00606736"/>
    <w:rsid w:val="006074E0"/>
    <w:rsid w:val="00615386"/>
    <w:rsid w:val="00615690"/>
    <w:rsid w:val="00616442"/>
    <w:rsid w:val="00621ABE"/>
    <w:rsid w:val="00621CA6"/>
    <w:rsid w:val="0062244F"/>
    <w:rsid w:val="00623F1F"/>
    <w:rsid w:val="0062416F"/>
    <w:rsid w:val="006250B4"/>
    <w:rsid w:val="00625D01"/>
    <w:rsid w:val="00625D2B"/>
    <w:rsid w:val="00632167"/>
    <w:rsid w:val="00633670"/>
    <w:rsid w:val="006340A9"/>
    <w:rsid w:val="00636845"/>
    <w:rsid w:val="00640A4D"/>
    <w:rsid w:val="00647F37"/>
    <w:rsid w:val="00650A30"/>
    <w:rsid w:val="00650AD4"/>
    <w:rsid w:val="00651F8E"/>
    <w:rsid w:val="00657E01"/>
    <w:rsid w:val="0066008B"/>
    <w:rsid w:val="006610F1"/>
    <w:rsid w:val="00662373"/>
    <w:rsid w:val="006659C8"/>
    <w:rsid w:val="00671E8C"/>
    <w:rsid w:val="00674F18"/>
    <w:rsid w:val="006810A4"/>
    <w:rsid w:val="00684365"/>
    <w:rsid w:val="006868AD"/>
    <w:rsid w:val="00686B8A"/>
    <w:rsid w:val="00687B89"/>
    <w:rsid w:val="0069001B"/>
    <w:rsid w:val="006911C4"/>
    <w:rsid w:val="00694335"/>
    <w:rsid w:val="00694DEA"/>
    <w:rsid w:val="00695C69"/>
    <w:rsid w:val="00697D89"/>
    <w:rsid w:val="006A3532"/>
    <w:rsid w:val="006A389D"/>
    <w:rsid w:val="006A391F"/>
    <w:rsid w:val="006A6A76"/>
    <w:rsid w:val="006B0613"/>
    <w:rsid w:val="006B67EF"/>
    <w:rsid w:val="006B79E8"/>
    <w:rsid w:val="006B7DCD"/>
    <w:rsid w:val="006C080D"/>
    <w:rsid w:val="006C20D2"/>
    <w:rsid w:val="006C2139"/>
    <w:rsid w:val="006C4494"/>
    <w:rsid w:val="006C4765"/>
    <w:rsid w:val="006C4B36"/>
    <w:rsid w:val="006C4FFB"/>
    <w:rsid w:val="006D359C"/>
    <w:rsid w:val="006D4AEA"/>
    <w:rsid w:val="006D4B82"/>
    <w:rsid w:val="006D68AF"/>
    <w:rsid w:val="006E19E3"/>
    <w:rsid w:val="006E2852"/>
    <w:rsid w:val="006E41C2"/>
    <w:rsid w:val="006E5A44"/>
    <w:rsid w:val="006E5EF8"/>
    <w:rsid w:val="006E6A3D"/>
    <w:rsid w:val="006E715E"/>
    <w:rsid w:val="006E72BA"/>
    <w:rsid w:val="006E7A2B"/>
    <w:rsid w:val="006F1F12"/>
    <w:rsid w:val="006F3820"/>
    <w:rsid w:val="006F7DAF"/>
    <w:rsid w:val="007006D0"/>
    <w:rsid w:val="00703582"/>
    <w:rsid w:val="0070699C"/>
    <w:rsid w:val="00706BA5"/>
    <w:rsid w:val="00710567"/>
    <w:rsid w:val="00711ABE"/>
    <w:rsid w:val="00711C48"/>
    <w:rsid w:val="00711ECC"/>
    <w:rsid w:val="00712782"/>
    <w:rsid w:val="00714228"/>
    <w:rsid w:val="00714B33"/>
    <w:rsid w:val="0072008D"/>
    <w:rsid w:val="00721444"/>
    <w:rsid w:val="00723609"/>
    <w:rsid w:val="007236F3"/>
    <w:rsid w:val="00724E11"/>
    <w:rsid w:val="0072641D"/>
    <w:rsid w:val="00732E72"/>
    <w:rsid w:val="00735FC5"/>
    <w:rsid w:val="00737B04"/>
    <w:rsid w:val="00743AF4"/>
    <w:rsid w:val="00743E00"/>
    <w:rsid w:val="00746B00"/>
    <w:rsid w:val="00752347"/>
    <w:rsid w:val="0075262D"/>
    <w:rsid w:val="00753E4E"/>
    <w:rsid w:val="00753F0D"/>
    <w:rsid w:val="0075480B"/>
    <w:rsid w:val="00762190"/>
    <w:rsid w:val="00765416"/>
    <w:rsid w:val="007657E2"/>
    <w:rsid w:val="007658EA"/>
    <w:rsid w:val="00765EF4"/>
    <w:rsid w:val="007739E4"/>
    <w:rsid w:val="00775743"/>
    <w:rsid w:val="00783DEF"/>
    <w:rsid w:val="00785084"/>
    <w:rsid w:val="0078603E"/>
    <w:rsid w:val="00787840"/>
    <w:rsid w:val="007931FA"/>
    <w:rsid w:val="00797BAF"/>
    <w:rsid w:val="007A05AC"/>
    <w:rsid w:val="007A09CB"/>
    <w:rsid w:val="007A2AC6"/>
    <w:rsid w:val="007A40D4"/>
    <w:rsid w:val="007A5342"/>
    <w:rsid w:val="007A5DF0"/>
    <w:rsid w:val="007B0AF5"/>
    <w:rsid w:val="007B1308"/>
    <w:rsid w:val="007B17CC"/>
    <w:rsid w:val="007B5A7E"/>
    <w:rsid w:val="007B5F1E"/>
    <w:rsid w:val="007C2EA7"/>
    <w:rsid w:val="007C40F1"/>
    <w:rsid w:val="007C46BB"/>
    <w:rsid w:val="007C4797"/>
    <w:rsid w:val="007C5DE2"/>
    <w:rsid w:val="007C69F9"/>
    <w:rsid w:val="007C6D45"/>
    <w:rsid w:val="007D0619"/>
    <w:rsid w:val="007D1DC9"/>
    <w:rsid w:val="007D2F93"/>
    <w:rsid w:val="007D3306"/>
    <w:rsid w:val="007D368A"/>
    <w:rsid w:val="007D5AD2"/>
    <w:rsid w:val="007D6611"/>
    <w:rsid w:val="007D6B3B"/>
    <w:rsid w:val="007E143B"/>
    <w:rsid w:val="007E22EF"/>
    <w:rsid w:val="007E5A24"/>
    <w:rsid w:val="007F028D"/>
    <w:rsid w:val="007F1A1D"/>
    <w:rsid w:val="007F4575"/>
    <w:rsid w:val="007F68A0"/>
    <w:rsid w:val="00800093"/>
    <w:rsid w:val="00800FC5"/>
    <w:rsid w:val="0080146E"/>
    <w:rsid w:val="00801BF2"/>
    <w:rsid w:val="00806170"/>
    <w:rsid w:val="00810C8B"/>
    <w:rsid w:val="00813623"/>
    <w:rsid w:val="008141CF"/>
    <w:rsid w:val="00814473"/>
    <w:rsid w:val="00815687"/>
    <w:rsid w:val="00816878"/>
    <w:rsid w:val="00816B2D"/>
    <w:rsid w:val="00820080"/>
    <w:rsid w:val="00820EA5"/>
    <w:rsid w:val="00822AD0"/>
    <w:rsid w:val="00823275"/>
    <w:rsid w:val="00825C46"/>
    <w:rsid w:val="00831F7B"/>
    <w:rsid w:val="0083384A"/>
    <w:rsid w:val="008368D7"/>
    <w:rsid w:val="00844FE9"/>
    <w:rsid w:val="0084683C"/>
    <w:rsid w:val="008477C5"/>
    <w:rsid w:val="00852F85"/>
    <w:rsid w:val="00854366"/>
    <w:rsid w:val="00854EB4"/>
    <w:rsid w:val="00860025"/>
    <w:rsid w:val="00860400"/>
    <w:rsid w:val="00860E4B"/>
    <w:rsid w:val="00863607"/>
    <w:rsid w:val="00863B82"/>
    <w:rsid w:val="008649E4"/>
    <w:rsid w:val="00864F87"/>
    <w:rsid w:val="00865C64"/>
    <w:rsid w:val="00866298"/>
    <w:rsid w:val="00867353"/>
    <w:rsid w:val="00867C81"/>
    <w:rsid w:val="0087152A"/>
    <w:rsid w:val="00874721"/>
    <w:rsid w:val="008769D9"/>
    <w:rsid w:val="0088167A"/>
    <w:rsid w:val="00882018"/>
    <w:rsid w:val="0088214F"/>
    <w:rsid w:val="00883C8F"/>
    <w:rsid w:val="00883F7B"/>
    <w:rsid w:val="008876BC"/>
    <w:rsid w:val="00890E5D"/>
    <w:rsid w:val="00893A0A"/>
    <w:rsid w:val="008953EA"/>
    <w:rsid w:val="00895C84"/>
    <w:rsid w:val="008965B4"/>
    <w:rsid w:val="00896BF5"/>
    <w:rsid w:val="00897E82"/>
    <w:rsid w:val="008A0823"/>
    <w:rsid w:val="008A6B83"/>
    <w:rsid w:val="008B06B3"/>
    <w:rsid w:val="008B4171"/>
    <w:rsid w:val="008B7300"/>
    <w:rsid w:val="008D0B38"/>
    <w:rsid w:val="008D11BC"/>
    <w:rsid w:val="008D1B1E"/>
    <w:rsid w:val="008D2352"/>
    <w:rsid w:val="008D2E8D"/>
    <w:rsid w:val="008D4491"/>
    <w:rsid w:val="008E0422"/>
    <w:rsid w:val="008E1A78"/>
    <w:rsid w:val="008E2CEC"/>
    <w:rsid w:val="008E3BE7"/>
    <w:rsid w:val="008E3CA2"/>
    <w:rsid w:val="008E44F9"/>
    <w:rsid w:val="008E49E5"/>
    <w:rsid w:val="008E4FC4"/>
    <w:rsid w:val="008F069A"/>
    <w:rsid w:val="008F2963"/>
    <w:rsid w:val="008F4730"/>
    <w:rsid w:val="008F57F0"/>
    <w:rsid w:val="008F78F4"/>
    <w:rsid w:val="009001E5"/>
    <w:rsid w:val="009021B4"/>
    <w:rsid w:val="00903C59"/>
    <w:rsid w:val="009041FF"/>
    <w:rsid w:val="00906A7B"/>
    <w:rsid w:val="00912B65"/>
    <w:rsid w:val="00917D24"/>
    <w:rsid w:val="009237B0"/>
    <w:rsid w:val="00923A7E"/>
    <w:rsid w:val="00924844"/>
    <w:rsid w:val="009253F0"/>
    <w:rsid w:val="00927FE7"/>
    <w:rsid w:val="00931AD3"/>
    <w:rsid w:val="00932EE8"/>
    <w:rsid w:val="00933C45"/>
    <w:rsid w:val="00935E98"/>
    <w:rsid w:val="00940B1B"/>
    <w:rsid w:val="00940FBE"/>
    <w:rsid w:val="00941E6F"/>
    <w:rsid w:val="00942980"/>
    <w:rsid w:val="00947BFD"/>
    <w:rsid w:val="0095081A"/>
    <w:rsid w:val="00950EE3"/>
    <w:rsid w:val="009510C2"/>
    <w:rsid w:val="009519AA"/>
    <w:rsid w:val="009541B4"/>
    <w:rsid w:val="00954535"/>
    <w:rsid w:val="00957618"/>
    <w:rsid w:val="00961D47"/>
    <w:rsid w:val="0096225D"/>
    <w:rsid w:val="009630E0"/>
    <w:rsid w:val="00965D75"/>
    <w:rsid w:val="00972000"/>
    <w:rsid w:val="00980DE8"/>
    <w:rsid w:val="009814D6"/>
    <w:rsid w:val="00983DE8"/>
    <w:rsid w:val="00987D82"/>
    <w:rsid w:val="0099148A"/>
    <w:rsid w:val="0099532F"/>
    <w:rsid w:val="00995395"/>
    <w:rsid w:val="009A2249"/>
    <w:rsid w:val="009A4B80"/>
    <w:rsid w:val="009B51E1"/>
    <w:rsid w:val="009B7D97"/>
    <w:rsid w:val="009C0DFC"/>
    <w:rsid w:val="009C182E"/>
    <w:rsid w:val="009C48C2"/>
    <w:rsid w:val="009C685E"/>
    <w:rsid w:val="009D2327"/>
    <w:rsid w:val="009D29F5"/>
    <w:rsid w:val="009D2C5D"/>
    <w:rsid w:val="009D32D2"/>
    <w:rsid w:val="009D3383"/>
    <w:rsid w:val="009E1A7F"/>
    <w:rsid w:val="009E24B8"/>
    <w:rsid w:val="009E320F"/>
    <w:rsid w:val="009E3D85"/>
    <w:rsid w:val="009E42DD"/>
    <w:rsid w:val="009E5D5B"/>
    <w:rsid w:val="009F4ED9"/>
    <w:rsid w:val="009F7B70"/>
    <w:rsid w:val="00A01C79"/>
    <w:rsid w:val="00A05E6D"/>
    <w:rsid w:val="00A06945"/>
    <w:rsid w:val="00A07726"/>
    <w:rsid w:val="00A07E10"/>
    <w:rsid w:val="00A11459"/>
    <w:rsid w:val="00A120DC"/>
    <w:rsid w:val="00A206E6"/>
    <w:rsid w:val="00A214BA"/>
    <w:rsid w:val="00A3726D"/>
    <w:rsid w:val="00A433D5"/>
    <w:rsid w:val="00A45D7B"/>
    <w:rsid w:val="00A473BF"/>
    <w:rsid w:val="00A477EE"/>
    <w:rsid w:val="00A47A26"/>
    <w:rsid w:val="00A54B7C"/>
    <w:rsid w:val="00A57138"/>
    <w:rsid w:val="00A57355"/>
    <w:rsid w:val="00A610D5"/>
    <w:rsid w:val="00A616BD"/>
    <w:rsid w:val="00A63FE1"/>
    <w:rsid w:val="00A655C5"/>
    <w:rsid w:val="00A655E0"/>
    <w:rsid w:val="00A71359"/>
    <w:rsid w:val="00A730F7"/>
    <w:rsid w:val="00A74F52"/>
    <w:rsid w:val="00A76529"/>
    <w:rsid w:val="00A77ED8"/>
    <w:rsid w:val="00A81159"/>
    <w:rsid w:val="00A81F65"/>
    <w:rsid w:val="00A8268C"/>
    <w:rsid w:val="00A82974"/>
    <w:rsid w:val="00A8503D"/>
    <w:rsid w:val="00A86913"/>
    <w:rsid w:val="00A87AD7"/>
    <w:rsid w:val="00A91EE9"/>
    <w:rsid w:val="00A92448"/>
    <w:rsid w:val="00A9351B"/>
    <w:rsid w:val="00A9470F"/>
    <w:rsid w:val="00A94E27"/>
    <w:rsid w:val="00AA1F5E"/>
    <w:rsid w:val="00AA3FC7"/>
    <w:rsid w:val="00AA4D36"/>
    <w:rsid w:val="00AB4685"/>
    <w:rsid w:val="00AB6262"/>
    <w:rsid w:val="00AB746E"/>
    <w:rsid w:val="00AC0644"/>
    <w:rsid w:val="00AC0CC6"/>
    <w:rsid w:val="00AC22F3"/>
    <w:rsid w:val="00AC3AA5"/>
    <w:rsid w:val="00AC3C98"/>
    <w:rsid w:val="00AC425D"/>
    <w:rsid w:val="00AC54C5"/>
    <w:rsid w:val="00AC6114"/>
    <w:rsid w:val="00AC6685"/>
    <w:rsid w:val="00AC7BD7"/>
    <w:rsid w:val="00AD0EDE"/>
    <w:rsid w:val="00AD1988"/>
    <w:rsid w:val="00AD272D"/>
    <w:rsid w:val="00AD2804"/>
    <w:rsid w:val="00AD29D1"/>
    <w:rsid w:val="00AD41D4"/>
    <w:rsid w:val="00AE0906"/>
    <w:rsid w:val="00AE1323"/>
    <w:rsid w:val="00AE7CB2"/>
    <w:rsid w:val="00AE7EA3"/>
    <w:rsid w:val="00AF0A34"/>
    <w:rsid w:val="00AF1CBB"/>
    <w:rsid w:val="00AF1D47"/>
    <w:rsid w:val="00AF250E"/>
    <w:rsid w:val="00AF4313"/>
    <w:rsid w:val="00AF6947"/>
    <w:rsid w:val="00AF6E8A"/>
    <w:rsid w:val="00AF6F0F"/>
    <w:rsid w:val="00B0163F"/>
    <w:rsid w:val="00B02B30"/>
    <w:rsid w:val="00B04B7F"/>
    <w:rsid w:val="00B04F25"/>
    <w:rsid w:val="00B04F64"/>
    <w:rsid w:val="00B063A7"/>
    <w:rsid w:val="00B06FA7"/>
    <w:rsid w:val="00B1184F"/>
    <w:rsid w:val="00B141D6"/>
    <w:rsid w:val="00B17693"/>
    <w:rsid w:val="00B20BDE"/>
    <w:rsid w:val="00B20C30"/>
    <w:rsid w:val="00B22304"/>
    <w:rsid w:val="00B2728A"/>
    <w:rsid w:val="00B330A7"/>
    <w:rsid w:val="00B33138"/>
    <w:rsid w:val="00B337EF"/>
    <w:rsid w:val="00B377FB"/>
    <w:rsid w:val="00B37FFB"/>
    <w:rsid w:val="00B41F68"/>
    <w:rsid w:val="00B41FFE"/>
    <w:rsid w:val="00B45F44"/>
    <w:rsid w:val="00B4615A"/>
    <w:rsid w:val="00B467E8"/>
    <w:rsid w:val="00B5246F"/>
    <w:rsid w:val="00B529DF"/>
    <w:rsid w:val="00B53783"/>
    <w:rsid w:val="00B54371"/>
    <w:rsid w:val="00B55E6A"/>
    <w:rsid w:val="00B56341"/>
    <w:rsid w:val="00B56A94"/>
    <w:rsid w:val="00B63F0A"/>
    <w:rsid w:val="00B6727E"/>
    <w:rsid w:val="00B677DD"/>
    <w:rsid w:val="00B71F66"/>
    <w:rsid w:val="00B77D57"/>
    <w:rsid w:val="00B80E13"/>
    <w:rsid w:val="00B81355"/>
    <w:rsid w:val="00B82631"/>
    <w:rsid w:val="00B83231"/>
    <w:rsid w:val="00B83BD3"/>
    <w:rsid w:val="00B85401"/>
    <w:rsid w:val="00B86EF7"/>
    <w:rsid w:val="00B9133B"/>
    <w:rsid w:val="00B918A5"/>
    <w:rsid w:val="00B91B44"/>
    <w:rsid w:val="00B92B15"/>
    <w:rsid w:val="00B92C0D"/>
    <w:rsid w:val="00B93AB7"/>
    <w:rsid w:val="00B951D3"/>
    <w:rsid w:val="00B96991"/>
    <w:rsid w:val="00BA1C4E"/>
    <w:rsid w:val="00BA24C5"/>
    <w:rsid w:val="00BA5221"/>
    <w:rsid w:val="00BA7171"/>
    <w:rsid w:val="00BA7AED"/>
    <w:rsid w:val="00BB0FF8"/>
    <w:rsid w:val="00BB1844"/>
    <w:rsid w:val="00BB27A0"/>
    <w:rsid w:val="00BB467B"/>
    <w:rsid w:val="00BB7842"/>
    <w:rsid w:val="00BC2AA7"/>
    <w:rsid w:val="00BC3D13"/>
    <w:rsid w:val="00BC7756"/>
    <w:rsid w:val="00BD4CA3"/>
    <w:rsid w:val="00BD5F71"/>
    <w:rsid w:val="00BD7188"/>
    <w:rsid w:val="00BD72F7"/>
    <w:rsid w:val="00BD75F6"/>
    <w:rsid w:val="00BD7809"/>
    <w:rsid w:val="00BE04A7"/>
    <w:rsid w:val="00BE3A02"/>
    <w:rsid w:val="00BE5713"/>
    <w:rsid w:val="00BE578A"/>
    <w:rsid w:val="00BE5C69"/>
    <w:rsid w:val="00BF0D5E"/>
    <w:rsid w:val="00BF10B7"/>
    <w:rsid w:val="00BF1A9D"/>
    <w:rsid w:val="00BF2155"/>
    <w:rsid w:val="00BF65CF"/>
    <w:rsid w:val="00BF7B17"/>
    <w:rsid w:val="00C0012D"/>
    <w:rsid w:val="00C0019E"/>
    <w:rsid w:val="00C00FD2"/>
    <w:rsid w:val="00C010B1"/>
    <w:rsid w:val="00C04802"/>
    <w:rsid w:val="00C04F34"/>
    <w:rsid w:val="00C060AE"/>
    <w:rsid w:val="00C06873"/>
    <w:rsid w:val="00C11EE2"/>
    <w:rsid w:val="00C12383"/>
    <w:rsid w:val="00C14EA0"/>
    <w:rsid w:val="00C16325"/>
    <w:rsid w:val="00C167DF"/>
    <w:rsid w:val="00C16EF2"/>
    <w:rsid w:val="00C236B3"/>
    <w:rsid w:val="00C23747"/>
    <w:rsid w:val="00C25891"/>
    <w:rsid w:val="00C26E3B"/>
    <w:rsid w:val="00C31994"/>
    <w:rsid w:val="00C321E5"/>
    <w:rsid w:val="00C32761"/>
    <w:rsid w:val="00C36DDB"/>
    <w:rsid w:val="00C52314"/>
    <w:rsid w:val="00C5400C"/>
    <w:rsid w:val="00C5654E"/>
    <w:rsid w:val="00C60584"/>
    <w:rsid w:val="00C71659"/>
    <w:rsid w:val="00C74269"/>
    <w:rsid w:val="00C77191"/>
    <w:rsid w:val="00C801A7"/>
    <w:rsid w:val="00C877B5"/>
    <w:rsid w:val="00C90670"/>
    <w:rsid w:val="00C91B6D"/>
    <w:rsid w:val="00C920E1"/>
    <w:rsid w:val="00C92CB1"/>
    <w:rsid w:val="00C94B06"/>
    <w:rsid w:val="00C963E4"/>
    <w:rsid w:val="00CA0207"/>
    <w:rsid w:val="00CA0D9A"/>
    <w:rsid w:val="00CA329C"/>
    <w:rsid w:val="00CA390F"/>
    <w:rsid w:val="00CA5C0F"/>
    <w:rsid w:val="00CA6C50"/>
    <w:rsid w:val="00CA73A4"/>
    <w:rsid w:val="00CB1843"/>
    <w:rsid w:val="00CB3A48"/>
    <w:rsid w:val="00CB3DCC"/>
    <w:rsid w:val="00CB41FC"/>
    <w:rsid w:val="00CB4A72"/>
    <w:rsid w:val="00CB6477"/>
    <w:rsid w:val="00CB6E0E"/>
    <w:rsid w:val="00CB73F0"/>
    <w:rsid w:val="00CC5D49"/>
    <w:rsid w:val="00CD002A"/>
    <w:rsid w:val="00CD0047"/>
    <w:rsid w:val="00CD02EA"/>
    <w:rsid w:val="00CD10D5"/>
    <w:rsid w:val="00CD28C6"/>
    <w:rsid w:val="00CD5996"/>
    <w:rsid w:val="00CE4C7D"/>
    <w:rsid w:val="00CF1EA9"/>
    <w:rsid w:val="00CF4C06"/>
    <w:rsid w:val="00CF7CA2"/>
    <w:rsid w:val="00D01FB7"/>
    <w:rsid w:val="00D02BC6"/>
    <w:rsid w:val="00D070F4"/>
    <w:rsid w:val="00D11316"/>
    <w:rsid w:val="00D12C1D"/>
    <w:rsid w:val="00D132EF"/>
    <w:rsid w:val="00D146D0"/>
    <w:rsid w:val="00D15BF7"/>
    <w:rsid w:val="00D22069"/>
    <w:rsid w:val="00D23B92"/>
    <w:rsid w:val="00D2494E"/>
    <w:rsid w:val="00D304FF"/>
    <w:rsid w:val="00D30B5B"/>
    <w:rsid w:val="00D31563"/>
    <w:rsid w:val="00D339AF"/>
    <w:rsid w:val="00D340B6"/>
    <w:rsid w:val="00D346F7"/>
    <w:rsid w:val="00D34AE3"/>
    <w:rsid w:val="00D3527B"/>
    <w:rsid w:val="00D369A5"/>
    <w:rsid w:val="00D4124F"/>
    <w:rsid w:val="00D43A17"/>
    <w:rsid w:val="00D449B8"/>
    <w:rsid w:val="00D44E05"/>
    <w:rsid w:val="00D51984"/>
    <w:rsid w:val="00D56336"/>
    <w:rsid w:val="00D5721B"/>
    <w:rsid w:val="00D5795B"/>
    <w:rsid w:val="00D57B8A"/>
    <w:rsid w:val="00D57C2B"/>
    <w:rsid w:val="00D60F04"/>
    <w:rsid w:val="00D67812"/>
    <w:rsid w:val="00D67BFE"/>
    <w:rsid w:val="00D733FB"/>
    <w:rsid w:val="00D738FC"/>
    <w:rsid w:val="00D759A4"/>
    <w:rsid w:val="00D81939"/>
    <w:rsid w:val="00D83B39"/>
    <w:rsid w:val="00D8422A"/>
    <w:rsid w:val="00D85BF0"/>
    <w:rsid w:val="00D85F7F"/>
    <w:rsid w:val="00D90F8E"/>
    <w:rsid w:val="00D933DD"/>
    <w:rsid w:val="00D96B5C"/>
    <w:rsid w:val="00DA19D6"/>
    <w:rsid w:val="00DA1C36"/>
    <w:rsid w:val="00DA53FB"/>
    <w:rsid w:val="00DA547F"/>
    <w:rsid w:val="00DB0398"/>
    <w:rsid w:val="00DB1026"/>
    <w:rsid w:val="00DB1A80"/>
    <w:rsid w:val="00DB3D83"/>
    <w:rsid w:val="00DB5CD6"/>
    <w:rsid w:val="00DB640B"/>
    <w:rsid w:val="00DB6697"/>
    <w:rsid w:val="00DB68B6"/>
    <w:rsid w:val="00DB75C1"/>
    <w:rsid w:val="00DB76A6"/>
    <w:rsid w:val="00DB7BE9"/>
    <w:rsid w:val="00DC08C9"/>
    <w:rsid w:val="00DC1265"/>
    <w:rsid w:val="00DC5BF1"/>
    <w:rsid w:val="00DC7563"/>
    <w:rsid w:val="00DD54B2"/>
    <w:rsid w:val="00DE1884"/>
    <w:rsid w:val="00DE3315"/>
    <w:rsid w:val="00DE5288"/>
    <w:rsid w:val="00DF0C28"/>
    <w:rsid w:val="00DF1247"/>
    <w:rsid w:val="00DF45D5"/>
    <w:rsid w:val="00DF4F57"/>
    <w:rsid w:val="00DF57A2"/>
    <w:rsid w:val="00DF7955"/>
    <w:rsid w:val="00E02EC5"/>
    <w:rsid w:val="00E04984"/>
    <w:rsid w:val="00E079C0"/>
    <w:rsid w:val="00E1147B"/>
    <w:rsid w:val="00E114F9"/>
    <w:rsid w:val="00E145A1"/>
    <w:rsid w:val="00E150AC"/>
    <w:rsid w:val="00E16467"/>
    <w:rsid w:val="00E165DD"/>
    <w:rsid w:val="00E20B02"/>
    <w:rsid w:val="00E22047"/>
    <w:rsid w:val="00E24354"/>
    <w:rsid w:val="00E24907"/>
    <w:rsid w:val="00E25026"/>
    <w:rsid w:val="00E266A8"/>
    <w:rsid w:val="00E269BB"/>
    <w:rsid w:val="00E30732"/>
    <w:rsid w:val="00E3744D"/>
    <w:rsid w:val="00E377DC"/>
    <w:rsid w:val="00E4239F"/>
    <w:rsid w:val="00E42B8B"/>
    <w:rsid w:val="00E43C09"/>
    <w:rsid w:val="00E44574"/>
    <w:rsid w:val="00E4628C"/>
    <w:rsid w:val="00E46C95"/>
    <w:rsid w:val="00E470D0"/>
    <w:rsid w:val="00E47D25"/>
    <w:rsid w:val="00E50253"/>
    <w:rsid w:val="00E5272A"/>
    <w:rsid w:val="00E53CDF"/>
    <w:rsid w:val="00E54C2F"/>
    <w:rsid w:val="00E55257"/>
    <w:rsid w:val="00E561C4"/>
    <w:rsid w:val="00E575FF"/>
    <w:rsid w:val="00E63F4B"/>
    <w:rsid w:val="00E64834"/>
    <w:rsid w:val="00E678DE"/>
    <w:rsid w:val="00E67A00"/>
    <w:rsid w:val="00E70E1D"/>
    <w:rsid w:val="00E71AF1"/>
    <w:rsid w:val="00E739E7"/>
    <w:rsid w:val="00E73D46"/>
    <w:rsid w:val="00E73FF8"/>
    <w:rsid w:val="00E75CD7"/>
    <w:rsid w:val="00E75F51"/>
    <w:rsid w:val="00E76D53"/>
    <w:rsid w:val="00E76E76"/>
    <w:rsid w:val="00E76F8A"/>
    <w:rsid w:val="00E82403"/>
    <w:rsid w:val="00E82AD9"/>
    <w:rsid w:val="00E83734"/>
    <w:rsid w:val="00E84632"/>
    <w:rsid w:val="00E84929"/>
    <w:rsid w:val="00E863E8"/>
    <w:rsid w:val="00E87308"/>
    <w:rsid w:val="00E873B1"/>
    <w:rsid w:val="00E91259"/>
    <w:rsid w:val="00E91858"/>
    <w:rsid w:val="00E936B3"/>
    <w:rsid w:val="00E93B75"/>
    <w:rsid w:val="00E94E96"/>
    <w:rsid w:val="00E952E9"/>
    <w:rsid w:val="00E97AB8"/>
    <w:rsid w:val="00EA1616"/>
    <w:rsid w:val="00EA1A34"/>
    <w:rsid w:val="00EA5B2E"/>
    <w:rsid w:val="00EB23EE"/>
    <w:rsid w:val="00EB2EC8"/>
    <w:rsid w:val="00EB367E"/>
    <w:rsid w:val="00EB513D"/>
    <w:rsid w:val="00EB7777"/>
    <w:rsid w:val="00EB77C4"/>
    <w:rsid w:val="00EC049D"/>
    <w:rsid w:val="00EC678E"/>
    <w:rsid w:val="00EC6B37"/>
    <w:rsid w:val="00ED0E06"/>
    <w:rsid w:val="00ED2935"/>
    <w:rsid w:val="00ED4029"/>
    <w:rsid w:val="00ED623B"/>
    <w:rsid w:val="00ED7E6C"/>
    <w:rsid w:val="00EE0414"/>
    <w:rsid w:val="00EF0D79"/>
    <w:rsid w:val="00EF137C"/>
    <w:rsid w:val="00EF23DA"/>
    <w:rsid w:val="00EF34FF"/>
    <w:rsid w:val="00EF3841"/>
    <w:rsid w:val="00EF4A0D"/>
    <w:rsid w:val="00EF4E87"/>
    <w:rsid w:val="00EF7DF1"/>
    <w:rsid w:val="00F0263D"/>
    <w:rsid w:val="00F0419A"/>
    <w:rsid w:val="00F05B49"/>
    <w:rsid w:val="00F06F55"/>
    <w:rsid w:val="00F10EC3"/>
    <w:rsid w:val="00F1506C"/>
    <w:rsid w:val="00F213C0"/>
    <w:rsid w:val="00F219D6"/>
    <w:rsid w:val="00F22233"/>
    <w:rsid w:val="00F24B68"/>
    <w:rsid w:val="00F258F9"/>
    <w:rsid w:val="00F25A95"/>
    <w:rsid w:val="00F421CE"/>
    <w:rsid w:val="00F43F7A"/>
    <w:rsid w:val="00F4424D"/>
    <w:rsid w:val="00F455C0"/>
    <w:rsid w:val="00F45BE0"/>
    <w:rsid w:val="00F45FB1"/>
    <w:rsid w:val="00F47F05"/>
    <w:rsid w:val="00F47F07"/>
    <w:rsid w:val="00F502B6"/>
    <w:rsid w:val="00F51BD6"/>
    <w:rsid w:val="00F52660"/>
    <w:rsid w:val="00F52CA7"/>
    <w:rsid w:val="00F6057A"/>
    <w:rsid w:val="00F617D5"/>
    <w:rsid w:val="00F65C24"/>
    <w:rsid w:val="00F773D3"/>
    <w:rsid w:val="00F80696"/>
    <w:rsid w:val="00F85E76"/>
    <w:rsid w:val="00F86C6C"/>
    <w:rsid w:val="00F911A1"/>
    <w:rsid w:val="00F9155B"/>
    <w:rsid w:val="00F93B9A"/>
    <w:rsid w:val="00F95BD3"/>
    <w:rsid w:val="00F95E65"/>
    <w:rsid w:val="00F97843"/>
    <w:rsid w:val="00FA2980"/>
    <w:rsid w:val="00FA35A9"/>
    <w:rsid w:val="00FA556D"/>
    <w:rsid w:val="00FA5FA9"/>
    <w:rsid w:val="00FA79DB"/>
    <w:rsid w:val="00FB0343"/>
    <w:rsid w:val="00FB168E"/>
    <w:rsid w:val="00FB179A"/>
    <w:rsid w:val="00FB5356"/>
    <w:rsid w:val="00FB75D6"/>
    <w:rsid w:val="00FC0040"/>
    <w:rsid w:val="00FC0FB0"/>
    <w:rsid w:val="00FC2021"/>
    <w:rsid w:val="00FC2F1E"/>
    <w:rsid w:val="00FC3A85"/>
    <w:rsid w:val="00FC3DB0"/>
    <w:rsid w:val="00FC41AC"/>
    <w:rsid w:val="00FC5BD4"/>
    <w:rsid w:val="00FC6C7A"/>
    <w:rsid w:val="00FC70A2"/>
    <w:rsid w:val="00FC72BE"/>
    <w:rsid w:val="00FC7BC0"/>
    <w:rsid w:val="00FD1B0C"/>
    <w:rsid w:val="00FD2812"/>
    <w:rsid w:val="00FD2E8A"/>
    <w:rsid w:val="00FD45CA"/>
    <w:rsid w:val="00FD6A0C"/>
    <w:rsid w:val="00FE1669"/>
    <w:rsid w:val="00FE3406"/>
    <w:rsid w:val="00FF1DD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120E3B"/>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2735C0"/>
    <w:pPr>
      <w:outlineLvl w:val="0"/>
    </w:pPr>
    <w:rPr>
      <w:rFonts w:asciiTheme="majorHAnsi" w:hAnsiTheme="majorHAnsi" w:cstheme="majorHAnsi"/>
      <w:sz w:val="22"/>
      <w:szCs w:val="22"/>
    </w:rPr>
  </w:style>
  <w:style w:type="paragraph" w:styleId="Heading2">
    <w:name w:val="heading 2"/>
    <w:basedOn w:val="Normal"/>
    <w:next w:val="Normal"/>
    <w:link w:val="Heading2Char"/>
    <w:uiPriority w:val="9"/>
    <w:unhideWhenUsed/>
    <w:qFormat/>
    <w:rsid w:val="00B02B3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5F103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B1C"/>
    <w:pPr>
      <w:ind w:left="720"/>
      <w:contextualSpacing/>
    </w:pPr>
  </w:style>
  <w:style w:type="character" w:customStyle="1" w:styleId="Heading1Char">
    <w:name w:val="Heading 1 Char"/>
    <w:basedOn w:val="DefaultParagraphFont"/>
    <w:link w:val="Heading1"/>
    <w:uiPriority w:val="9"/>
    <w:rsid w:val="002735C0"/>
    <w:rPr>
      <w:rFonts w:asciiTheme="majorHAnsi" w:hAnsiTheme="majorHAnsi" w:cstheme="majorHAnsi"/>
      <w:sz w:val="22"/>
      <w:szCs w:val="22"/>
    </w:rPr>
  </w:style>
  <w:style w:type="character" w:customStyle="1" w:styleId="Heading2Char">
    <w:name w:val="Heading 2 Char"/>
    <w:basedOn w:val="DefaultParagraphFont"/>
    <w:link w:val="Heading2"/>
    <w:uiPriority w:val="9"/>
    <w:rsid w:val="00B02B30"/>
    <w:rPr>
      <w:rFonts w:asciiTheme="majorHAnsi" w:eastAsiaTheme="majorEastAsia" w:hAnsiTheme="majorHAnsi" w:cstheme="majorBidi"/>
      <w:b/>
      <w:bCs/>
      <w:color w:val="4F81BD" w:themeColor="accent1"/>
      <w:sz w:val="26"/>
      <w:szCs w:val="26"/>
    </w:rPr>
  </w:style>
  <w:style w:type="character" w:styleId="EndnoteReference">
    <w:name w:val="endnote reference"/>
    <w:basedOn w:val="DefaultParagraphFont"/>
    <w:uiPriority w:val="99"/>
    <w:semiHidden/>
    <w:unhideWhenUsed/>
    <w:rsid w:val="00B02B30"/>
    <w:rPr>
      <w:vertAlign w:val="superscript"/>
    </w:rPr>
  </w:style>
  <w:style w:type="character" w:styleId="Hyperlink">
    <w:name w:val="Hyperlink"/>
    <w:basedOn w:val="DefaultParagraphFont"/>
    <w:uiPriority w:val="99"/>
    <w:unhideWhenUsed/>
    <w:rsid w:val="00B02B30"/>
    <w:rPr>
      <w:color w:val="0000FF"/>
      <w:u w:val="single"/>
    </w:rPr>
  </w:style>
  <w:style w:type="paragraph" w:customStyle="1" w:styleId="EndNoteBibliography">
    <w:name w:val="EndNote Bibliography"/>
    <w:basedOn w:val="Normal"/>
    <w:link w:val="EndNoteBibliographyChar"/>
    <w:rsid w:val="00B02B30"/>
    <w:pPr>
      <w:spacing w:after="200"/>
    </w:pPr>
    <w:rPr>
      <w:rFonts w:ascii="Calibri" w:eastAsiaTheme="minorHAnsi" w:hAnsi="Calibri" w:cs="Calibri"/>
      <w:noProof/>
      <w:sz w:val="22"/>
      <w:szCs w:val="22"/>
      <w:lang w:val="en-US"/>
    </w:rPr>
  </w:style>
  <w:style w:type="character" w:customStyle="1" w:styleId="EndNoteBibliographyChar">
    <w:name w:val="EndNote Bibliography Char"/>
    <w:basedOn w:val="DefaultParagraphFont"/>
    <w:link w:val="EndNoteBibliography"/>
    <w:rsid w:val="00B02B30"/>
    <w:rPr>
      <w:rFonts w:ascii="Calibri" w:eastAsiaTheme="minorHAnsi" w:hAnsi="Calibri" w:cs="Calibri"/>
      <w:noProof/>
      <w:sz w:val="22"/>
      <w:szCs w:val="22"/>
      <w:lang w:val="en-US"/>
    </w:rPr>
  </w:style>
  <w:style w:type="character" w:styleId="Emphasis">
    <w:name w:val="Emphasis"/>
    <w:basedOn w:val="DefaultParagraphFont"/>
    <w:uiPriority w:val="20"/>
    <w:qFormat/>
    <w:rsid w:val="00B02B30"/>
    <w:rPr>
      <w:i/>
      <w:iCs/>
    </w:rPr>
  </w:style>
  <w:style w:type="paragraph" w:styleId="NoSpacing">
    <w:name w:val="No Spacing"/>
    <w:uiPriority w:val="1"/>
    <w:qFormat/>
    <w:rsid w:val="00B02B30"/>
    <w:rPr>
      <w:rFonts w:ascii="Calibri" w:eastAsiaTheme="minorHAnsi" w:hAnsi="Calibri" w:cs="Times New Roman"/>
      <w:sz w:val="22"/>
      <w:szCs w:val="22"/>
    </w:rPr>
  </w:style>
  <w:style w:type="character" w:customStyle="1" w:styleId="selectable">
    <w:name w:val="selectable"/>
    <w:basedOn w:val="DefaultParagraphFont"/>
    <w:rsid w:val="00B02B30"/>
  </w:style>
  <w:style w:type="paragraph" w:styleId="Subtitle">
    <w:name w:val="Subtitle"/>
    <w:basedOn w:val="Normal"/>
    <w:next w:val="Normal"/>
    <w:link w:val="SubtitleChar"/>
    <w:uiPriority w:val="11"/>
    <w:qFormat/>
    <w:rsid w:val="0043016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43016C"/>
    <w:rPr>
      <w:rFonts w:asciiTheme="majorHAnsi" w:eastAsiaTheme="majorEastAsia" w:hAnsiTheme="majorHAnsi" w:cstheme="majorBidi"/>
      <w:i/>
      <w:iCs/>
      <w:color w:val="4F81BD" w:themeColor="accent1"/>
      <w:spacing w:val="15"/>
    </w:rPr>
  </w:style>
  <w:style w:type="paragraph" w:styleId="Footer">
    <w:name w:val="footer"/>
    <w:basedOn w:val="Normal"/>
    <w:link w:val="FooterChar"/>
    <w:uiPriority w:val="99"/>
    <w:unhideWhenUsed/>
    <w:rsid w:val="00F86C6C"/>
    <w:pPr>
      <w:tabs>
        <w:tab w:val="center" w:pos="4320"/>
        <w:tab w:val="right" w:pos="8640"/>
      </w:tabs>
    </w:pPr>
  </w:style>
  <w:style w:type="character" w:customStyle="1" w:styleId="FooterChar">
    <w:name w:val="Footer Char"/>
    <w:basedOn w:val="DefaultParagraphFont"/>
    <w:link w:val="Footer"/>
    <w:uiPriority w:val="99"/>
    <w:rsid w:val="00F86C6C"/>
  </w:style>
  <w:style w:type="character" w:styleId="PageNumber">
    <w:name w:val="page number"/>
    <w:basedOn w:val="DefaultParagraphFont"/>
    <w:uiPriority w:val="99"/>
    <w:semiHidden/>
    <w:unhideWhenUsed/>
    <w:rsid w:val="00F86C6C"/>
  </w:style>
  <w:style w:type="paragraph" w:styleId="FootnoteText">
    <w:name w:val="footnote text"/>
    <w:basedOn w:val="Normal"/>
    <w:link w:val="FootnoteTextChar"/>
    <w:unhideWhenUsed/>
    <w:rsid w:val="00714228"/>
    <w:rPr>
      <w:sz w:val="20"/>
      <w:szCs w:val="20"/>
    </w:rPr>
  </w:style>
  <w:style w:type="character" w:customStyle="1" w:styleId="FootnoteTextChar">
    <w:name w:val="Footnote Text Char"/>
    <w:basedOn w:val="DefaultParagraphFont"/>
    <w:link w:val="FootnoteText"/>
    <w:rsid w:val="00714228"/>
    <w:rPr>
      <w:sz w:val="20"/>
      <w:szCs w:val="20"/>
    </w:rPr>
  </w:style>
  <w:style w:type="character" w:styleId="FootnoteReference">
    <w:name w:val="footnote reference"/>
    <w:basedOn w:val="DefaultParagraphFont"/>
    <w:unhideWhenUsed/>
    <w:rsid w:val="00714228"/>
    <w:rPr>
      <w:vertAlign w:val="superscript"/>
    </w:rPr>
  </w:style>
  <w:style w:type="paragraph" w:styleId="Caption">
    <w:name w:val="caption"/>
    <w:basedOn w:val="Normal"/>
    <w:next w:val="Normal"/>
    <w:uiPriority w:val="35"/>
    <w:unhideWhenUsed/>
    <w:qFormat/>
    <w:rsid w:val="009B7D97"/>
    <w:pPr>
      <w:spacing w:after="200"/>
    </w:pPr>
    <w:rPr>
      <w:rFonts w:eastAsiaTheme="minorHAnsi"/>
      <w:b/>
      <w:bCs/>
      <w:color w:val="4F81BD" w:themeColor="accent1"/>
      <w:sz w:val="18"/>
      <w:szCs w:val="18"/>
    </w:rPr>
  </w:style>
  <w:style w:type="paragraph" w:customStyle="1" w:styleId="Default">
    <w:name w:val="Default"/>
    <w:rsid w:val="00363A6B"/>
    <w:pPr>
      <w:widowControl w:val="0"/>
      <w:autoSpaceDE w:val="0"/>
      <w:autoSpaceDN w:val="0"/>
      <w:adjustRightInd w:val="0"/>
    </w:pPr>
    <w:rPr>
      <w:rFonts w:ascii="Calibri" w:hAnsi="Calibri" w:cs="Calibri"/>
      <w:color w:val="000000"/>
      <w:lang w:val="en-US"/>
    </w:rPr>
  </w:style>
  <w:style w:type="character" w:styleId="CommentReference">
    <w:name w:val="annotation reference"/>
    <w:basedOn w:val="DefaultParagraphFont"/>
    <w:uiPriority w:val="99"/>
    <w:semiHidden/>
    <w:unhideWhenUsed/>
    <w:rsid w:val="00BE5C69"/>
    <w:rPr>
      <w:sz w:val="16"/>
      <w:szCs w:val="16"/>
    </w:rPr>
  </w:style>
  <w:style w:type="paragraph" w:styleId="CommentText">
    <w:name w:val="annotation text"/>
    <w:basedOn w:val="Normal"/>
    <w:link w:val="CommentTextChar"/>
    <w:uiPriority w:val="99"/>
    <w:unhideWhenUsed/>
    <w:rsid w:val="00BE5C69"/>
    <w:rPr>
      <w:sz w:val="20"/>
      <w:szCs w:val="20"/>
    </w:rPr>
  </w:style>
  <w:style w:type="character" w:customStyle="1" w:styleId="CommentTextChar">
    <w:name w:val="Comment Text Char"/>
    <w:basedOn w:val="DefaultParagraphFont"/>
    <w:link w:val="CommentText"/>
    <w:uiPriority w:val="99"/>
    <w:rsid w:val="00BE5C69"/>
    <w:rPr>
      <w:sz w:val="20"/>
      <w:szCs w:val="20"/>
    </w:rPr>
  </w:style>
  <w:style w:type="paragraph" w:styleId="CommentSubject">
    <w:name w:val="annotation subject"/>
    <w:basedOn w:val="CommentText"/>
    <w:next w:val="CommentText"/>
    <w:link w:val="CommentSubjectChar"/>
    <w:uiPriority w:val="99"/>
    <w:semiHidden/>
    <w:unhideWhenUsed/>
    <w:rsid w:val="00BE5C69"/>
    <w:rPr>
      <w:b/>
      <w:bCs/>
    </w:rPr>
  </w:style>
  <w:style w:type="character" w:customStyle="1" w:styleId="CommentSubjectChar">
    <w:name w:val="Comment Subject Char"/>
    <w:basedOn w:val="CommentTextChar"/>
    <w:link w:val="CommentSubject"/>
    <w:uiPriority w:val="99"/>
    <w:semiHidden/>
    <w:rsid w:val="00BE5C69"/>
    <w:rPr>
      <w:b/>
      <w:bCs/>
      <w:sz w:val="20"/>
      <w:szCs w:val="20"/>
    </w:rPr>
  </w:style>
  <w:style w:type="paragraph" w:styleId="BalloonText">
    <w:name w:val="Balloon Text"/>
    <w:basedOn w:val="Normal"/>
    <w:link w:val="BalloonTextChar"/>
    <w:uiPriority w:val="99"/>
    <w:semiHidden/>
    <w:unhideWhenUsed/>
    <w:rsid w:val="00BE5C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5C69"/>
    <w:rPr>
      <w:rFonts w:ascii="Segoe UI" w:hAnsi="Segoe UI" w:cs="Segoe UI"/>
      <w:sz w:val="18"/>
      <w:szCs w:val="18"/>
    </w:rPr>
  </w:style>
  <w:style w:type="character" w:customStyle="1" w:styleId="UnresolvedMention1">
    <w:name w:val="Unresolved Mention1"/>
    <w:basedOn w:val="DefaultParagraphFont"/>
    <w:uiPriority w:val="99"/>
    <w:rsid w:val="002D591A"/>
    <w:rPr>
      <w:color w:val="605E5C"/>
      <w:shd w:val="clear" w:color="auto" w:fill="E1DFDD"/>
    </w:rPr>
  </w:style>
  <w:style w:type="paragraph" w:styleId="Header">
    <w:name w:val="header"/>
    <w:basedOn w:val="Normal"/>
    <w:link w:val="HeaderChar"/>
    <w:uiPriority w:val="99"/>
    <w:unhideWhenUsed/>
    <w:rsid w:val="003A0D48"/>
    <w:pPr>
      <w:tabs>
        <w:tab w:val="center" w:pos="4513"/>
        <w:tab w:val="right" w:pos="9026"/>
      </w:tabs>
    </w:pPr>
  </w:style>
  <w:style w:type="character" w:customStyle="1" w:styleId="HeaderChar">
    <w:name w:val="Header Char"/>
    <w:basedOn w:val="DefaultParagraphFont"/>
    <w:link w:val="Header"/>
    <w:uiPriority w:val="99"/>
    <w:rsid w:val="003A0D48"/>
  </w:style>
  <w:style w:type="paragraph" w:customStyle="1" w:styleId="nodeintro">
    <w:name w:val="node__intro"/>
    <w:basedOn w:val="Normal"/>
    <w:rsid w:val="00406467"/>
    <w:pPr>
      <w:spacing w:before="100" w:beforeAutospacing="1" w:after="100" w:afterAutospacing="1"/>
    </w:pPr>
    <w:rPr>
      <w:rFonts w:ascii="Times New Roman" w:eastAsia="Times New Roman" w:hAnsi="Times New Roman" w:cs="Times New Roman"/>
      <w:lang w:eastAsia="en-GB"/>
    </w:rPr>
  </w:style>
  <w:style w:type="character" w:styleId="FollowedHyperlink">
    <w:name w:val="FollowedHyperlink"/>
    <w:basedOn w:val="DefaultParagraphFont"/>
    <w:uiPriority w:val="99"/>
    <w:semiHidden/>
    <w:unhideWhenUsed/>
    <w:rsid w:val="00CD002A"/>
    <w:rPr>
      <w:color w:val="800080" w:themeColor="followedHyperlink"/>
      <w:u w:val="single"/>
    </w:rPr>
  </w:style>
  <w:style w:type="character" w:customStyle="1" w:styleId="authors">
    <w:name w:val="authors"/>
    <w:basedOn w:val="DefaultParagraphFont"/>
    <w:rsid w:val="005835F4"/>
  </w:style>
  <w:style w:type="character" w:customStyle="1" w:styleId="Date1">
    <w:name w:val="Date1"/>
    <w:basedOn w:val="DefaultParagraphFont"/>
    <w:rsid w:val="005835F4"/>
  </w:style>
  <w:style w:type="character" w:customStyle="1" w:styleId="arttitle">
    <w:name w:val="art_title"/>
    <w:basedOn w:val="DefaultParagraphFont"/>
    <w:rsid w:val="005835F4"/>
  </w:style>
  <w:style w:type="character" w:customStyle="1" w:styleId="serialtitle">
    <w:name w:val="serial_title"/>
    <w:basedOn w:val="DefaultParagraphFont"/>
    <w:rsid w:val="005835F4"/>
  </w:style>
  <w:style w:type="character" w:customStyle="1" w:styleId="volumeissue">
    <w:name w:val="volume_issue"/>
    <w:basedOn w:val="DefaultParagraphFont"/>
    <w:rsid w:val="005835F4"/>
  </w:style>
  <w:style w:type="character" w:customStyle="1" w:styleId="pagerange">
    <w:name w:val="page_range"/>
    <w:basedOn w:val="DefaultParagraphFont"/>
    <w:rsid w:val="005835F4"/>
  </w:style>
  <w:style w:type="character" w:customStyle="1" w:styleId="doilink">
    <w:name w:val="doi_link"/>
    <w:basedOn w:val="DefaultParagraphFont"/>
    <w:rsid w:val="005835F4"/>
  </w:style>
  <w:style w:type="character" w:customStyle="1" w:styleId="Heading4Char">
    <w:name w:val="Heading 4 Char"/>
    <w:basedOn w:val="DefaultParagraphFont"/>
    <w:link w:val="Heading4"/>
    <w:uiPriority w:val="9"/>
    <w:semiHidden/>
    <w:rsid w:val="005F103B"/>
    <w:rPr>
      <w:rFonts w:asciiTheme="majorHAnsi" w:eastAsiaTheme="majorEastAsia" w:hAnsiTheme="majorHAnsi" w:cstheme="majorBidi"/>
      <w:i/>
      <w:iCs/>
      <w:color w:val="365F91" w:themeColor="accent1" w:themeShade="BF"/>
    </w:rPr>
  </w:style>
  <w:style w:type="paragraph" w:styleId="Title">
    <w:name w:val="Title"/>
    <w:basedOn w:val="Normal"/>
    <w:next w:val="Normal"/>
    <w:link w:val="TitleChar"/>
    <w:uiPriority w:val="10"/>
    <w:qFormat/>
    <w:rsid w:val="00BF65C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65CF"/>
    <w:rPr>
      <w:rFonts w:asciiTheme="majorHAnsi" w:eastAsiaTheme="majorEastAsia" w:hAnsiTheme="majorHAnsi" w:cstheme="majorBidi"/>
      <w:spacing w:val="-10"/>
      <w:kern w:val="28"/>
      <w:sz w:val="56"/>
      <w:szCs w:val="56"/>
    </w:rPr>
  </w:style>
  <w:style w:type="table" w:styleId="TableGrid">
    <w:name w:val="Table Grid"/>
    <w:basedOn w:val="TableNormal"/>
    <w:uiPriority w:val="59"/>
    <w:rsid w:val="00AC5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rson">
    <w:name w:val="person"/>
    <w:basedOn w:val="DefaultParagraphFont"/>
    <w:rsid w:val="00F95E65"/>
  </w:style>
  <w:style w:type="character" w:customStyle="1" w:styleId="personname">
    <w:name w:val="person_name"/>
    <w:basedOn w:val="DefaultParagraphFont"/>
    <w:rsid w:val="00F95E65"/>
  </w:style>
  <w:style w:type="paragraph" w:styleId="Bibliography">
    <w:name w:val="Bibliography"/>
    <w:basedOn w:val="Normal"/>
    <w:next w:val="Normal"/>
    <w:uiPriority w:val="37"/>
    <w:unhideWhenUsed/>
    <w:rsid w:val="00142A3E"/>
  </w:style>
  <w:style w:type="character" w:customStyle="1" w:styleId="UnresolvedMention2">
    <w:name w:val="Unresolved Mention2"/>
    <w:basedOn w:val="DefaultParagraphFont"/>
    <w:uiPriority w:val="99"/>
    <w:semiHidden/>
    <w:unhideWhenUsed/>
    <w:rsid w:val="002C7CDE"/>
    <w:rPr>
      <w:color w:val="605E5C"/>
      <w:shd w:val="clear" w:color="auto" w:fill="E1DFDD"/>
    </w:rPr>
  </w:style>
  <w:style w:type="character" w:customStyle="1" w:styleId="Date2">
    <w:name w:val="Date2"/>
    <w:basedOn w:val="DefaultParagraphFont"/>
    <w:rsid w:val="00DB0398"/>
  </w:style>
  <w:style w:type="character" w:customStyle="1" w:styleId="orcid-id-https">
    <w:name w:val="orcid-id-https"/>
    <w:basedOn w:val="DefaultParagraphFont"/>
    <w:rsid w:val="00800FC5"/>
  </w:style>
  <w:style w:type="character" w:styleId="IntenseEmphasis">
    <w:name w:val="Intense Emphasis"/>
    <w:basedOn w:val="DefaultParagraphFont"/>
    <w:uiPriority w:val="21"/>
    <w:qFormat/>
    <w:rsid w:val="006340A9"/>
    <w:rPr>
      <w:i/>
      <w:iCs/>
      <w:color w:val="4F81BD" w:themeColor="accent1"/>
    </w:rPr>
  </w:style>
  <w:style w:type="character" w:customStyle="1" w:styleId="resulturldomain">
    <w:name w:val="result__url__domain"/>
    <w:basedOn w:val="DefaultParagraphFont"/>
    <w:rsid w:val="00A730F7"/>
  </w:style>
  <w:style w:type="character" w:customStyle="1" w:styleId="resulturlfull">
    <w:name w:val="result__url__full"/>
    <w:basedOn w:val="DefaultParagraphFont"/>
    <w:rsid w:val="00A730F7"/>
  </w:style>
  <w:style w:type="character" w:customStyle="1" w:styleId="UnresolvedMention3">
    <w:name w:val="Unresolved Mention3"/>
    <w:basedOn w:val="DefaultParagraphFont"/>
    <w:uiPriority w:val="99"/>
    <w:rsid w:val="009E5D5B"/>
    <w:rPr>
      <w:color w:val="605E5C"/>
      <w:shd w:val="clear" w:color="auto" w:fill="E1DFDD"/>
    </w:rPr>
  </w:style>
  <w:style w:type="paragraph" w:styleId="Revision">
    <w:name w:val="Revision"/>
    <w:hidden/>
    <w:uiPriority w:val="99"/>
    <w:semiHidden/>
    <w:rsid w:val="003F3565"/>
  </w:style>
  <w:style w:type="character" w:customStyle="1" w:styleId="pagefirst">
    <w:name w:val="pagefirst"/>
    <w:basedOn w:val="DefaultParagraphFont"/>
    <w:rsid w:val="00E575FF"/>
  </w:style>
  <w:style w:type="character" w:customStyle="1" w:styleId="pagelast">
    <w:name w:val="pagelast"/>
    <w:basedOn w:val="DefaultParagraphFont"/>
    <w:rsid w:val="00E575FF"/>
  </w:style>
  <w:style w:type="character" w:styleId="Strong">
    <w:name w:val="Strong"/>
    <w:basedOn w:val="DefaultParagraphFont"/>
    <w:uiPriority w:val="22"/>
    <w:qFormat/>
    <w:rsid w:val="009D2327"/>
    <w:rPr>
      <w:b/>
      <w:bCs/>
    </w:rPr>
  </w:style>
  <w:style w:type="paragraph" w:styleId="EndnoteText">
    <w:name w:val="endnote text"/>
    <w:basedOn w:val="Normal"/>
    <w:link w:val="EndnoteTextChar"/>
    <w:uiPriority w:val="99"/>
    <w:semiHidden/>
    <w:unhideWhenUsed/>
    <w:rsid w:val="007D368A"/>
  </w:style>
  <w:style w:type="character" w:customStyle="1" w:styleId="EndnoteTextChar">
    <w:name w:val="Endnote Text Char"/>
    <w:basedOn w:val="DefaultParagraphFont"/>
    <w:link w:val="EndnoteText"/>
    <w:uiPriority w:val="99"/>
    <w:semiHidden/>
    <w:rsid w:val="007D368A"/>
  </w:style>
  <w:style w:type="paragraph" w:styleId="DocumentMap">
    <w:name w:val="Document Map"/>
    <w:basedOn w:val="Normal"/>
    <w:link w:val="DocumentMapChar"/>
    <w:uiPriority w:val="99"/>
    <w:semiHidden/>
    <w:unhideWhenUsed/>
    <w:rsid w:val="00F93B9A"/>
    <w:rPr>
      <w:rFonts w:ascii="Times New Roman" w:hAnsi="Times New Roman" w:cs="Times New Roman"/>
    </w:rPr>
  </w:style>
  <w:style w:type="character" w:customStyle="1" w:styleId="DocumentMapChar">
    <w:name w:val="Document Map Char"/>
    <w:basedOn w:val="DefaultParagraphFont"/>
    <w:link w:val="DocumentMap"/>
    <w:uiPriority w:val="99"/>
    <w:semiHidden/>
    <w:rsid w:val="00F93B9A"/>
    <w:rPr>
      <w:rFonts w:ascii="Times New Roman" w:hAnsi="Times New Roman" w:cs="Times New Roman"/>
    </w:rPr>
  </w:style>
  <w:style w:type="character" w:customStyle="1" w:styleId="markktq75p1ht">
    <w:name w:val="markktq75p1ht"/>
    <w:basedOn w:val="DefaultParagraphFont"/>
    <w:rsid w:val="00743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16674">
      <w:bodyDiv w:val="1"/>
      <w:marLeft w:val="0"/>
      <w:marRight w:val="0"/>
      <w:marTop w:val="0"/>
      <w:marBottom w:val="0"/>
      <w:divBdr>
        <w:top w:val="none" w:sz="0" w:space="0" w:color="auto"/>
        <w:left w:val="none" w:sz="0" w:space="0" w:color="auto"/>
        <w:bottom w:val="none" w:sz="0" w:space="0" w:color="auto"/>
        <w:right w:val="none" w:sz="0" w:space="0" w:color="auto"/>
      </w:divBdr>
    </w:div>
    <w:div w:id="238103637">
      <w:bodyDiv w:val="1"/>
      <w:marLeft w:val="0"/>
      <w:marRight w:val="0"/>
      <w:marTop w:val="0"/>
      <w:marBottom w:val="0"/>
      <w:divBdr>
        <w:top w:val="none" w:sz="0" w:space="0" w:color="auto"/>
        <w:left w:val="none" w:sz="0" w:space="0" w:color="auto"/>
        <w:bottom w:val="none" w:sz="0" w:space="0" w:color="auto"/>
        <w:right w:val="none" w:sz="0" w:space="0" w:color="auto"/>
      </w:divBdr>
    </w:div>
    <w:div w:id="244650587">
      <w:bodyDiv w:val="1"/>
      <w:marLeft w:val="0"/>
      <w:marRight w:val="0"/>
      <w:marTop w:val="0"/>
      <w:marBottom w:val="0"/>
      <w:divBdr>
        <w:top w:val="none" w:sz="0" w:space="0" w:color="auto"/>
        <w:left w:val="none" w:sz="0" w:space="0" w:color="auto"/>
        <w:bottom w:val="none" w:sz="0" w:space="0" w:color="auto"/>
        <w:right w:val="none" w:sz="0" w:space="0" w:color="auto"/>
      </w:divBdr>
    </w:div>
    <w:div w:id="273876020">
      <w:bodyDiv w:val="1"/>
      <w:marLeft w:val="0"/>
      <w:marRight w:val="0"/>
      <w:marTop w:val="0"/>
      <w:marBottom w:val="0"/>
      <w:divBdr>
        <w:top w:val="none" w:sz="0" w:space="0" w:color="auto"/>
        <w:left w:val="none" w:sz="0" w:space="0" w:color="auto"/>
        <w:bottom w:val="none" w:sz="0" w:space="0" w:color="auto"/>
        <w:right w:val="none" w:sz="0" w:space="0" w:color="auto"/>
      </w:divBdr>
    </w:div>
    <w:div w:id="287855604">
      <w:bodyDiv w:val="1"/>
      <w:marLeft w:val="0"/>
      <w:marRight w:val="0"/>
      <w:marTop w:val="0"/>
      <w:marBottom w:val="0"/>
      <w:divBdr>
        <w:top w:val="none" w:sz="0" w:space="0" w:color="auto"/>
        <w:left w:val="none" w:sz="0" w:space="0" w:color="auto"/>
        <w:bottom w:val="none" w:sz="0" w:space="0" w:color="auto"/>
        <w:right w:val="none" w:sz="0" w:space="0" w:color="auto"/>
      </w:divBdr>
    </w:div>
    <w:div w:id="324355392">
      <w:bodyDiv w:val="1"/>
      <w:marLeft w:val="0"/>
      <w:marRight w:val="0"/>
      <w:marTop w:val="0"/>
      <w:marBottom w:val="0"/>
      <w:divBdr>
        <w:top w:val="none" w:sz="0" w:space="0" w:color="auto"/>
        <w:left w:val="none" w:sz="0" w:space="0" w:color="auto"/>
        <w:bottom w:val="none" w:sz="0" w:space="0" w:color="auto"/>
        <w:right w:val="none" w:sz="0" w:space="0" w:color="auto"/>
      </w:divBdr>
    </w:div>
    <w:div w:id="367797049">
      <w:bodyDiv w:val="1"/>
      <w:marLeft w:val="0"/>
      <w:marRight w:val="0"/>
      <w:marTop w:val="0"/>
      <w:marBottom w:val="0"/>
      <w:divBdr>
        <w:top w:val="none" w:sz="0" w:space="0" w:color="auto"/>
        <w:left w:val="none" w:sz="0" w:space="0" w:color="auto"/>
        <w:bottom w:val="none" w:sz="0" w:space="0" w:color="auto"/>
        <w:right w:val="none" w:sz="0" w:space="0" w:color="auto"/>
      </w:divBdr>
    </w:div>
    <w:div w:id="374431409">
      <w:bodyDiv w:val="1"/>
      <w:marLeft w:val="0"/>
      <w:marRight w:val="0"/>
      <w:marTop w:val="0"/>
      <w:marBottom w:val="0"/>
      <w:divBdr>
        <w:top w:val="none" w:sz="0" w:space="0" w:color="auto"/>
        <w:left w:val="none" w:sz="0" w:space="0" w:color="auto"/>
        <w:bottom w:val="none" w:sz="0" w:space="0" w:color="auto"/>
        <w:right w:val="none" w:sz="0" w:space="0" w:color="auto"/>
      </w:divBdr>
    </w:div>
    <w:div w:id="385421380">
      <w:bodyDiv w:val="1"/>
      <w:marLeft w:val="0"/>
      <w:marRight w:val="0"/>
      <w:marTop w:val="0"/>
      <w:marBottom w:val="0"/>
      <w:divBdr>
        <w:top w:val="none" w:sz="0" w:space="0" w:color="auto"/>
        <w:left w:val="none" w:sz="0" w:space="0" w:color="auto"/>
        <w:bottom w:val="none" w:sz="0" w:space="0" w:color="auto"/>
        <w:right w:val="none" w:sz="0" w:space="0" w:color="auto"/>
      </w:divBdr>
    </w:div>
    <w:div w:id="411465630">
      <w:bodyDiv w:val="1"/>
      <w:marLeft w:val="0"/>
      <w:marRight w:val="0"/>
      <w:marTop w:val="0"/>
      <w:marBottom w:val="0"/>
      <w:divBdr>
        <w:top w:val="none" w:sz="0" w:space="0" w:color="auto"/>
        <w:left w:val="none" w:sz="0" w:space="0" w:color="auto"/>
        <w:bottom w:val="none" w:sz="0" w:space="0" w:color="auto"/>
        <w:right w:val="none" w:sz="0" w:space="0" w:color="auto"/>
      </w:divBdr>
    </w:div>
    <w:div w:id="942155556">
      <w:bodyDiv w:val="1"/>
      <w:marLeft w:val="0"/>
      <w:marRight w:val="0"/>
      <w:marTop w:val="0"/>
      <w:marBottom w:val="0"/>
      <w:divBdr>
        <w:top w:val="none" w:sz="0" w:space="0" w:color="auto"/>
        <w:left w:val="none" w:sz="0" w:space="0" w:color="auto"/>
        <w:bottom w:val="none" w:sz="0" w:space="0" w:color="auto"/>
        <w:right w:val="none" w:sz="0" w:space="0" w:color="auto"/>
      </w:divBdr>
      <w:divsChild>
        <w:div w:id="708068285">
          <w:marLeft w:val="0"/>
          <w:marRight w:val="0"/>
          <w:marTop w:val="0"/>
          <w:marBottom w:val="0"/>
          <w:divBdr>
            <w:top w:val="none" w:sz="0" w:space="0" w:color="auto"/>
            <w:left w:val="none" w:sz="0" w:space="0" w:color="auto"/>
            <w:bottom w:val="none" w:sz="0" w:space="0" w:color="auto"/>
            <w:right w:val="none" w:sz="0" w:space="0" w:color="auto"/>
          </w:divBdr>
          <w:divsChild>
            <w:div w:id="1267347524">
              <w:marLeft w:val="0"/>
              <w:marRight w:val="0"/>
              <w:marTop w:val="0"/>
              <w:marBottom w:val="0"/>
              <w:divBdr>
                <w:top w:val="none" w:sz="0" w:space="0" w:color="auto"/>
                <w:left w:val="none" w:sz="0" w:space="0" w:color="auto"/>
                <w:bottom w:val="none" w:sz="0" w:space="0" w:color="auto"/>
                <w:right w:val="none" w:sz="0" w:space="0" w:color="auto"/>
              </w:divBdr>
            </w:div>
            <w:div w:id="996692555">
              <w:marLeft w:val="0"/>
              <w:marRight w:val="0"/>
              <w:marTop w:val="0"/>
              <w:marBottom w:val="0"/>
              <w:divBdr>
                <w:top w:val="none" w:sz="0" w:space="0" w:color="auto"/>
                <w:left w:val="none" w:sz="0" w:space="0" w:color="auto"/>
                <w:bottom w:val="none" w:sz="0" w:space="0" w:color="auto"/>
                <w:right w:val="none" w:sz="0" w:space="0" w:color="auto"/>
              </w:divBdr>
            </w:div>
          </w:divsChild>
        </w:div>
        <w:div w:id="1119107682">
          <w:marLeft w:val="0"/>
          <w:marRight w:val="0"/>
          <w:marTop w:val="0"/>
          <w:marBottom w:val="0"/>
          <w:divBdr>
            <w:top w:val="none" w:sz="0" w:space="0" w:color="auto"/>
            <w:left w:val="none" w:sz="0" w:space="0" w:color="auto"/>
            <w:bottom w:val="none" w:sz="0" w:space="0" w:color="auto"/>
            <w:right w:val="none" w:sz="0" w:space="0" w:color="auto"/>
          </w:divBdr>
        </w:div>
        <w:div w:id="1263222651">
          <w:marLeft w:val="0"/>
          <w:marRight w:val="0"/>
          <w:marTop w:val="0"/>
          <w:marBottom w:val="0"/>
          <w:divBdr>
            <w:top w:val="none" w:sz="0" w:space="0" w:color="auto"/>
            <w:left w:val="none" w:sz="0" w:space="0" w:color="auto"/>
            <w:bottom w:val="none" w:sz="0" w:space="0" w:color="auto"/>
            <w:right w:val="none" w:sz="0" w:space="0" w:color="auto"/>
          </w:divBdr>
        </w:div>
        <w:div w:id="1584948615">
          <w:marLeft w:val="0"/>
          <w:marRight w:val="0"/>
          <w:marTop w:val="0"/>
          <w:marBottom w:val="0"/>
          <w:divBdr>
            <w:top w:val="none" w:sz="0" w:space="0" w:color="auto"/>
            <w:left w:val="none" w:sz="0" w:space="0" w:color="auto"/>
            <w:bottom w:val="none" w:sz="0" w:space="0" w:color="auto"/>
            <w:right w:val="none" w:sz="0" w:space="0" w:color="auto"/>
          </w:divBdr>
        </w:div>
      </w:divsChild>
    </w:div>
    <w:div w:id="967202260">
      <w:bodyDiv w:val="1"/>
      <w:marLeft w:val="0"/>
      <w:marRight w:val="0"/>
      <w:marTop w:val="0"/>
      <w:marBottom w:val="0"/>
      <w:divBdr>
        <w:top w:val="none" w:sz="0" w:space="0" w:color="auto"/>
        <w:left w:val="none" w:sz="0" w:space="0" w:color="auto"/>
        <w:bottom w:val="none" w:sz="0" w:space="0" w:color="auto"/>
        <w:right w:val="none" w:sz="0" w:space="0" w:color="auto"/>
      </w:divBdr>
    </w:div>
    <w:div w:id="1202937544">
      <w:bodyDiv w:val="1"/>
      <w:marLeft w:val="0"/>
      <w:marRight w:val="0"/>
      <w:marTop w:val="0"/>
      <w:marBottom w:val="0"/>
      <w:divBdr>
        <w:top w:val="none" w:sz="0" w:space="0" w:color="auto"/>
        <w:left w:val="none" w:sz="0" w:space="0" w:color="auto"/>
        <w:bottom w:val="none" w:sz="0" w:space="0" w:color="auto"/>
        <w:right w:val="none" w:sz="0" w:space="0" w:color="auto"/>
      </w:divBdr>
    </w:div>
    <w:div w:id="1249195995">
      <w:bodyDiv w:val="1"/>
      <w:marLeft w:val="0"/>
      <w:marRight w:val="0"/>
      <w:marTop w:val="0"/>
      <w:marBottom w:val="0"/>
      <w:divBdr>
        <w:top w:val="none" w:sz="0" w:space="0" w:color="auto"/>
        <w:left w:val="none" w:sz="0" w:space="0" w:color="auto"/>
        <w:bottom w:val="none" w:sz="0" w:space="0" w:color="auto"/>
        <w:right w:val="none" w:sz="0" w:space="0" w:color="auto"/>
      </w:divBdr>
    </w:div>
    <w:div w:id="1298561984">
      <w:bodyDiv w:val="1"/>
      <w:marLeft w:val="0"/>
      <w:marRight w:val="0"/>
      <w:marTop w:val="0"/>
      <w:marBottom w:val="0"/>
      <w:divBdr>
        <w:top w:val="none" w:sz="0" w:space="0" w:color="auto"/>
        <w:left w:val="none" w:sz="0" w:space="0" w:color="auto"/>
        <w:bottom w:val="none" w:sz="0" w:space="0" w:color="auto"/>
        <w:right w:val="none" w:sz="0" w:space="0" w:color="auto"/>
      </w:divBdr>
      <w:divsChild>
        <w:div w:id="1256668875">
          <w:marLeft w:val="0"/>
          <w:marRight w:val="0"/>
          <w:marTop w:val="0"/>
          <w:marBottom w:val="0"/>
          <w:divBdr>
            <w:top w:val="none" w:sz="0" w:space="0" w:color="auto"/>
            <w:left w:val="none" w:sz="0" w:space="0" w:color="auto"/>
            <w:bottom w:val="none" w:sz="0" w:space="0" w:color="auto"/>
            <w:right w:val="none" w:sz="0" w:space="0" w:color="auto"/>
          </w:divBdr>
        </w:div>
        <w:div w:id="2107573647">
          <w:marLeft w:val="0"/>
          <w:marRight w:val="0"/>
          <w:marTop w:val="0"/>
          <w:marBottom w:val="0"/>
          <w:divBdr>
            <w:top w:val="none" w:sz="0" w:space="0" w:color="auto"/>
            <w:left w:val="none" w:sz="0" w:space="0" w:color="auto"/>
            <w:bottom w:val="none" w:sz="0" w:space="0" w:color="auto"/>
            <w:right w:val="none" w:sz="0" w:space="0" w:color="auto"/>
          </w:divBdr>
        </w:div>
      </w:divsChild>
    </w:div>
    <w:div w:id="1400178888">
      <w:bodyDiv w:val="1"/>
      <w:marLeft w:val="0"/>
      <w:marRight w:val="0"/>
      <w:marTop w:val="0"/>
      <w:marBottom w:val="0"/>
      <w:divBdr>
        <w:top w:val="none" w:sz="0" w:space="0" w:color="auto"/>
        <w:left w:val="none" w:sz="0" w:space="0" w:color="auto"/>
        <w:bottom w:val="none" w:sz="0" w:space="0" w:color="auto"/>
        <w:right w:val="none" w:sz="0" w:space="0" w:color="auto"/>
      </w:divBdr>
    </w:div>
    <w:div w:id="1544948307">
      <w:bodyDiv w:val="1"/>
      <w:marLeft w:val="0"/>
      <w:marRight w:val="0"/>
      <w:marTop w:val="0"/>
      <w:marBottom w:val="0"/>
      <w:divBdr>
        <w:top w:val="none" w:sz="0" w:space="0" w:color="auto"/>
        <w:left w:val="none" w:sz="0" w:space="0" w:color="auto"/>
        <w:bottom w:val="none" w:sz="0" w:space="0" w:color="auto"/>
        <w:right w:val="none" w:sz="0" w:space="0" w:color="auto"/>
      </w:divBdr>
    </w:div>
    <w:div w:id="1555237774">
      <w:bodyDiv w:val="1"/>
      <w:marLeft w:val="0"/>
      <w:marRight w:val="0"/>
      <w:marTop w:val="0"/>
      <w:marBottom w:val="0"/>
      <w:divBdr>
        <w:top w:val="none" w:sz="0" w:space="0" w:color="auto"/>
        <w:left w:val="none" w:sz="0" w:space="0" w:color="auto"/>
        <w:bottom w:val="none" w:sz="0" w:space="0" w:color="auto"/>
        <w:right w:val="none" w:sz="0" w:space="0" w:color="auto"/>
      </w:divBdr>
    </w:div>
    <w:div w:id="1674064180">
      <w:bodyDiv w:val="1"/>
      <w:marLeft w:val="0"/>
      <w:marRight w:val="0"/>
      <w:marTop w:val="0"/>
      <w:marBottom w:val="0"/>
      <w:divBdr>
        <w:top w:val="none" w:sz="0" w:space="0" w:color="auto"/>
        <w:left w:val="none" w:sz="0" w:space="0" w:color="auto"/>
        <w:bottom w:val="none" w:sz="0" w:space="0" w:color="auto"/>
        <w:right w:val="none" w:sz="0" w:space="0" w:color="auto"/>
      </w:divBdr>
    </w:div>
    <w:div w:id="1699692923">
      <w:bodyDiv w:val="1"/>
      <w:marLeft w:val="0"/>
      <w:marRight w:val="0"/>
      <w:marTop w:val="0"/>
      <w:marBottom w:val="0"/>
      <w:divBdr>
        <w:top w:val="none" w:sz="0" w:space="0" w:color="auto"/>
        <w:left w:val="none" w:sz="0" w:space="0" w:color="auto"/>
        <w:bottom w:val="none" w:sz="0" w:space="0" w:color="auto"/>
        <w:right w:val="none" w:sz="0" w:space="0" w:color="auto"/>
      </w:divBdr>
    </w:div>
    <w:div w:id="1939412255">
      <w:bodyDiv w:val="1"/>
      <w:marLeft w:val="0"/>
      <w:marRight w:val="0"/>
      <w:marTop w:val="0"/>
      <w:marBottom w:val="0"/>
      <w:divBdr>
        <w:top w:val="none" w:sz="0" w:space="0" w:color="auto"/>
        <w:left w:val="none" w:sz="0" w:space="0" w:color="auto"/>
        <w:bottom w:val="none" w:sz="0" w:space="0" w:color="auto"/>
        <w:right w:val="none" w:sz="0" w:space="0" w:color="auto"/>
      </w:divBdr>
      <w:divsChild>
        <w:div w:id="2143186835">
          <w:marLeft w:val="0"/>
          <w:marRight w:val="0"/>
          <w:marTop w:val="0"/>
          <w:marBottom w:val="0"/>
          <w:divBdr>
            <w:top w:val="none" w:sz="0" w:space="0" w:color="auto"/>
            <w:left w:val="none" w:sz="0" w:space="0" w:color="auto"/>
            <w:bottom w:val="none" w:sz="0" w:space="0" w:color="auto"/>
            <w:right w:val="none" w:sz="0" w:space="0" w:color="auto"/>
          </w:divBdr>
          <w:divsChild>
            <w:div w:id="1389183064">
              <w:marLeft w:val="0"/>
              <w:marRight w:val="0"/>
              <w:marTop w:val="0"/>
              <w:marBottom w:val="0"/>
              <w:divBdr>
                <w:top w:val="none" w:sz="0" w:space="0" w:color="auto"/>
                <w:left w:val="none" w:sz="0" w:space="0" w:color="auto"/>
                <w:bottom w:val="none" w:sz="0" w:space="0" w:color="auto"/>
                <w:right w:val="none" w:sz="0" w:space="0" w:color="auto"/>
              </w:divBdr>
              <w:divsChild>
                <w:div w:id="1997341682">
                  <w:marLeft w:val="-225"/>
                  <w:marRight w:val="-225"/>
                  <w:marTop w:val="0"/>
                  <w:marBottom w:val="0"/>
                  <w:divBdr>
                    <w:top w:val="none" w:sz="0" w:space="0" w:color="auto"/>
                    <w:left w:val="none" w:sz="0" w:space="0" w:color="auto"/>
                    <w:bottom w:val="none" w:sz="0" w:space="0" w:color="auto"/>
                    <w:right w:val="none" w:sz="0" w:space="0" w:color="auto"/>
                  </w:divBdr>
                  <w:divsChild>
                    <w:div w:id="154737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62941">
          <w:marLeft w:val="0"/>
          <w:marRight w:val="0"/>
          <w:marTop w:val="0"/>
          <w:marBottom w:val="0"/>
          <w:divBdr>
            <w:top w:val="none" w:sz="0" w:space="0" w:color="auto"/>
            <w:left w:val="none" w:sz="0" w:space="0" w:color="auto"/>
            <w:bottom w:val="none" w:sz="0" w:space="0" w:color="auto"/>
            <w:right w:val="none" w:sz="0" w:space="0" w:color="auto"/>
          </w:divBdr>
          <w:divsChild>
            <w:div w:id="476731478">
              <w:marLeft w:val="0"/>
              <w:marRight w:val="0"/>
              <w:marTop w:val="0"/>
              <w:marBottom w:val="0"/>
              <w:divBdr>
                <w:top w:val="none" w:sz="0" w:space="0" w:color="auto"/>
                <w:left w:val="none" w:sz="0" w:space="0" w:color="auto"/>
                <w:bottom w:val="none" w:sz="0" w:space="0" w:color="auto"/>
                <w:right w:val="none" w:sz="0" w:space="0" w:color="auto"/>
              </w:divBdr>
              <w:divsChild>
                <w:div w:id="1237321649">
                  <w:marLeft w:val="-225"/>
                  <w:marRight w:val="-225"/>
                  <w:marTop w:val="0"/>
                  <w:marBottom w:val="0"/>
                  <w:divBdr>
                    <w:top w:val="none" w:sz="0" w:space="0" w:color="auto"/>
                    <w:left w:val="none" w:sz="0" w:space="0" w:color="auto"/>
                    <w:bottom w:val="none" w:sz="0" w:space="0" w:color="auto"/>
                    <w:right w:val="none" w:sz="0" w:space="0" w:color="auto"/>
                  </w:divBdr>
                  <w:divsChild>
                    <w:div w:id="903757533">
                      <w:marLeft w:val="0"/>
                      <w:marRight w:val="0"/>
                      <w:marTop w:val="0"/>
                      <w:marBottom w:val="0"/>
                      <w:divBdr>
                        <w:top w:val="none" w:sz="0" w:space="0" w:color="auto"/>
                        <w:left w:val="none" w:sz="0" w:space="0" w:color="auto"/>
                        <w:bottom w:val="none" w:sz="0" w:space="0" w:color="auto"/>
                        <w:right w:val="none" w:sz="0" w:space="0" w:color="auto"/>
                      </w:divBdr>
                      <w:divsChild>
                        <w:div w:id="1955554826">
                          <w:marLeft w:val="-225"/>
                          <w:marRight w:val="-225"/>
                          <w:marTop w:val="0"/>
                          <w:marBottom w:val="0"/>
                          <w:divBdr>
                            <w:top w:val="none" w:sz="0" w:space="0" w:color="auto"/>
                            <w:left w:val="none" w:sz="0" w:space="0" w:color="auto"/>
                            <w:bottom w:val="none" w:sz="0" w:space="0" w:color="auto"/>
                            <w:right w:val="none" w:sz="0" w:space="0" w:color="auto"/>
                          </w:divBdr>
                          <w:divsChild>
                            <w:div w:id="741830226">
                              <w:marLeft w:val="0"/>
                              <w:marRight w:val="0"/>
                              <w:marTop w:val="0"/>
                              <w:marBottom w:val="0"/>
                              <w:divBdr>
                                <w:top w:val="none" w:sz="0" w:space="0" w:color="auto"/>
                                <w:left w:val="none" w:sz="0" w:space="0" w:color="auto"/>
                                <w:bottom w:val="none" w:sz="0" w:space="0" w:color="auto"/>
                                <w:right w:val="none" w:sz="0" w:space="0" w:color="auto"/>
                              </w:divBdr>
                              <w:divsChild>
                                <w:div w:id="198292451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557679">
      <w:bodyDiv w:val="1"/>
      <w:marLeft w:val="0"/>
      <w:marRight w:val="0"/>
      <w:marTop w:val="0"/>
      <w:marBottom w:val="0"/>
      <w:divBdr>
        <w:top w:val="none" w:sz="0" w:space="0" w:color="auto"/>
        <w:left w:val="none" w:sz="0" w:space="0" w:color="auto"/>
        <w:bottom w:val="none" w:sz="0" w:space="0" w:color="auto"/>
        <w:right w:val="none" w:sz="0" w:space="0" w:color="auto"/>
      </w:divBdr>
    </w:div>
    <w:div w:id="21453505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ah.royston@anglia.ac.u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02/eet.19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e.selby@sheffield.ac.uk" TargetMode="External"/><Relationship Id="rId4" Type="http://schemas.openxmlformats.org/officeDocument/2006/relationships/settings" Target="settings.xml"/><Relationship Id="rId9" Type="http://schemas.openxmlformats.org/officeDocument/2006/relationships/hyperlink" Target="https://orcid.org/0000-0002-6624-003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C5CDA-EE56-5748-B920-146533021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8553</Words>
  <Characters>50040</Characters>
  <Application>Microsoft Office Word</Application>
  <DocSecurity>0</DocSecurity>
  <Lines>820</Lines>
  <Paragraphs>197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2022-06-07T10:05:00Z</dcterms:created>
  <dcterms:modified xsi:type="dcterms:W3CDTF">2022-06-08T13:03:00Z</dcterms:modified>
</cp:coreProperties>
</file>