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405FE" w14:textId="67147019" w:rsidR="003D2939" w:rsidRPr="008E7F48" w:rsidRDefault="00D17E5A" w:rsidP="008E7F48">
      <w:pPr>
        <w:pStyle w:val="Title"/>
      </w:pPr>
      <w:r w:rsidRPr="008E7F48">
        <w:t>Pulse Oxi</w:t>
      </w:r>
      <w:r w:rsidR="006B4381" w:rsidRPr="008E7F48">
        <w:t xml:space="preserve">metry </w:t>
      </w:r>
      <w:r w:rsidR="00823544" w:rsidRPr="008E7F48">
        <w:t>in</w:t>
      </w:r>
      <w:r w:rsidR="00F63B89" w:rsidRPr="008E7F48">
        <w:t xml:space="preserve"> Prim</w:t>
      </w:r>
      <w:r w:rsidR="006B4381" w:rsidRPr="008E7F48">
        <w:t xml:space="preserve">ary Care: </w:t>
      </w:r>
      <w:r w:rsidR="00012210" w:rsidRPr="008E7F48">
        <w:t xml:space="preserve">Factors </w:t>
      </w:r>
      <w:r w:rsidR="001635D2" w:rsidRPr="008E7F48">
        <w:t>Affect</w:t>
      </w:r>
      <w:r w:rsidR="00012210" w:rsidRPr="008E7F48">
        <w:t xml:space="preserve">ing </w:t>
      </w:r>
      <w:r w:rsidR="001635D2" w:rsidRPr="008E7F48">
        <w:t>Accurac</w:t>
      </w:r>
      <w:r w:rsidR="00012210" w:rsidRPr="008E7F48">
        <w:t>y and Interpretation</w:t>
      </w:r>
    </w:p>
    <w:p w14:paraId="7496DE67" w14:textId="77777777" w:rsidR="00500CF5" w:rsidRDefault="00500CF5" w:rsidP="00C60614">
      <w:pPr>
        <w:spacing w:line="360" w:lineRule="auto"/>
        <w:rPr>
          <w:b/>
        </w:rPr>
      </w:pPr>
    </w:p>
    <w:p w14:paraId="4DA7CC89" w14:textId="395E87F3" w:rsidR="00CD63B0" w:rsidRPr="00C60614" w:rsidRDefault="00CD63B0" w:rsidP="00C60614">
      <w:pPr>
        <w:spacing w:line="360" w:lineRule="auto"/>
        <w:rPr>
          <w:b/>
        </w:rPr>
      </w:pPr>
      <w:r>
        <w:rPr>
          <w:b/>
        </w:rPr>
        <w:t>Key Points</w:t>
      </w:r>
    </w:p>
    <w:p w14:paraId="7F1D27D8" w14:textId="77777777" w:rsidR="00CD63B0" w:rsidRPr="008F3A56" w:rsidRDefault="00CD63B0" w:rsidP="00CD63B0">
      <w:pPr>
        <w:rPr>
          <w:b/>
        </w:rPr>
      </w:pPr>
    </w:p>
    <w:p w14:paraId="45FBD125" w14:textId="321AAAA1" w:rsidR="00CD63B0" w:rsidRPr="00CD63B0" w:rsidRDefault="00CD63B0" w:rsidP="00CD63B0">
      <w:pPr>
        <w:pStyle w:val="ListParagraph"/>
        <w:numPr>
          <w:ilvl w:val="0"/>
          <w:numId w:val="10"/>
        </w:numPr>
        <w:spacing w:line="480" w:lineRule="auto"/>
        <w:rPr>
          <w:sz w:val="18"/>
          <w:szCs w:val="18"/>
        </w:rPr>
      </w:pPr>
      <w:r w:rsidRPr="00CD63B0">
        <w:rPr>
          <w:sz w:val="24"/>
          <w:szCs w:val="24"/>
        </w:rPr>
        <w:t>Pulse oximetry is used to estimate and monitor the oxygen level (oxygen saturation) in the arterial circulation.</w:t>
      </w:r>
    </w:p>
    <w:p w14:paraId="702090FF" w14:textId="77777777" w:rsidR="00CD63B0" w:rsidRPr="00CD63B0" w:rsidRDefault="00CD63B0" w:rsidP="00CD63B0">
      <w:pPr>
        <w:pStyle w:val="ListParagraph"/>
        <w:numPr>
          <w:ilvl w:val="0"/>
          <w:numId w:val="10"/>
        </w:numPr>
        <w:spacing w:line="480" w:lineRule="auto"/>
        <w:rPr>
          <w:sz w:val="18"/>
          <w:szCs w:val="18"/>
        </w:rPr>
      </w:pPr>
      <w:r w:rsidRPr="00CD63B0">
        <w:rPr>
          <w:sz w:val="24"/>
          <w:szCs w:val="24"/>
        </w:rPr>
        <w:t>Pulse oximetry readings feature in many guidelines for the assessment and management of patients with respiratory symptoms and conditions.</w:t>
      </w:r>
    </w:p>
    <w:p w14:paraId="5BDD86F6" w14:textId="77777777" w:rsidR="00CD63B0" w:rsidRPr="00CD63B0" w:rsidRDefault="00CD63B0" w:rsidP="00CD63B0">
      <w:pPr>
        <w:pStyle w:val="ListParagraph"/>
        <w:numPr>
          <w:ilvl w:val="0"/>
          <w:numId w:val="10"/>
        </w:numPr>
        <w:spacing w:line="480" w:lineRule="auto"/>
        <w:rPr>
          <w:sz w:val="18"/>
          <w:szCs w:val="18"/>
        </w:rPr>
      </w:pPr>
      <w:r w:rsidRPr="00CD63B0">
        <w:rPr>
          <w:sz w:val="24"/>
          <w:szCs w:val="24"/>
        </w:rPr>
        <w:t>Clinicians should be aware of the factors that can adversely affect the accuracy and interpretation of oxygen saturation readings in their patients, especially when critical clinical decisions regarding the management of patients are based upon these readings.</w:t>
      </w:r>
    </w:p>
    <w:p w14:paraId="495A435F" w14:textId="77777777" w:rsidR="00CD63B0" w:rsidRPr="00CD63B0" w:rsidRDefault="00CD63B0" w:rsidP="00CD63B0">
      <w:pPr>
        <w:pStyle w:val="ListParagraph"/>
        <w:numPr>
          <w:ilvl w:val="0"/>
          <w:numId w:val="10"/>
        </w:numPr>
        <w:spacing w:line="480" w:lineRule="auto"/>
        <w:rPr>
          <w:sz w:val="18"/>
          <w:szCs w:val="18"/>
        </w:rPr>
      </w:pPr>
      <w:r w:rsidRPr="00CD63B0">
        <w:rPr>
          <w:sz w:val="24"/>
          <w:szCs w:val="24"/>
        </w:rPr>
        <w:t>Clinicians should use pulse oximeters that have been approved for medical use and should ensure that these devices are cleaned, maintained and checked for accuracy, regularly.</w:t>
      </w:r>
    </w:p>
    <w:p w14:paraId="73D85EC9" w14:textId="77777777" w:rsidR="00CD63B0" w:rsidRPr="00CD63B0" w:rsidRDefault="00CD63B0" w:rsidP="00CD63B0">
      <w:pPr>
        <w:pStyle w:val="ListParagraph"/>
        <w:numPr>
          <w:ilvl w:val="0"/>
          <w:numId w:val="10"/>
        </w:numPr>
        <w:spacing w:line="480" w:lineRule="auto"/>
        <w:rPr>
          <w:sz w:val="18"/>
          <w:szCs w:val="18"/>
        </w:rPr>
      </w:pPr>
      <w:r w:rsidRPr="00CD63B0">
        <w:rPr>
          <w:sz w:val="24"/>
          <w:szCs w:val="24"/>
        </w:rPr>
        <w:t>Clinicians should follow the guidelines that are available for performing pulse oximetry, in order to reduce the risk of sampling errors and the potential for these errors to result in incorrect clinical decisions being made.</w:t>
      </w:r>
    </w:p>
    <w:p w14:paraId="21A3CB35" w14:textId="4EB9345D" w:rsidR="00CD63B0" w:rsidRPr="00CD63B0" w:rsidRDefault="00CD63B0" w:rsidP="00CD63B0">
      <w:pPr>
        <w:pStyle w:val="ListParagraph"/>
        <w:numPr>
          <w:ilvl w:val="0"/>
          <w:numId w:val="10"/>
        </w:numPr>
        <w:spacing w:line="480" w:lineRule="auto"/>
        <w:rPr>
          <w:sz w:val="18"/>
          <w:szCs w:val="18"/>
        </w:rPr>
      </w:pPr>
      <w:r w:rsidRPr="00CD63B0">
        <w:rPr>
          <w:sz w:val="24"/>
          <w:szCs w:val="24"/>
        </w:rPr>
        <w:t>Oxygen saturation readings should be interpreted within the context of the patient, their history and the other clinical assessment findings, in addition to an appreciation of the limitations of pulse oximetry in clinical practice.</w:t>
      </w:r>
    </w:p>
    <w:p w14:paraId="23B764EE" w14:textId="77777777" w:rsidR="00CD63B0" w:rsidRDefault="00CD63B0" w:rsidP="00C60614">
      <w:pPr>
        <w:spacing w:line="360" w:lineRule="auto"/>
        <w:rPr>
          <w:b/>
        </w:rPr>
      </w:pPr>
    </w:p>
    <w:p w14:paraId="5ADEFC4B" w14:textId="77777777" w:rsidR="00500CF5" w:rsidRPr="008E7F48" w:rsidRDefault="00500CF5" w:rsidP="008E7F48">
      <w:pPr>
        <w:pStyle w:val="Heading1"/>
      </w:pPr>
      <w:r w:rsidRPr="008E7F48">
        <w:t>Introduction</w:t>
      </w:r>
    </w:p>
    <w:p w14:paraId="641DEA47" w14:textId="77777777" w:rsidR="0024544A" w:rsidRDefault="0024544A" w:rsidP="0091487C">
      <w:pPr>
        <w:spacing w:line="480" w:lineRule="auto"/>
      </w:pPr>
    </w:p>
    <w:p w14:paraId="7B5FF2C7" w14:textId="7BA0A5F2" w:rsidR="002B7B5A" w:rsidRPr="004A0057" w:rsidRDefault="001A1C89" w:rsidP="0091487C">
      <w:pPr>
        <w:spacing w:line="480" w:lineRule="auto"/>
      </w:pPr>
      <w:r>
        <w:t>T</w:t>
      </w:r>
      <w:r w:rsidR="006574BB">
        <w:t>he COVID-19 pandemic saw</w:t>
      </w:r>
      <w:r w:rsidR="0024544A">
        <w:t xml:space="preserve"> a rapid increase in the use of pulse oximetry devi</w:t>
      </w:r>
      <w:r w:rsidR="007E529B">
        <w:t>ces (POD’s) in primary care</w:t>
      </w:r>
      <w:r w:rsidR="0048426E">
        <w:t xml:space="preserve"> </w:t>
      </w:r>
      <w:r w:rsidR="0024544A">
        <w:t>to triage and monitor large numbe</w:t>
      </w:r>
      <w:r w:rsidR="007E529B">
        <w:t xml:space="preserve">rs of patients </w:t>
      </w:r>
      <w:r w:rsidR="00A601CA">
        <w:t xml:space="preserve">and </w:t>
      </w:r>
      <w:r w:rsidR="0048426E">
        <w:t xml:space="preserve">to help </w:t>
      </w:r>
      <w:r w:rsidR="00A601CA">
        <w:t>decide which patients required admission to hospital</w:t>
      </w:r>
      <w:r w:rsidR="0024544A">
        <w:t xml:space="preserve">. </w:t>
      </w:r>
      <w:r w:rsidR="0048426E">
        <w:t xml:space="preserve">In the UK, this included providing 300,000 POD’s to </w:t>
      </w:r>
      <w:r w:rsidR="0048426E">
        <w:lastRenderedPageBreak/>
        <w:t xml:space="preserve">patients as part </w:t>
      </w:r>
      <w:r w:rsidR="006574BB">
        <w:t xml:space="preserve">of the “Virtual ward” programme and </w:t>
      </w:r>
      <w:r w:rsidR="00340E57" w:rsidRPr="00C60614">
        <w:t>there have been</w:t>
      </w:r>
      <w:r w:rsidR="0097365F" w:rsidRPr="00C60614">
        <w:t xml:space="preserve"> </w:t>
      </w:r>
      <w:r w:rsidR="00127140" w:rsidRPr="00C60614">
        <w:t xml:space="preserve">calls to extend </w:t>
      </w:r>
      <w:r w:rsidR="00D63A6F" w:rsidRPr="00C60614">
        <w:t xml:space="preserve">the use </w:t>
      </w:r>
      <w:r w:rsidR="009B51F5" w:rsidRPr="00C60614">
        <w:t>remote monitoring to patients with other medical conditions.</w:t>
      </w:r>
      <w:r w:rsidR="006574BB">
        <w:rPr>
          <w:vertAlign w:val="superscript"/>
        </w:rPr>
        <w:t>1,</w:t>
      </w:r>
      <w:r w:rsidR="00517004" w:rsidRPr="00C60614">
        <w:rPr>
          <w:vertAlign w:val="superscript"/>
        </w:rPr>
        <w:t>2</w:t>
      </w:r>
      <w:r w:rsidR="00127140" w:rsidRPr="00C60614">
        <w:rPr>
          <w:vertAlign w:val="superscript"/>
        </w:rPr>
        <w:t>,</w:t>
      </w:r>
      <w:r w:rsidR="009C1E46" w:rsidRPr="00C60614">
        <w:rPr>
          <w:vertAlign w:val="superscript"/>
        </w:rPr>
        <w:t>3</w:t>
      </w:r>
      <w:r w:rsidR="005E5229" w:rsidRPr="00C60614">
        <w:t xml:space="preserve"> </w:t>
      </w:r>
      <w:r w:rsidR="002B7B5A" w:rsidRPr="00C60614">
        <w:t>However,</w:t>
      </w:r>
      <w:r w:rsidR="00CA60B3">
        <w:t xml:space="preserve"> </w:t>
      </w:r>
      <w:r w:rsidR="0048426E">
        <w:t>the increase</w:t>
      </w:r>
      <w:r w:rsidR="006574BB">
        <w:t xml:space="preserve">d </w:t>
      </w:r>
      <w:r w:rsidR="0048426E">
        <w:t xml:space="preserve">use </w:t>
      </w:r>
      <w:r w:rsidR="006574BB">
        <w:t xml:space="preserve">of </w:t>
      </w:r>
      <w:r w:rsidR="0048426E">
        <w:t>pulse oximetry has been accompanied by</w:t>
      </w:r>
      <w:r w:rsidR="00BF7F2A">
        <w:t xml:space="preserve"> growing concern over</w:t>
      </w:r>
      <w:r w:rsidR="008405DB" w:rsidRPr="00C60614">
        <w:t xml:space="preserve"> the potential for POD’s to produce inaccurate </w:t>
      </w:r>
      <w:bookmarkStart w:id="0" w:name="_Hlk89073966"/>
      <w:r w:rsidR="008405DB" w:rsidRPr="00C60614">
        <w:t xml:space="preserve">oxygen saturation </w:t>
      </w:r>
      <w:bookmarkEnd w:id="0"/>
      <w:r w:rsidR="008405DB" w:rsidRPr="00C60614">
        <w:t>(SpO</w:t>
      </w:r>
      <w:r w:rsidR="008405DB" w:rsidRPr="00C60614">
        <w:rPr>
          <w:vertAlign w:val="subscript"/>
        </w:rPr>
        <w:t>2</w:t>
      </w:r>
      <w:r w:rsidR="008405DB" w:rsidRPr="00C60614">
        <w:t>)</w:t>
      </w:r>
      <w:r w:rsidR="001F26D8" w:rsidRPr="00C60614">
        <w:t xml:space="preserve"> readings</w:t>
      </w:r>
      <w:r w:rsidR="003A1B63">
        <w:t xml:space="preserve"> and the </w:t>
      </w:r>
      <w:r w:rsidR="00CA60B3">
        <w:t xml:space="preserve">effect that this could have on </w:t>
      </w:r>
      <w:r w:rsidR="00143D6F">
        <w:t xml:space="preserve">critical </w:t>
      </w:r>
      <w:r w:rsidR="00B6253B">
        <w:t>decisions regarding</w:t>
      </w:r>
      <w:r w:rsidR="00CA60B3">
        <w:t xml:space="preserve"> the management of patients</w:t>
      </w:r>
      <w:r w:rsidR="003A1B63">
        <w:t xml:space="preserve">. </w:t>
      </w:r>
      <w:r w:rsidR="004A0057">
        <w:t>This article discusses the factors that can lead to inaccurate SpO</w:t>
      </w:r>
      <w:r w:rsidR="004A0057">
        <w:rPr>
          <w:vertAlign w:val="subscript"/>
        </w:rPr>
        <w:t xml:space="preserve">2 </w:t>
      </w:r>
      <w:r w:rsidR="004A0057">
        <w:t>readings and the implications that this could have for both GP’s and patients.</w:t>
      </w:r>
    </w:p>
    <w:p w14:paraId="6BEC7122" w14:textId="77777777" w:rsidR="003D67D5" w:rsidRPr="00C60614" w:rsidRDefault="003D67D5" w:rsidP="00C60614">
      <w:pPr>
        <w:spacing w:line="360" w:lineRule="auto"/>
      </w:pPr>
    </w:p>
    <w:p w14:paraId="76854AB0" w14:textId="5529BA0C" w:rsidR="001D1C6C" w:rsidRPr="00C60614" w:rsidRDefault="005E30B9" w:rsidP="008E7F48">
      <w:pPr>
        <w:pStyle w:val="Heading1"/>
      </w:pPr>
      <w:r w:rsidRPr="00C60614">
        <w:t xml:space="preserve">The accuracy of </w:t>
      </w:r>
      <w:r w:rsidR="000A5C82" w:rsidRPr="00C60614">
        <w:t>POD’s</w:t>
      </w:r>
      <w:r w:rsidR="00034341" w:rsidRPr="00C60614">
        <w:t xml:space="preserve"> </w:t>
      </w:r>
    </w:p>
    <w:p w14:paraId="13AC72D9" w14:textId="77777777" w:rsidR="00931258" w:rsidRDefault="00931258" w:rsidP="000C649C">
      <w:pPr>
        <w:spacing w:line="480" w:lineRule="auto"/>
      </w:pPr>
    </w:p>
    <w:p w14:paraId="234DF940" w14:textId="71244576" w:rsidR="00CA0F32" w:rsidRDefault="00931258" w:rsidP="00CA0F32">
      <w:pPr>
        <w:tabs>
          <w:tab w:val="left" w:pos="2125"/>
        </w:tabs>
        <w:spacing w:line="480" w:lineRule="auto"/>
      </w:pPr>
      <w:r>
        <w:t xml:space="preserve">In early 2021, both the Food and Drug Administration (FDA) and the </w:t>
      </w:r>
      <w:r>
        <w:rPr>
          <w:rFonts w:eastAsia="Times New Roman"/>
          <w:color w:val="333333"/>
          <w:shd w:val="clear" w:color="auto" w:fill="FFFFFF"/>
        </w:rPr>
        <w:t>Medicines and Healthcare products Agency (MHRA) issued safety communications regarding the potential for POD’s to produce inaccurate readings.</w:t>
      </w:r>
      <w:r>
        <w:rPr>
          <w:rFonts w:eastAsia="Times New Roman"/>
          <w:color w:val="333333"/>
          <w:shd w:val="clear" w:color="auto" w:fill="FFFFFF"/>
          <w:vertAlign w:val="superscript"/>
        </w:rPr>
        <w:t>4,5</w:t>
      </w:r>
      <w:r>
        <w:rPr>
          <w:rFonts w:eastAsia="Times New Roman"/>
          <w:color w:val="333333"/>
          <w:shd w:val="clear" w:color="auto" w:fill="FFFFFF"/>
        </w:rPr>
        <w:t xml:space="preserve"> The FDA’s assessment of the situation is well-balanced and worth noting:</w:t>
      </w:r>
      <w:r w:rsidRPr="00C60614">
        <w:rPr>
          <w:rFonts w:eastAsia="Times New Roman"/>
          <w:color w:val="333333"/>
          <w:shd w:val="clear" w:color="auto" w:fill="FFFFFF"/>
        </w:rPr>
        <w:t xml:space="preserve"> “Pulse oximeters have limitations and a risk of inaccuracy under certain circumstances. In many cases, the level of inaccuracy may be small and not clinically meaningful; however, there is a risk that an inaccurate measurement may result in unrecognised low oxygen saturation levels. Therefore, it is important to understand the limitations of pulse oximetry and how accuracy is calculated and interpreted.”</w:t>
      </w:r>
      <w:r>
        <w:rPr>
          <w:rFonts w:eastAsia="Times New Roman"/>
          <w:color w:val="333333"/>
          <w:shd w:val="clear" w:color="auto" w:fill="FFFFFF"/>
          <w:vertAlign w:val="superscript"/>
        </w:rPr>
        <w:t>4</w:t>
      </w:r>
      <w:r>
        <w:rPr>
          <w:rFonts w:eastAsia="Times New Roman"/>
        </w:rPr>
        <w:t xml:space="preserve"> </w:t>
      </w:r>
      <w:r w:rsidR="00C76F0E">
        <w:t>The accuracy of a POD is measured by comparing the</w:t>
      </w:r>
      <w:r w:rsidR="00A5458B">
        <w:t xml:space="preserve"> </w:t>
      </w:r>
      <w:r w:rsidR="00C76F0E">
        <w:t>SpO</w:t>
      </w:r>
      <w:r w:rsidR="00C76F0E">
        <w:rPr>
          <w:vertAlign w:val="subscript"/>
        </w:rPr>
        <w:t>2</w:t>
      </w:r>
      <w:r w:rsidR="00A5458B">
        <w:t xml:space="preserve"> reading</w:t>
      </w:r>
      <w:r w:rsidR="00C76F0E">
        <w:t xml:space="preserve"> to the arterial </w:t>
      </w:r>
      <w:r w:rsidR="00A5458B">
        <w:t xml:space="preserve">blood gas </w:t>
      </w:r>
      <w:r w:rsidR="00C76F0E">
        <w:t>oxygen saturation (SaO</w:t>
      </w:r>
      <w:r w:rsidR="00C76F0E">
        <w:rPr>
          <w:vertAlign w:val="subscript"/>
        </w:rPr>
        <w:t>2</w:t>
      </w:r>
      <w:r w:rsidR="00A5458B">
        <w:t>) reading</w:t>
      </w:r>
      <w:r w:rsidR="00C76F0E">
        <w:t>, across the range of SpO</w:t>
      </w:r>
      <w:r w:rsidR="00C76F0E">
        <w:rPr>
          <w:vertAlign w:val="subscript"/>
        </w:rPr>
        <w:t>2</w:t>
      </w:r>
      <w:r w:rsidR="00A5458B">
        <w:t xml:space="preserve"> values from</w:t>
      </w:r>
      <w:r w:rsidR="00C76F0E">
        <w:t xml:space="preserve"> 70-100%. Most manufacturers declare an accuracy of </w:t>
      </w:r>
      <w:r w:rsidR="00A5458B">
        <w:t>+/-</w:t>
      </w:r>
      <w:r w:rsidR="00C76F0E">
        <w:t>2-3% over that range. T</w:t>
      </w:r>
      <w:r w:rsidR="00C76F0E" w:rsidRPr="00C315A5">
        <w:rPr>
          <w:rFonts w:eastAsia="Times New Roman"/>
          <w:color w:val="333333"/>
          <w:shd w:val="clear" w:color="auto" w:fill="FFFFFF"/>
        </w:rPr>
        <w:t>he typical accuracy (reported as Accuracy Root Mean Square or A</w:t>
      </w:r>
      <w:r w:rsidR="00C76F0E" w:rsidRPr="00C315A5">
        <w:rPr>
          <w:rFonts w:eastAsia="Times New Roman"/>
          <w:color w:val="333333"/>
          <w:shd w:val="clear" w:color="auto" w:fill="FFFFFF"/>
          <w:vertAlign w:val="subscript"/>
        </w:rPr>
        <w:t>rms</w:t>
      </w:r>
      <w:r w:rsidR="00C76F0E" w:rsidRPr="00C315A5">
        <w:rPr>
          <w:rFonts w:eastAsia="Times New Roman"/>
          <w:color w:val="333333"/>
          <w:shd w:val="clear" w:color="auto" w:fill="FFFFFF"/>
        </w:rPr>
        <w:t>) of recently FDA-cleared</w:t>
      </w:r>
      <w:r w:rsidR="00A5458B">
        <w:rPr>
          <w:rFonts w:eastAsia="Times New Roman"/>
          <w:color w:val="333333"/>
          <w:shd w:val="clear" w:color="auto" w:fill="FFFFFF"/>
        </w:rPr>
        <w:t xml:space="preserve"> pulse oximeters is +/-</w:t>
      </w:r>
      <w:r w:rsidR="00C76F0E">
        <w:rPr>
          <w:rFonts w:eastAsia="Times New Roman"/>
          <w:color w:val="333333"/>
          <w:shd w:val="clear" w:color="auto" w:fill="FFFFFF"/>
        </w:rPr>
        <w:t>2-3% of the SaO</w:t>
      </w:r>
      <w:r w:rsidR="00C76F0E">
        <w:rPr>
          <w:rFonts w:eastAsia="Times New Roman"/>
          <w:color w:val="333333"/>
          <w:shd w:val="clear" w:color="auto" w:fill="FFFFFF"/>
          <w:vertAlign w:val="subscript"/>
        </w:rPr>
        <w:t>2</w:t>
      </w:r>
      <w:r w:rsidR="00C76F0E">
        <w:rPr>
          <w:rFonts w:eastAsia="Times New Roman"/>
          <w:color w:val="333333"/>
          <w:shd w:val="clear" w:color="auto" w:fill="FFFFFF"/>
        </w:rPr>
        <w:t xml:space="preserve">, whilst the MHRA states that </w:t>
      </w:r>
      <w:r w:rsidR="00C76F0E">
        <w:rPr>
          <w:rFonts w:eastAsia="Times New Roman"/>
          <w:color w:val="0B0C0C"/>
          <w:shd w:val="clear" w:color="auto" w:fill="FFFFFF"/>
        </w:rPr>
        <w:t>the A</w:t>
      </w:r>
      <w:r w:rsidR="00C76F0E">
        <w:rPr>
          <w:rFonts w:eastAsia="Times New Roman"/>
          <w:color w:val="0B0C0C"/>
          <w:shd w:val="clear" w:color="auto" w:fill="FFFFFF"/>
          <w:vertAlign w:val="subscript"/>
        </w:rPr>
        <w:t>rms</w:t>
      </w:r>
      <w:r w:rsidR="00C76F0E">
        <w:rPr>
          <w:rFonts w:eastAsia="Times New Roman"/>
          <w:color w:val="0B0C0C"/>
          <w:shd w:val="clear" w:color="auto" w:fill="FFFFFF"/>
        </w:rPr>
        <w:t xml:space="preserve"> must be &lt;4%</w:t>
      </w:r>
      <w:r w:rsidR="00A5458B">
        <w:rPr>
          <w:rFonts w:eastAsia="Times New Roman"/>
          <w:color w:val="0B0C0C"/>
          <w:shd w:val="clear" w:color="auto" w:fill="FFFFFF"/>
        </w:rPr>
        <w:t>.</w:t>
      </w:r>
      <w:r w:rsidR="00C76F0E">
        <w:rPr>
          <w:rFonts w:eastAsia="Times New Roman"/>
          <w:color w:val="0B0C0C"/>
          <w:shd w:val="clear" w:color="auto" w:fill="FFFFFF"/>
          <w:vertAlign w:val="superscript"/>
        </w:rPr>
        <w:t>4,5</w:t>
      </w:r>
      <w:r w:rsidR="00C76F0E">
        <w:rPr>
          <w:rFonts w:eastAsia="Times New Roman"/>
          <w:vertAlign w:val="superscript"/>
        </w:rPr>
        <w:t xml:space="preserve"> </w:t>
      </w:r>
      <w:r w:rsidR="00C76F0E">
        <w:rPr>
          <w:rFonts w:eastAsia="Times New Roman"/>
        </w:rPr>
        <w:t>However, the A</w:t>
      </w:r>
      <w:r w:rsidR="00C76F0E">
        <w:rPr>
          <w:rFonts w:eastAsia="Times New Roman"/>
          <w:vertAlign w:val="subscript"/>
        </w:rPr>
        <w:t>rms</w:t>
      </w:r>
      <w:r w:rsidR="00A5458B">
        <w:rPr>
          <w:rFonts w:eastAsia="Times New Roman"/>
        </w:rPr>
        <w:t xml:space="preserve"> is a</w:t>
      </w:r>
      <w:r w:rsidR="00C76F0E">
        <w:rPr>
          <w:rFonts w:eastAsia="Times New Roman"/>
        </w:rPr>
        <w:t xml:space="preserve"> mean value, so for POD’s that are FDA-cleared t</w:t>
      </w:r>
      <w:r w:rsidR="00C76F0E" w:rsidRPr="00156325">
        <w:rPr>
          <w:rFonts w:eastAsia="Times New Roman"/>
          <w:color w:val="333333"/>
          <w:shd w:val="clear" w:color="auto" w:fill="FFFFFF"/>
        </w:rPr>
        <w:t xml:space="preserve">his generally means that </w:t>
      </w:r>
      <w:r w:rsidR="00A5458B">
        <w:rPr>
          <w:rFonts w:eastAsia="Times New Roman"/>
          <w:color w:val="333333"/>
          <w:shd w:val="clear" w:color="auto" w:fill="FFFFFF"/>
        </w:rPr>
        <w:t xml:space="preserve">during testing </w:t>
      </w:r>
      <w:r w:rsidR="00C76F0E" w:rsidRPr="00156325">
        <w:rPr>
          <w:rFonts w:eastAsia="Times New Roman"/>
          <w:color w:val="333333"/>
          <w:shd w:val="clear" w:color="auto" w:fill="FFFFFF"/>
        </w:rPr>
        <w:t>about 66% of SpO</w:t>
      </w:r>
      <w:r w:rsidR="00C76F0E" w:rsidRPr="00156325">
        <w:rPr>
          <w:rFonts w:eastAsia="Times New Roman"/>
          <w:color w:val="333333"/>
          <w:shd w:val="clear" w:color="auto" w:fill="FFFFFF"/>
          <w:vertAlign w:val="subscript"/>
        </w:rPr>
        <w:t>2</w:t>
      </w:r>
      <w:r w:rsidR="00C76F0E">
        <w:rPr>
          <w:rFonts w:eastAsia="Times New Roman"/>
          <w:color w:val="333333"/>
          <w:shd w:val="clear" w:color="auto" w:fill="FFFFFF"/>
        </w:rPr>
        <w:t xml:space="preserve"> values </w:t>
      </w:r>
      <w:r w:rsidR="00A5458B">
        <w:rPr>
          <w:rFonts w:eastAsia="Times New Roman"/>
          <w:color w:val="333333"/>
          <w:shd w:val="clear" w:color="auto" w:fill="FFFFFF"/>
        </w:rPr>
        <w:t>were +/-</w:t>
      </w:r>
      <w:r w:rsidR="00C76F0E">
        <w:rPr>
          <w:rFonts w:eastAsia="Times New Roman"/>
          <w:color w:val="333333"/>
          <w:shd w:val="clear" w:color="auto" w:fill="FFFFFF"/>
        </w:rPr>
        <w:t>2-3% of the SaO</w:t>
      </w:r>
      <w:r w:rsidR="00C76F0E">
        <w:rPr>
          <w:rFonts w:eastAsia="Times New Roman"/>
          <w:color w:val="333333"/>
          <w:shd w:val="clear" w:color="auto" w:fill="FFFFFF"/>
          <w:vertAlign w:val="subscript"/>
        </w:rPr>
        <w:t>2</w:t>
      </w:r>
      <w:r w:rsidR="00C76F0E" w:rsidRPr="00156325">
        <w:rPr>
          <w:rFonts w:eastAsia="Times New Roman"/>
          <w:color w:val="333333"/>
          <w:shd w:val="clear" w:color="auto" w:fill="FFFFFF"/>
        </w:rPr>
        <w:t xml:space="preserve"> and about 95%</w:t>
      </w:r>
      <w:r w:rsidR="00A5458B">
        <w:rPr>
          <w:rFonts w:eastAsia="Times New Roman"/>
          <w:color w:val="333333"/>
          <w:shd w:val="clear" w:color="auto" w:fill="FFFFFF"/>
        </w:rPr>
        <w:t xml:space="preserve"> were +/-</w:t>
      </w:r>
      <w:r w:rsidR="00C76F0E">
        <w:rPr>
          <w:rFonts w:eastAsia="Times New Roman"/>
          <w:color w:val="333333"/>
          <w:shd w:val="clear" w:color="auto" w:fill="FFFFFF"/>
        </w:rPr>
        <w:t>4-</w:t>
      </w:r>
      <w:r w:rsidR="00C76F0E" w:rsidRPr="00156325">
        <w:rPr>
          <w:rFonts w:eastAsia="Times New Roman"/>
          <w:color w:val="333333"/>
          <w:shd w:val="clear" w:color="auto" w:fill="FFFFFF"/>
        </w:rPr>
        <w:t>6%</w:t>
      </w:r>
      <w:r w:rsidR="00A5458B">
        <w:rPr>
          <w:rFonts w:eastAsia="Times New Roman"/>
          <w:color w:val="333333"/>
          <w:shd w:val="clear" w:color="auto" w:fill="FFFFFF"/>
        </w:rPr>
        <w:t>. This means</w:t>
      </w:r>
      <w:r w:rsidR="00C76F0E">
        <w:rPr>
          <w:rFonts w:eastAsia="Times New Roman"/>
          <w:color w:val="333333"/>
          <w:shd w:val="clear" w:color="auto" w:fill="FFFFFF"/>
        </w:rPr>
        <w:t xml:space="preserve"> that if the </w:t>
      </w:r>
      <w:r w:rsidR="00C76F0E">
        <w:rPr>
          <w:rStyle w:val="Strong"/>
          <w:rFonts w:eastAsia="Times New Roman"/>
          <w:b w:val="0"/>
          <w:color w:val="333333"/>
          <w:shd w:val="clear" w:color="auto" w:fill="FFFFFF"/>
        </w:rPr>
        <w:t>SpO</w:t>
      </w:r>
      <w:r w:rsidR="00C76F0E">
        <w:rPr>
          <w:rStyle w:val="Strong"/>
          <w:rFonts w:eastAsia="Times New Roman"/>
          <w:b w:val="0"/>
          <w:color w:val="333333"/>
          <w:shd w:val="clear" w:color="auto" w:fill="FFFFFF"/>
          <w:vertAlign w:val="subscript"/>
        </w:rPr>
        <w:t>2</w:t>
      </w:r>
      <w:r w:rsidR="00A5458B">
        <w:rPr>
          <w:rStyle w:val="Strong"/>
          <w:rFonts w:eastAsia="Times New Roman"/>
          <w:b w:val="0"/>
          <w:color w:val="333333"/>
          <w:shd w:val="clear" w:color="auto" w:fill="FFFFFF"/>
        </w:rPr>
        <w:t xml:space="preserve"> reading wa</w:t>
      </w:r>
      <w:r w:rsidR="00C76F0E">
        <w:rPr>
          <w:rStyle w:val="Strong"/>
          <w:rFonts w:eastAsia="Times New Roman"/>
          <w:b w:val="0"/>
          <w:color w:val="333333"/>
          <w:shd w:val="clear" w:color="auto" w:fill="FFFFFF"/>
        </w:rPr>
        <w:t>s</w:t>
      </w:r>
      <w:r w:rsidR="00C76F0E" w:rsidRPr="00156325">
        <w:rPr>
          <w:rStyle w:val="Strong"/>
          <w:rFonts w:eastAsia="Times New Roman"/>
          <w:b w:val="0"/>
          <w:color w:val="333333"/>
          <w:shd w:val="clear" w:color="auto" w:fill="FFFFFF"/>
        </w:rPr>
        <w:t xml:space="preserve"> 90%,</w:t>
      </w:r>
      <w:r w:rsidR="00C76F0E">
        <w:rPr>
          <w:rStyle w:val="Strong"/>
          <w:rFonts w:eastAsia="Times New Roman"/>
          <w:b w:val="0"/>
          <w:color w:val="333333"/>
          <w:shd w:val="clear" w:color="auto" w:fill="FFFFFF"/>
        </w:rPr>
        <w:t xml:space="preserve"> then the SaO</w:t>
      </w:r>
      <w:r w:rsidR="00C76F0E">
        <w:rPr>
          <w:rStyle w:val="Strong"/>
          <w:rFonts w:eastAsia="Times New Roman"/>
          <w:b w:val="0"/>
          <w:color w:val="333333"/>
          <w:shd w:val="clear" w:color="auto" w:fill="FFFFFF"/>
          <w:vertAlign w:val="subscript"/>
        </w:rPr>
        <w:t>2</w:t>
      </w:r>
      <w:r w:rsidR="00C76F0E">
        <w:rPr>
          <w:rStyle w:val="Strong"/>
          <w:rFonts w:eastAsia="Times New Roman"/>
          <w:b w:val="0"/>
          <w:color w:val="333333"/>
          <w:shd w:val="clear" w:color="auto" w:fill="FFFFFF"/>
        </w:rPr>
        <w:t xml:space="preserve"> </w:t>
      </w:r>
      <w:r w:rsidR="00A5458B">
        <w:rPr>
          <w:rStyle w:val="Strong"/>
          <w:rFonts w:eastAsia="Times New Roman"/>
          <w:b w:val="0"/>
          <w:color w:val="333333"/>
          <w:shd w:val="clear" w:color="auto" w:fill="FFFFFF"/>
        </w:rPr>
        <w:t xml:space="preserve">was generally </w:t>
      </w:r>
      <w:r w:rsidR="006D112E">
        <w:rPr>
          <w:rStyle w:val="Strong"/>
          <w:rFonts w:eastAsia="Times New Roman"/>
          <w:b w:val="0"/>
          <w:color w:val="333333"/>
          <w:shd w:val="clear" w:color="auto" w:fill="FFFFFF"/>
        </w:rPr>
        <w:t xml:space="preserve">between </w:t>
      </w:r>
      <w:r w:rsidR="00C76F0E" w:rsidRPr="00156325">
        <w:rPr>
          <w:rStyle w:val="Strong"/>
          <w:rFonts w:eastAsia="Times New Roman"/>
          <w:b w:val="0"/>
          <w:color w:val="333333"/>
          <w:shd w:val="clear" w:color="auto" w:fill="FFFFFF"/>
        </w:rPr>
        <w:t>86-94%</w:t>
      </w:r>
      <w:r w:rsidR="00A43F66">
        <w:rPr>
          <w:rFonts w:eastAsia="Times New Roman"/>
          <w:color w:val="333333"/>
          <w:shd w:val="clear" w:color="auto" w:fill="FFFFFF"/>
        </w:rPr>
        <w:t>.</w:t>
      </w:r>
      <w:r w:rsidR="00C76F0E">
        <w:rPr>
          <w:rFonts w:eastAsia="Times New Roman"/>
          <w:color w:val="333333"/>
          <w:shd w:val="clear" w:color="auto" w:fill="FFFFFF"/>
        </w:rPr>
        <w:t xml:space="preserve"> </w:t>
      </w:r>
      <w:r w:rsidR="009D3AD1">
        <w:t>T</w:t>
      </w:r>
      <w:r w:rsidR="006D112E">
        <w:t xml:space="preserve">he level of </w:t>
      </w:r>
      <w:r w:rsidR="004F308B">
        <w:lastRenderedPageBreak/>
        <w:t xml:space="preserve">inaccuracy increases </w:t>
      </w:r>
      <w:r w:rsidR="00C76F0E">
        <w:t>with the degree</w:t>
      </w:r>
      <w:r w:rsidR="00C76F0E" w:rsidRPr="00C60614">
        <w:t xml:space="preserve"> of desaturation, such that accuracy is highest at SpO</w:t>
      </w:r>
      <w:r w:rsidR="00C76F0E" w:rsidRPr="00C60614">
        <w:rPr>
          <w:vertAlign w:val="subscript"/>
        </w:rPr>
        <w:t>2</w:t>
      </w:r>
      <w:r w:rsidR="004F308B">
        <w:t xml:space="preserve"> readings</w:t>
      </w:r>
      <w:r w:rsidR="00C76F0E" w:rsidRPr="00C60614">
        <w:t xml:space="preserve"> of 90-100%, intermediate at 80-90%, and lowest below 80%. </w:t>
      </w:r>
      <w:r w:rsidR="003E5BB5">
        <w:t>POD’s not approved for clinical</w:t>
      </w:r>
      <w:r w:rsidR="009D3AD1">
        <w:t xml:space="preserve"> use have been shown to possess varying degrees of accuracy and whilst some are capable of excluding hypoxaemia in patients, others demonstrate highly inaccurate readings.</w:t>
      </w:r>
      <w:r w:rsidR="003E5BB5">
        <w:rPr>
          <w:rFonts w:eastAsia="Times New Roman"/>
          <w:color w:val="333333"/>
          <w:shd w:val="clear" w:color="auto" w:fill="FFFFFF"/>
          <w:vertAlign w:val="superscript"/>
        </w:rPr>
        <w:t>6,7</w:t>
      </w:r>
      <w:r w:rsidR="00A3077A">
        <w:rPr>
          <w:rFonts w:eastAsia="Times New Roman"/>
          <w:color w:val="333333"/>
          <w:shd w:val="clear" w:color="auto" w:fill="FFFFFF"/>
        </w:rPr>
        <w:t xml:space="preserve"> It is </w:t>
      </w:r>
      <w:r w:rsidR="00CA0F32">
        <w:rPr>
          <w:rFonts w:eastAsia="Times New Roman"/>
          <w:color w:val="333333"/>
          <w:shd w:val="clear" w:color="auto" w:fill="FFFFFF"/>
        </w:rPr>
        <w:t xml:space="preserve">also </w:t>
      </w:r>
      <w:r w:rsidR="00A3077A">
        <w:rPr>
          <w:rFonts w:eastAsia="Times New Roman"/>
          <w:color w:val="333333"/>
          <w:shd w:val="clear" w:color="auto" w:fill="FFFFFF"/>
        </w:rPr>
        <w:t xml:space="preserve">important </w:t>
      </w:r>
      <w:r w:rsidR="00CA0F32">
        <w:rPr>
          <w:rFonts w:eastAsia="Times New Roman"/>
          <w:color w:val="333333"/>
          <w:shd w:val="clear" w:color="auto" w:fill="FFFFFF"/>
        </w:rPr>
        <w:t xml:space="preserve">to ensure </w:t>
      </w:r>
      <w:r w:rsidR="00A3077A">
        <w:rPr>
          <w:rFonts w:eastAsia="Times New Roman"/>
          <w:color w:val="333333"/>
          <w:shd w:val="clear" w:color="auto" w:fill="FFFFFF"/>
        </w:rPr>
        <w:t xml:space="preserve">that </w:t>
      </w:r>
      <w:r w:rsidR="003E5BB5">
        <w:rPr>
          <w:rFonts w:eastAsia="Times New Roman"/>
          <w:color w:val="333333"/>
          <w:shd w:val="clear" w:color="auto" w:fill="FFFFFF"/>
        </w:rPr>
        <w:t>POD’s are cleaned, maintained and checked for accuracy regularly</w:t>
      </w:r>
      <w:r w:rsidR="00CA0F32">
        <w:rPr>
          <w:rFonts w:eastAsia="Times New Roman"/>
          <w:color w:val="333333"/>
          <w:shd w:val="clear" w:color="auto" w:fill="FFFFFF"/>
        </w:rPr>
        <w:t>, as not doing so can lead to inaccurate readings being produced</w:t>
      </w:r>
      <w:r w:rsidR="003E5BB5">
        <w:rPr>
          <w:rFonts w:eastAsia="Times New Roman"/>
          <w:color w:val="333333"/>
          <w:shd w:val="clear" w:color="auto" w:fill="FFFFFF"/>
        </w:rPr>
        <w:t>.</w:t>
      </w:r>
      <w:r w:rsidR="00CA0F32">
        <w:rPr>
          <w:rFonts w:eastAsia="Times New Roman"/>
          <w:color w:val="333333"/>
          <w:shd w:val="clear" w:color="auto" w:fill="FFFFFF"/>
          <w:vertAlign w:val="superscript"/>
        </w:rPr>
        <w:t>8</w:t>
      </w:r>
      <w:r w:rsidR="003E5BB5">
        <w:t xml:space="preserve"> </w:t>
      </w:r>
    </w:p>
    <w:p w14:paraId="6DF139EB" w14:textId="77777777" w:rsidR="003E5BB5" w:rsidRDefault="003E5BB5" w:rsidP="003E5BB5">
      <w:pPr>
        <w:rPr>
          <w:rFonts w:asciiTheme="minorHAnsi" w:eastAsia="Times New Roman" w:hAnsiTheme="minorHAnsi"/>
        </w:rPr>
      </w:pPr>
    </w:p>
    <w:p w14:paraId="08B86AF0" w14:textId="77777777" w:rsidR="009716D6" w:rsidRDefault="009716D6" w:rsidP="00EA5ACD">
      <w:pPr>
        <w:spacing w:line="480" w:lineRule="auto"/>
        <w:rPr>
          <w:rFonts w:eastAsia="Times New Roman"/>
          <w:b/>
        </w:rPr>
      </w:pPr>
    </w:p>
    <w:p w14:paraId="0F9FDF3B" w14:textId="0D25A1A6" w:rsidR="005533C7" w:rsidRDefault="00CF74E1" w:rsidP="008E7F48">
      <w:pPr>
        <w:pStyle w:val="Heading1"/>
      </w:pPr>
      <w:r w:rsidRPr="00C60614">
        <w:t>Sampling</w:t>
      </w:r>
      <w:r w:rsidR="00B228EB" w:rsidRPr="00C60614">
        <w:t xml:space="preserve"> errors</w:t>
      </w:r>
    </w:p>
    <w:p w14:paraId="45A1139A" w14:textId="77777777" w:rsidR="005533C7" w:rsidRPr="005533C7" w:rsidRDefault="005533C7" w:rsidP="00EA5ACD">
      <w:pPr>
        <w:spacing w:line="480" w:lineRule="auto"/>
        <w:rPr>
          <w:rFonts w:eastAsia="Times New Roman"/>
          <w:b/>
        </w:rPr>
      </w:pPr>
    </w:p>
    <w:p w14:paraId="2A55BDE0" w14:textId="77777777" w:rsidR="00CD63B0" w:rsidRPr="00CD63B0" w:rsidRDefault="000C649C" w:rsidP="00CD63B0">
      <w:pPr>
        <w:spacing w:line="480" w:lineRule="auto"/>
        <w:rPr>
          <w:rFonts w:eastAsia="Times New Roman"/>
        </w:rPr>
      </w:pPr>
      <w:r>
        <w:rPr>
          <w:rFonts w:eastAsia="Times New Roman"/>
        </w:rPr>
        <w:t>POD’s are tested under laboratory and not clinical conditions, so it is important to be aware of the extrinsic factors that can affect the accuracy of the SpO</w:t>
      </w:r>
      <w:r>
        <w:rPr>
          <w:rFonts w:eastAsia="Times New Roman"/>
          <w:vertAlign w:val="subscript"/>
        </w:rPr>
        <w:t>2</w:t>
      </w:r>
      <w:r>
        <w:rPr>
          <w:rFonts w:eastAsia="Times New Roman"/>
        </w:rPr>
        <w:t xml:space="preserve"> reading, such as sampling errors. </w:t>
      </w:r>
      <w:r w:rsidR="00746AA0">
        <w:rPr>
          <w:rFonts w:eastAsia="Times New Roman"/>
        </w:rPr>
        <w:t>In pulse oximetry,</w:t>
      </w:r>
      <w:r w:rsidR="004466CD">
        <w:rPr>
          <w:rFonts w:eastAsia="Times New Roman"/>
        </w:rPr>
        <w:t xml:space="preserve"> sampling is performed</w:t>
      </w:r>
      <w:r w:rsidR="00EA5ACD">
        <w:rPr>
          <w:rFonts w:eastAsia="Times New Roman"/>
        </w:rPr>
        <w:t xml:space="preserve"> non-invasively by measuring the absorption of light</w:t>
      </w:r>
      <w:r w:rsidR="004466CD">
        <w:rPr>
          <w:rFonts w:eastAsia="Times New Roman"/>
        </w:rPr>
        <w:t xml:space="preserve"> </w:t>
      </w:r>
      <w:r w:rsidR="006C403B">
        <w:rPr>
          <w:rFonts w:eastAsia="Times New Roman"/>
        </w:rPr>
        <w:t>by oxygenated and deoxygenated haemoglobin (Hb) that is travelling through the finger in a pulsatile manner</w:t>
      </w:r>
      <w:r w:rsidR="00B57984" w:rsidRPr="00C60614">
        <w:rPr>
          <w:rFonts w:eastAsia="Times New Roman"/>
        </w:rPr>
        <w:t xml:space="preserve">. </w:t>
      </w:r>
      <w:r w:rsidR="00750222" w:rsidRPr="00C60614">
        <w:rPr>
          <w:rFonts w:eastAsia="Times New Roman"/>
        </w:rPr>
        <w:t>A</w:t>
      </w:r>
      <w:r w:rsidR="001B050B" w:rsidRPr="00C60614">
        <w:rPr>
          <w:rFonts w:eastAsia="Times New Roman"/>
        </w:rPr>
        <w:t>nything that blocks or interf</w:t>
      </w:r>
      <w:r w:rsidR="00750222" w:rsidRPr="00C60614">
        <w:rPr>
          <w:rFonts w:eastAsia="Times New Roman"/>
        </w:rPr>
        <w:t xml:space="preserve">eres with the </w:t>
      </w:r>
      <w:r w:rsidR="001B050B" w:rsidRPr="00C60614">
        <w:rPr>
          <w:rFonts w:eastAsia="Times New Roman"/>
        </w:rPr>
        <w:t>a</w:t>
      </w:r>
      <w:r w:rsidR="00B57984" w:rsidRPr="00C60614">
        <w:rPr>
          <w:rFonts w:eastAsia="Times New Roman"/>
        </w:rPr>
        <w:t>bsorption</w:t>
      </w:r>
      <w:r w:rsidR="006C403B">
        <w:rPr>
          <w:rFonts w:eastAsia="Times New Roman"/>
        </w:rPr>
        <w:t xml:space="preserve"> of light has the potential to cause</w:t>
      </w:r>
      <w:r w:rsidR="001B050B" w:rsidRPr="00C60614">
        <w:rPr>
          <w:rFonts w:eastAsia="Times New Roman"/>
        </w:rPr>
        <w:t xml:space="preserve"> an inaccurate reading, including </w:t>
      </w:r>
      <w:r w:rsidR="00EE6B83" w:rsidRPr="00C60614">
        <w:rPr>
          <w:rFonts w:eastAsia="Times New Roman"/>
        </w:rPr>
        <w:t xml:space="preserve">nail varnish, </w:t>
      </w:r>
      <w:r w:rsidR="00D3663C" w:rsidRPr="00C60614">
        <w:rPr>
          <w:rFonts w:eastAsia="Times New Roman"/>
        </w:rPr>
        <w:t xml:space="preserve">ink and henna tattoos, </w:t>
      </w:r>
      <w:r w:rsidR="00EE6B83" w:rsidRPr="00C60614">
        <w:rPr>
          <w:rFonts w:eastAsia="Times New Roman"/>
        </w:rPr>
        <w:t>false nail</w:t>
      </w:r>
      <w:r w:rsidR="00CD4504" w:rsidRPr="00C60614">
        <w:rPr>
          <w:rFonts w:eastAsia="Times New Roman"/>
        </w:rPr>
        <w:t>s and dirt on or under nails, as well as con</w:t>
      </w:r>
      <w:r w:rsidR="001B050B" w:rsidRPr="00C60614">
        <w:rPr>
          <w:rFonts w:eastAsia="Times New Roman"/>
        </w:rPr>
        <w:t>tamination of the</w:t>
      </w:r>
      <w:r w:rsidR="00EE6B83" w:rsidRPr="00C60614">
        <w:rPr>
          <w:rFonts w:eastAsia="Times New Roman"/>
        </w:rPr>
        <w:t xml:space="preserve"> inner surfaces of the finger clip</w:t>
      </w:r>
      <w:r w:rsidR="00D3663C" w:rsidRPr="00C60614">
        <w:rPr>
          <w:rFonts w:eastAsia="Times New Roman"/>
        </w:rPr>
        <w:t xml:space="preserve"> by blood or oily substances</w:t>
      </w:r>
      <w:r w:rsidR="00EE6B83" w:rsidRPr="00C60614">
        <w:rPr>
          <w:rFonts w:eastAsia="Times New Roman"/>
        </w:rPr>
        <w:t>.</w:t>
      </w:r>
      <w:r w:rsidR="009B686E" w:rsidRPr="00EF3EF6">
        <w:rPr>
          <w:rFonts w:eastAsia="Times New Roman"/>
          <w:vertAlign w:val="superscript"/>
        </w:rPr>
        <w:t>9</w:t>
      </w:r>
      <w:r w:rsidR="00534727" w:rsidRPr="00EF3EF6">
        <w:rPr>
          <w:rFonts w:eastAsia="Times New Roman"/>
          <w:vertAlign w:val="superscript"/>
        </w:rPr>
        <w:t>,</w:t>
      </w:r>
      <w:r w:rsidR="008962ED" w:rsidRPr="00EF3EF6">
        <w:rPr>
          <w:rFonts w:eastAsia="Times New Roman"/>
          <w:vertAlign w:val="superscript"/>
        </w:rPr>
        <w:t>10</w:t>
      </w:r>
      <w:r w:rsidR="00627878">
        <w:rPr>
          <w:rFonts w:eastAsia="Times New Roman"/>
          <w:vertAlign w:val="superscript"/>
        </w:rPr>
        <w:t>,11</w:t>
      </w:r>
      <w:r w:rsidR="00EE6B83" w:rsidRPr="00C60614">
        <w:rPr>
          <w:rFonts w:eastAsia="Times New Roman"/>
        </w:rPr>
        <w:t xml:space="preserve"> </w:t>
      </w:r>
      <w:r w:rsidR="00CD4504" w:rsidRPr="00C60614">
        <w:rPr>
          <w:rFonts w:eastAsia="Times New Roman"/>
        </w:rPr>
        <w:t>Non-alignment of the two arms of the finger clip</w:t>
      </w:r>
      <w:r w:rsidR="006C403B">
        <w:rPr>
          <w:rFonts w:eastAsia="Times New Roman"/>
        </w:rPr>
        <w:t xml:space="preserve"> probe</w:t>
      </w:r>
      <w:r w:rsidR="00CD4504" w:rsidRPr="00C60614">
        <w:rPr>
          <w:rFonts w:eastAsia="Times New Roman"/>
        </w:rPr>
        <w:t xml:space="preserve">, </w:t>
      </w:r>
      <w:r w:rsidR="001B050B" w:rsidRPr="00C60614">
        <w:rPr>
          <w:rFonts w:eastAsia="Times New Roman"/>
        </w:rPr>
        <w:t>exposure to ambient light and tissue</w:t>
      </w:r>
      <w:r w:rsidR="00CD4504" w:rsidRPr="00C60614">
        <w:rPr>
          <w:rFonts w:eastAsia="Times New Roman"/>
        </w:rPr>
        <w:t xml:space="preserve"> thickness </w:t>
      </w:r>
      <w:r w:rsidR="001B050B" w:rsidRPr="00C60614">
        <w:rPr>
          <w:rFonts w:eastAsia="Times New Roman"/>
        </w:rPr>
        <w:t xml:space="preserve">can also affect light absorption. </w:t>
      </w:r>
      <w:r w:rsidR="00CD63B0" w:rsidRPr="00641FB6">
        <w:rPr>
          <w:rFonts w:eastAsia="Times New Roman"/>
        </w:rPr>
        <w:t>There have been concerns</w:t>
      </w:r>
      <w:r w:rsidR="00CD63B0">
        <w:rPr>
          <w:rFonts w:eastAsia="Times New Roman"/>
        </w:rPr>
        <w:t xml:space="preserve"> for over 3 decades</w:t>
      </w:r>
      <w:r w:rsidR="00CD63B0" w:rsidRPr="00641FB6">
        <w:rPr>
          <w:rFonts w:eastAsia="Times New Roman"/>
        </w:rPr>
        <w:t xml:space="preserve"> regarding the potential for darker skin pigmentation to affect the accuracy of</w:t>
      </w:r>
      <w:r w:rsidR="00CD63B0">
        <w:rPr>
          <w:rFonts w:eastAsia="Times New Roman"/>
        </w:rPr>
        <w:t xml:space="preserve"> POD readings and r</w:t>
      </w:r>
      <w:r w:rsidR="00CD63B0" w:rsidRPr="00641FB6">
        <w:rPr>
          <w:rFonts w:eastAsia="Times New Roman"/>
        </w:rPr>
        <w:t>acial disparities in mortality and morbidity during the pandemic have raised the question as to whether this might be, in part, be due to the difference in the performance of POD’s in patients with darker skin pigmentation.</w:t>
      </w:r>
      <w:r w:rsidR="00CD63B0">
        <w:rPr>
          <w:rFonts w:eastAsia="Times New Roman"/>
        </w:rPr>
        <w:t xml:space="preserve"> Recent studies have indicated that there is a higher risk of occult hypoxaemia in patients with darker skin pigmentation, such that patients with SpO</w:t>
      </w:r>
      <w:r w:rsidR="00CD63B0">
        <w:rPr>
          <w:rFonts w:eastAsia="Times New Roman"/>
          <w:vertAlign w:val="subscript"/>
        </w:rPr>
        <w:t>2</w:t>
      </w:r>
      <w:r w:rsidR="00CD63B0">
        <w:rPr>
          <w:rFonts w:eastAsia="Times New Roman"/>
        </w:rPr>
        <w:t xml:space="preserve"> readings of 92-100% could be significantly </w:t>
      </w:r>
      <w:proofErr w:type="spellStart"/>
      <w:r w:rsidR="00CD63B0">
        <w:rPr>
          <w:rFonts w:eastAsia="Times New Roman"/>
        </w:rPr>
        <w:t>hypoxaemic</w:t>
      </w:r>
      <w:proofErr w:type="spellEnd"/>
      <w:r w:rsidR="00CD63B0">
        <w:rPr>
          <w:rFonts w:eastAsia="Times New Roman"/>
        </w:rPr>
        <w:t xml:space="preserve"> with SaO</w:t>
      </w:r>
      <w:r w:rsidR="00CD63B0">
        <w:rPr>
          <w:rFonts w:eastAsia="Times New Roman"/>
          <w:vertAlign w:val="subscript"/>
        </w:rPr>
        <w:t>2</w:t>
      </w:r>
      <w:r w:rsidR="00CD63B0">
        <w:rPr>
          <w:rFonts w:eastAsia="Times New Roman"/>
        </w:rPr>
        <w:t xml:space="preserve"> readings of &lt;88%. This has led to the suggestion that the threshold for </w:t>
      </w:r>
      <w:r w:rsidR="00CD63B0">
        <w:rPr>
          <w:rFonts w:eastAsia="Times New Roman"/>
        </w:rPr>
        <w:lastRenderedPageBreak/>
        <w:t>referring a patient to hospital for SaO</w:t>
      </w:r>
      <w:r w:rsidR="00CD63B0">
        <w:rPr>
          <w:rFonts w:eastAsia="Times New Roman"/>
          <w:vertAlign w:val="subscript"/>
        </w:rPr>
        <w:t>2</w:t>
      </w:r>
      <w:r w:rsidR="00CD63B0">
        <w:rPr>
          <w:rFonts w:eastAsia="Times New Roman"/>
        </w:rPr>
        <w:t xml:space="preserve"> measurement should be lowered in patients with darker skin pigmentation, especially if the patient’s symptoms, signs, or observations are indicating a greater degree of illness than the SpO</w:t>
      </w:r>
      <w:r w:rsidR="00CD63B0">
        <w:rPr>
          <w:rFonts w:eastAsia="Times New Roman"/>
          <w:vertAlign w:val="subscript"/>
        </w:rPr>
        <w:t>2</w:t>
      </w:r>
      <w:r w:rsidR="00CD63B0">
        <w:rPr>
          <w:rFonts w:eastAsia="Times New Roman"/>
        </w:rPr>
        <w:t xml:space="preserve"> reading.</w:t>
      </w:r>
      <w:r w:rsidR="00CD63B0">
        <w:rPr>
          <w:rFonts w:eastAsia="Times New Roman"/>
          <w:vertAlign w:val="superscript"/>
        </w:rPr>
        <w:t>12,13</w:t>
      </w:r>
    </w:p>
    <w:p w14:paraId="455AF70A" w14:textId="3ED5C790" w:rsidR="00EE6B83" w:rsidRDefault="006C403B" w:rsidP="00CD63B0">
      <w:pPr>
        <w:spacing w:line="480" w:lineRule="auto"/>
        <w:rPr>
          <w:rFonts w:eastAsia="Times New Roman"/>
        </w:rPr>
      </w:pPr>
      <w:r w:rsidRPr="006C403B">
        <w:rPr>
          <w:rFonts w:eastAsia="Times New Roman"/>
        </w:rPr>
        <w:t xml:space="preserve">Since </w:t>
      </w:r>
      <w:r w:rsidR="00D848BF" w:rsidRPr="00C60614">
        <w:rPr>
          <w:rFonts w:eastAsia="Times New Roman"/>
        </w:rPr>
        <w:t>POD’s</w:t>
      </w:r>
      <w:r>
        <w:rPr>
          <w:rFonts w:eastAsia="Times New Roman"/>
        </w:rPr>
        <w:t xml:space="preserve"> sample Hb</w:t>
      </w:r>
      <w:r w:rsidR="00154D31" w:rsidRPr="00C60614">
        <w:rPr>
          <w:rFonts w:eastAsia="Times New Roman"/>
        </w:rPr>
        <w:t xml:space="preserve"> that is m</w:t>
      </w:r>
      <w:r>
        <w:rPr>
          <w:rFonts w:eastAsia="Times New Roman"/>
        </w:rPr>
        <w:t xml:space="preserve">oving in a pulsatile manner, </w:t>
      </w:r>
      <w:r w:rsidR="00154D31" w:rsidRPr="00C60614">
        <w:rPr>
          <w:rFonts w:eastAsia="Times New Roman"/>
        </w:rPr>
        <w:t xml:space="preserve">shivering, </w:t>
      </w:r>
      <w:r w:rsidR="00D848BF" w:rsidRPr="00C60614">
        <w:rPr>
          <w:rFonts w:eastAsia="Times New Roman"/>
        </w:rPr>
        <w:t xml:space="preserve">excessive </w:t>
      </w:r>
      <w:r w:rsidR="00154D31" w:rsidRPr="00C60614">
        <w:rPr>
          <w:rFonts w:eastAsia="Times New Roman"/>
        </w:rPr>
        <w:t>finger mo</w:t>
      </w:r>
      <w:r w:rsidR="005611A7" w:rsidRPr="00C60614">
        <w:rPr>
          <w:rFonts w:eastAsia="Times New Roman"/>
        </w:rPr>
        <w:t>vement a</w:t>
      </w:r>
      <w:r w:rsidR="007F0AAE">
        <w:rPr>
          <w:rFonts w:eastAsia="Times New Roman"/>
        </w:rPr>
        <w:t xml:space="preserve">nd venous pulsation can </w:t>
      </w:r>
      <w:r>
        <w:rPr>
          <w:rFonts w:eastAsia="Times New Roman"/>
        </w:rPr>
        <w:t xml:space="preserve">all </w:t>
      </w:r>
      <w:r w:rsidR="007F0AAE">
        <w:rPr>
          <w:rFonts w:eastAsia="Times New Roman"/>
        </w:rPr>
        <w:t>cause</w:t>
      </w:r>
      <w:r w:rsidR="005611A7" w:rsidRPr="00C60614">
        <w:rPr>
          <w:rFonts w:eastAsia="Times New Roman"/>
        </w:rPr>
        <w:t xml:space="preserve"> inaccurate reading</w:t>
      </w:r>
      <w:r w:rsidR="007F0AAE">
        <w:rPr>
          <w:rFonts w:eastAsia="Times New Roman"/>
        </w:rPr>
        <w:t>s</w:t>
      </w:r>
      <w:r w:rsidR="00154D31" w:rsidRPr="00C60614">
        <w:rPr>
          <w:rFonts w:eastAsia="Times New Roman"/>
        </w:rPr>
        <w:t>, as can p</w:t>
      </w:r>
      <w:r w:rsidR="007F0AAE">
        <w:rPr>
          <w:rFonts w:eastAsia="Times New Roman"/>
        </w:rPr>
        <w:t>eripheral shutdown in patients with</w:t>
      </w:r>
      <w:r w:rsidR="00CE6E98" w:rsidRPr="00C60614">
        <w:rPr>
          <w:rFonts w:eastAsia="Times New Roman"/>
        </w:rPr>
        <w:t xml:space="preserve"> cold</w:t>
      </w:r>
      <w:r w:rsidR="007F0AAE">
        <w:rPr>
          <w:rFonts w:eastAsia="Times New Roman"/>
        </w:rPr>
        <w:t xml:space="preserve"> peripheries</w:t>
      </w:r>
      <w:r>
        <w:rPr>
          <w:rFonts w:eastAsia="Times New Roman"/>
        </w:rPr>
        <w:t xml:space="preserve"> due to the ambient temperature, Raynaud’s disease or beta-blockers, or where the finger is under-perfused</w:t>
      </w:r>
      <w:r w:rsidR="00154D31" w:rsidRPr="00C60614">
        <w:rPr>
          <w:rFonts w:eastAsia="Times New Roman"/>
        </w:rPr>
        <w:t xml:space="preserve">. </w:t>
      </w:r>
      <w:r>
        <w:rPr>
          <w:rFonts w:eastAsia="Times New Roman"/>
        </w:rPr>
        <w:t xml:space="preserve">It may </w:t>
      </w:r>
      <w:r w:rsidR="0054194D">
        <w:rPr>
          <w:rFonts w:eastAsia="Times New Roman"/>
        </w:rPr>
        <w:t>take up to 30 seconds for the softwar</w:t>
      </w:r>
      <w:r>
        <w:rPr>
          <w:rFonts w:eastAsia="Times New Roman"/>
        </w:rPr>
        <w:t>e in a POD to produce an accurate</w:t>
      </w:r>
      <w:r w:rsidR="0054194D">
        <w:rPr>
          <w:rFonts w:eastAsia="Times New Roman"/>
        </w:rPr>
        <w:t xml:space="preserve"> reading, particularly wh</w:t>
      </w:r>
      <w:r>
        <w:rPr>
          <w:rFonts w:eastAsia="Times New Roman"/>
        </w:rPr>
        <w:t>en the signal strength is low</w:t>
      </w:r>
      <w:r w:rsidR="0054194D">
        <w:rPr>
          <w:rFonts w:eastAsia="Times New Roman"/>
        </w:rPr>
        <w:t xml:space="preserve">. </w:t>
      </w:r>
    </w:p>
    <w:p w14:paraId="02D70A3F" w14:textId="77777777" w:rsidR="006C403B" w:rsidRPr="00C60614" w:rsidRDefault="006C403B" w:rsidP="006C403B">
      <w:pPr>
        <w:spacing w:line="480" w:lineRule="auto"/>
        <w:rPr>
          <w:rFonts w:eastAsia="Times New Roman"/>
        </w:rPr>
      </w:pPr>
    </w:p>
    <w:p w14:paraId="425C9E5A" w14:textId="4DB9A052" w:rsidR="00E40D82" w:rsidRPr="007F0AAE" w:rsidRDefault="007F0AAE" w:rsidP="008E7F48">
      <w:pPr>
        <w:pStyle w:val="Heading1"/>
        <w:rPr>
          <w:vertAlign w:val="subscript"/>
        </w:rPr>
      </w:pPr>
      <w:r>
        <w:t xml:space="preserve">Interpreting </w:t>
      </w:r>
      <w:r w:rsidR="00A476EC" w:rsidRPr="00C60614">
        <w:t>SpO</w:t>
      </w:r>
      <w:r w:rsidR="00A476EC" w:rsidRPr="00C60614">
        <w:rPr>
          <w:vertAlign w:val="subscript"/>
        </w:rPr>
        <w:t>2</w:t>
      </w:r>
      <w:r>
        <w:t xml:space="preserve"> readings</w:t>
      </w:r>
    </w:p>
    <w:p w14:paraId="45A75336" w14:textId="77777777" w:rsidR="00E40D82" w:rsidRPr="00C60614" w:rsidRDefault="00E40D82" w:rsidP="00C60614">
      <w:pPr>
        <w:spacing w:line="360" w:lineRule="auto"/>
      </w:pPr>
    </w:p>
    <w:p w14:paraId="112912C3" w14:textId="06DFBCDC" w:rsidR="00FC52D9" w:rsidRPr="00C60614" w:rsidRDefault="00A0127A" w:rsidP="00C6675D">
      <w:pPr>
        <w:spacing w:line="480" w:lineRule="auto"/>
      </w:pPr>
      <w:r>
        <w:t>There are a number of factors to consider when interpreting a SpO</w:t>
      </w:r>
      <w:r>
        <w:rPr>
          <w:vertAlign w:val="subscript"/>
        </w:rPr>
        <w:t>2</w:t>
      </w:r>
      <w:r>
        <w:t xml:space="preserve"> reading in an individual p</w:t>
      </w:r>
      <w:r w:rsidR="000275D5">
        <w:t>atient</w:t>
      </w:r>
      <w:r>
        <w:t xml:space="preserve">. </w:t>
      </w:r>
      <w:r w:rsidR="00E838BB" w:rsidRPr="00C60614">
        <w:t>A</w:t>
      </w:r>
      <w:r w:rsidR="000275D5">
        <w:t xml:space="preserve"> low </w:t>
      </w:r>
      <w:r w:rsidR="006C403B">
        <w:t>r</w:t>
      </w:r>
      <w:r w:rsidR="000275D5">
        <w:t>eading can be due to</w:t>
      </w:r>
      <w:r>
        <w:t xml:space="preserve"> a wide variety of</w:t>
      </w:r>
      <w:r w:rsidR="004311A2" w:rsidRPr="00C60614">
        <w:t xml:space="preserve"> physiological a</w:t>
      </w:r>
      <w:r w:rsidR="0054194D">
        <w:t xml:space="preserve">nd pathological conditions, so it is important </w:t>
      </w:r>
      <w:r w:rsidR="000275D5">
        <w:t xml:space="preserve">to consider the </w:t>
      </w:r>
      <w:r w:rsidR="0054194D">
        <w:t>patient</w:t>
      </w:r>
      <w:r w:rsidR="000275D5">
        <w:t>’s position, the symptom</w:t>
      </w:r>
      <w:r w:rsidR="0054194D">
        <w:t xml:space="preserve"> and medical history and</w:t>
      </w:r>
      <w:r w:rsidR="00B870D2" w:rsidRPr="00C60614">
        <w:t xml:space="preserve"> </w:t>
      </w:r>
      <w:r w:rsidR="000275D5">
        <w:t xml:space="preserve">the other </w:t>
      </w:r>
      <w:r w:rsidR="0054194D">
        <w:t>clinical assessment findings</w:t>
      </w:r>
      <w:r w:rsidR="000275D5">
        <w:t xml:space="preserve"> when interpreting a low reading</w:t>
      </w:r>
      <w:r w:rsidR="0054194D">
        <w:t>.</w:t>
      </w:r>
      <w:r w:rsidR="0054194D" w:rsidRPr="001059D1">
        <w:rPr>
          <w:vertAlign w:val="superscript"/>
        </w:rPr>
        <w:t>1</w:t>
      </w:r>
      <w:r w:rsidR="001059D1">
        <w:rPr>
          <w:vertAlign w:val="superscript"/>
        </w:rPr>
        <w:t>4</w:t>
      </w:r>
      <w:r w:rsidR="0054194D">
        <w:t xml:space="preserve"> </w:t>
      </w:r>
      <w:r w:rsidR="00E838BB" w:rsidRPr="00C60614">
        <w:t>POD’s</w:t>
      </w:r>
      <w:r w:rsidR="00AA1F19" w:rsidRPr="00C60614">
        <w:t xml:space="preserve"> are unable</w:t>
      </w:r>
      <w:r w:rsidR="00E838BB" w:rsidRPr="00C60614">
        <w:t xml:space="preserve"> to detect some causes of hypoxaemia</w:t>
      </w:r>
      <w:r w:rsidR="000275D5">
        <w:t xml:space="preserve">, or may underestimate the degree of hypoxaemia in these patients </w:t>
      </w:r>
      <w:r w:rsidR="00E838BB" w:rsidRPr="00C60614">
        <w:t xml:space="preserve">and </w:t>
      </w:r>
      <w:r w:rsidR="000275D5">
        <w:t xml:space="preserve">they </w:t>
      </w:r>
      <w:r w:rsidR="00B870D2" w:rsidRPr="00C60614">
        <w:t>do n</w:t>
      </w:r>
      <w:r w:rsidR="0054194D">
        <w:t>ot provide information on</w:t>
      </w:r>
      <w:r w:rsidR="00B870D2" w:rsidRPr="00C60614">
        <w:t xml:space="preserve"> </w:t>
      </w:r>
      <w:r w:rsidR="0054194D">
        <w:t>the delivery and</w:t>
      </w:r>
      <w:r w:rsidR="00E838BB" w:rsidRPr="00C60614">
        <w:t xml:space="preserve"> utilisation of O</w:t>
      </w:r>
      <w:r w:rsidR="00E838BB" w:rsidRPr="00C60614">
        <w:rPr>
          <w:vertAlign w:val="subscript"/>
        </w:rPr>
        <w:t>2</w:t>
      </w:r>
      <w:r w:rsidR="00E838BB" w:rsidRPr="00C60614">
        <w:t xml:space="preserve"> </w:t>
      </w:r>
      <w:r w:rsidR="00B870D2" w:rsidRPr="00C60614">
        <w:t>at a cellular lev</w:t>
      </w:r>
      <w:r w:rsidR="0054194D">
        <w:t>el</w:t>
      </w:r>
      <w:r w:rsidR="00B870D2" w:rsidRPr="00C60614">
        <w:t xml:space="preserve">. </w:t>
      </w:r>
      <w:r w:rsidR="0054194D">
        <w:t>Hypoxaemia</w:t>
      </w:r>
      <w:r w:rsidR="004311A2" w:rsidRPr="00C60614">
        <w:t xml:space="preserve"> can be the result</w:t>
      </w:r>
      <w:r w:rsidR="00154291" w:rsidRPr="00C60614">
        <w:t xml:space="preserve"> of </w:t>
      </w:r>
      <w:r w:rsidR="00AA1F19" w:rsidRPr="00C60614">
        <w:t xml:space="preserve">a </w:t>
      </w:r>
      <w:r w:rsidR="00154291" w:rsidRPr="00C60614">
        <w:t>respiratory, cardiovascular, neurological, musculoskeletal</w:t>
      </w:r>
      <w:r w:rsidR="00AA1F19" w:rsidRPr="00C60614">
        <w:t xml:space="preserve"> or haematological abnormality</w:t>
      </w:r>
      <w:r w:rsidR="00B870D2" w:rsidRPr="00C60614">
        <w:t>,</w:t>
      </w:r>
      <w:r w:rsidR="004311A2" w:rsidRPr="00C60614">
        <w:t xml:space="preserve"> </w:t>
      </w:r>
      <w:r w:rsidR="0054194D">
        <w:t>so a careful and holistic assessment of the patien</w:t>
      </w:r>
      <w:r w:rsidR="000275D5">
        <w:t>t is required</w:t>
      </w:r>
      <w:r w:rsidR="00880612">
        <w:t xml:space="preserve">. </w:t>
      </w:r>
      <w:r w:rsidR="00B22136" w:rsidRPr="00C60614">
        <w:t xml:space="preserve">For example, </w:t>
      </w:r>
      <w:r w:rsidR="00880612">
        <w:t>in</w:t>
      </w:r>
      <w:r w:rsidR="00A06905">
        <w:t xml:space="preserve"> a patient with COVID-19</w:t>
      </w:r>
      <w:r w:rsidR="00880612">
        <w:t xml:space="preserve">, </w:t>
      </w:r>
      <w:r w:rsidR="00AA1F19" w:rsidRPr="00C60614">
        <w:t xml:space="preserve">a </w:t>
      </w:r>
      <w:r w:rsidR="00324FE6" w:rsidRPr="00C60614">
        <w:t>reading of 93</w:t>
      </w:r>
      <w:r w:rsidR="00B22136" w:rsidRPr="00C60614">
        <w:t>%</w:t>
      </w:r>
      <w:r w:rsidR="000D2F2D" w:rsidRPr="00C60614">
        <w:t xml:space="preserve"> </w:t>
      </w:r>
      <w:r w:rsidR="00A06905">
        <w:t>indicates</w:t>
      </w:r>
      <w:r w:rsidR="00880612">
        <w:t xml:space="preserve"> that admission to hospital should be considered.</w:t>
      </w:r>
      <w:r w:rsidR="00880612" w:rsidRPr="001059D1">
        <w:rPr>
          <w:vertAlign w:val="superscript"/>
        </w:rPr>
        <w:t>1</w:t>
      </w:r>
      <w:r w:rsidR="001059D1" w:rsidRPr="001059D1">
        <w:rPr>
          <w:vertAlign w:val="superscript"/>
        </w:rPr>
        <w:t>5</w:t>
      </w:r>
      <w:r w:rsidR="00880612">
        <w:t xml:space="preserve"> However, this reading would</w:t>
      </w:r>
      <w:r w:rsidR="00AA1F19" w:rsidRPr="00C60614">
        <w:t xml:space="preserve"> also be</w:t>
      </w:r>
      <w:r w:rsidR="00B870D2" w:rsidRPr="00C60614">
        <w:t xml:space="preserve"> compatible with </w:t>
      </w:r>
      <w:r w:rsidR="00AA1F19" w:rsidRPr="00C60614">
        <w:t xml:space="preserve">a secondary bacterial pneumonia, a pulmonary embolus, or a cardiac event with pulmonary oedema, </w:t>
      </w:r>
      <w:r w:rsidR="00880612">
        <w:t xml:space="preserve">all of </w:t>
      </w:r>
      <w:r w:rsidR="00AA1F19" w:rsidRPr="00C60614">
        <w:t xml:space="preserve">which patients with COVID-19 are at increased risk of developing and for which </w:t>
      </w:r>
      <w:r w:rsidR="00B870D2" w:rsidRPr="00C60614">
        <w:t xml:space="preserve">immediate </w:t>
      </w:r>
      <w:r w:rsidR="00AA1F19" w:rsidRPr="00C60614">
        <w:t>admission to hospital is indicated.</w:t>
      </w:r>
      <w:r w:rsidR="001059D1">
        <w:rPr>
          <w:vertAlign w:val="superscript"/>
        </w:rPr>
        <w:t>16</w:t>
      </w:r>
      <w:r w:rsidR="00BC4E1D" w:rsidRPr="00C60614">
        <w:t xml:space="preserve"> </w:t>
      </w:r>
      <w:r w:rsidR="00AA1F19" w:rsidRPr="00C60614">
        <w:t>Similarly, a low reading</w:t>
      </w:r>
      <w:r w:rsidR="004511C6" w:rsidRPr="00C60614">
        <w:t xml:space="preserve"> in a patient with</w:t>
      </w:r>
      <w:r w:rsidR="00EF519E" w:rsidRPr="00C60614">
        <w:t xml:space="preserve"> chronic respiratory disease could</w:t>
      </w:r>
      <w:r w:rsidR="004511C6" w:rsidRPr="00C60614">
        <w:t xml:space="preserve"> be </w:t>
      </w:r>
      <w:r w:rsidR="006F09CF" w:rsidRPr="00C60614">
        <w:lastRenderedPageBreak/>
        <w:t>long-standing</w:t>
      </w:r>
      <w:r w:rsidR="00FC52D9" w:rsidRPr="00C60614">
        <w:t xml:space="preserve">, </w:t>
      </w:r>
      <w:r w:rsidR="006F09CF" w:rsidRPr="00C60614">
        <w:t>due to</w:t>
      </w:r>
      <w:r w:rsidR="004511C6" w:rsidRPr="00C60614">
        <w:t xml:space="preserve"> a</w:t>
      </w:r>
      <w:r w:rsidR="00EF519E" w:rsidRPr="00C60614">
        <w:t>n exacerbation</w:t>
      </w:r>
      <w:r w:rsidR="00013F19" w:rsidRPr="00C60614">
        <w:t xml:space="preserve"> of that illness</w:t>
      </w:r>
      <w:r w:rsidR="00FC52D9" w:rsidRPr="00C60614">
        <w:t>, or</w:t>
      </w:r>
      <w:r w:rsidR="006F09CF" w:rsidRPr="00C60614">
        <w:t xml:space="preserve"> due to a new </w:t>
      </w:r>
      <w:r w:rsidR="00E044AA" w:rsidRPr="00C60614">
        <w:t xml:space="preserve">medical </w:t>
      </w:r>
      <w:r w:rsidR="006F09CF" w:rsidRPr="00C60614">
        <w:t>problem</w:t>
      </w:r>
      <w:r w:rsidR="004511C6" w:rsidRPr="00C60614">
        <w:t>, such as</w:t>
      </w:r>
      <w:r w:rsidR="00E044AA" w:rsidRPr="00C60614">
        <w:t xml:space="preserve"> a </w:t>
      </w:r>
      <w:r w:rsidR="004511C6" w:rsidRPr="00C60614">
        <w:t>pneumonia,</w:t>
      </w:r>
      <w:r w:rsidR="006F09CF" w:rsidRPr="00C60614">
        <w:t xml:space="preserve"> pulmonary oedema,</w:t>
      </w:r>
      <w:r w:rsidR="00AA1F19" w:rsidRPr="00C60614">
        <w:t xml:space="preserve"> </w:t>
      </w:r>
      <w:r w:rsidR="00E044AA" w:rsidRPr="00C60614">
        <w:t xml:space="preserve">a </w:t>
      </w:r>
      <w:r w:rsidR="00AA1F19" w:rsidRPr="00C60614">
        <w:t xml:space="preserve">pneumothorax, </w:t>
      </w:r>
      <w:r w:rsidR="00E044AA" w:rsidRPr="00C60614">
        <w:t xml:space="preserve">a </w:t>
      </w:r>
      <w:r w:rsidR="004511C6" w:rsidRPr="00C60614">
        <w:t>pleural effusion</w:t>
      </w:r>
      <w:r w:rsidR="006F09CF" w:rsidRPr="00C60614">
        <w:t xml:space="preserve">, </w:t>
      </w:r>
      <w:r w:rsidR="00AA1F19" w:rsidRPr="00C60614">
        <w:t>or</w:t>
      </w:r>
      <w:r w:rsidR="00E044AA" w:rsidRPr="00C60614">
        <w:t xml:space="preserve"> a</w:t>
      </w:r>
      <w:r w:rsidR="00AA1F19" w:rsidRPr="00C60614">
        <w:t xml:space="preserve"> </w:t>
      </w:r>
      <w:r w:rsidR="00DF3510" w:rsidRPr="00C60614">
        <w:t>pulmonary embolus</w:t>
      </w:r>
      <w:r w:rsidR="00FC52D9" w:rsidRPr="00C60614">
        <w:t xml:space="preserve">. </w:t>
      </w:r>
      <w:r w:rsidR="00780CB5" w:rsidRPr="00C60614">
        <w:t>O</w:t>
      </w:r>
      <w:r w:rsidR="00EF519E" w:rsidRPr="00C60614">
        <w:t>ther factors tha</w:t>
      </w:r>
      <w:r w:rsidR="00FC52D9" w:rsidRPr="00C60614">
        <w:t>t can affect the accuracy</w:t>
      </w:r>
      <w:r w:rsidR="006F09CF" w:rsidRPr="00C60614">
        <w:t xml:space="preserve"> or result in</w:t>
      </w:r>
      <w:r w:rsidR="002757D5" w:rsidRPr="00C60614">
        <w:t xml:space="preserve"> misinterpretation </w:t>
      </w:r>
      <w:r w:rsidR="006F09CF" w:rsidRPr="00C60614">
        <w:t>of</w:t>
      </w:r>
      <w:r w:rsidR="00AA1F19" w:rsidRPr="00C60614">
        <w:t xml:space="preserve"> a</w:t>
      </w:r>
      <w:r w:rsidR="00EF519E" w:rsidRPr="00C60614">
        <w:t xml:space="preserve"> reading</w:t>
      </w:r>
      <w:r w:rsidR="002757D5" w:rsidRPr="00C60614">
        <w:t xml:space="preserve"> include abnormalities in </w:t>
      </w:r>
      <w:r w:rsidR="00EF519E" w:rsidRPr="00C60614">
        <w:t>the quant</w:t>
      </w:r>
      <w:r w:rsidR="00D47971" w:rsidRPr="00C60614">
        <w:t>ity and quality</w:t>
      </w:r>
      <w:r w:rsidR="002757D5" w:rsidRPr="00C60614">
        <w:t xml:space="preserve"> of the</w:t>
      </w:r>
      <w:r w:rsidR="00FC52D9" w:rsidRPr="00C60614">
        <w:t xml:space="preserve"> circulating</w:t>
      </w:r>
      <w:r w:rsidR="006C403B">
        <w:t xml:space="preserve"> Hb</w:t>
      </w:r>
      <w:r w:rsidR="00027F9D">
        <w:t>, so a</w:t>
      </w:r>
      <w:r w:rsidR="00DF3510" w:rsidRPr="00C60614">
        <w:t>naemia, haemoglobinopathies</w:t>
      </w:r>
      <w:r w:rsidR="007652B2" w:rsidRPr="00C60614">
        <w:t xml:space="preserve"> (including </w:t>
      </w:r>
      <w:r w:rsidR="006F09CF" w:rsidRPr="00C60614">
        <w:t xml:space="preserve">sickle cell disease), </w:t>
      </w:r>
      <w:r w:rsidR="00A64D9A" w:rsidRPr="00C60614">
        <w:t xml:space="preserve">a high </w:t>
      </w:r>
      <w:r w:rsidR="007652B2" w:rsidRPr="00C60614">
        <w:t>glycosylate</w:t>
      </w:r>
      <w:r w:rsidR="006F09CF" w:rsidRPr="00C60614">
        <w:t xml:space="preserve">d Hb and </w:t>
      </w:r>
      <w:r w:rsidR="00027F9D">
        <w:t xml:space="preserve">a high </w:t>
      </w:r>
      <w:r w:rsidR="006F09CF" w:rsidRPr="00C60614">
        <w:t>carbon monoxide (CO)</w:t>
      </w:r>
      <w:r w:rsidR="00027F9D">
        <w:t xml:space="preserve"> level</w:t>
      </w:r>
      <w:r w:rsidR="006F09CF" w:rsidRPr="00C60614">
        <w:t xml:space="preserve"> </w:t>
      </w:r>
      <w:r w:rsidR="007652B2" w:rsidRPr="00C60614">
        <w:t xml:space="preserve">can </w:t>
      </w:r>
      <w:r w:rsidR="006F09CF" w:rsidRPr="00C60614">
        <w:t xml:space="preserve">all </w:t>
      </w:r>
      <w:r w:rsidR="00A64D9A" w:rsidRPr="00C60614">
        <w:t xml:space="preserve">cause inaccurate </w:t>
      </w:r>
      <w:r w:rsidR="006F09CF" w:rsidRPr="00C60614">
        <w:t>readings</w:t>
      </w:r>
      <w:r w:rsidR="00430D02" w:rsidRPr="00C60614">
        <w:t>, so</w:t>
      </w:r>
      <w:r w:rsidR="00027F9D">
        <w:t>me of which cannot be detected</w:t>
      </w:r>
      <w:r w:rsidR="00430D02" w:rsidRPr="00C60614">
        <w:t xml:space="preserve"> by POD’s</w:t>
      </w:r>
      <w:r w:rsidR="007652B2" w:rsidRPr="00C60614">
        <w:t>.</w:t>
      </w:r>
      <w:r w:rsidR="00D06D7E" w:rsidRPr="001059D1">
        <w:rPr>
          <w:vertAlign w:val="superscript"/>
        </w:rPr>
        <w:t>1</w:t>
      </w:r>
      <w:r w:rsidR="001059D1" w:rsidRPr="001059D1">
        <w:rPr>
          <w:vertAlign w:val="superscript"/>
        </w:rPr>
        <w:t>7</w:t>
      </w:r>
      <w:r w:rsidR="008B3B07" w:rsidRPr="00C60614">
        <w:t xml:space="preserve"> For example, in</w:t>
      </w:r>
      <w:r w:rsidR="006F09CF" w:rsidRPr="00C60614">
        <w:t xml:space="preserve"> heavy smokers, CO can</w:t>
      </w:r>
      <w:r w:rsidR="008B3B07" w:rsidRPr="00C60614">
        <w:t xml:space="preserve"> lead to an overestimation of the SpO</w:t>
      </w:r>
      <w:r w:rsidR="008B3B07" w:rsidRPr="00C60614">
        <w:rPr>
          <w:vertAlign w:val="subscript"/>
        </w:rPr>
        <w:t>2</w:t>
      </w:r>
      <w:r w:rsidR="008B3B07" w:rsidRPr="00C60614">
        <w:t xml:space="preserve"> by as much as 8%</w:t>
      </w:r>
      <w:r w:rsidR="008B3B07" w:rsidRPr="001059D1">
        <w:t>.</w:t>
      </w:r>
      <w:r w:rsidR="001059D1" w:rsidRPr="001059D1">
        <w:rPr>
          <w:vertAlign w:val="superscript"/>
        </w:rPr>
        <w:t>18</w:t>
      </w:r>
      <w:r w:rsidR="008B3B07" w:rsidRPr="00C60614">
        <w:t xml:space="preserve"> </w:t>
      </w:r>
    </w:p>
    <w:p w14:paraId="172E0506" w14:textId="4589D132" w:rsidR="00A476EC" w:rsidRPr="00C60614" w:rsidRDefault="00A476EC" w:rsidP="00C6675D">
      <w:pPr>
        <w:tabs>
          <w:tab w:val="left" w:pos="3765"/>
        </w:tabs>
        <w:spacing w:line="480" w:lineRule="auto"/>
        <w:rPr>
          <w:b/>
        </w:rPr>
      </w:pPr>
    </w:p>
    <w:p w14:paraId="5EB49963" w14:textId="77777777" w:rsidR="00BD3B86" w:rsidRPr="00C60614" w:rsidRDefault="00BD3B86" w:rsidP="008E7F48">
      <w:pPr>
        <w:pStyle w:val="Heading1"/>
      </w:pPr>
      <w:r w:rsidRPr="00C60614">
        <w:t>Discussion</w:t>
      </w:r>
    </w:p>
    <w:p w14:paraId="0DD53BF3" w14:textId="77777777" w:rsidR="00DD6194" w:rsidRDefault="00DD6194" w:rsidP="0047243C">
      <w:pPr>
        <w:tabs>
          <w:tab w:val="left" w:pos="2125"/>
        </w:tabs>
        <w:spacing w:line="480" w:lineRule="auto"/>
      </w:pPr>
    </w:p>
    <w:p w14:paraId="5F34600E" w14:textId="441DA1CD" w:rsidR="008A03A1" w:rsidRPr="0078537B" w:rsidRDefault="006D112E" w:rsidP="0047243C">
      <w:pPr>
        <w:tabs>
          <w:tab w:val="left" w:pos="2125"/>
        </w:tabs>
        <w:spacing w:line="480" w:lineRule="auto"/>
        <w:rPr>
          <w:rFonts w:eastAsia="Times New Roman"/>
          <w:color w:val="333333"/>
          <w:shd w:val="clear" w:color="auto" w:fill="FFFFFF"/>
        </w:rPr>
      </w:pPr>
      <w:r>
        <w:rPr>
          <w:rFonts w:eastAsia="Times New Roman"/>
          <w:color w:val="333333"/>
          <w:shd w:val="clear" w:color="auto" w:fill="FFFFFF"/>
        </w:rPr>
        <w:t>C</w:t>
      </w:r>
      <w:r w:rsidR="0015489D">
        <w:rPr>
          <w:rFonts w:eastAsia="Times New Roman"/>
          <w:color w:val="333333"/>
          <w:shd w:val="clear" w:color="auto" w:fill="FFFFFF"/>
        </w:rPr>
        <w:t>riti</w:t>
      </w:r>
      <w:r>
        <w:rPr>
          <w:rFonts w:eastAsia="Times New Roman"/>
          <w:color w:val="333333"/>
          <w:shd w:val="clear" w:color="auto" w:fill="FFFFFF"/>
        </w:rPr>
        <w:t>cal clinical decisions regarding</w:t>
      </w:r>
      <w:r w:rsidR="0047243C">
        <w:rPr>
          <w:rFonts w:eastAsia="Times New Roman"/>
          <w:color w:val="333333"/>
          <w:shd w:val="clear" w:color="auto" w:fill="FFFFFF"/>
        </w:rPr>
        <w:t xml:space="preserve"> the management of patients</w:t>
      </w:r>
      <w:r w:rsidR="0015489D">
        <w:rPr>
          <w:rFonts w:eastAsia="Times New Roman"/>
          <w:color w:val="333333"/>
          <w:shd w:val="clear" w:color="auto" w:fill="FFFFFF"/>
        </w:rPr>
        <w:t xml:space="preserve"> </w:t>
      </w:r>
      <w:r>
        <w:rPr>
          <w:rFonts w:eastAsia="Times New Roman"/>
          <w:color w:val="333333"/>
          <w:shd w:val="clear" w:color="auto" w:fill="FFFFFF"/>
        </w:rPr>
        <w:t xml:space="preserve">are often based </w:t>
      </w:r>
      <w:r w:rsidR="0047243C">
        <w:rPr>
          <w:rFonts w:eastAsia="Times New Roman"/>
          <w:color w:val="333333"/>
          <w:shd w:val="clear" w:color="auto" w:fill="FFFFFF"/>
        </w:rPr>
        <w:t xml:space="preserve">on </w:t>
      </w:r>
      <w:r w:rsidR="00325748">
        <w:rPr>
          <w:rFonts w:eastAsia="Times New Roman"/>
          <w:color w:val="333333"/>
          <w:shd w:val="clear" w:color="auto" w:fill="FFFFFF"/>
        </w:rPr>
        <w:t xml:space="preserve">guidelines that feature </w:t>
      </w:r>
      <w:r w:rsidR="00FD4EAA">
        <w:rPr>
          <w:rFonts w:eastAsia="Times New Roman"/>
          <w:color w:val="333333"/>
          <w:shd w:val="clear" w:color="auto" w:fill="FFFFFF"/>
        </w:rPr>
        <w:t xml:space="preserve">a </w:t>
      </w:r>
      <w:r w:rsidR="0047243C">
        <w:rPr>
          <w:rFonts w:eastAsia="Times New Roman"/>
          <w:color w:val="333333"/>
          <w:shd w:val="clear" w:color="auto" w:fill="FFFFFF"/>
        </w:rPr>
        <w:t xml:space="preserve">specific </w:t>
      </w:r>
      <w:r>
        <w:rPr>
          <w:rFonts w:eastAsia="Times New Roman"/>
          <w:color w:val="333333"/>
          <w:shd w:val="clear" w:color="auto" w:fill="FFFFFF"/>
        </w:rPr>
        <w:t xml:space="preserve">or </w:t>
      </w:r>
      <w:r w:rsidR="00FD4EAA">
        <w:rPr>
          <w:rFonts w:eastAsia="Times New Roman"/>
          <w:color w:val="333333"/>
          <w:shd w:val="clear" w:color="auto" w:fill="FFFFFF"/>
        </w:rPr>
        <w:t xml:space="preserve">narrow range of </w:t>
      </w:r>
      <w:r w:rsidR="0047243C">
        <w:rPr>
          <w:rFonts w:eastAsia="Times New Roman"/>
          <w:color w:val="333333"/>
          <w:shd w:val="clear" w:color="auto" w:fill="FFFFFF"/>
        </w:rPr>
        <w:t>SpO</w:t>
      </w:r>
      <w:r w:rsidR="0047243C">
        <w:rPr>
          <w:rFonts w:eastAsia="Times New Roman"/>
          <w:color w:val="333333"/>
          <w:shd w:val="clear" w:color="auto" w:fill="FFFFFF"/>
          <w:vertAlign w:val="subscript"/>
        </w:rPr>
        <w:t>2</w:t>
      </w:r>
      <w:r w:rsidR="0047243C">
        <w:rPr>
          <w:rFonts w:eastAsia="Times New Roman"/>
          <w:color w:val="333333"/>
          <w:shd w:val="clear" w:color="auto" w:fill="FFFFFF"/>
        </w:rPr>
        <w:t xml:space="preserve"> reading</w:t>
      </w:r>
      <w:r w:rsidR="00FD4EAA">
        <w:rPr>
          <w:rFonts w:eastAsia="Times New Roman"/>
          <w:color w:val="333333"/>
          <w:shd w:val="clear" w:color="auto" w:fill="FFFFFF"/>
        </w:rPr>
        <w:t>s</w:t>
      </w:r>
      <w:r w:rsidR="0015489D">
        <w:rPr>
          <w:rFonts w:eastAsia="Times New Roman"/>
          <w:color w:val="333333"/>
          <w:shd w:val="clear" w:color="auto" w:fill="FFFFFF"/>
        </w:rPr>
        <w:t xml:space="preserve">. </w:t>
      </w:r>
      <w:r w:rsidR="00CA0F32">
        <w:rPr>
          <w:rFonts w:eastAsia="Times New Roman"/>
          <w:color w:val="333333"/>
          <w:shd w:val="clear" w:color="auto" w:fill="FFFFFF"/>
        </w:rPr>
        <w:t xml:space="preserve">However, both the FDA and the MHRA have </w:t>
      </w:r>
      <w:r w:rsidR="0078537B">
        <w:rPr>
          <w:rFonts w:eastAsia="Times New Roman"/>
          <w:color w:val="333333"/>
          <w:shd w:val="clear" w:color="auto" w:fill="FFFFFF"/>
        </w:rPr>
        <w:t xml:space="preserve">issued advice that the </w:t>
      </w:r>
      <w:r w:rsidR="00CA0F32">
        <w:rPr>
          <w:rFonts w:eastAsia="Times New Roman"/>
          <w:color w:val="333333"/>
          <w:shd w:val="clear" w:color="auto" w:fill="FFFFFF"/>
        </w:rPr>
        <w:t>SpO</w:t>
      </w:r>
      <w:r w:rsidR="00CA0F32">
        <w:rPr>
          <w:rFonts w:eastAsia="Times New Roman"/>
          <w:color w:val="333333"/>
          <w:shd w:val="clear" w:color="auto" w:fill="FFFFFF"/>
          <w:vertAlign w:val="subscript"/>
        </w:rPr>
        <w:t>2</w:t>
      </w:r>
      <w:r w:rsidR="0078537B">
        <w:rPr>
          <w:rFonts w:eastAsia="Times New Roman"/>
          <w:color w:val="333333"/>
          <w:shd w:val="clear" w:color="auto" w:fill="FFFFFF"/>
        </w:rPr>
        <w:t xml:space="preserve"> reading should be regarded as an “estimate” of the SaO</w:t>
      </w:r>
      <w:r w:rsidR="0078537B">
        <w:rPr>
          <w:rFonts w:eastAsia="Times New Roman"/>
          <w:color w:val="333333"/>
          <w:shd w:val="clear" w:color="auto" w:fill="FFFFFF"/>
          <w:vertAlign w:val="subscript"/>
        </w:rPr>
        <w:t>2</w:t>
      </w:r>
      <w:r w:rsidR="0078537B">
        <w:rPr>
          <w:rFonts w:eastAsia="Times New Roman"/>
          <w:color w:val="333333"/>
          <w:shd w:val="clear" w:color="auto" w:fill="FFFFFF"/>
        </w:rPr>
        <w:t xml:space="preserve"> and that it may be more appropriate to use the trend in SpO</w:t>
      </w:r>
      <w:r w:rsidR="0078537B">
        <w:rPr>
          <w:rFonts w:eastAsia="Times New Roman"/>
          <w:color w:val="333333"/>
          <w:shd w:val="clear" w:color="auto" w:fill="FFFFFF"/>
          <w:vertAlign w:val="subscript"/>
        </w:rPr>
        <w:t>2</w:t>
      </w:r>
      <w:r w:rsidR="0078537B">
        <w:rPr>
          <w:rFonts w:eastAsia="Times New Roman"/>
          <w:color w:val="333333"/>
          <w:shd w:val="clear" w:color="auto" w:fill="FFFFFF"/>
        </w:rPr>
        <w:t xml:space="preserve"> values over time when making clinical decisions</w:t>
      </w:r>
      <w:r w:rsidR="00651355">
        <w:rPr>
          <w:rFonts w:eastAsia="Times New Roman"/>
          <w:color w:val="333333"/>
          <w:shd w:val="clear" w:color="auto" w:fill="FFFFFF"/>
        </w:rPr>
        <w:t>, although evidence-based guidance on when and how trends should be used is currently lacking</w:t>
      </w:r>
      <w:r w:rsidR="0078537B">
        <w:rPr>
          <w:rFonts w:eastAsia="Times New Roman"/>
          <w:color w:val="333333"/>
          <w:shd w:val="clear" w:color="auto" w:fill="FFFFFF"/>
        </w:rPr>
        <w:t>.</w:t>
      </w:r>
      <w:r w:rsidR="0078537B">
        <w:rPr>
          <w:rFonts w:eastAsia="Times New Roman"/>
          <w:color w:val="333333"/>
          <w:shd w:val="clear" w:color="auto" w:fill="FFFFFF"/>
          <w:vertAlign w:val="superscript"/>
        </w:rPr>
        <w:t>4,5</w:t>
      </w:r>
      <w:r w:rsidR="0078537B">
        <w:rPr>
          <w:rFonts w:eastAsia="Times New Roman"/>
          <w:color w:val="333333"/>
          <w:shd w:val="clear" w:color="auto" w:fill="FFFFFF"/>
        </w:rPr>
        <w:t xml:space="preserve"> </w:t>
      </w:r>
      <w:r w:rsidR="0015489D">
        <w:rPr>
          <w:rFonts w:eastAsia="Times New Roman"/>
          <w:color w:val="333333"/>
          <w:shd w:val="clear" w:color="auto" w:fill="FFFFFF"/>
        </w:rPr>
        <w:t>The impl</w:t>
      </w:r>
      <w:r w:rsidR="0078537B">
        <w:rPr>
          <w:rFonts w:eastAsia="Times New Roman"/>
          <w:color w:val="333333"/>
          <w:shd w:val="clear" w:color="auto" w:fill="FFFFFF"/>
        </w:rPr>
        <w:t xml:space="preserve">ications </w:t>
      </w:r>
      <w:r w:rsidR="00651355">
        <w:rPr>
          <w:rFonts w:eastAsia="Times New Roman"/>
          <w:color w:val="333333"/>
          <w:shd w:val="clear" w:color="auto" w:fill="FFFFFF"/>
        </w:rPr>
        <w:t>for clinicians</w:t>
      </w:r>
      <w:r>
        <w:rPr>
          <w:rFonts w:eastAsia="Times New Roman"/>
          <w:color w:val="333333"/>
          <w:shd w:val="clear" w:color="auto" w:fill="FFFFFF"/>
        </w:rPr>
        <w:t xml:space="preserve"> </w:t>
      </w:r>
      <w:r w:rsidR="0015489D">
        <w:rPr>
          <w:rFonts w:eastAsia="Times New Roman"/>
          <w:color w:val="333333"/>
          <w:shd w:val="clear" w:color="auto" w:fill="FFFFFF"/>
        </w:rPr>
        <w:t xml:space="preserve">are as follows: </w:t>
      </w:r>
      <w:r w:rsidR="00651355">
        <w:rPr>
          <w:rFonts w:eastAsia="Times New Roman"/>
          <w:color w:val="333333"/>
          <w:shd w:val="clear" w:color="auto" w:fill="FFFFFF"/>
        </w:rPr>
        <w:t xml:space="preserve"> Firstly, clinicians</w:t>
      </w:r>
      <w:r w:rsidR="00C11452">
        <w:rPr>
          <w:rFonts w:eastAsia="Times New Roman"/>
          <w:color w:val="333333"/>
          <w:shd w:val="clear" w:color="auto" w:fill="FFFFFF"/>
        </w:rPr>
        <w:t xml:space="preserve"> </w:t>
      </w:r>
      <w:r w:rsidR="00651355">
        <w:rPr>
          <w:rFonts w:eastAsia="Times New Roman"/>
          <w:color w:val="333333"/>
          <w:shd w:val="clear" w:color="auto" w:fill="FFFFFF"/>
        </w:rPr>
        <w:t>should be aware</w:t>
      </w:r>
      <w:r w:rsidR="00A218C1">
        <w:rPr>
          <w:rFonts w:eastAsia="Times New Roman"/>
          <w:color w:val="333333"/>
          <w:shd w:val="clear" w:color="auto" w:fill="FFFFFF"/>
        </w:rPr>
        <w:t xml:space="preserve"> of the limitations of pulse oximetry</w:t>
      </w:r>
      <w:r w:rsidR="00651355">
        <w:rPr>
          <w:rFonts w:eastAsia="Times New Roman"/>
          <w:color w:val="333333"/>
          <w:shd w:val="clear" w:color="auto" w:fill="FFFFFF"/>
        </w:rPr>
        <w:t xml:space="preserve"> and of the factors that can cause inaccuracy and misinterpretation. Secondly, clinicians should use </w:t>
      </w:r>
      <w:r w:rsidR="00F34079">
        <w:rPr>
          <w:rFonts w:eastAsia="Times New Roman"/>
          <w:color w:val="333333"/>
          <w:shd w:val="clear" w:color="auto" w:fill="FFFFFF"/>
        </w:rPr>
        <w:t>POD’</w:t>
      </w:r>
      <w:r w:rsidR="00651355">
        <w:rPr>
          <w:rFonts w:eastAsia="Times New Roman"/>
          <w:color w:val="333333"/>
          <w:shd w:val="clear" w:color="auto" w:fill="FFFFFF"/>
        </w:rPr>
        <w:t xml:space="preserve">s that </w:t>
      </w:r>
      <w:r w:rsidR="0013328D">
        <w:rPr>
          <w:rFonts w:eastAsia="Times New Roman"/>
          <w:color w:val="333333"/>
          <w:shd w:val="clear" w:color="auto" w:fill="FFFFFF"/>
        </w:rPr>
        <w:t>are certified for clinical</w:t>
      </w:r>
      <w:r w:rsidR="00651355">
        <w:rPr>
          <w:rFonts w:eastAsia="Times New Roman"/>
          <w:color w:val="333333"/>
          <w:shd w:val="clear" w:color="auto" w:fill="FFFFFF"/>
        </w:rPr>
        <w:t xml:space="preserve"> use and ensure that POD’s</w:t>
      </w:r>
      <w:r w:rsidR="00485DA2">
        <w:rPr>
          <w:rFonts w:eastAsia="Times New Roman"/>
          <w:color w:val="333333"/>
          <w:shd w:val="clear" w:color="auto" w:fill="FFFFFF"/>
        </w:rPr>
        <w:t xml:space="preserve"> are</w:t>
      </w:r>
      <w:r w:rsidR="0013328D">
        <w:rPr>
          <w:rFonts w:eastAsia="Times New Roman"/>
          <w:color w:val="333333"/>
          <w:shd w:val="clear" w:color="auto" w:fill="FFFFFF"/>
        </w:rPr>
        <w:t xml:space="preserve"> </w:t>
      </w:r>
      <w:r w:rsidR="00651355">
        <w:rPr>
          <w:rFonts w:eastAsia="Times New Roman"/>
          <w:color w:val="333333"/>
          <w:shd w:val="clear" w:color="auto" w:fill="FFFFFF"/>
        </w:rPr>
        <w:t xml:space="preserve">cleaned, </w:t>
      </w:r>
      <w:r w:rsidR="00F34079">
        <w:rPr>
          <w:rFonts w:eastAsia="Times New Roman"/>
          <w:color w:val="333333"/>
          <w:shd w:val="clear" w:color="auto" w:fill="FFFFFF"/>
        </w:rPr>
        <w:t>maintained and checked</w:t>
      </w:r>
      <w:r w:rsidR="00823544">
        <w:rPr>
          <w:rFonts w:eastAsia="Times New Roman"/>
          <w:color w:val="333333"/>
          <w:shd w:val="clear" w:color="auto" w:fill="FFFFFF"/>
        </w:rPr>
        <w:t xml:space="preserve"> for accuracy</w:t>
      </w:r>
      <w:r w:rsidR="00651355">
        <w:rPr>
          <w:rFonts w:eastAsia="Times New Roman"/>
          <w:color w:val="333333"/>
          <w:shd w:val="clear" w:color="auto" w:fill="FFFFFF"/>
        </w:rPr>
        <w:t xml:space="preserve">, regularly. Thirdly, clinicians should follow </w:t>
      </w:r>
      <w:r w:rsidR="00485DA2">
        <w:rPr>
          <w:rFonts w:eastAsia="Times New Roman"/>
          <w:color w:val="333333"/>
          <w:shd w:val="clear" w:color="auto" w:fill="FFFFFF"/>
        </w:rPr>
        <w:t>the guidelines for</w:t>
      </w:r>
      <w:r w:rsidR="00651355">
        <w:rPr>
          <w:rFonts w:eastAsia="Times New Roman"/>
          <w:color w:val="333333"/>
          <w:shd w:val="clear" w:color="auto" w:fill="FFFFFF"/>
        </w:rPr>
        <w:t xml:space="preserve"> taking SpO</w:t>
      </w:r>
      <w:r w:rsidR="00651355">
        <w:rPr>
          <w:rFonts w:eastAsia="Times New Roman"/>
          <w:color w:val="333333"/>
          <w:shd w:val="clear" w:color="auto" w:fill="FFFFFF"/>
          <w:vertAlign w:val="subscript"/>
        </w:rPr>
        <w:t>2</w:t>
      </w:r>
      <w:r w:rsidR="00651355">
        <w:rPr>
          <w:rFonts w:eastAsia="Times New Roman"/>
          <w:color w:val="333333"/>
          <w:shd w:val="clear" w:color="auto" w:fill="FFFFFF"/>
        </w:rPr>
        <w:t xml:space="preserve"> readings</w:t>
      </w:r>
      <w:r w:rsidR="00485DA2">
        <w:rPr>
          <w:rFonts w:eastAsia="Times New Roman"/>
          <w:color w:val="333333"/>
          <w:shd w:val="clear" w:color="auto" w:fill="FFFFFF"/>
        </w:rPr>
        <w:t>,</w:t>
      </w:r>
      <w:r w:rsidR="00F34079">
        <w:rPr>
          <w:rFonts w:eastAsia="Times New Roman"/>
          <w:color w:val="333333"/>
          <w:shd w:val="clear" w:color="auto" w:fill="FFFFFF"/>
        </w:rPr>
        <w:t xml:space="preserve"> to reduce the risk of sampling errors. </w:t>
      </w:r>
      <w:r w:rsidR="00515636">
        <w:rPr>
          <w:rFonts w:eastAsia="Times New Roman"/>
          <w:color w:val="333333"/>
          <w:shd w:val="clear" w:color="auto" w:fill="FFFFFF"/>
        </w:rPr>
        <w:t>Finally</w:t>
      </w:r>
      <w:r w:rsidR="00651355">
        <w:rPr>
          <w:rFonts w:eastAsia="Times New Roman"/>
          <w:color w:val="333333"/>
          <w:shd w:val="clear" w:color="auto" w:fill="FFFFFF"/>
        </w:rPr>
        <w:t>,</w:t>
      </w:r>
      <w:r w:rsidR="00485DA2">
        <w:rPr>
          <w:rFonts w:eastAsia="Times New Roman"/>
          <w:color w:val="333333"/>
          <w:shd w:val="clear" w:color="auto" w:fill="FFFFFF"/>
        </w:rPr>
        <w:t xml:space="preserve"> SpO</w:t>
      </w:r>
      <w:r w:rsidR="00485DA2">
        <w:rPr>
          <w:rFonts w:eastAsia="Times New Roman"/>
          <w:color w:val="333333"/>
          <w:shd w:val="clear" w:color="auto" w:fill="FFFFFF"/>
          <w:vertAlign w:val="subscript"/>
        </w:rPr>
        <w:t>2</w:t>
      </w:r>
      <w:r w:rsidR="00485DA2">
        <w:rPr>
          <w:rFonts w:eastAsia="Times New Roman"/>
          <w:color w:val="333333"/>
          <w:shd w:val="clear" w:color="auto" w:fill="FFFFFF"/>
        </w:rPr>
        <w:t xml:space="preserve"> reading</w:t>
      </w:r>
      <w:r w:rsidR="00651355">
        <w:rPr>
          <w:rFonts w:eastAsia="Times New Roman"/>
          <w:color w:val="333333"/>
          <w:shd w:val="clear" w:color="auto" w:fill="FFFFFF"/>
        </w:rPr>
        <w:t>s should be interpreted</w:t>
      </w:r>
      <w:r w:rsidR="00485DA2">
        <w:rPr>
          <w:rFonts w:eastAsia="Times New Roman"/>
          <w:color w:val="333333"/>
          <w:shd w:val="clear" w:color="auto" w:fill="FFFFFF"/>
        </w:rPr>
        <w:t xml:space="preserve"> within</w:t>
      </w:r>
      <w:r w:rsidR="00651355">
        <w:rPr>
          <w:rFonts w:eastAsia="Times New Roman"/>
          <w:color w:val="333333"/>
          <w:shd w:val="clear" w:color="auto" w:fill="FFFFFF"/>
        </w:rPr>
        <w:t xml:space="preserve"> the context of the patient</w:t>
      </w:r>
      <w:r w:rsidR="0091239A">
        <w:rPr>
          <w:rFonts w:eastAsia="Times New Roman"/>
          <w:color w:val="333333"/>
          <w:shd w:val="clear" w:color="auto" w:fill="FFFFFF"/>
        </w:rPr>
        <w:t>, their</w:t>
      </w:r>
      <w:r w:rsidR="00651355">
        <w:rPr>
          <w:rFonts w:eastAsia="Times New Roman"/>
          <w:color w:val="333333"/>
          <w:shd w:val="clear" w:color="auto" w:fill="FFFFFF"/>
        </w:rPr>
        <w:t xml:space="preserve"> </w:t>
      </w:r>
      <w:r w:rsidR="00C82AB1">
        <w:rPr>
          <w:rFonts w:eastAsia="Times New Roman"/>
          <w:color w:val="333333"/>
          <w:shd w:val="clear" w:color="auto" w:fill="FFFFFF"/>
        </w:rPr>
        <w:t xml:space="preserve">history and </w:t>
      </w:r>
      <w:r w:rsidR="0091239A">
        <w:rPr>
          <w:rFonts w:eastAsia="Times New Roman"/>
          <w:color w:val="333333"/>
          <w:shd w:val="clear" w:color="auto" w:fill="FFFFFF"/>
        </w:rPr>
        <w:t xml:space="preserve">the </w:t>
      </w:r>
      <w:r w:rsidR="00651355">
        <w:rPr>
          <w:rFonts w:eastAsia="Times New Roman"/>
          <w:color w:val="333333"/>
          <w:shd w:val="clear" w:color="auto" w:fill="FFFFFF"/>
        </w:rPr>
        <w:t xml:space="preserve">other </w:t>
      </w:r>
      <w:r w:rsidR="00485DA2">
        <w:rPr>
          <w:rFonts w:eastAsia="Times New Roman"/>
          <w:color w:val="333333"/>
          <w:shd w:val="clear" w:color="auto" w:fill="FFFFFF"/>
        </w:rPr>
        <w:t>c</w:t>
      </w:r>
      <w:r w:rsidR="0091239A">
        <w:rPr>
          <w:rFonts w:eastAsia="Times New Roman"/>
          <w:color w:val="333333"/>
          <w:shd w:val="clear" w:color="auto" w:fill="FFFFFF"/>
        </w:rPr>
        <w:t xml:space="preserve">linical assessment findings, as well as an appreciation of the </w:t>
      </w:r>
      <w:r w:rsidR="00485DA2">
        <w:rPr>
          <w:rFonts w:eastAsia="Times New Roman"/>
          <w:color w:val="333333"/>
          <w:shd w:val="clear" w:color="auto" w:fill="FFFFFF"/>
        </w:rPr>
        <w:t>limitations of pulse oximetry</w:t>
      </w:r>
      <w:r w:rsidR="00C82AB1">
        <w:rPr>
          <w:rFonts w:eastAsia="Times New Roman"/>
          <w:color w:val="333333"/>
          <w:shd w:val="clear" w:color="auto" w:fill="FFFFFF"/>
        </w:rPr>
        <w:t>.</w:t>
      </w:r>
      <w:r w:rsidR="00C82AB1">
        <w:rPr>
          <w:rFonts w:eastAsia="Times New Roman"/>
          <w:color w:val="333333"/>
          <w:shd w:val="clear" w:color="auto" w:fill="FFFFFF"/>
          <w:vertAlign w:val="subscript"/>
        </w:rPr>
        <w:t xml:space="preserve"> </w:t>
      </w:r>
      <w:r w:rsidR="00C76F0E">
        <w:rPr>
          <w:rFonts w:eastAsia="Times New Roman"/>
          <w:color w:val="333333"/>
          <w:shd w:val="clear" w:color="auto" w:fill="FFFFFF"/>
        </w:rPr>
        <w:t xml:space="preserve">These </w:t>
      </w:r>
      <w:r w:rsidR="00C82AB1">
        <w:rPr>
          <w:rFonts w:eastAsia="Times New Roman"/>
          <w:color w:val="333333"/>
          <w:shd w:val="clear" w:color="auto" w:fill="FFFFFF"/>
        </w:rPr>
        <w:t xml:space="preserve">are basic </w:t>
      </w:r>
      <w:r w:rsidR="00C76F0E">
        <w:rPr>
          <w:rFonts w:eastAsia="Times New Roman"/>
          <w:color w:val="333333"/>
          <w:shd w:val="clear" w:color="auto" w:fill="FFFFFF"/>
        </w:rPr>
        <w:t xml:space="preserve">rules </w:t>
      </w:r>
      <w:r w:rsidR="00C82AB1">
        <w:rPr>
          <w:rFonts w:eastAsia="Times New Roman"/>
          <w:color w:val="333333"/>
          <w:shd w:val="clear" w:color="auto" w:fill="FFFFFF"/>
        </w:rPr>
        <w:t xml:space="preserve">that </w:t>
      </w:r>
      <w:r w:rsidR="00A274B0">
        <w:rPr>
          <w:rFonts w:eastAsia="Times New Roman"/>
          <w:color w:val="333333"/>
          <w:shd w:val="clear" w:color="auto" w:fill="FFFFFF"/>
        </w:rPr>
        <w:t>apply to the use of all medical devices. Pulse oximetry has proved itself to be a</w:t>
      </w:r>
      <w:r w:rsidR="00C76F0E">
        <w:rPr>
          <w:rFonts w:eastAsia="Times New Roman"/>
          <w:color w:val="333333"/>
          <w:shd w:val="clear" w:color="auto" w:fill="FFFFFF"/>
        </w:rPr>
        <w:t>n</w:t>
      </w:r>
      <w:r w:rsidR="00A274B0">
        <w:rPr>
          <w:rFonts w:eastAsia="Times New Roman"/>
          <w:color w:val="333333"/>
          <w:shd w:val="clear" w:color="auto" w:fill="FFFFFF"/>
        </w:rPr>
        <w:t xml:space="preserve"> </w:t>
      </w:r>
      <w:r w:rsidR="00C76F0E">
        <w:rPr>
          <w:rFonts w:eastAsia="Times New Roman"/>
          <w:color w:val="333333"/>
          <w:shd w:val="clear" w:color="auto" w:fill="FFFFFF"/>
        </w:rPr>
        <w:t>invaluable tool for</w:t>
      </w:r>
      <w:r w:rsidR="00A274B0">
        <w:rPr>
          <w:rFonts w:eastAsia="Times New Roman"/>
          <w:color w:val="333333"/>
          <w:shd w:val="clear" w:color="auto" w:fill="FFFFFF"/>
        </w:rPr>
        <w:t xml:space="preserve"> the assessment and management o</w:t>
      </w:r>
      <w:r w:rsidR="00C76F0E">
        <w:rPr>
          <w:rFonts w:eastAsia="Times New Roman"/>
          <w:color w:val="333333"/>
          <w:shd w:val="clear" w:color="auto" w:fill="FFFFFF"/>
        </w:rPr>
        <w:t>f patients in primary care bu</w:t>
      </w:r>
      <w:r w:rsidR="00793953">
        <w:rPr>
          <w:rFonts w:eastAsia="Times New Roman"/>
          <w:color w:val="333333"/>
          <w:shd w:val="clear" w:color="auto" w:fill="FFFFFF"/>
        </w:rPr>
        <w:t>t it is not a perfect tool. C</w:t>
      </w:r>
      <w:r w:rsidR="00C76F0E">
        <w:rPr>
          <w:rFonts w:eastAsia="Times New Roman"/>
          <w:color w:val="333333"/>
          <w:shd w:val="clear" w:color="auto" w:fill="FFFFFF"/>
        </w:rPr>
        <w:t>l</w:t>
      </w:r>
      <w:r w:rsidR="00793953">
        <w:rPr>
          <w:rFonts w:eastAsia="Times New Roman"/>
          <w:color w:val="333333"/>
          <w:shd w:val="clear" w:color="auto" w:fill="FFFFFF"/>
        </w:rPr>
        <w:t xml:space="preserve">inicians </w:t>
      </w:r>
      <w:r w:rsidR="00793953">
        <w:rPr>
          <w:rFonts w:eastAsia="Times New Roman"/>
          <w:color w:val="333333"/>
          <w:shd w:val="clear" w:color="auto" w:fill="FFFFFF"/>
        </w:rPr>
        <w:lastRenderedPageBreak/>
        <w:t>should be aware of the</w:t>
      </w:r>
      <w:r w:rsidR="00C76F0E">
        <w:rPr>
          <w:rFonts w:eastAsia="Times New Roman"/>
          <w:color w:val="333333"/>
          <w:shd w:val="clear" w:color="auto" w:fill="FFFFFF"/>
        </w:rPr>
        <w:t xml:space="preserve"> limitations</w:t>
      </w:r>
      <w:r w:rsidR="00793953">
        <w:rPr>
          <w:rFonts w:eastAsia="Times New Roman"/>
          <w:color w:val="333333"/>
          <w:shd w:val="clear" w:color="auto" w:fill="FFFFFF"/>
        </w:rPr>
        <w:t xml:space="preserve"> of pulse oximetry, the factors that cause</w:t>
      </w:r>
      <w:r w:rsidR="004A60CB">
        <w:rPr>
          <w:rFonts w:eastAsia="Times New Roman"/>
          <w:color w:val="333333"/>
          <w:shd w:val="clear" w:color="auto" w:fill="FFFFFF"/>
        </w:rPr>
        <w:t xml:space="preserve"> sampling errors and the </w:t>
      </w:r>
      <w:r w:rsidR="00793953">
        <w:rPr>
          <w:rFonts w:eastAsia="Times New Roman"/>
          <w:color w:val="333333"/>
          <w:shd w:val="clear" w:color="auto" w:fill="FFFFFF"/>
        </w:rPr>
        <w:t xml:space="preserve">potential for misinterpretation, </w:t>
      </w:r>
      <w:r w:rsidR="00C76F0E">
        <w:rPr>
          <w:rFonts w:eastAsia="Times New Roman"/>
          <w:color w:val="333333"/>
          <w:shd w:val="clear" w:color="auto" w:fill="FFFFFF"/>
        </w:rPr>
        <w:t xml:space="preserve">when basing </w:t>
      </w:r>
      <w:r w:rsidR="00793953">
        <w:rPr>
          <w:rFonts w:eastAsia="Times New Roman"/>
          <w:color w:val="333333"/>
          <w:shd w:val="clear" w:color="auto" w:fill="FFFFFF"/>
        </w:rPr>
        <w:t>a critical clinical decision</w:t>
      </w:r>
      <w:r w:rsidR="00C76F0E">
        <w:rPr>
          <w:rFonts w:eastAsia="Times New Roman"/>
          <w:color w:val="333333"/>
          <w:shd w:val="clear" w:color="auto" w:fill="FFFFFF"/>
        </w:rPr>
        <w:t xml:space="preserve"> on </w:t>
      </w:r>
      <w:r w:rsidR="00793953">
        <w:rPr>
          <w:rFonts w:eastAsia="Times New Roman"/>
          <w:color w:val="333333"/>
          <w:shd w:val="clear" w:color="auto" w:fill="FFFFFF"/>
        </w:rPr>
        <w:t xml:space="preserve">a </w:t>
      </w:r>
      <w:r w:rsidR="00C76F0E">
        <w:rPr>
          <w:rFonts w:eastAsia="Times New Roman"/>
          <w:color w:val="333333"/>
          <w:shd w:val="clear" w:color="auto" w:fill="FFFFFF"/>
        </w:rPr>
        <w:t>SpO</w:t>
      </w:r>
      <w:r w:rsidR="00C76F0E">
        <w:rPr>
          <w:rFonts w:eastAsia="Times New Roman"/>
          <w:color w:val="333333"/>
          <w:shd w:val="clear" w:color="auto" w:fill="FFFFFF"/>
          <w:vertAlign w:val="subscript"/>
        </w:rPr>
        <w:t>2</w:t>
      </w:r>
      <w:r w:rsidR="00793953">
        <w:rPr>
          <w:rFonts w:eastAsia="Times New Roman"/>
          <w:color w:val="333333"/>
          <w:shd w:val="clear" w:color="auto" w:fill="FFFFFF"/>
        </w:rPr>
        <w:t xml:space="preserve"> reading</w:t>
      </w:r>
      <w:r w:rsidR="00C76F0E">
        <w:rPr>
          <w:rFonts w:eastAsia="Times New Roman"/>
          <w:color w:val="333333"/>
          <w:shd w:val="clear" w:color="auto" w:fill="FFFFFF"/>
        </w:rPr>
        <w:t>.</w:t>
      </w:r>
    </w:p>
    <w:p w14:paraId="0D2B0977" w14:textId="77777777" w:rsidR="00C6675D" w:rsidRDefault="00C6675D" w:rsidP="00AF16EF">
      <w:pPr>
        <w:spacing w:line="360" w:lineRule="auto"/>
        <w:rPr>
          <w:b/>
          <w:bCs/>
          <w:color w:val="000000"/>
          <w:shd w:val="clear" w:color="auto" w:fill="FFFFFF"/>
          <w:lang w:val="en-US"/>
        </w:rPr>
      </w:pPr>
    </w:p>
    <w:p w14:paraId="4716DE0A" w14:textId="77777777" w:rsidR="00C6675D" w:rsidRDefault="00C6675D" w:rsidP="00AF16EF">
      <w:pPr>
        <w:spacing w:line="360" w:lineRule="auto"/>
        <w:rPr>
          <w:b/>
          <w:bCs/>
          <w:color w:val="000000"/>
          <w:shd w:val="clear" w:color="auto" w:fill="FFFFFF"/>
          <w:lang w:val="en-US"/>
        </w:rPr>
      </w:pPr>
    </w:p>
    <w:p w14:paraId="6019F026" w14:textId="77777777" w:rsidR="00CD63B0" w:rsidRDefault="00CD63B0" w:rsidP="00AF16EF">
      <w:pPr>
        <w:spacing w:line="360" w:lineRule="auto"/>
        <w:rPr>
          <w:b/>
          <w:bCs/>
          <w:color w:val="000000"/>
          <w:shd w:val="clear" w:color="auto" w:fill="FFFFFF"/>
          <w:lang w:val="en-US"/>
        </w:rPr>
      </w:pPr>
    </w:p>
    <w:p w14:paraId="207A05A1" w14:textId="0AD8F024" w:rsidR="005053D2" w:rsidRPr="00AF16EF" w:rsidRDefault="00D04F9E" w:rsidP="008E7F48">
      <w:pPr>
        <w:pStyle w:val="Heading1"/>
        <w:rPr>
          <w:rFonts w:eastAsia="Times New Roman"/>
          <w:color w:val="333333"/>
          <w:shd w:val="clear" w:color="auto" w:fill="FFFFFF"/>
        </w:rPr>
      </w:pPr>
      <w:r w:rsidRPr="00C60614">
        <w:rPr>
          <w:shd w:val="clear" w:color="auto" w:fill="FFFFFF"/>
          <w:lang w:val="en-US"/>
        </w:rPr>
        <w:t>References</w:t>
      </w:r>
    </w:p>
    <w:p w14:paraId="431ADE98" w14:textId="77777777" w:rsidR="005053D2" w:rsidRPr="00C60614" w:rsidRDefault="005053D2" w:rsidP="00C60614">
      <w:pPr>
        <w:spacing w:line="360" w:lineRule="auto"/>
        <w:jc w:val="both"/>
        <w:textAlignment w:val="baseline"/>
        <w:rPr>
          <w:b/>
          <w:bCs/>
          <w:color w:val="000000"/>
          <w:shd w:val="clear" w:color="auto" w:fill="FFFFFF"/>
          <w:lang w:val="en-US"/>
        </w:rPr>
      </w:pPr>
    </w:p>
    <w:p w14:paraId="6BD55D23" w14:textId="707FFC44" w:rsidR="000D77D6" w:rsidRPr="00C60614" w:rsidRDefault="00D04F9E" w:rsidP="00C60614">
      <w:pPr>
        <w:pStyle w:val="ListParagraph"/>
        <w:numPr>
          <w:ilvl w:val="0"/>
          <w:numId w:val="5"/>
        </w:numPr>
        <w:spacing w:line="360" w:lineRule="auto"/>
        <w:rPr>
          <w:rFonts w:eastAsia="Times New Roman"/>
          <w:color w:val="000000" w:themeColor="text1"/>
          <w:sz w:val="24"/>
          <w:szCs w:val="24"/>
          <w:lang w:val="en-US"/>
        </w:rPr>
      </w:pPr>
      <w:r w:rsidRPr="00C60614">
        <w:rPr>
          <w:rFonts w:eastAsia="Times New Roman"/>
          <w:color w:val="000000" w:themeColor="text1"/>
          <w:sz w:val="24"/>
          <w:szCs w:val="24"/>
          <w:shd w:val="clear" w:color="auto" w:fill="FFFFFF"/>
          <w:lang w:val="en-US"/>
        </w:rPr>
        <w:t xml:space="preserve">Greenhalgh T, Knight M, Inada-Kim M, </w:t>
      </w:r>
      <w:r w:rsidR="00AF16EF">
        <w:rPr>
          <w:rFonts w:eastAsia="Times New Roman"/>
          <w:color w:val="000000" w:themeColor="text1"/>
          <w:sz w:val="24"/>
          <w:szCs w:val="24"/>
          <w:shd w:val="clear" w:color="auto" w:fill="FFFFFF"/>
          <w:lang w:val="en-US"/>
        </w:rPr>
        <w:t xml:space="preserve">et al., </w:t>
      </w:r>
      <w:r w:rsidRPr="00C60614">
        <w:rPr>
          <w:rFonts w:eastAsia="Times New Roman"/>
          <w:color w:val="000000" w:themeColor="text1"/>
          <w:sz w:val="24"/>
          <w:szCs w:val="24"/>
          <w:shd w:val="clear" w:color="auto" w:fill="FFFFFF"/>
          <w:lang w:val="en-US"/>
        </w:rPr>
        <w:t xml:space="preserve">Remote management of </w:t>
      </w:r>
      <w:r w:rsidR="00AF16EF">
        <w:rPr>
          <w:rFonts w:eastAsia="Times New Roman"/>
          <w:color w:val="000000" w:themeColor="text1"/>
          <w:sz w:val="24"/>
          <w:szCs w:val="24"/>
          <w:shd w:val="clear" w:color="auto" w:fill="FFFFFF"/>
          <w:lang w:val="en-US"/>
        </w:rPr>
        <w:t>C</w:t>
      </w:r>
      <w:r w:rsidRPr="00C60614">
        <w:rPr>
          <w:rFonts w:eastAsia="Times New Roman"/>
          <w:color w:val="000000" w:themeColor="text1"/>
          <w:sz w:val="24"/>
          <w:szCs w:val="24"/>
          <w:shd w:val="clear" w:color="auto" w:fill="FFFFFF"/>
          <w:lang w:val="en-US"/>
        </w:rPr>
        <w:t xml:space="preserve">ovid-19 using home pulse oximetry and virtual ward support. </w:t>
      </w:r>
      <w:r w:rsidRPr="00C56238">
        <w:rPr>
          <w:rFonts w:eastAsia="Times New Roman"/>
          <w:i/>
          <w:iCs/>
          <w:color w:val="000000" w:themeColor="text1"/>
          <w:sz w:val="24"/>
          <w:szCs w:val="24"/>
          <w:shd w:val="clear" w:color="auto" w:fill="FFFFFF"/>
          <w:lang w:val="en-US"/>
        </w:rPr>
        <w:t>BMJ</w:t>
      </w:r>
      <w:r w:rsidRPr="00C60614">
        <w:rPr>
          <w:rFonts w:eastAsia="Times New Roman"/>
          <w:color w:val="000000" w:themeColor="text1"/>
          <w:sz w:val="24"/>
          <w:szCs w:val="24"/>
          <w:shd w:val="clear" w:color="auto" w:fill="FFFFFF"/>
          <w:lang w:val="en-US"/>
        </w:rPr>
        <w:t xml:space="preserve"> 2021;</w:t>
      </w:r>
      <w:proofErr w:type="gramStart"/>
      <w:r w:rsidRPr="00C60614">
        <w:rPr>
          <w:rFonts w:eastAsia="Times New Roman"/>
          <w:color w:val="000000" w:themeColor="text1"/>
          <w:sz w:val="24"/>
          <w:szCs w:val="24"/>
          <w:shd w:val="clear" w:color="auto" w:fill="FFFFFF"/>
          <w:lang w:val="en-US"/>
        </w:rPr>
        <w:t>372:n</w:t>
      </w:r>
      <w:proofErr w:type="gramEnd"/>
      <w:r w:rsidRPr="00C60614">
        <w:rPr>
          <w:rFonts w:eastAsia="Times New Roman"/>
          <w:color w:val="000000" w:themeColor="text1"/>
          <w:sz w:val="24"/>
          <w:szCs w:val="24"/>
          <w:shd w:val="clear" w:color="auto" w:fill="FFFFFF"/>
          <w:lang w:val="en-US"/>
        </w:rPr>
        <w:t xml:space="preserve">677. </w:t>
      </w:r>
      <w:proofErr w:type="spellStart"/>
      <w:r w:rsidRPr="00C60614">
        <w:rPr>
          <w:rFonts w:eastAsia="Times New Roman"/>
          <w:color w:val="000000" w:themeColor="text1"/>
          <w:sz w:val="24"/>
          <w:szCs w:val="24"/>
          <w:shd w:val="clear" w:color="auto" w:fill="FFFFFF"/>
          <w:lang w:val="en-US"/>
        </w:rPr>
        <w:t>doi</w:t>
      </w:r>
      <w:proofErr w:type="spellEnd"/>
      <w:r w:rsidRPr="00C60614">
        <w:rPr>
          <w:rFonts w:eastAsia="Times New Roman"/>
          <w:color w:val="000000" w:themeColor="text1"/>
          <w:sz w:val="24"/>
          <w:szCs w:val="24"/>
          <w:shd w:val="clear" w:color="auto" w:fill="FFFFFF"/>
          <w:lang w:val="en-US"/>
        </w:rPr>
        <w:t>: 10.1136/</w:t>
      </w:r>
      <w:proofErr w:type="gramStart"/>
      <w:r w:rsidRPr="00C60614">
        <w:rPr>
          <w:rFonts w:eastAsia="Times New Roman"/>
          <w:color w:val="000000" w:themeColor="text1"/>
          <w:sz w:val="24"/>
          <w:szCs w:val="24"/>
          <w:shd w:val="clear" w:color="auto" w:fill="FFFFFF"/>
          <w:lang w:val="en-US"/>
        </w:rPr>
        <w:t>bmj.n</w:t>
      </w:r>
      <w:proofErr w:type="gramEnd"/>
      <w:r w:rsidRPr="00C60614">
        <w:rPr>
          <w:rFonts w:eastAsia="Times New Roman"/>
          <w:color w:val="000000" w:themeColor="text1"/>
          <w:sz w:val="24"/>
          <w:szCs w:val="24"/>
          <w:shd w:val="clear" w:color="auto" w:fill="FFFFFF"/>
          <w:lang w:val="en-US"/>
        </w:rPr>
        <w:t xml:space="preserve">677. Erratum in: </w:t>
      </w:r>
      <w:r w:rsidRPr="00C56238">
        <w:rPr>
          <w:rFonts w:eastAsia="Times New Roman"/>
          <w:i/>
          <w:iCs/>
          <w:color w:val="000000" w:themeColor="text1"/>
          <w:sz w:val="24"/>
          <w:szCs w:val="24"/>
          <w:shd w:val="clear" w:color="auto" w:fill="FFFFFF"/>
          <w:lang w:val="en-US"/>
        </w:rPr>
        <w:t>BMJ</w:t>
      </w:r>
      <w:r w:rsidRPr="00C60614">
        <w:rPr>
          <w:rFonts w:eastAsia="Times New Roman"/>
          <w:color w:val="000000" w:themeColor="text1"/>
          <w:sz w:val="24"/>
          <w:szCs w:val="24"/>
          <w:shd w:val="clear" w:color="auto" w:fill="FFFFFF"/>
          <w:lang w:val="en-US"/>
        </w:rPr>
        <w:t xml:space="preserve"> 2021;</w:t>
      </w:r>
      <w:proofErr w:type="gramStart"/>
      <w:r w:rsidRPr="00C60614">
        <w:rPr>
          <w:rFonts w:eastAsia="Times New Roman"/>
          <w:color w:val="000000" w:themeColor="text1"/>
          <w:sz w:val="24"/>
          <w:szCs w:val="24"/>
          <w:shd w:val="clear" w:color="auto" w:fill="FFFFFF"/>
          <w:lang w:val="en-US"/>
        </w:rPr>
        <w:t>373:n</w:t>
      </w:r>
      <w:proofErr w:type="gramEnd"/>
      <w:r w:rsidRPr="00C60614">
        <w:rPr>
          <w:rFonts w:eastAsia="Times New Roman"/>
          <w:color w:val="000000" w:themeColor="text1"/>
          <w:sz w:val="24"/>
          <w:szCs w:val="24"/>
          <w:shd w:val="clear" w:color="auto" w:fill="FFFFFF"/>
          <w:lang w:val="en-US"/>
        </w:rPr>
        <w:t xml:space="preserve">1001. </w:t>
      </w:r>
      <w:r w:rsidR="00C56238">
        <w:rPr>
          <w:rFonts w:eastAsia="Times New Roman"/>
          <w:color w:val="000000" w:themeColor="text1"/>
          <w:sz w:val="24"/>
          <w:szCs w:val="24"/>
          <w:shd w:val="clear" w:color="auto" w:fill="FFFFFF"/>
          <w:lang w:val="en-US"/>
        </w:rPr>
        <w:t xml:space="preserve"> </w:t>
      </w:r>
    </w:p>
    <w:p w14:paraId="2C179C3C" w14:textId="138B07E5" w:rsidR="004C1DB6" w:rsidRDefault="004C1DB6" w:rsidP="00C60614">
      <w:pPr>
        <w:pStyle w:val="ListParagraph"/>
        <w:numPr>
          <w:ilvl w:val="0"/>
          <w:numId w:val="5"/>
        </w:numPr>
        <w:spacing w:after="0" w:line="360" w:lineRule="auto"/>
        <w:jc w:val="both"/>
        <w:textAlignment w:val="baseline"/>
        <w:rPr>
          <w:rFonts w:eastAsia="Times New Roman"/>
          <w:color w:val="000000" w:themeColor="text1"/>
          <w:sz w:val="24"/>
          <w:szCs w:val="24"/>
          <w:lang w:val="en-US" w:eastAsia="it-IT"/>
        </w:rPr>
      </w:pPr>
      <w:r w:rsidRPr="00C60614">
        <w:rPr>
          <w:rFonts w:eastAsia="Times New Roman"/>
          <w:color w:val="000000" w:themeColor="text1"/>
          <w:sz w:val="24"/>
          <w:szCs w:val="24"/>
          <w:lang w:val="en-US" w:eastAsia="it-IT"/>
        </w:rPr>
        <w:t xml:space="preserve">Armitage R. General practice after COVID-19: a greater role for remote patient monitoring. </w:t>
      </w:r>
      <w:r w:rsidRPr="00C60614">
        <w:rPr>
          <w:rFonts w:eastAsia="Times New Roman"/>
          <w:i/>
          <w:iCs/>
          <w:color w:val="000000" w:themeColor="text1"/>
          <w:sz w:val="24"/>
          <w:szCs w:val="24"/>
          <w:lang w:val="en-US" w:eastAsia="it-IT"/>
        </w:rPr>
        <w:t xml:space="preserve">Br J Gen </w:t>
      </w:r>
      <w:proofErr w:type="spellStart"/>
      <w:r w:rsidRPr="00C60614">
        <w:rPr>
          <w:rFonts w:eastAsia="Times New Roman"/>
          <w:i/>
          <w:iCs/>
          <w:color w:val="000000" w:themeColor="text1"/>
          <w:sz w:val="24"/>
          <w:szCs w:val="24"/>
          <w:lang w:val="en-US" w:eastAsia="it-IT"/>
        </w:rPr>
        <w:t>Pract</w:t>
      </w:r>
      <w:proofErr w:type="spellEnd"/>
      <w:r w:rsidRPr="00C60614">
        <w:rPr>
          <w:rFonts w:eastAsia="Times New Roman"/>
          <w:color w:val="000000" w:themeColor="text1"/>
          <w:sz w:val="24"/>
          <w:szCs w:val="24"/>
          <w:lang w:val="en-US" w:eastAsia="it-IT"/>
        </w:rPr>
        <w:t xml:space="preserve"> 2021;</w:t>
      </w:r>
      <w:r w:rsidRPr="00C60614">
        <w:rPr>
          <w:rFonts w:eastAsia="Times New Roman"/>
          <w:bCs/>
          <w:color w:val="000000" w:themeColor="text1"/>
          <w:sz w:val="24"/>
          <w:szCs w:val="24"/>
          <w:lang w:val="en-US" w:eastAsia="it-IT"/>
        </w:rPr>
        <w:t>71(707):</w:t>
      </w:r>
      <w:r w:rsidRPr="00C60614">
        <w:rPr>
          <w:rFonts w:eastAsia="Times New Roman"/>
          <w:color w:val="000000" w:themeColor="text1"/>
          <w:sz w:val="24"/>
          <w:szCs w:val="24"/>
          <w:lang w:val="en-US" w:eastAsia="it-IT"/>
        </w:rPr>
        <w:t>276.</w:t>
      </w:r>
      <w:r w:rsidR="00A25571">
        <w:rPr>
          <w:rFonts w:eastAsia="Times New Roman"/>
          <w:color w:val="000000" w:themeColor="text1"/>
          <w:sz w:val="24"/>
          <w:szCs w:val="24"/>
          <w:lang w:val="en-US" w:eastAsia="it-IT"/>
        </w:rPr>
        <w:t xml:space="preserve"> </w:t>
      </w:r>
      <w:proofErr w:type="spellStart"/>
      <w:r w:rsidR="00A25571" w:rsidRPr="00A25571">
        <w:rPr>
          <w:rFonts w:eastAsia="Times New Roman"/>
          <w:color w:val="000000" w:themeColor="text1"/>
          <w:sz w:val="24"/>
          <w:szCs w:val="24"/>
          <w:lang w:val="en-US" w:eastAsia="it-IT"/>
        </w:rPr>
        <w:t>doi</w:t>
      </w:r>
      <w:proofErr w:type="spellEnd"/>
      <w:r w:rsidR="00A25571" w:rsidRPr="00A25571">
        <w:rPr>
          <w:rFonts w:eastAsia="Times New Roman"/>
          <w:color w:val="000000" w:themeColor="text1"/>
          <w:sz w:val="24"/>
          <w:szCs w:val="24"/>
          <w:lang w:val="en-US" w:eastAsia="it-IT"/>
        </w:rPr>
        <w:t>: 10.3399/bjgp21X716069</w:t>
      </w:r>
    </w:p>
    <w:p w14:paraId="20D167D7" w14:textId="6E5E5ADE" w:rsidR="004C1DB6" w:rsidRDefault="004C1DB6" w:rsidP="00C60614">
      <w:pPr>
        <w:pStyle w:val="ListParagraph"/>
        <w:numPr>
          <w:ilvl w:val="0"/>
          <w:numId w:val="5"/>
        </w:numPr>
        <w:shd w:val="clear" w:color="auto" w:fill="FFFFFF"/>
        <w:spacing w:after="0" w:line="360" w:lineRule="auto"/>
        <w:jc w:val="both"/>
        <w:textAlignment w:val="baseline"/>
        <w:rPr>
          <w:rFonts w:eastAsia="Times New Roman"/>
          <w:color w:val="000000" w:themeColor="text1"/>
          <w:sz w:val="24"/>
          <w:szCs w:val="24"/>
          <w:lang w:val="en-US" w:eastAsia="it-IT"/>
        </w:rPr>
      </w:pPr>
      <w:r w:rsidRPr="00C60614">
        <w:rPr>
          <w:rFonts w:eastAsia="Times New Roman"/>
          <w:color w:val="000000" w:themeColor="text1"/>
          <w:sz w:val="24"/>
          <w:szCs w:val="24"/>
          <w:lang w:val="en-US" w:eastAsia="it-IT"/>
        </w:rPr>
        <w:t xml:space="preserve">Irving G, Neves L. What next for COVID Oximetry and virtual ward? </w:t>
      </w:r>
      <w:r w:rsidRPr="00C60614">
        <w:rPr>
          <w:rFonts w:eastAsia="Times New Roman"/>
          <w:i/>
          <w:iCs/>
          <w:color w:val="000000" w:themeColor="text1"/>
          <w:sz w:val="24"/>
          <w:szCs w:val="24"/>
          <w:lang w:val="en-US" w:eastAsia="it-IT"/>
        </w:rPr>
        <w:t xml:space="preserve">Br J Gen </w:t>
      </w:r>
      <w:proofErr w:type="spellStart"/>
      <w:r w:rsidRPr="00C60614">
        <w:rPr>
          <w:rFonts w:eastAsia="Times New Roman"/>
          <w:i/>
          <w:iCs/>
          <w:color w:val="000000" w:themeColor="text1"/>
          <w:sz w:val="24"/>
          <w:szCs w:val="24"/>
          <w:lang w:val="en-US" w:eastAsia="it-IT"/>
        </w:rPr>
        <w:t>Pract</w:t>
      </w:r>
      <w:proofErr w:type="spellEnd"/>
      <w:r w:rsidRPr="00C60614">
        <w:rPr>
          <w:rFonts w:eastAsia="Times New Roman"/>
          <w:color w:val="000000" w:themeColor="text1"/>
          <w:sz w:val="24"/>
          <w:szCs w:val="24"/>
          <w:lang w:val="en-US" w:eastAsia="it-IT"/>
        </w:rPr>
        <w:t xml:space="preserve"> 2021;</w:t>
      </w:r>
      <w:r w:rsidRPr="00C60614">
        <w:rPr>
          <w:rFonts w:eastAsia="Times New Roman"/>
          <w:bCs/>
          <w:color w:val="000000" w:themeColor="text1"/>
          <w:sz w:val="24"/>
          <w:szCs w:val="24"/>
          <w:lang w:val="en-US" w:eastAsia="it-IT"/>
        </w:rPr>
        <w:t>71(710):</w:t>
      </w:r>
      <w:r w:rsidRPr="00C60614">
        <w:rPr>
          <w:rFonts w:eastAsia="Times New Roman"/>
          <w:color w:val="000000" w:themeColor="text1"/>
          <w:sz w:val="24"/>
          <w:szCs w:val="24"/>
          <w:lang w:val="en-US" w:eastAsia="it-IT"/>
        </w:rPr>
        <w:t xml:space="preserve">425-426. </w:t>
      </w:r>
      <w:proofErr w:type="spellStart"/>
      <w:r w:rsidR="00A25571" w:rsidRPr="00A25571">
        <w:rPr>
          <w:rFonts w:eastAsia="Times New Roman"/>
          <w:color w:val="000000" w:themeColor="text1"/>
          <w:sz w:val="24"/>
          <w:szCs w:val="24"/>
          <w:lang w:val="en-US" w:eastAsia="it-IT"/>
        </w:rPr>
        <w:t>doi</w:t>
      </w:r>
      <w:proofErr w:type="spellEnd"/>
      <w:r w:rsidR="00A25571" w:rsidRPr="00A25571">
        <w:rPr>
          <w:rFonts w:eastAsia="Times New Roman"/>
          <w:color w:val="000000" w:themeColor="text1"/>
          <w:sz w:val="24"/>
          <w:szCs w:val="24"/>
          <w:lang w:val="en-US" w:eastAsia="it-IT"/>
        </w:rPr>
        <w:t xml:space="preserve">: 10.3399/bjgp21X717041. Erratum in: </w:t>
      </w:r>
      <w:r w:rsidR="00A25571" w:rsidRPr="00A25571">
        <w:rPr>
          <w:rFonts w:eastAsia="Times New Roman"/>
          <w:i/>
          <w:iCs/>
          <w:color w:val="000000" w:themeColor="text1"/>
          <w:sz w:val="24"/>
          <w:szCs w:val="24"/>
          <w:lang w:val="en-US" w:eastAsia="it-IT"/>
        </w:rPr>
        <w:t xml:space="preserve">Br J Gen </w:t>
      </w:r>
      <w:proofErr w:type="spellStart"/>
      <w:r w:rsidR="00A25571" w:rsidRPr="00A25571">
        <w:rPr>
          <w:rFonts w:eastAsia="Times New Roman"/>
          <w:i/>
          <w:iCs/>
          <w:color w:val="000000" w:themeColor="text1"/>
          <w:sz w:val="24"/>
          <w:szCs w:val="24"/>
          <w:lang w:val="en-US" w:eastAsia="it-IT"/>
        </w:rPr>
        <w:t>Pract</w:t>
      </w:r>
      <w:proofErr w:type="spellEnd"/>
      <w:r w:rsidR="00A25571" w:rsidRPr="00A25571">
        <w:rPr>
          <w:rFonts w:eastAsia="Times New Roman"/>
          <w:color w:val="000000" w:themeColor="text1"/>
          <w:sz w:val="24"/>
          <w:szCs w:val="24"/>
          <w:lang w:val="en-US" w:eastAsia="it-IT"/>
        </w:rPr>
        <w:t xml:space="preserve"> 2021;71(711):445.</w:t>
      </w:r>
    </w:p>
    <w:p w14:paraId="32F3C842" w14:textId="67405C1B" w:rsidR="000316B4" w:rsidRPr="00627878" w:rsidRDefault="00F341F0" w:rsidP="00C60614">
      <w:pPr>
        <w:pStyle w:val="ListParagraph"/>
        <w:numPr>
          <w:ilvl w:val="0"/>
          <w:numId w:val="5"/>
        </w:numPr>
        <w:shd w:val="clear" w:color="auto" w:fill="FFFFFF"/>
        <w:spacing w:after="0" w:line="360" w:lineRule="auto"/>
        <w:textAlignment w:val="baseline"/>
        <w:rPr>
          <w:rFonts w:eastAsia="Times New Roman"/>
          <w:color w:val="000000" w:themeColor="text1"/>
          <w:sz w:val="24"/>
          <w:szCs w:val="24"/>
          <w:u w:val="single"/>
          <w:lang w:val="en-US" w:eastAsia="it-IT"/>
        </w:rPr>
      </w:pPr>
      <w:r w:rsidRPr="00C60614">
        <w:rPr>
          <w:rFonts w:eastAsia="Times New Roman"/>
          <w:color w:val="000000" w:themeColor="text1"/>
          <w:sz w:val="24"/>
          <w:szCs w:val="24"/>
          <w:lang w:val="en-US" w:eastAsia="it-IT"/>
        </w:rPr>
        <w:t xml:space="preserve">Pulse oximeter accuracy and limitations: FDA safety communication. </w:t>
      </w:r>
      <w:r w:rsidR="00BD01A2">
        <w:rPr>
          <w:rFonts w:eastAsia="Times New Roman"/>
          <w:color w:val="000000" w:themeColor="text1"/>
          <w:sz w:val="24"/>
          <w:szCs w:val="24"/>
          <w:lang w:val="en-US" w:eastAsia="it-IT"/>
        </w:rPr>
        <w:t xml:space="preserve">19 </w:t>
      </w:r>
      <w:r w:rsidRPr="00C60614">
        <w:rPr>
          <w:rFonts w:eastAsia="Times New Roman"/>
          <w:color w:val="000000" w:themeColor="text1"/>
          <w:sz w:val="24"/>
          <w:szCs w:val="24"/>
          <w:lang w:val="en-US" w:eastAsia="it-IT"/>
        </w:rPr>
        <w:t xml:space="preserve">February 2021. </w:t>
      </w:r>
      <w:hyperlink r:id="rId7" w:history="1">
        <w:r w:rsidR="005007BB" w:rsidRPr="00EF3EF6">
          <w:rPr>
            <w:rStyle w:val="Hyperlink"/>
            <w:rFonts w:eastAsia="Times New Roman"/>
            <w:color w:val="auto"/>
            <w:sz w:val="24"/>
            <w:szCs w:val="24"/>
            <w:u w:val="none"/>
            <w:lang w:val="en-US" w:eastAsia="it-IT"/>
          </w:rPr>
          <w:t>https://www.fda.gov/medical-devices/safety-communications/pulse-oximeter-accuracy-and-limitations-fda-safety-communication</w:t>
        </w:r>
      </w:hyperlink>
      <w:r w:rsidR="005007BB" w:rsidRPr="00BD01A2">
        <w:rPr>
          <w:rFonts w:eastAsia="Times New Roman"/>
          <w:sz w:val="24"/>
          <w:szCs w:val="24"/>
          <w:u w:val="single"/>
          <w:lang w:val="en-US" w:eastAsia="it-IT"/>
        </w:rPr>
        <w:t xml:space="preserve"> </w:t>
      </w:r>
      <w:r w:rsidR="005007BB" w:rsidRPr="005007BB">
        <w:rPr>
          <w:rFonts w:eastAsia="Times New Roman"/>
          <w:sz w:val="24"/>
          <w:szCs w:val="24"/>
          <w:lang w:val="en-US" w:eastAsia="it-IT"/>
        </w:rPr>
        <w:t>(accessed 29 November 2021).</w:t>
      </w:r>
    </w:p>
    <w:p w14:paraId="19A5887A" w14:textId="0C2B32AF" w:rsidR="00627878" w:rsidRPr="006F1D8B" w:rsidRDefault="006F1D8B" w:rsidP="00C60614">
      <w:pPr>
        <w:pStyle w:val="ListParagraph"/>
        <w:numPr>
          <w:ilvl w:val="0"/>
          <w:numId w:val="5"/>
        </w:numPr>
        <w:shd w:val="clear" w:color="auto" w:fill="FFFFFF"/>
        <w:spacing w:after="0" w:line="360" w:lineRule="auto"/>
        <w:textAlignment w:val="baseline"/>
        <w:rPr>
          <w:rFonts w:eastAsia="Times New Roman"/>
          <w:color w:val="000000" w:themeColor="text1"/>
          <w:sz w:val="24"/>
          <w:szCs w:val="24"/>
          <w:lang w:val="en-US" w:eastAsia="it-IT"/>
        </w:rPr>
      </w:pPr>
      <w:r w:rsidRPr="006F1D8B">
        <w:rPr>
          <w:rFonts w:eastAsia="Times New Roman"/>
          <w:color w:val="000000" w:themeColor="text1"/>
          <w:sz w:val="24"/>
          <w:szCs w:val="24"/>
          <w:lang w:val="en-US" w:eastAsia="it-IT"/>
        </w:rPr>
        <w:t xml:space="preserve">Medicines and Healthcare products </w:t>
      </w:r>
      <w:r>
        <w:rPr>
          <w:rFonts w:eastAsia="Times New Roman"/>
          <w:color w:val="000000" w:themeColor="text1"/>
          <w:sz w:val="24"/>
          <w:szCs w:val="24"/>
          <w:lang w:val="en-US" w:eastAsia="it-IT"/>
        </w:rPr>
        <w:t xml:space="preserve">Regulatory </w:t>
      </w:r>
      <w:r w:rsidRPr="006F1D8B">
        <w:rPr>
          <w:rFonts w:eastAsia="Times New Roman"/>
          <w:color w:val="000000" w:themeColor="text1"/>
          <w:sz w:val="24"/>
          <w:szCs w:val="24"/>
          <w:lang w:val="en-US" w:eastAsia="it-IT"/>
        </w:rPr>
        <w:t>Agency.</w:t>
      </w:r>
      <w:r>
        <w:rPr>
          <w:rFonts w:eastAsia="Times New Roman"/>
          <w:color w:val="000000" w:themeColor="text1"/>
          <w:sz w:val="24"/>
          <w:szCs w:val="24"/>
          <w:lang w:val="en-US" w:eastAsia="it-IT"/>
        </w:rPr>
        <w:t xml:space="preserve"> The use and regulation of pulse oximeters (information for healthcare professionals. 26 March 2021. </w:t>
      </w:r>
      <w:hyperlink r:id="rId8" w:history="1">
        <w:r w:rsidRPr="006F1D8B">
          <w:rPr>
            <w:rStyle w:val="Hyperlink"/>
            <w:rFonts w:eastAsia="Times New Roman"/>
            <w:color w:val="000000" w:themeColor="text1"/>
            <w:sz w:val="24"/>
            <w:szCs w:val="24"/>
            <w:u w:val="none"/>
            <w:lang w:val="en-US" w:eastAsia="it-IT"/>
          </w:rPr>
          <w:t>https://www.gov.uk/guidance/the-use-and-regulation-of-pulse-oximeters-information-for-healthcare-professionals</w:t>
        </w:r>
      </w:hyperlink>
      <w:r w:rsidRPr="006F1D8B">
        <w:rPr>
          <w:rFonts w:eastAsia="Times New Roman"/>
          <w:color w:val="000000" w:themeColor="text1"/>
          <w:sz w:val="24"/>
          <w:szCs w:val="24"/>
          <w:lang w:val="en-US" w:eastAsia="it-IT"/>
        </w:rPr>
        <w:t xml:space="preserve"> </w:t>
      </w:r>
      <w:r>
        <w:rPr>
          <w:rFonts w:eastAsia="Times New Roman"/>
          <w:color w:val="000000" w:themeColor="text1"/>
          <w:sz w:val="24"/>
          <w:szCs w:val="24"/>
          <w:lang w:val="en-US" w:eastAsia="it-IT"/>
        </w:rPr>
        <w:t>(accessed 29 November 2021)</w:t>
      </w:r>
    </w:p>
    <w:p w14:paraId="6D9FF162" w14:textId="4DEAADA4" w:rsidR="00B37CA7" w:rsidRPr="00B37CA7" w:rsidRDefault="00BF68B0" w:rsidP="007121F2">
      <w:pPr>
        <w:pStyle w:val="ListParagraph"/>
        <w:numPr>
          <w:ilvl w:val="0"/>
          <w:numId w:val="5"/>
        </w:numPr>
        <w:spacing w:line="360" w:lineRule="auto"/>
        <w:rPr>
          <w:rFonts w:eastAsia="Times New Roman"/>
          <w:color w:val="000000" w:themeColor="text1"/>
          <w:sz w:val="24"/>
          <w:szCs w:val="24"/>
          <w:lang w:val="en-US"/>
        </w:rPr>
      </w:pPr>
      <w:proofErr w:type="spellStart"/>
      <w:r w:rsidRPr="00B37CA7">
        <w:rPr>
          <w:rFonts w:eastAsia="Times New Roman"/>
          <w:color w:val="000000" w:themeColor="text1"/>
          <w:sz w:val="24"/>
          <w:szCs w:val="24"/>
          <w:lang w:val="en-US"/>
        </w:rPr>
        <w:t>Harskamp</w:t>
      </w:r>
      <w:proofErr w:type="spellEnd"/>
      <w:r w:rsidRPr="00B37CA7">
        <w:rPr>
          <w:rFonts w:eastAsia="Times New Roman"/>
          <w:color w:val="000000" w:themeColor="text1"/>
          <w:sz w:val="24"/>
          <w:szCs w:val="24"/>
          <w:lang w:val="en-US"/>
        </w:rPr>
        <w:t xml:space="preserve"> RE, </w:t>
      </w:r>
      <w:proofErr w:type="spellStart"/>
      <w:r w:rsidRPr="00B37CA7">
        <w:rPr>
          <w:rFonts w:eastAsia="Times New Roman"/>
          <w:color w:val="000000" w:themeColor="text1"/>
          <w:sz w:val="24"/>
          <w:szCs w:val="24"/>
          <w:lang w:val="en-US"/>
        </w:rPr>
        <w:t>Bekker</w:t>
      </w:r>
      <w:proofErr w:type="spellEnd"/>
      <w:r w:rsidRPr="00B37CA7">
        <w:rPr>
          <w:rFonts w:eastAsia="Times New Roman"/>
          <w:color w:val="000000" w:themeColor="text1"/>
          <w:sz w:val="24"/>
          <w:szCs w:val="24"/>
          <w:lang w:val="en-US"/>
        </w:rPr>
        <w:t xml:space="preserve"> L, </w:t>
      </w:r>
      <w:proofErr w:type="spellStart"/>
      <w:r w:rsidRPr="00B37CA7">
        <w:rPr>
          <w:rFonts w:eastAsia="Times New Roman"/>
          <w:color w:val="000000" w:themeColor="text1"/>
          <w:sz w:val="24"/>
          <w:szCs w:val="24"/>
          <w:lang w:val="en-US"/>
        </w:rPr>
        <w:t>Himmelreich</w:t>
      </w:r>
      <w:proofErr w:type="spellEnd"/>
      <w:r w:rsidRPr="00B37CA7">
        <w:rPr>
          <w:rFonts w:eastAsia="Times New Roman"/>
          <w:color w:val="000000" w:themeColor="text1"/>
          <w:sz w:val="24"/>
          <w:szCs w:val="24"/>
          <w:lang w:val="en-US"/>
        </w:rPr>
        <w:t xml:space="preserve"> JCL, et al.</w:t>
      </w:r>
      <w:r w:rsidR="00A25571" w:rsidRPr="00B37CA7">
        <w:rPr>
          <w:rFonts w:eastAsia="Times New Roman"/>
          <w:color w:val="000000" w:themeColor="text1"/>
          <w:sz w:val="24"/>
          <w:szCs w:val="24"/>
          <w:lang w:val="en-US"/>
        </w:rPr>
        <w:t>,</w:t>
      </w:r>
      <w:r w:rsidRPr="00B37CA7">
        <w:rPr>
          <w:rFonts w:eastAsia="Times New Roman"/>
          <w:color w:val="000000" w:themeColor="text1"/>
          <w:sz w:val="24"/>
          <w:szCs w:val="24"/>
          <w:lang w:val="en-US"/>
        </w:rPr>
        <w:t xml:space="preserve"> Performance of popular pulse oximeters compared with simultaneous arterial oxygen saturation or clinical-grade pulse oximetry: a cross-sectional validation study in intensive care patients. </w:t>
      </w:r>
      <w:r w:rsidRPr="00B37CA7">
        <w:rPr>
          <w:rFonts w:eastAsia="Times New Roman"/>
          <w:i/>
          <w:iCs/>
          <w:color w:val="000000" w:themeColor="text1"/>
          <w:sz w:val="24"/>
          <w:szCs w:val="24"/>
          <w:lang w:val="en-US"/>
        </w:rPr>
        <w:t>BMJ Open Respir Res</w:t>
      </w:r>
      <w:r w:rsidRPr="00B37CA7">
        <w:rPr>
          <w:rFonts w:eastAsia="Times New Roman"/>
          <w:color w:val="000000" w:themeColor="text1"/>
          <w:sz w:val="24"/>
          <w:szCs w:val="24"/>
          <w:lang w:val="en-US"/>
        </w:rPr>
        <w:t xml:space="preserve"> 2021;8(1</w:t>
      </w:r>
      <w:proofErr w:type="gramStart"/>
      <w:r w:rsidRPr="00B37CA7">
        <w:rPr>
          <w:rFonts w:eastAsia="Times New Roman"/>
          <w:color w:val="000000" w:themeColor="text1"/>
          <w:sz w:val="24"/>
          <w:szCs w:val="24"/>
          <w:lang w:val="en-US"/>
        </w:rPr>
        <w:t>):e</w:t>
      </w:r>
      <w:proofErr w:type="gramEnd"/>
      <w:r w:rsidRPr="00B37CA7">
        <w:rPr>
          <w:rFonts w:eastAsia="Times New Roman"/>
          <w:color w:val="000000" w:themeColor="text1"/>
          <w:sz w:val="24"/>
          <w:szCs w:val="24"/>
          <w:lang w:val="en-US"/>
        </w:rPr>
        <w:t xml:space="preserve">000939. </w:t>
      </w:r>
      <w:proofErr w:type="spellStart"/>
      <w:r w:rsidR="00B37CA7" w:rsidRPr="00B37CA7">
        <w:rPr>
          <w:rFonts w:eastAsia="Times New Roman"/>
          <w:color w:val="000000" w:themeColor="text1"/>
          <w:sz w:val="24"/>
          <w:szCs w:val="24"/>
          <w:lang w:val="en-US"/>
        </w:rPr>
        <w:t>doi</w:t>
      </w:r>
      <w:proofErr w:type="spellEnd"/>
      <w:r w:rsidR="00B37CA7" w:rsidRPr="00B37CA7">
        <w:rPr>
          <w:rFonts w:eastAsia="Times New Roman"/>
          <w:color w:val="000000" w:themeColor="text1"/>
          <w:sz w:val="24"/>
          <w:szCs w:val="24"/>
          <w:lang w:val="en-US"/>
        </w:rPr>
        <w:t>: 10.1136/bmjresp-2021-000939</w:t>
      </w:r>
      <w:r w:rsidR="00B37CA7" w:rsidRPr="00B37CA7">
        <w:rPr>
          <w:rFonts w:eastAsia="Times New Roman"/>
          <w:color w:val="000000" w:themeColor="text1"/>
          <w:lang w:val="en-US"/>
        </w:rPr>
        <w:t xml:space="preserve"> </w:t>
      </w:r>
    </w:p>
    <w:p w14:paraId="7D4E978A" w14:textId="5FEA2B3F" w:rsidR="005007BB" w:rsidRPr="005007BB" w:rsidRDefault="000316B4" w:rsidP="00C60614">
      <w:pPr>
        <w:pStyle w:val="ListParagraph"/>
        <w:numPr>
          <w:ilvl w:val="0"/>
          <w:numId w:val="5"/>
        </w:numPr>
        <w:spacing w:line="360" w:lineRule="auto"/>
        <w:rPr>
          <w:rFonts w:eastAsia="Times New Roman"/>
          <w:color w:val="000000" w:themeColor="text1"/>
          <w:sz w:val="24"/>
          <w:szCs w:val="24"/>
          <w:lang w:val="en-US"/>
        </w:rPr>
      </w:pPr>
      <w:proofErr w:type="spellStart"/>
      <w:r w:rsidRPr="00C60614">
        <w:rPr>
          <w:rFonts w:eastAsia="Times New Roman"/>
          <w:color w:val="000000" w:themeColor="text1"/>
          <w:sz w:val="24"/>
          <w:szCs w:val="24"/>
          <w:shd w:val="clear" w:color="auto" w:fill="FFFFFF"/>
          <w:lang w:val="en-US"/>
        </w:rPr>
        <w:t>Lipnick</w:t>
      </w:r>
      <w:proofErr w:type="spellEnd"/>
      <w:r w:rsidRPr="00C60614">
        <w:rPr>
          <w:rFonts w:eastAsia="Times New Roman"/>
          <w:color w:val="000000" w:themeColor="text1"/>
          <w:sz w:val="24"/>
          <w:szCs w:val="24"/>
          <w:shd w:val="clear" w:color="auto" w:fill="FFFFFF"/>
          <w:lang w:val="en-US"/>
        </w:rPr>
        <w:t xml:space="preserve"> MS, </w:t>
      </w:r>
      <w:proofErr w:type="spellStart"/>
      <w:r w:rsidRPr="00C60614">
        <w:rPr>
          <w:rFonts w:eastAsia="Times New Roman"/>
          <w:color w:val="000000" w:themeColor="text1"/>
          <w:sz w:val="24"/>
          <w:szCs w:val="24"/>
          <w:shd w:val="clear" w:color="auto" w:fill="FFFFFF"/>
          <w:lang w:val="en-US"/>
        </w:rPr>
        <w:t>Feiner</w:t>
      </w:r>
      <w:proofErr w:type="spellEnd"/>
      <w:r w:rsidRPr="00C60614">
        <w:rPr>
          <w:rFonts w:eastAsia="Times New Roman"/>
          <w:color w:val="000000" w:themeColor="text1"/>
          <w:sz w:val="24"/>
          <w:szCs w:val="24"/>
          <w:shd w:val="clear" w:color="auto" w:fill="FFFFFF"/>
          <w:lang w:val="en-US"/>
        </w:rPr>
        <w:t xml:space="preserve"> JR, Au P, </w:t>
      </w:r>
      <w:r w:rsidR="00A25571">
        <w:rPr>
          <w:rFonts w:eastAsia="Times New Roman"/>
          <w:color w:val="000000" w:themeColor="text1"/>
          <w:sz w:val="24"/>
          <w:szCs w:val="24"/>
          <w:shd w:val="clear" w:color="auto" w:fill="FFFFFF"/>
          <w:lang w:val="en-US"/>
        </w:rPr>
        <w:t xml:space="preserve">et al., </w:t>
      </w:r>
      <w:r w:rsidRPr="00C60614">
        <w:rPr>
          <w:rFonts w:eastAsia="Times New Roman"/>
          <w:color w:val="000000" w:themeColor="text1"/>
          <w:sz w:val="24"/>
          <w:szCs w:val="24"/>
          <w:shd w:val="clear" w:color="auto" w:fill="FFFFFF"/>
          <w:lang w:val="en-US"/>
        </w:rPr>
        <w:t xml:space="preserve">The </w:t>
      </w:r>
      <w:r w:rsidR="003A00B6">
        <w:rPr>
          <w:rFonts w:eastAsia="Times New Roman"/>
          <w:color w:val="000000" w:themeColor="text1"/>
          <w:sz w:val="24"/>
          <w:szCs w:val="24"/>
          <w:shd w:val="clear" w:color="auto" w:fill="FFFFFF"/>
          <w:lang w:val="en-US"/>
        </w:rPr>
        <w:t>a</w:t>
      </w:r>
      <w:r w:rsidRPr="00C60614">
        <w:rPr>
          <w:rFonts w:eastAsia="Times New Roman"/>
          <w:color w:val="000000" w:themeColor="text1"/>
          <w:sz w:val="24"/>
          <w:szCs w:val="24"/>
          <w:shd w:val="clear" w:color="auto" w:fill="FFFFFF"/>
          <w:lang w:val="en-US"/>
        </w:rPr>
        <w:t xml:space="preserve">ccuracy of 6 </w:t>
      </w:r>
      <w:r w:rsidR="003A00B6">
        <w:rPr>
          <w:rFonts w:eastAsia="Times New Roman"/>
          <w:color w:val="000000" w:themeColor="text1"/>
          <w:sz w:val="24"/>
          <w:szCs w:val="24"/>
          <w:shd w:val="clear" w:color="auto" w:fill="FFFFFF"/>
          <w:lang w:val="en-US"/>
        </w:rPr>
        <w:t>i</w:t>
      </w:r>
      <w:r w:rsidRPr="00C60614">
        <w:rPr>
          <w:rFonts w:eastAsia="Times New Roman"/>
          <w:color w:val="000000" w:themeColor="text1"/>
          <w:sz w:val="24"/>
          <w:szCs w:val="24"/>
          <w:shd w:val="clear" w:color="auto" w:fill="FFFFFF"/>
          <w:lang w:val="en-US"/>
        </w:rPr>
        <w:t xml:space="preserve">nexpensive </w:t>
      </w:r>
      <w:r w:rsidR="003A00B6">
        <w:rPr>
          <w:rFonts w:eastAsia="Times New Roman"/>
          <w:color w:val="000000" w:themeColor="text1"/>
          <w:sz w:val="24"/>
          <w:szCs w:val="24"/>
          <w:shd w:val="clear" w:color="auto" w:fill="FFFFFF"/>
          <w:lang w:val="en-US"/>
        </w:rPr>
        <w:t>p</w:t>
      </w:r>
      <w:r w:rsidRPr="00C60614">
        <w:rPr>
          <w:rFonts w:eastAsia="Times New Roman"/>
          <w:color w:val="000000" w:themeColor="text1"/>
          <w:sz w:val="24"/>
          <w:szCs w:val="24"/>
          <w:shd w:val="clear" w:color="auto" w:fill="FFFFFF"/>
          <w:lang w:val="en-US"/>
        </w:rPr>
        <w:t xml:space="preserve">ulse </w:t>
      </w:r>
      <w:r w:rsidR="003A00B6">
        <w:rPr>
          <w:rFonts w:eastAsia="Times New Roman"/>
          <w:color w:val="000000" w:themeColor="text1"/>
          <w:sz w:val="24"/>
          <w:szCs w:val="24"/>
          <w:shd w:val="clear" w:color="auto" w:fill="FFFFFF"/>
          <w:lang w:val="en-US"/>
        </w:rPr>
        <w:t>o</w:t>
      </w:r>
      <w:r w:rsidRPr="00C60614">
        <w:rPr>
          <w:rFonts w:eastAsia="Times New Roman"/>
          <w:color w:val="000000" w:themeColor="text1"/>
          <w:sz w:val="24"/>
          <w:szCs w:val="24"/>
          <w:shd w:val="clear" w:color="auto" w:fill="FFFFFF"/>
          <w:lang w:val="en-US"/>
        </w:rPr>
        <w:t xml:space="preserve">ximeters </w:t>
      </w:r>
      <w:r w:rsidR="003A00B6">
        <w:rPr>
          <w:rFonts w:eastAsia="Times New Roman"/>
          <w:color w:val="000000" w:themeColor="text1"/>
          <w:sz w:val="24"/>
          <w:szCs w:val="24"/>
          <w:shd w:val="clear" w:color="auto" w:fill="FFFFFF"/>
          <w:lang w:val="en-US"/>
        </w:rPr>
        <w:t>n</w:t>
      </w:r>
      <w:r w:rsidRPr="00C60614">
        <w:rPr>
          <w:rFonts w:eastAsia="Times New Roman"/>
          <w:color w:val="000000" w:themeColor="text1"/>
          <w:sz w:val="24"/>
          <w:szCs w:val="24"/>
          <w:shd w:val="clear" w:color="auto" w:fill="FFFFFF"/>
          <w:lang w:val="en-US"/>
        </w:rPr>
        <w:t xml:space="preserve">ot </w:t>
      </w:r>
      <w:r w:rsidR="003A00B6">
        <w:rPr>
          <w:rFonts w:eastAsia="Times New Roman"/>
          <w:color w:val="000000" w:themeColor="text1"/>
          <w:sz w:val="24"/>
          <w:szCs w:val="24"/>
          <w:shd w:val="clear" w:color="auto" w:fill="FFFFFF"/>
          <w:lang w:val="en-US"/>
        </w:rPr>
        <w:t>c</w:t>
      </w:r>
      <w:r w:rsidRPr="00C60614">
        <w:rPr>
          <w:rFonts w:eastAsia="Times New Roman"/>
          <w:color w:val="000000" w:themeColor="text1"/>
          <w:sz w:val="24"/>
          <w:szCs w:val="24"/>
          <w:shd w:val="clear" w:color="auto" w:fill="FFFFFF"/>
          <w:lang w:val="en-US"/>
        </w:rPr>
        <w:t xml:space="preserve">leared by the Food and Drug Administration: The </w:t>
      </w:r>
      <w:r w:rsidR="003A00B6">
        <w:rPr>
          <w:rFonts w:eastAsia="Times New Roman"/>
          <w:color w:val="000000" w:themeColor="text1"/>
          <w:sz w:val="24"/>
          <w:szCs w:val="24"/>
          <w:shd w:val="clear" w:color="auto" w:fill="FFFFFF"/>
          <w:lang w:val="en-US"/>
        </w:rPr>
        <w:t>p</w:t>
      </w:r>
      <w:r w:rsidRPr="00C60614">
        <w:rPr>
          <w:rFonts w:eastAsia="Times New Roman"/>
          <w:color w:val="000000" w:themeColor="text1"/>
          <w:sz w:val="24"/>
          <w:szCs w:val="24"/>
          <w:shd w:val="clear" w:color="auto" w:fill="FFFFFF"/>
          <w:lang w:val="en-US"/>
        </w:rPr>
        <w:t xml:space="preserve">ossible </w:t>
      </w:r>
      <w:r w:rsidR="003A00B6">
        <w:rPr>
          <w:rFonts w:eastAsia="Times New Roman"/>
          <w:color w:val="000000" w:themeColor="text1"/>
          <w:sz w:val="24"/>
          <w:szCs w:val="24"/>
          <w:shd w:val="clear" w:color="auto" w:fill="FFFFFF"/>
          <w:lang w:val="en-US"/>
        </w:rPr>
        <w:t>g</w:t>
      </w:r>
      <w:r w:rsidRPr="00C60614">
        <w:rPr>
          <w:rFonts w:eastAsia="Times New Roman"/>
          <w:color w:val="000000" w:themeColor="text1"/>
          <w:sz w:val="24"/>
          <w:szCs w:val="24"/>
          <w:shd w:val="clear" w:color="auto" w:fill="FFFFFF"/>
          <w:lang w:val="en-US"/>
        </w:rPr>
        <w:t xml:space="preserve">lobal </w:t>
      </w:r>
      <w:r w:rsidR="003A00B6">
        <w:rPr>
          <w:rFonts w:eastAsia="Times New Roman"/>
          <w:color w:val="000000" w:themeColor="text1"/>
          <w:sz w:val="24"/>
          <w:szCs w:val="24"/>
          <w:shd w:val="clear" w:color="auto" w:fill="FFFFFF"/>
          <w:lang w:val="en-US"/>
        </w:rPr>
        <w:t>p</w:t>
      </w:r>
      <w:r w:rsidRPr="00C60614">
        <w:rPr>
          <w:rFonts w:eastAsia="Times New Roman"/>
          <w:color w:val="000000" w:themeColor="text1"/>
          <w:sz w:val="24"/>
          <w:szCs w:val="24"/>
          <w:shd w:val="clear" w:color="auto" w:fill="FFFFFF"/>
          <w:lang w:val="en-US"/>
        </w:rPr>
        <w:t xml:space="preserve">ublic </w:t>
      </w:r>
      <w:r w:rsidR="003A00B6">
        <w:rPr>
          <w:rFonts w:eastAsia="Times New Roman"/>
          <w:color w:val="000000" w:themeColor="text1"/>
          <w:sz w:val="24"/>
          <w:szCs w:val="24"/>
          <w:shd w:val="clear" w:color="auto" w:fill="FFFFFF"/>
          <w:lang w:val="en-US"/>
        </w:rPr>
        <w:t>h</w:t>
      </w:r>
      <w:r w:rsidRPr="00C60614">
        <w:rPr>
          <w:rFonts w:eastAsia="Times New Roman"/>
          <w:color w:val="000000" w:themeColor="text1"/>
          <w:sz w:val="24"/>
          <w:szCs w:val="24"/>
          <w:shd w:val="clear" w:color="auto" w:fill="FFFFFF"/>
          <w:lang w:val="en-US"/>
        </w:rPr>
        <w:t xml:space="preserve">ealth </w:t>
      </w:r>
      <w:r w:rsidR="003A00B6">
        <w:rPr>
          <w:rFonts w:eastAsia="Times New Roman"/>
          <w:color w:val="000000" w:themeColor="text1"/>
          <w:sz w:val="24"/>
          <w:szCs w:val="24"/>
          <w:shd w:val="clear" w:color="auto" w:fill="FFFFFF"/>
          <w:lang w:val="en-US"/>
        </w:rPr>
        <w:t>i</w:t>
      </w:r>
      <w:r w:rsidRPr="00C60614">
        <w:rPr>
          <w:rFonts w:eastAsia="Times New Roman"/>
          <w:color w:val="000000" w:themeColor="text1"/>
          <w:sz w:val="24"/>
          <w:szCs w:val="24"/>
          <w:shd w:val="clear" w:color="auto" w:fill="FFFFFF"/>
          <w:lang w:val="en-US"/>
        </w:rPr>
        <w:t xml:space="preserve">mplications. </w:t>
      </w:r>
      <w:proofErr w:type="spellStart"/>
      <w:r w:rsidRPr="00B37CA7">
        <w:rPr>
          <w:rFonts w:eastAsia="Times New Roman"/>
          <w:i/>
          <w:iCs/>
          <w:color w:val="000000" w:themeColor="text1"/>
          <w:sz w:val="24"/>
          <w:szCs w:val="24"/>
          <w:shd w:val="clear" w:color="auto" w:fill="FFFFFF"/>
          <w:lang w:val="en-US"/>
        </w:rPr>
        <w:t>Anesth</w:t>
      </w:r>
      <w:proofErr w:type="spellEnd"/>
      <w:r w:rsidRPr="00B37CA7">
        <w:rPr>
          <w:rFonts w:eastAsia="Times New Roman"/>
          <w:i/>
          <w:iCs/>
          <w:color w:val="000000" w:themeColor="text1"/>
          <w:sz w:val="24"/>
          <w:szCs w:val="24"/>
          <w:shd w:val="clear" w:color="auto" w:fill="FFFFFF"/>
          <w:lang w:val="en-US"/>
        </w:rPr>
        <w:t xml:space="preserve"> </w:t>
      </w:r>
      <w:proofErr w:type="spellStart"/>
      <w:r w:rsidRPr="00B37CA7">
        <w:rPr>
          <w:rFonts w:eastAsia="Times New Roman"/>
          <w:i/>
          <w:iCs/>
          <w:color w:val="000000" w:themeColor="text1"/>
          <w:sz w:val="24"/>
          <w:szCs w:val="24"/>
          <w:shd w:val="clear" w:color="auto" w:fill="FFFFFF"/>
          <w:lang w:val="en-US"/>
        </w:rPr>
        <w:t>Analg</w:t>
      </w:r>
      <w:proofErr w:type="spellEnd"/>
      <w:r w:rsidRPr="00A25571">
        <w:rPr>
          <w:rFonts w:eastAsia="Times New Roman"/>
          <w:color w:val="000000" w:themeColor="text1"/>
          <w:sz w:val="24"/>
          <w:szCs w:val="24"/>
          <w:shd w:val="clear" w:color="auto" w:fill="FFFFFF"/>
          <w:lang w:val="en-US"/>
        </w:rPr>
        <w:t xml:space="preserve"> 2016;123(2):338-</w:t>
      </w:r>
      <w:r w:rsidR="005007BB">
        <w:rPr>
          <w:rFonts w:eastAsia="Times New Roman"/>
          <w:color w:val="000000" w:themeColor="text1"/>
          <w:sz w:val="24"/>
          <w:szCs w:val="24"/>
          <w:shd w:val="clear" w:color="auto" w:fill="FFFFFF"/>
          <w:lang w:val="en-US"/>
        </w:rPr>
        <w:t>3</w:t>
      </w:r>
      <w:r w:rsidRPr="00A25571">
        <w:rPr>
          <w:rFonts w:eastAsia="Times New Roman"/>
          <w:color w:val="000000" w:themeColor="text1"/>
          <w:sz w:val="24"/>
          <w:szCs w:val="24"/>
          <w:shd w:val="clear" w:color="auto" w:fill="FFFFFF"/>
          <w:lang w:val="en-US"/>
        </w:rPr>
        <w:t xml:space="preserve">45. </w:t>
      </w:r>
    </w:p>
    <w:p w14:paraId="384E51E5" w14:textId="6EE5B49B" w:rsidR="000316B4" w:rsidRPr="00A25571" w:rsidRDefault="000316B4" w:rsidP="005007BB">
      <w:pPr>
        <w:pStyle w:val="ListParagraph"/>
        <w:spacing w:line="360" w:lineRule="auto"/>
        <w:ind w:left="630"/>
        <w:rPr>
          <w:rFonts w:eastAsia="Times New Roman"/>
          <w:color w:val="000000" w:themeColor="text1"/>
          <w:sz w:val="24"/>
          <w:szCs w:val="24"/>
          <w:lang w:val="en-US"/>
        </w:rPr>
      </w:pPr>
      <w:proofErr w:type="spellStart"/>
      <w:r w:rsidRPr="00A25571">
        <w:rPr>
          <w:rFonts w:eastAsia="Times New Roman"/>
          <w:color w:val="000000" w:themeColor="text1"/>
          <w:sz w:val="24"/>
          <w:szCs w:val="24"/>
          <w:shd w:val="clear" w:color="auto" w:fill="FFFFFF"/>
          <w:lang w:val="en-US"/>
        </w:rPr>
        <w:t>doi</w:t>
      </w:r>
      <w:proofErr w:type="spellEnd"/>
      <w:r w:rsidRPr="00A25571">
        <w:rPr>
          <w:rFonts w:eastAsia="Times New Roman"/>
          <w:color w:val="000000" w:themeColor="text1"/>
          <w:sz w:val="24"/>
          <w:szCs w:val="24"/>
          <w:shd w:val="clear" w:color="auto" w:fill="FFFFFF"/>
          <w:lang w:val="en-US"/>
        </w:rPr>
        <w:t>: 10.1213/ANE.000000000000130</w:t>
      </w:r>
    </w:p>
    <w:p w14:paraId="6B4DD508" w14:textId="489485C2" w:rsidR="007C35A1" w:rsidRPr="00532C71" w:rsidRDefault="0021718F" w:rsidP="00C60614">
      <w:pPr>
        <w:pStyle w:val="ListParagraph"/>
        <w:numPr>
          <w:ilvl w:val="0"/>
          <w:numId w:val="5"/>
        </w:numPr>
        <w:spacing w:line="360" w:lineRule="auto"/>
        <w:rPr>
          <w:rStyle w:val="Hyperlink"/>
          <w:rFonts w:eastAsia="Times New Roman"/>
          <w:color w:val="000000" w:themeColor="text1"/>
          <w:sz w:val="24"/>
          <w:szCs w:val="24"/>
          <w:u w:val="none"/>
          <w:lang w:val="en-US"/>
        </w:rPr>
      </w:pPr>
      <w:r w:rsidRPr="00C60614">
        <w:rPr>
          <w:rFonts w:eastAsia="Times New Roman"/>
          <w:color w:val="000000" w:themeColor="text1"/>
          <w:sz w:val="24"/>
          <w:szCs w:val="24"/>
          <w:shd w:val="clear" w:color="auto" w:fill="FFFFFF"/>
          <w:lang w:val="en-US"/>
        </w:rPr>
        <w:t xml:space="preserve">Milner Q, </w:t>
      </w:r>
      <w:r w:rsidR="007C35A1" w:rsidRPr="00C60614">
        <w:rPr>
          <w:rFonts w:eastAsia="Times New Roman"/>
          <w:color w:val="000000" w:themeColor="text1"/>
          <w:sz w:val="24"/>
          <w:szCs w:val="24"/>
          <w:shd w:val="clear" w:color="auto" w:fill="FFFFFF"/>
          <w:lang w:val="en-US"/>
        </w:rPr>
        <w:t>Math</w:t>
      </w:r>
      <w:r w:rsidRPr="00C60614">
        <w:rPr>
          <w:rFonts w:eastAsia="Times New Roman"/>
          <w:color w:val="000000" w:themeColor="text1"/>
          <w:sz w:val="24"/>
          <w:szCs w:val="24"/>
          <w:shd w:val="clear" w:color="auto" w:fill="FFFFFF"/>
          <w:lang w:val="en-US"/>
        </w:rPr>
        <w:t xml:space="preserve">ews G. </w:t>
      </w:r>
      <w:r w:rsidR="007C35A1" w:rsidRPr="00C60614">
        <w:rPr>
          <w:rFonts w:eastAsia="Times New Roman"/>
          <w:color w:val="000000" w:themeColor="text1"/>
          <w:sz w:val="24"/>
          <w:szCs w:val="24"/>
          <w:shd w:val="clear" w:color="auto" w:fill="FFFFFF"/>
          <w:lang w:val="en-US"/>
        </w:rPr>
        <w:t xml:space="preserve">An assessment of the accuracy of pulse oximeters. </w:t>
      </w:r>
      <w:proofErr w:type="spellStart"/>
      <w:r w:rsidR="007C35A1" w:rsidRPr="00532C71">
        <w:rPr>
          <w:rFonts w:eastAsia="Times New Roman"/>
          <w:i/>
          <w:iCs/>
          <w:color w:val="000000" w:themeColor="text1"/>
          <w:sz w:val="24"/>
          <w:szCs w:val="24"/>
          <w:shd w:val="clear" w:color="auto" w:fill="FFFFFF"/>
          <w:lang w:val="en-US"/>
        </w:rPr>
        <w:t>Anaesthesia</w:t>
      </w:r>
      <w:proofErr w:type="spellEnd"/>
      <w:r w:rsidR="007C35A1" w:rsidRPr="00C60614">
        <w:rPr>
          <w:rFonts w:eastAsia="Times New Roman"/>
          <w:color w:val="000000" w:themeColor="text1"/>
          <w:sz w:val="24"/>
          <w:szCs w:val="24"/>
          <w:shd w:val="clear" w:color="auto" w:fill="FFFFFF"/>
          <w:lang w:val="en-US"/>
        </w:rPr>
        <w:t xml:space="preserve"> </w:t>
      </w:r>
      <w:r w:rsidRPr="00C60614">
        <w:rPr>
          <w:rFonts w:eastAsia="Times New Roman"/>
          <w:color w:val="000000" w:themeColor="text1"/>
          <w:sz w:val="24"/>
          <w:szCs w:val="24"/>
          <w:shd w:val="clear" w:color="auto" w:fill="FFFFFF"/>
          <w:lang w:val="en-US"/>
        </w:rPr>
        <w:t>2012</w:t>
      </w:r>
      <w:r w:rsidR="00532C71">
        <w:rPr>
          <w:rFonts w:eastAsia="Times New Roman"/>
          <w:color w:val="000000" w:themeColor="text1"/>
          <w:sz w:val="24"/>
          <w:szCs w:val="24"/>
          <w:shd w:val="clear" w:color="auto" w:fill="FFFFFF"/>
          <w:lang w:val="en-US"/>
        </w:rPr>
        <w:t>;</w:t>
      </w:r>
      <w:r w:rsidR="007C35A1" w:rsidRPr="00C60614">
        <w:rPr>
          <w:rFonts w:eastAsia="Times New Roman"/>
          <w:color w:val="000000" w:themeColor="text1"/>
          <w:sz w:val="24"/>
          <w:szCs w:val="24"/>
          <w:shd w:val="clear" w:color="auto" w:fill="FFFFFF"/>
          <w:lang w:val="en-US"/>
        </w:rPr>
        <w:t>67</w:t>
      </w:r>
      <w:r w:rsidRPr="00C60614">
        <w:rPr>
          <w:rFonts w:eastAsia="Times New Roman"/>
          <w:color w:val="000000" w:themeColor="text1"/>
          <w:sz w:val="24"/>
          <w:szCs w:val="24"/>
          <w:shd w:val="clear" w:color="auto" w:fill="FFFFFF"/>
          <w:lang w:val="en-US"/>
        </w:rPr>
        <w:t>(4)</w:t>
      </w:r>
      <w:r w:rsidR="007C35A1" w:rsidRPr="00C60614">
        <w:rPr>
          <w:rFonts w:eastAsia="Times New Roman"/>
          <w:color w:val="000000" w:themeColor="text1"/>
          <w:sz w:val="24"/>
          <w:szCs w:val="24"/>
          <w:shd w:val="clear" w:color="auto" w:fill="FFFFFF"/>
          <w:lang w:val="en-US"/>
        </w:rPr>
        <w:t>:396-401. </w:t>
      </w:r>
      <w:hyperlink r:id="rId9" w:history="1">
        <w:r w:rsidR="007C35A1" w:rsidRPr="00B37CA7">
          <w:rPr>
            <w:rStyle w:val="Hyperlink"/>
            <w:rFonts w:eastAsia="Times New Roman"/>
            <w:color w:val="000000" w:themeColor="text1"/>
            <w:sz w:val="24"/>
            <w:szCs w:val="24"/>
            <w:u w:val="none"/>
            <w:shd w:val="clear" w:color="auto" w:fill="FFFFFF"/>
            <w:lang w:val="en-US"/>
          </w:rPr>
          <w:t>doi.org/10.1111/j.1365-2044.</w:t>
        </w:r>
        <w:proofErr w:type="gramStart"/>
        <w:r w:rsidR="007C35A1" w:rsidRPr="00B37CA7">
          <w:rPr>
            <w:rStyle w:val="Hyperlink"/>
            <w:rFonts w:eastAsia="Times New Roman"/>
            <w:color w:val="000000" w:themeColor="text1"/>
            <w:sz w:val="24"/>
            <w:szCs w:val="24"/>
            <w:u w:val="none"/>
            <w:shd w:val="clear" w:color="auto" w:fill="FFFFFF"/>
            <w:lang w:val="en-US"/>
          </w:rPr>
          <w:t>2011.07021.x</w:t>
        </w:r>
        <w:proofErr w:type="gramEnd"/>
      </w:hyperlink>
    </w:p>
    <w:p w14:paraId="35510BE3" w14:textId="77777777" w:rsidR="00534727" w:rsidRPr="00C60614" w:rsidRDefault="00534727" w:rsidP="00C60614">
      <w:pPr>
        <w:pStyle w:val="ListParagraph"/>
        <w:numPr>
          <w:ilvl w:val="0"/>
          <w:numId w:val="5"/>
        </w:numPr>
        <w:spacing w:line="360" w:lineRule="auto"/>
        <w:jc w:val="both"/>
        <w:textAlignment w:val="baseline"/>
        <w:rPr>
          <w:rFonts w:eastAsia="Times New Roman"/>
          <w:color w:val="000000" w:themeColor="text1"/>
          <w:sz w:val="24"/>
          <w:szCs w:val="24"/>
          <w:lang w:val="en-US" w:eastAsia="it-IT"/>
        </w:rPr>
      </w:pPr>
      <w:r w:rsidRPr="00C60614">
        <w:rPr>
          <w:rFonts w:eastAsia="Times New Roman"/>
          <w:color w:val="000000" w:themeColor="text1"/>
          <w:sz w:val="24"/>
          <w:szCs w:val="24"/>
          <w:lang w:val="en-US" w:eastAsia="it-IT"/>
        </w:rPr>
        <w:lastRenderedPageBreak/>
        <w:t>Ballesteros-Peña S, Fernández-</w:t>
      </w:r>
      <w:proofErr w:type="spellStart"/>
      <w:r w:rsidRPr="00C60614">
        <w:rPr>
          <w:rFonts w:eastAsia="Times New Roman"/>
          <w:color w:val="000000" w:themeColor="text1"/>
          <w:sz w:val="24"/>
          <w:szCs w:val="24"/>
          <w:lang w:val="en-US" w:eastAsia="it-IT"/>
        </w:rPr>
        <w:t>Aedo</w:t>
      </w:r>
      <w:proofErr w:type="spellEnd"/>
      <w:r w:rsidRPr="00C60614">
        <w:rPr>
          <w:rFonts w:eastAsia="Times New Roman"/>
          <w:color w:val="000000" w:themeColor="text1"/>
          <w:sz w:val="24"/>
          <w:szCs w:val="24"/>
          <w:lang w:val="en-US" w:eastAsia="it-IT"/>
        </w:rPr>
        <w:t xml:space="preserve"> I, </w:t>
      </w:r>
      <w:proofErr w:type="spellStart"/>
      <w:r w:rsidRPr="00C60614">
        <w:rPr>
          <w:rFonts w:eastAsia="Times New Roman"/>
          <w:color w:val="000000" w:themeColor="text1"/>
          <w:sz w:val="24"/>
          <w:szCs w:val="24"/>
          <w:lang w:val="en-US" w:eastAsia="it-IT"/>
        </w:rPr>
        <w:t>Picón</w:t>
      </w:r>
      <w:proofErr w:type="spellEnd"/>
      <w:r w:rsidRPr="00C60614">
        <w:rPr>
          <w:rFonts w:eastAsia="Times New Roman"/>
          <w:color w:val="000000" w:themeColor="text1"/>
          <w:sz w:val="24"/>
          <w:szCs w:val="24"/>
          <w:lang w:val="en-US" w:eastAsia="it-IT"/>
        </w:rPr>
        <w:t xml:space="preserve"> A, et al., Influence of nail polish on pulse oximeter readings of oxygen saturation: a systematic review. </w:t>
      </w:r>
      <w:proofErr w:type="spellStart"/>
      <w:r w:rsidRPr="00C60614">
        <w:rPr>
          <w:rFonts w:eastAsia="Times New Roman"/>
          <w:i/>
          <w:iCs/>
          <w:color w:val="000000" w:themeColor="text1"/>
          <w:sz w:val="24"/>
          <w:szCs w:val="24"/>
          <w:lang w:val="en-US" w:eastAsia="it-IT"/>
        </w:rPr>
        <w:t>Emergencias</w:t>
      </w:r>
      <w:proofErr w:type="spellEnd"/>
      <w:r w:rsidRPr="00C60614">
        <w:rPr>
          <w:rFonts w:eastAsia="Times New Roman"/>
          <w:i/>
          <w:iCs/>
          <w:color w:val="000000" w:themeColor="text1"/>
          <w:sz w:val="24"/>
          <w:szCs w:val="24"/>
          <w:lang w:val="en-US" w:eastAsia="it-IT"/>
        </w:rPr>
        <w:t xml:space="preserve"> </w:t>
      </w:r>
      <w:r w:rsidRPr="00C60614">
        <w:rPr>
          <w:rFonts w:eastAsia="Times New Roman"/>
          <w:color w:val="000000" w:themeColor="text1"/>
          <w:sz w:val="24"/>
          <w:szCs w:val="24"/>
          <w:lang w:val="en-US" w:eastAsia="it-IT"/>
        </w:rPr>
        <w:t>2015;</w:t>
      </w:r>
      <w:r w:rsidRPr="00C60614">
        <w:rPr>
          <w:rFonts w:eastAsia="Times New Roman"/>
          <w:bCs/>
          <w:color w:val="000000" w:themeColor="text1"/>
          <w:sz w:val="24"/>
          <w:szCs w:val="24"/>
          <w:lang w:val="en-US" w:eastAsia="it-IT"/>
        </w:rPr>
        <w:t>27(5):</w:t>
      </w:r>
      <w:r w:rsidRPr="00C60614">
        <w:rPr>
          <w:rFonts w:eastAsia="Times New Roman"/>
          <w:color w:val="000000" w:themeColor="text1"/>
          <w:sz w:val="24"/>
          <w:szCs w:val="24"/>
          <w:lang w:val="en-US" w:eastAsia="it-IT"/>
        </w:rPr>
        <w:t xml:space="preserve">325-331. </w:t>
      </w:r>
    </w:p>
    <w:p w14:paraId="06C5C2C5" w14:textId="27EB6B8A" w:rsidR="008962ED" w:rsidRPr="00A25571" w:rsidRDefault="008962ED" w:rsidP="00C60614">
      <w:pPr>
        <w:pStyle w:val="ListParagraph"/>
        <w:numPr>
          <w:ilvl w:val="0"/>
          <w:numId w:val="5"/>
        </w:numPr>
        <w:spacing w:line="360" w:lineRule="auto"/>
        <w:rPr>
          <w:rFonts w:eastAsia="Times New Roman"/>
          <w:color w:val="000000" w:themeColor="text1"/>
          <w:sz w:val="24"/>
          <w:szCs w:val="24"/>
          <w:lang w:val="en-US"/>
        </w:rPr>
      </w:pPr>
      <w:proofErr w:type="spellStart"/>
      <w:r w:rsidRPr="00C60614">
        <w:rPr>
          <w:rFonts w:eastAsia="Times New Roman"/>
          <w:color w:val="000000" w:themeColor="text1"/>
          <w:sz w:val="24"/>
          <w:szCs w:val="24"/>
          <w:shd w:val="clear" w:color="auto" w:fill="FFFFFF"/>
          <w:lang w:val="en-US"/>
        </w:rPr>
        <w:t>Sütçü</w:t>
      </w:r>
      <w:proofErr w:type="spellEnd"/>
      <w:r w:rsidRPr="00C60614">
        <w:rPr>
          <w:rFonts w:eastAsia="Times New Roman"/>
          <w:color w:val="000000" w:themeColor="text1"/>
          <w:sz w:val="24"/>
          <w:szCs w:val="24"/>
          <w:shd w:val="clear" w:color="auto" w:fill="FFFFFF"/>
          <w:lang w:val="en-US"/>
        </w:rPr>
        <w:t xml:space="preserve"> </w:t>
      </w:r>
      <w:proofErr w:type="spellStart"/>
      <w:r w:rsidRPr="00C60614">
        <w:rPr>
          <w:rFonts w:eastAsia="Times New Roman"/>
          <w:color w:val="000000" w:themeColor="text1"/>
          <w:sz w:val="24"/>
          <w:szCs w:val="24"/>
          <w:shd w:val="clear" w:color="auto" w:fill="FFFFFF"/>
          <w:lang w:val="en-US"/>
        </w:rPr>
        <w:t>Çiçek</w:t>
      </w:r>
      <w:proofErr w:type="spellEnd"/>
      <w:r w:rsidRPr="00C60614">
        <w:rPr>
          <w:rFonts w:eastAsia="Times New Roman"/>
          <w:color w:val="000000" w:themeColor="text1"/>
          <w:sz w:val="24"/>
          <w:szCs w:val="24"/>
          <w:shd w:val="clear" w:color="auto" w:fill="FFFFFF"/>
          <w:lang w:val="en-US"/>
        </w:rPr>
        <w:t xml:space="preserve"> H, </w:t>
      </w:r>
      <w:proofErr w:type="spellStart"/>
      <w:r w:rsidRPr="00C60614">
        <w:rPr>
          <w:rFonts w:eastAsia="Times New Roman"/>
          <w:color w:val="000000" w:themeColor="text1"/>
          <w:sz w:val="24"/>
          <w:szCs w:val="24"/>
          <w:shd w:val="clear" w:color="auto" w:fill="FFFFFF"/>
          <w:lang w:val="en-US"/>
        </w:rPr>
        <w:t>Gümüs</w:t>
      </w:r>
      <w:proofErr w:type="spellEnd"/>
      <w:r w:rsidRPr="00C60614">
        <w:rPr>
          <w:rFonts w:eastAsia="Times New Roman"/>
          <w:color w:val="000000" w:themeColor="text1"/>
          <w:sz w:val="24"/>
          <w:szCs w:val="24"/>
          <w:shd w:val="clear" w:color="auto" w:fill="FFFFFF"/>
          <w:lang w:val="en-US"/>
        </w:rPr>
        <w:t xml:space="preserve"> S, Deniz Ö, </w:t>
      </w:r>
      <w:r w:rsidR="00A25571">
        <w:rPr>
          <w:rFonts w:eastAsia="Times New Roman"/>
          <w:color w:val="000000" w:themeColor="text1"/>
          <w:sz w:val="24"/>
          <w:szCs w:val="24"/>
          <w:shd w:val="clear" w:color="auto" w:fill="FFFFFF"/>
          <w:lang w:val="en-US"/>
        </w:rPr>
        <w:t xml:space="preserve">et al., </w:t>
      </w:r>
      <w:r w:rsidRPr="00C60614">
        <w:rPr>
          <w:rFonts w:eastAsia="Times New Roman"/>
          <w:color w:val="000000" w:themeColor="text1"/>
          <w:sz w:val="24"/>
          <w:szCs w:val="24"/>
          <w:shd w:val="clear" w:color="auto" w:fill="FFFFFF"/>
          <w:lang w:val="en-US"/>
        </w:rPr>
        <w:t xml:space="preserve">Effect of nail polish and henna on oxygen saturation determined by pulse oximetry in healthy young adult females. </w:t>
      </w:r>
      <w:proofErr w:type="spellStart"/>
      <w:r w:rsidRPr="00A25571">
        <w:rPr>
          <w:rFonts w:eastAsia="Times New Roman"/>
          <w:i/>
          <w:iCs/>
          <w:color w:val="000000" w:themeColor="text1"/>
          <w:sz w:val="24"/>
          <w:szCs w:val="24"/>
          <w:shd w:val="clear" w:color="auto" w:fill="FFFFFF"/>
          <w:lang w:val="en-US"/>
        </w:rPr>
        <w:t>Emerg</w:t>
      </w:r>
      <w:proofErr w:type="spellEnd"/>
      <w:r w:rsidRPr="00A25571">
        <w:rPr>
          <w:rFonts w:eastAsia="Times New Roman"/>
          <w:i/>
          <w:iCs/>
          <w:color w:val="000000" w:themeColor="text1"/>
          <w:sz w:val="24"/>
          <w:szCs w:val="24"/>
          <w:shd w:val="clear" w:color="auto" w:fill="FFFFFF"/>
          <w:lang w:val="en-US"/>
        </w:rPr>
        <w:t xml:space="preserve"> Med J</w:t>
      </w:r>
      <w:r w:rsidRPr="00A25571">
        <w:rPr>
          <w:rFonts w:eastAsia="Times New Roman"/>
          <w:color w:val="000000" w:themeColor="text1"/>
          <w:sz w:val="24"/>
          <w:szCs w:val="24"/>
          <w:shd w:val="clear" w:color="auto" w:fill="FFFFFF"/>
          <w:lang w:val="en-US"/>
        </w:rPr>
        <w:t xml:space="preserve"> 2011;28(9):783-</w:t>
      </w:r>
      <w:r w:rsidR="00334842">
        <w:rPr>
          <w:rFonts w:eastAsia="Times New Roman"/>
          <w:color w:val="000000" w:themeColor="text1"/>
          <w:sz w:val="24"/>
          <w:szCs w:val="24"/>
          <w:shd w:val="clear" w:color="auto" w:fill="FFFFFF"/>
          <w:lang w:val="en-US"/>
        </w:rPr>
        <w:t>78</w:t>
      </w:r>
      <w:r w:rsidRPr="00A25571">
        <w:rPr>
          <w:rFonts w:eastAsia="Times New Roman"/>
          <w:color w:val="000000" w:themeColor="text1"/>
          <w:sz w:val="24"/>
          <w:szCs w:val="24"/>
          <w:shd w:val="clear" w:color="auto" w:fill="FFFFFF"/>
          <w:lang w:val="en-US"/>
        </w:rPr>
        <w:t xml:space="preserve">5. </w:t>
      </w:r>
      <w:proofErr w:type="spellStart"/>
      <w:r w:rsidRPr="00A25571">
        <w:rPr>
          <w:rFonts w:eastAsia="Times New Roman"/>
          <w:color w:val="000000" w:themeColor="text1"/>
          <w:sz w:val="24"/>
          <w:szCs w:val="24"/>
          <w:shd w:val="clear" w:color="auto" w:fill="FFFFFF"/>
          <w:lang w:val="en-US"/>
        </w:rPr>
        <w:t>doi</w:t>
      </w:r>
      <w:proofErr w:type="spellEnd"/>
      <w:r w:rsidRPr="00A25571">
        <w:rPr>
          <w:rFonts w:eastAsia="Times New Roman"/>
          <w:color w:val="000000" w:themeColor="text1"/>
          <w:sz w:val="24"/>
          <w:szCs w:val="24"/>
          <w:shd w:val="clear" w:color="auto" w:fill="FFFFFF"/>
          <w:lang w:val="en-US"/>
        </w:rPr>
        <w:t>: 10.1136/emj.2010.096073</w:t>
      </w:r>
    </w:p>
    <w:p w14:paraId="3A1ADE4F" w14:textId="1BBA335E" w:rsidR="00D63BB8" w:rsidRPr="00CD63B0" w:rsidRDefault="00D63BB8" w:rsidP="00C60614">
      <w:pPr>
        <w:pStyle w:val="ListParagraph"/>
        <w:numPr>
          <w:ilvl w:val="0"/>
          <w:numId w:val="5"/>
        </w:numPr>
        <w:spacing w:line="360" w:lineRule="auto"/>
        <w:rPr>
          <w:rFonts w:eastAsia="Times New Roman"/>
          <w:color w:val="000000" w:themeColor="text1"/>
          <w:sz w:val="24"/>
          <w:szCs w:val="24"/>
          <w:lang w:val="en-US"/>
        </w:rPr>
      </w:pPr>
      <w:r w:rsidRPr="00C60614">
        <w:rPr>
          <w:rFonts w:eastAsia="Times New Roman"/>
          <w:color w:val="000000" w:themeColor="text1"/>
          <w:sz w:val="24"/>
          <w:szCs w:val="24"/>
          <w:shd w:val="clear" w:color="auto" w:fill="FFFFFF"/>
          <w:lang w:val="en-US"/>
        </w:rPr>
        <w:t xml:space="preserve">Luks AM, Swenson ER. Pulse </w:t>
      </w:r>
      <w:r w:rsidR="003A00B6" w:rsidRPr="00C60614">
        <w:rPr>
          <w:rFonts w:eastAsia="Times New Roman"/>
          <w:color w:val="000000" w:themeColor="text1"/>
          <w:sz w:val="24"/>
          <w:szCs w:val="24"/>
          <w:shd w:val="clear" w:color="auto" w:fill="FFFFFF"/>
          <w:lang w:val="en-US"/>
        </w:rPr>
        <w:t xml:space="preserve">oximetry for monitoring patients with </w:t>
      </w:r>
      <w:r w:rsidRPr="00C60614">
        <w:rPr>
          <w:rFonts w:eastAsia="Times New Roman"/>
          <w:color w:val="000000" w:themeColor="text1"/>
          <w:sz w:val="24"/>
          <w:szCs w:val="24"/>
          <w:shd w:val="clear" w:color="auto" w:fill="FFFFFF"/>
          <w:lang w:val="en-US"/>
        </w:rPr>
        <w:t xml:space="preserve">COVID-19 at </w:t>
      </w:r>
      <w:r w:rsidR="003A00B6">
        <w:rPr>
          <w:rFonts w:eastAsia="Times New Roman"/>
          <w:color w:val="000000" w:themeColor="text1"/>
          <w:sz w:val="24"/>
          <w:szCs w:val="24"/>
          <w:shd w:val="clear" w:color="auto" w:fill="FFFFFF"/>
          <w:lang w:val="en-US"/>
        </w:rPr>
        <w:t>h</w:t>
      </w:r>
      <w:r w:rsidRPr="00C60614">
        <w:rPr>
          <w:rFonts w:eastAsia="Times New Roman"/>
          <w:color w:val="000000" w:themeColor="text1"/>
          <w:sz w:val="24"/>
          <w:szCs w:val="24"/>
          <w:shd w:val="clear" w:color="auto" w:fill="FFFFFF"/>
          <w:lang w:val="en-US"/>
        </w:rPr>
        <w:t xml:space="preserve">ome. Potential </w:t>
      </w:r>
      <w:r w:rsidR="003A00B6" w:rsidRPr="00C60614">
        <w:rPr>
          <w:rFonts w:eastAsia="Times New Roman"/>
          <w:color w:val="000000" w:themeColor="text1"/>
          <w:sz w:val="24"/>
          <w:szCs w:val="24"/>
          <w:shd w:val="clear" w:color="auto" w:fill="FFFFFF"/>
          <w:lang w:val="en-US"/>
        </w:rPr>
        <w:t>pitfalls and practical guidance</w:t>
      </w:r>
      <w:r w:rsidRPr="00C60614">
        <w:rPr>
          <w:rFonts w:eastAsia="Times New Roman"/>
          <w:color w:val="000000" w:themeColor="text1"/>
          <w:sz w:val="24"/>
          <w:szCs w:val="24"/>
          <w:shd w:val="clear" w:color="auto" w:fill="FFFFFF"/>
          <w:lang w:val="en-US"/>
        </w:rPr>
        <w:t>. </w:t>
      </w:r>
      <w:r w:rsidRPr="00C60614">
        <w:rPr>
          <w:rFonts w:eastAsia="Times New Roman"/>
          <w:i/>
          <w:iCs/>
          <w:color w:val="000000" w:themeColor="text1"/>
          <w:sz w:val="24"/>
          <w:szCs w:val="24"/>
          <w:shd w:val="clear" w:color="auto" w:fill="FFFFFF"/>
          <w:lang w:val="en-US"/>
        </w:rPr>
        <w:t xml:space="preserve">Ann Am </w:t>
      </w:r>
      <w:proofErr w:type="spellStart"/>
      <w:r w:rsidRPr="00C60614">
        <w:rPr>
          <w:rFonts w:eastAsia="Times New Roman"/>
          <w:i/>
          <w:iCs/>
          <w:color w:val="000000" w:themeColor="text1"/>
          <w:sz w:val="24"/>
          <w:szCs w:val="24"/>
          <w:shd w:val="clear" w:color="auto" w:fill="FFFFFF"/>
          <w:lang w:val="en-US"/>
        </w:rPr>
        <w:t>Thorac</w:t>
      </w:r>
      <w:proofErr w:type="spellEnd"/>
      <w:r w:rsidRPr="00C60614">
        <w:rPr>
          <w:rFonts w:eastAsia="Times New Roman"/>
          <w:i/>
          <w:iCs/>
          <w:color w:val="000000" w:themeColor="text1"/>
          <w:sz w:val="24"/>
          <w:szCs w:val="24"/>
          <w:shd w:val="clear" w:color="auto" w:fill="FFFFFF"/>
          <w:lang w:val="en-US"/>
        </w:rPr>
        <w:t xml:space="preserve"> Soc</w:t>
      </w:r>
      <w:r w:rsidR="00334842">
        <w:rPr>
          <w:rFonts w:eastAsia="Times New Roman"/>
          <w:color w:val="000000" w:themeColor="text1"/>
          <w:sz w:val="24"/>
          <w:szCs w:val="24"/>
          <w:shd w:val="clear" w:color="auto" w:fill="FFFFFF"/>
          <w:lang w:val="en-US"/>
        </w:rPr>
        <w:t xml:space="preserve"> </w:t>
      </w:r>
      <w:r w:rsidRPr="00C60614">
        <w:rPr>
          <w:rFonts w:eastAsia="Times New Roman"/>
          <w:color w:val="000000" w:themeColor="text1"/>
          <w:sz w:val="24"/>
          <w:szCs w:val="24"/>
          <w:shd w:val="clear" w:color="auto" w:fill="FFFFFF"/>
          <w:lang w:val="en-US"/>
        </w:rPr>
        <w:t>2020;17(9):1040-1046. doi:10.1513/AnnalsATS.202005-418FR</w:t>
      </w:r>
    </w:p>
    <w:p w14:paraId="1DC3150D" w14:textId="77777777" w:rsidR="00CD63B0" w:rsidRPr="00CD63B0" w:rsidRDefault="00CD63B0" w:rsidP="00CD63B0">
      <w:pPr>
        <w:pStyle w:val="ListParagraph"/>
        <w:numPr>
          <w:ilvl w:val="0"/>
          <w:numId w:val="5"/>
        </w:numPr>
        <w:spacing w:line="360" w:lineRule="auto"/>
        <w:rPr>
          <w:rFonts w:eastAsia="Times New Roman"/>
          <w:color w:val="000000" w:themeColor="text1"/>
          <w:sz w:val="28"/>
          <w:szCs w:val="24"/>
          <w:lang w:val="en-US"/>
        </w:rPr>
      </w:pPr>
      <w:r w:rsidRPr="00CD63B0">
        <w:rPr>
          <w:rFonts w:eastAsia="Times New Roman" w:cs="Arial"/>
          <w:color w:val="303030"/>
          <w:sz w:val="24"/>
          <w:shd w:val="clear" w:color="auto" w:fill="FFFFFF"/>
        </w:rPr>
        <w:t xml:space="preserve">Sjoding M, Dickson R, Iwashyna T, </w:t>
      </w:r>
      <w:r w:rsidRPr="00CD63B0">
        <w:rPr>
          <w:rFonts w:eastAsia="Times New Roman" w:cs="Arial"/>
          <w:i/>
          <w:color w:val="303030"/>
          <w:sz w:val="24"/>
          <w:shd w:val="clear" w:color="auto" w:fill="FFFFFF"/>
        </w:rPr>
        <w:t>et al</w:t>
      </w:r>
      <w:r w:rsidRPr="00CD63B0">
        <w:rPr>
          <w:rFonts w:eastAsia="Times New Roman" w:cs="Arial"/>
          <w:color w:val="303030"/>
          <w:sz w:val="24"/>
          <w:shd w:val="clear" w:color="auto" w:fill="FFFFFF"/>
        </w:rPr>
        <w:t>. “Racial Bias in Pulse Oximetry Measurement.” </w:t>
      </w:r>
      <w:r w:rsidRPr="00CD63B0">
        <w:rPr>
          <w:rFonts w:eastAsia="Times New Roman" w:cs="Arial"/>
          <w:i/>
          <w:iCs/>
          <w:color w:val="303030"/>
          <w:sz w:val="24"/>
          <w:shd w:val="clear" w:color="auto" w:fill="FFFFFF"/>
        </w:rPr>
        <w:t>The New England journal of medicine</w:t>
      </w:r>
      <w:r w:rsidRPr="00CD63B0">
        <w:rPr>
          <w:rFonts w:eastAsia="Times New Roman" w:cs="Arial"/>
          <w:color w:val="303030"/>
          <w:sz w:val="24"/>
          <w:shd w:val="clear" w:color="auto" w:fill="FFFFFF"/>
        </w:rPr>
        <w:t> vol. 383,25 (2020): 2477-2478. doi:10.1056/NEJMc2029240</w:t>
      </w:r>
    </w:p>
    <w:p w14:paraId="2FC428C9" w14:textId="6F0CFB84" w:rsidR="00CD63B0" w:rsidRPr="00CD63B0" w:rsidRDefault="00CD63B0" w:rsidP="00CD63B0">
      <w:pPr>
        <w:pStyle w:val="ListParagraph"/>
        <w:numPr>
          <w:ilvl w:val="0"/>
          <w:numId w:val="5"/>
        </w:numPr>
        <w:spacing w:line="360" w:lineRule="auto"/>
        <w:rPr>
          <w:rFonts w:eastAsia="Times New Roman"/>
          <w:color w:val="000000" w:themeColor="text1"/>
          <w:sz w:val="28"/>
          <w:szCs w:val="24"/>
          <w:lang w:val="en-US"/>
        </w:rPr>
      </w:pPr>
      <w:r w:rsidRPr="00CD63B0">
        <w:rPr>
          <w:sz w:val="24"/>
        </w:rPr>
        <w:t xml:space="preserve">Henry N, Hanson A, Schulte P, </w:t>
      </w:r>
      <w:r w:rsidRPr="00CD63B0">
        <w:rPr>
          <w:i/>
          <w:sz w:val="24"/>
        </w:rPr>
        <w:t>et al</w:t>
      </w:r>
      <w:r w:rsidRPr="00CD63B0">
        <w:rPr>
          <w:sz w:val="24"/>
        </w:rPr>
        <w:t xml:space="preserve">. Disparities in Hypoxemia Detection by Pulse Oximetry Across Self-Identified Racial Groups and Associations With Clinical Outcomes. </w:t>
      </w:r>
    </w:p>
    <w:p w14:paraId="3DE68774" w14:textId="02AEDA74" w:rsidR="00EF7672" w:rsidRDefault="00EF7672" w:rsidP="00C60614">
      <w:pPr>
        <w:pStyle w:val="ListParagraph"/>
        <w:numPr>
          <w:ilvl w:val="0"/>
          <w:numId w:val="5"/>
        </w:numPr>
        <w:spacing w:line="360" w:lineRule="auto"/>
        <w:jc w:val="both"/>
        <w:textAlignment w:val="baseline"/>
        <w:rPr>
          <w:rFonts w:eastAsia="Times New Roman"/>
          <w:color w:val="000000" w:themeColor="text1"/>
          <w:sz w:val="24"/>
          <w:szCs w:val="24"/>
          <w:lang w:val="en-US" w:eastAsia="it-IT"/>
        </w:rPr>
      </w:pPr>
      <w:proofErr w:type="spellStart"/>
      <w:r w:rsidRPr="00C60614">
        <w:rPr>
          <w:rFonts w:eastAsia="Times New Roman"/>
          <w:color w:val="000000" w:themeColor="text1"/>
          <w:sz w:val="24"/>
          <w:szCs w:val="24"/>
          <w:lang w:val="en-US" w:eastAsia="it-IT"/>
        </w:rPr>
        <w:t>Okunlola</w:t>
      </w:r>
      <w:proofErr w:type="spellEnd"/>
      <w:r w:rsidRPr="00C60614">
        <w:rPr>
          <w:rFonts w:eastAsia="Times New Roman"/>
          <w:color w:val="000000" w:themeColor="text1"/>
          <w:sz w:val="24"/>
          <w:szCs w:val="24"/>
          <w:lang w:val="en-US" w:eastAsia="it-IT"/>
        </w:rPr>
        <w:t xml:space="preserve"> O, </w:t>
      </w:r>
      <w:proofErr w:type="spellStart"/>
      <w:r w:rsidRPr="00C60614">
        <w:rPr>
          <w:rFonts w:eastAsia="Times New Roman"/>
          <w:color w:val="000000" w:themeColor="text1"/>
          <w:sz w:val="24"/>
          <w:szCs w:val="24"/>
          <w:lang w:val="en-US" w:eastAsia="it-IT"/>
        </w:rPr>
        <w:t>Lipnick</w:t>
      </w:r>
      <w:proofErr w:type="spellEnd"/>
      <w:r w:rsidRPr="00C60614">
        <w:rPr>
          <w:rFonts w:eastAsia="Times New Roman"/>
          <w:color w:val="000000" w:themeColor="text1"/>
          <w:sz w:val="24"/>
          <w:szCs w:val="24"/>
          <w:lang w:val="en-US" w:eastAsia="it-IT"/>
        </w:rPr>
        <w:t xml:space="preserve"> MS, Batchelder P, et al.</w:t>
      </w:r>
      <w:r w:rsidR="007C047A">
        <w:rPr>
          <w:rFonts w:eastAsia="Times New Roman"/>
          <w:color w:val="000000" w:themeColor="text1"/>
          <w:sz w:val="24"/>
          <w:szCs w:val="24"/>
          <w:lang w:val="en-US" w:eastAsia="it-IT"/>
        </w:rPr>
        <w:t>,</w:t>
      </w:r>
      <w:r w:rsidRPr="00C60614">
        <w:rPr>
          <w:rFonts w:eastAsia="Times New Roman"/>
          <w:color w:val="000000" w:themeColor="text1"/>
          <w:sz w:val="24"/>
          <w:szCs w:val="24"/>
          <w:lang w:val="en-US" w:eastAsia="it-IT"/>
        </w:rPr>
        <w:t xml:space="preserve"> Pulse oximeter performance, racial inequity, and the work ahead. </w:t>
      </w:r>
      <w:r w:rsidRPr="00C60614">
        <w:rPr>
          <w:rFonts w:eastAsia="Times New Roman"/>
          <w:i/>
          <w:iCs/>
          <w:color w:val="000000" w:themeColor="text1"/>
          <w:sz w:val="24"/>
          <w:szCs w:val="24"/>
          <w:lang w:val="en-US" w:eastAsia="it-IT"/>
        </w:rPr>
        <w:t>Respir Care</w:t>
      </w:r>
      <w:r w:rsidRPr="00C60614">
        <w:rPr>
          <w:rFonts w:eastAsia="Times New Roman"/>
          <w:color w:val="000000" w:themeColor="text1"/>
          <w:sz w:val="24"/>
          <w:szCs w:val="24"/>
          <w:lang w:val="en-US" w:eastAsia="it-IT"/>
        </w:rPr>
        <w:t xml:space="preserve"> 2021</w:t>
      </w:r>
      <w:r w:rsidR="007C047A">
        <w:rPr>
          <w:rFonts w:eastAsia="Times New Roman"/>
          <w:color w:val="000000" w:themeColor="text1"/>
          <w:sz w:val="24"/>
          <w:szCs w:val="24"/>
          <w:lang w:val="en-US" w:eastAsia="it-IT"/>
        </w:rPr>
        <w:t xml:space="preserve"> </w:t>
      </w:r>
      <w:r w:rsidRPr="00C60614">
        <w:rPr>
          <w:rFonts w:eastAsia="Times New Roman"/>
          <w:color w:val="000000" w:themeColor="text1"/>
          <w:sz w:val="24"/>
          <w:szCs w:val="24"/>
          <w:lang w:val="en-US" w:eastAsia="it-IT"/>
        </w:rPr>
        <w:t>Nov;</w:t>
      </w:r>
      <w:proofErr w:type="gramStart"/>
      <w:r w:rsidRPr="00C60614">
        <w:rPr>
          <w:rFonts w:eastAsia="Times New Roman"/>
          <w:bCs/>
          <w:color w:val="000000" w:themeColor="text1"/>
          <w:sz w:val="24"/>
          <w:szCs w:val="24"/>
          <w:lang w:val="en-US" w:eastAsia="it-IT"/>
        </w:rPr>
        <w:t>12:</w:t>
      </w:r>
      <w:r w:rsidRPr="00C60614">
        <w:rPr>
          <w:rFonts w:eastAsia="Times New Roman"/>
          <w:color w:val="000000" w:themeColor="text1"/>
          <w:sz w:val="24"/>
          <w:szCs w:val="24"/>
          <w:lang w:val="en-US" w:eastAsia="it-IT"/>
        </w:rPr>
        <w:t>respcare</w:t>
      </w:r>
      <w:proofErr w:type="gramEnd"/>
      <w:r w:rsidRPr="00C60614">
        <w:rPr>
          <w:rFonts w:eastAsia="Times New Roman"/>
          <w:color w:val="000000" w:themeColor="text1"/>
          <w:sz w:val="24"/>
          <w:szCs w:val="24"/>
          <w:lang w:val="en-US" w:eastAsia="it-IT"/>
        </w:rPr>
        <w:t xml:space="preserve">.09795. </w:t>
      </w:r>
      <w:proofErr w:type="spellStart"/>
      <w:r w:rsidRPr="00C60614">
        <w:rPr>
          <w:rFonts w:eastAsia="Times New Roman"/>
          <w:color w:val="000000" w:themeColor="text1"/>
          <w:sz w:val="24"/>
          <w:szCs w:val="24"/>
          <w:lang w:val="en-US" w:eastAsia="it-IT"/>
        </w:rPr>
        <w:t>doi</w:t>
      </w:r>
      <w:proofErr w:type="spellEnd"/>
      <w:r w:rsidRPr="00C60614">
        <w:rPr>
          <w:rFonts w:eastAsia="Times New Roman"/>
          <w:color w:val="000000" w:themeColor="text1"/>
          <w:sz w:val="24"/>
          <w:szCs w:val="24"/>
          <w:lang w:val="en-US" w:eastAsia="it-IT"/>
        </w:rPr>
        <w:t>: 10.4187/respcare.09795</w:t>
      </w:r>
    </w:p>
    <w:p w14:paraId="08FF357D" w14:textId="79C198DB" w:rsidR="00CA60E2" w:rsidRPr="001059D1" w:rsidRDefault="00CA60E2" w:rsidP="00C60614">
      <w:pPr>
        <w:pStyle w:val="ListParagraph"/>
        <w:numPr>
          <w:ilvl w:val="0"/>
          <w:numId w:val="5"/>
        </w:numPr>
        <w:spacing w:line="360" w:lineRule="auto"/>
        <w:jc w:val="both"/>
        <w:textAlignment w:val="baseline"/>
        <w:rPr>
          <w:rFonts w:eastAsia="Times New Roman"/>
          <w:color w:val="000000" w:themeColor="text1"/>
          <w:sz w:val="24"/>
          <w:szCs w:val="24"/>
          <w:lang w:val="en-US" w:eastAsia="it-IT"/>
        </w:rPr>
      </w:pPr>
      <w:r w:rsidRPr="001059D1">
        <w:rPr>
          <w:rFonts w:eastAsia="Times New Roman"/>
          <w:color w:val="000000" w:themeColor="text1"/>
          <w:sz w:val="24"/>
          <w:szCs w:val="24"/>
          <w:lang w:val="en-US" w:eastAsia="it-IT"/>
        </w:rPr>
        <w:t xml:space="preserve">Knight MJ, </w:t>
      </w:r>
      <w:proofErr w:type="spellStart"/>
      <w:r w:rsidRPr="001059D1">
        <w:rPr>
          <w:rFonts w:eastAsia="Times New Roman"/>
          <w:color w:val="000000" w:themeColor="text1"/>
          <w:sz w:val="24"/>
          <w:szCs w:val="24"/>
          <w:lang w:val="en-US" w:eastAsia="it-IT"/>
        </w:rPr>
        <w:t>Subbe</w:t>
      </w:r>
      <w:proofErr w:type="spellEnd"/>
      <w:r w:rsidRPr="001059D1">
        <w:rPr>
          <w:rFonts w:eastAsia="Times New Roman"/>
          <w:color w:val="000000" w:themeColor="text1"/>
          <w:sz w:val="24"/>
          <w:szCs w:val="24"/>
          <w:lang w:val="en-US" w:eastAsia="it-IT"/>
        </w:rPr>
        <w:t xml:space="preserve"> CP, Inada-Kim M. Racial discrepancies in oximetry: where do we stand? </w:t>
      </w:r>
      <w:proofErr w:type="spellStart"/>
      <w:r w:rsidRPr="001059D1">
        <w:rPr>
          <w:rFonts w:eastAsia="Times New Roman"/>
          <w:i/>
          <w:iCs/>
          <w:color w:val="000000" w:themeColor="text1"/>
          <w:sz w:val="24"/>
          <w:szCs w:val="24"/>
          <w:lang w:val="en-US" w:eastAsia="it-IT"/>
        </w:rPr>
        <w:t>Anaesthesia</w:t>
      </w:r>
      <w:proofErr w:type="spellEnd"/>
      <w:r w:rsidRPr="001059D1">
        <w:rPr>
          <w:rFonts w:eastAsia="Times New Roman"/>
          <w:color w:val="000000" w:themeColor="text1"/>
          <w:sz w:val="24"/>
          <w:szCs w:val="24"/>
          <w:lang w:val="en-US" w:eastAsia="it-IT"/>
        </w:rPr>
        <w:t xml:space="preserve"> 2021 Nov 29. </w:t>
      </w:r>
      <w:proofErr w:type="spellStart"/>
      <w:r w:rsidRPr="001059D1">
        <w:rPr>
          <w:rFonts w:eastAsia="Times New Roman"/>
          <w:color w:val="000000" w:themeColor="text1"/>
          <w:sz w:val="24"/>
          <w:szCs w:val="24"/>
          <w:lang w:val="en-US" w:eastAsia="it-IT"/>
        </w:rPr>
        <w:t>doi</w:t>
      </w:r>
      <w:proofErr w:type="spellEnd"/>
      <w:r w:rsidRPr="001059D1">
        <w:rPr>
          <w:rFonts w:eastAsia="Times New Roman"/>
          <w:color w:val="000000" w:themeColor="text1"/>
          <w:sz w:val="24"/>
          <w:szCs w:val="24"/>
          <w:lang w:val="en-US" w:eastAsia="it-IT"/>
        </w:rPr>
        <w:t>: 10.1111/anae.15635.</w:t>
      </w:r>
    </w:p>
    <w:p w14:paraId="77382248" w14:textId="6E9B3ECB" w:rsidR="00D06D7E" w:rsidRDefault="00D06D7E" w:rsidP="00C60614">
      <w:pPr>
        <w:pStyle w:val="ListParagraph"/>
        <w:numPr>
          <w:ilvl w:val="0"/>
          <w:numId w:val="5"/>
        </w:numPr>
        <w:shd w:val="clear" w:color="auto" w:fill="FFFFFF"/>
        <w:spacing w:line="360" w:lineRule="auto"/>
        <w:rPr>
          <w:rFonts w:eastAsia="Times New Roman"/>
          <w:color w:val="000000" w:themeColor="text1"/>
          <w:sz w:val="24"/>
          <w:szCs w:val="24"/>
        </w:rPr>
      </w:pPr>
      <w:r w:rsidRPr="00C60614">
        <w:rPr>
          <w:rFonts w:eastAsia="Times New Roman"/>
          <w:color w:val="000000" w:themeColor="text1"/>
          <w:sz w:val="24"/>
          <w:szCs w:val="24"/>
          <w:lang w:val="en-US" w:eastAsia="it-IT"/>
        </w:rPr>
        <w:t xml:space="preserve">Silverston P. Pulse oximetry in </w:t>
      </w:r>
      <w:r w:rsidR="000F198A">
        <w:rPr>
          <w:rFonts w:eastAsia="Times New Roman"/>
          <w:color w:val="000000" w:themeColor="text1"/>
          <w:sz w:val="24"/>
          <w:szCs w:val="24"/>
          <w:lang w:val="en-US" w:eastAsia="it-IT"/>
        </w:rPr>
        <w:t>p</w:t>
      </w:r>
      <w:r w:rsidRPr="00C60614">
        <w:rPr>
          <w:rFonts w:eastAsia="Times New Roman"/>
          <w:color w:val="000000" w:themeColor="text1"/>
          <w:sz w:val="24"/>
          <w:szCs w:val="24"/>
          <w:lang w:val="en-US" w:eastAsia="it-IT"/>
        </w:rPr>
        <w:t xml:space="preserve">rimary Care. </w:t>
      </w:r>
      <w:r w:rsidRPr="000F198A">
        <w:rPr>
          <w:rFonts w:eastAsia="Times New Roman"/>
          <w:i/>
          <w:iCs/>
          <w:color w:val="000000" w:themeColor="text1"/>
          <w:sz w:val="24"/>
          <w:szCs w:val="24"/>
        </w:rPr>
        <w:t>InnovAiT</w:t>
      </w:r>
      <w:r w:rsidRPr="00C60614">
        <w:rPr>
          <w:rFonts w:eastAsia="Times New Roman"/>
          <w:color w:val="000000" w:themeColor="text1"/>
          <w:sz w:val="24"/>
          <w:szCs w:val="24"/>
        </w:rPr>
        <w:t xml:space="preserve"> 2016</w:t>
      </w:r>
      <w:r w:rsidR="000F198A">
        <w:rPr>
          <w:rFonts w:eastAsia="Times New Roman"/>
          <w:color w:val="000000" w:themeColor="text1"/>
          <w:sz w:val="24"/>
          <w:szCs w:val="24"/>
        </w:rPr>
        <w:t>;</w:t>
      </w:r>
      <w:r w:rsidRPr="00C60614">
        <w:rPr>
          <w:rFonts w:eastAsia="Times New Roman"/>
          <w:color w:val="000000" w:themeColor="text1"/>
          <w:sz w:val="24"/>
          <w:szCs w:val="24"/>
        </w:rPr>
        <w:t>9(4)</w:t>
      </w:r>
      <w:r w:rsidR="000F198A">
        <w:rPr>
          <w:rFonts w:eastAsia="Times New Roman"/>
          <w:color w:val="000000" w:themeColor="text1"/>
          <w:sz w:val="24"/>
          <w:szCs w:val="24"/>
        </w:rPr>
        <w:t>:202-207.</w:t>
      </w:r>
      <w:r w:rsidRPr="00C60614">
        <w:rPr>
          <w:rFonts w:eastAsia="Times New Roman"/>
          <w:color w:val="000000" w:themeColor="text1"/>
          <w:sz w:val="24"/>
          <w:szCs w:val="24"/>
        </w:rPr>
        <w:t xml:space="preserve"> </w:t>
      </w:r>
      <w:r w:rsidR="007C047A">
        <w:rPr>
          <w:rFonts w:eastAsia="Times New Roman"/>
          <w:color w:val="000000" w:themeColor="text1"/>
          <w:sz w:val="24"/>
          <w:szCs w:val="24"/>
        </w:rPr>
        <w:t>doi</w:t>
      </w:r>
      <w:r w:rsidRPr="00C60614">
        <w:rPr>
          <w:rFonts w:eastAsia="Times New Roman"/>
          <w:color w:val="000000" w:themeColor="text1"/>
          <w:sz w:val="24"/>
          <w:szCs w:val="24"/>
        </w:rPr>
        <w:t>:10.1177/1755738016628894</w:t>
      </w:r>
    </w:p>
    <w:p w14:paraId="1A3071EE" w14:textId="63CC072E" w:rsidR="00BC0DB2" w:rsidRPr="005007BB" w:rsidRDefault="00C166E0" w:rsidP="00C60614">
      <w:pPr>
        <w:pStyle w:val="ListParagraph"/>
        <w:numPr>
          <w:ilvl w:val="0"/>
          <w:numId w:val="5"/>
        </w:numPr>
        <w:shd w:val="clear" w:color="auto" w:fill="FFFFFF"/>
        <w:spacing w:line="360" w:lineRule="auto"/>
        <w:rPr>
          <w:rFonts w:eastAsia="Times New Roman"/>
          <w:color w:val="000000" w:themeColor="text1"/>
          <w:sz w:val="24"/>
          <w:szCs w:val="24"/>
          <w:lang w:val="en-US"/>
        </w:rPr>
      </w:pPr>
      <w:r w:rsidRPr="00C60614">
        <w:rPr>
          <w:rFonts w:eastAsia="Times New Roman"/>
          <w:color w:val="000000" w:themeColor="text1"/>
          <w:sz w:val="24"/>
          <w:szCs w:val="24"/>
          <w:lang w:val="en-US"/>
        </w:rPr>
        <w:t xml:space="preserve">NHS England. Pulse oximetry to detect early deterioration of patients with COVID-19 in primary and community care settings. </w:t>
      </w:r>
      <w:r w:rsidR="00BD01A2">
        <w:rPr>
          <w:rFonts w:eastAsia="Times New Roman"/>
          <w:color w:val="000000" w:themeColor="text1"/>
          <w:sz w:val="24"/>
          <w:szCs w:val="24"/>
          <w:lang w:val="en-US"/>
        </w:rPr>
        <w:t xml:space="preserve">12 January 2021. </w:t>
      </w:r>
      <w:hyperlink r:id="rId10" w:history="1">
        <w:r w:rsidR="00BD01A2" w:rsidRPr="00EF3EF6">
          <w:rPr>
            <w:rStyle w:val="Hyperlink"/>
            <w:rFonts w:eastAsia="Times New Roman"/>
            <w:color w:val="auto"/>
            <w:sz w:val="24"/>
            <w:szCs w:val="24"/>
            <w:u w:val="none"/>
            <w:lang w:val="en-US"/>
          </w:rPr>
          <w:t>https://www.england.nhs.uk/coronavirus/wp-content/uploads/sites/52/2020/06/C0445-remote-monitoring-in-primary-care-jan-2021-v1.1.pdf</w:t>
        </w:r>
      </w:hyperlink>
      <w:r w:rsidR="005007BB" w:rsidRPr="005007BB">
        <w:rPr>
          <w:rStyle w:val="Hyperlink"/>
          <w:rFonts w:eastAsia="Times New Roman"/>
          <w:sz w:val="24"/>
          <w:szCs w:val="24"/>
          <w:lang w:val="en-US"/>
        </w:rPr>
        <w:t xml:space="preserve"> </w:t>
      </w:r>
      <w:r w:rsidR="005007BB">
        <w:rPr>
          <w:rStyle w:val="Hyperlink"/>
          <w:rFonts w:eastAsia="Times New Roman"/>
          <w:color w:val="000000" w:themeColor="text1"/>
          <w:sz w:val="24"/>
          <w:szCs w:val="24"/>
          <w:u w:val="none"/>
          <w:lang w:val="en-US" w:eastAsia="it-IT"/>
        </w:rPr>
        <w:t>(accessed 29 November 2021).</w:t>
      </w:r>
    </w:p>
    <w:p w14:paraId="5165295C" w14:textId="4DE62EC1" w:rsidR="00BC0DB2" w:rsidRPr="00C60614" w:rsidRDefault="00BC0DB2" w:rsidP="00C60614">
      <w:pPr>
        <w:pStyle w:val="ListParagraph"/>
        <w:numPr>
          <w:ilvl w:val="0"/>
          <w:numId w:val="5"/>
        </w:numPr>
        <w:shd w:val="clear" w:color="auto" w:fill="FFFFFF"/>
        <w:spacing w:line="360" w:lineRule="auto"/>
        <w:rPr>
          <w:rFonts w:eastAsia="Times New Roman"/>
          <w:color w:val="000000" w:themeColor="text1"/>
          <w:sz w:val="24"/>
          <w:szCs w:val="24"/>
        </w:rPr>
      </w:pPr>
      <w:r w:rsidRPr="00C60614">
        <w:rPr>
          <w:rFonts w:eastAsia="Times New Roman"/>
          <w:color w:val="000000" w:themeColor="text1"/>
          <w:sz w:val="24"/>
          <w:szCs w:val="24"/>
          <w:lang w:val="en-US"/>
        </w:rPr>
        <w:t xml:space="preserve">Silverston P. Pulse oximetry in COVID-19 disease. </w:t>
      </w:r>
      <w:r w:rsidRPr="000F198A">
        <w:rPr>
          <w:rFonts w:eastAsia="Times New Roman"/>
          <w:i/>
          <w:iCs/>
          <w:color w:val="111111"/>
          <w:sz w:val="24"/>
          <w:szCs w:val="24"/>
        </w:rPr>
        <w:t>Practice Nursing</w:t>
      </w:r>
      <w:r w:rsidR="000F198A">
        <w:rPr>
          <w:rFonts w:eastAsia="Times New Roman"/>
          <w:color w:val="111111"/>
          <w:sz w:val="24"/>
          <w:szCs w:val="24"/>
        </w:rPr>
        <w:t xml:space="preserve"> </w:t>
      </w:r>
      <w:r w:rsidRPr="00C60614">
        <w:rPr>
          <w:rFonts w:eastAsia="Times New Roman"/>
          <w:color w:val="111111"/>
          <w:sz w:val="24"/>
          <w:szCs w:val="24"/>
        </w:rPr>
        <w:t>2021</w:t>
      </w:r>
      <w:r w:rsidR="000F198A">
        <w:rPr>
          <w:rFonts w:eastAsia="Times New Roman"/>
          <w:color w:val="111111"/>
          <w:sz w:val="24"/>
          <w:szCs w:val="24"/>
        </w:rPr>
        <w:t>;</w:t>
      </w:r>
      <w:r w:rsidRPr="00C60614">
        <w:rPr>
          <w:rFonts w:eastAsia="Times New Roman"/>
          <w:color w:val="111111"/>
          <w:sz w:val="24"/>
          <w:szCs w:val="24"/>
        </w:rPr>
        <w:t xml:space="preserve">32(8). </w:t>
      </w:r>
      <w:r w:rsidR="000F198A">
        <w:rPr>
          <w:rFonts w:eastAsia="Times New Roman"/>
          <w:color w:val="111111"/>
          <w:sz w:val="24"/>
          <w:szCs w:val="24"/>
        </w:rPr>
        <w:t>doi:</w:t>
      </w:r>
      <w:hyperlink r:id="rId11" w:tgtFrame="_blank" w:history="1">
        <w:r w:rsidRPr="000F198A">
          <w:rPr>
            <w:rStyle w:val="Hyperlink"/>
            <w:rFonts w:eastAsia="Times New Roman"/>
            <w:color w:val="auto"/>
            <w:sz w:val="24"/>
            <w:szCs w:val="24"/>
            <w:u w:val="none"/>
            <w:bdr w:val="none" w:sz="0" w:space="0" w:color="auto" w:frame="1"/>
          </w:rPr>
          <w:t>10.12968/pnur.2021.32.8.312</w:t>
        </w:r>
      </w:hyperlink>
    </w:p>
    <w:p w14:paraId="45E7F6B6" w14:textId="46C08FB1" w:rsidR="00F84782" w:rsidRPr="000F198A" w:rsidRDefault="00D06D7E" w:rsidP="00C60614">
      <w:pPr>
        <w:pStyle w:val="ListParagraph"/>
        <w:numPr>
          <w:ilvl w:val="0"/>
          <w:numId w:val="5"/>
        </w:numPr>
        <w:shd w:val="clear" w:color="auto" w:fill="FFFFFF"/>
        <w:spacing w:after="0" w:line="360" w:lineRule="auto"/>
        <w:textAlignment w:val="baseline"/>
        <w:rPr>
          <w:rStyle w:val="Hyperlink"/>
          <w:rFonts w:eastAsia="Times New Roman"/>
          <w:color w:val="000000" w:themeColor="text1"/>
          <w:sz w:val="24"/>
          <w:szCs w:val="24"/>
          <w:u w:val="none"/>
          <w:lang w:val="en-US" w:eastAsia="it-IT"/>
        </w:rPr>
      </w:pPr>
      <w:r w:rsidRPr="00C60614">
        <w:rPr>
          <w:color w:val="000000" w:themeColor="text1"/>
          <w:sz w:val="24"/>
          <w:szCs w:val="24"/>
          <w:lang w:val="en-US"/>
        </w:rPr>
        <w:t xml:space="preserve">Chan E, </w:t>
      </w:r>
      <w:r w:rsidR="00F84782" w:rsidRPr="00C60614">
        <w:rPr>
          <w:color w:val="000000" w:themeColor="text1"/>
          <w:sz w:val="24"/>
          <w:szCs w:val="24"/>
          <w:lang w:val="en-US"/>
        </w:rPr>
        <w:t>Chan</w:t>
      </w:r>
      <w:r w:rsidRPr="00C60614">
        <w:rPr>
          <w:color w:val="000000" w:themeColor="text1"/>
          <w:sz w:val="24"/>
          <w:szCs w:val="24"/>
          <w:lang w:val="en-US"/>
        </w:rPr>
        <w:t xml:space="preserve"> M, </w:t>
      </w:r>
      <w:r w:rsidR="00F84782" w:rsidRPr="00C60614">
        <w:rPr>
          <w:color w:val="000000" w:themeColor="text1"/>
          <w:sz w:val="24"/>
          <w:szCs w:val="24"/>
          <w:lang w:val="en-US"/>
        </w:rPr>
        <w:t>Chan</w:t>
      </w:r>
      <w:r w:rsidRPr="00C60614">
        <w:rPr>
          <w:color w:val="000000" w:themeColor="text1"/>
          <w:sz w:val="24"/>
          <w:szCs w:val="24"/>
          <w:lang w:val="en-US"/>
        </w:rPr>
        <w:t xml:space="preserve"> M. </w:t>
      </w:r>
      <w:r w:rsidR="00F84782" w:rsidRPr="00C60614">
        <w:rPr>
          <w:color w:val="000000" w:themeColor="text1"/>
          <w:sz w:val="24"/>
          <w:szCs w:val="24"/>
          <w:lang w:val="en-US"/>
        </w:rPr>
        <w:t>Pulse oximetry: Understanding i</w:t>
      </w:r>
      <w:r w:rsidR="00BC0DB2" w:rsidRPr="00C60614">
        <w:rPr>
          <w:color w:val="000000" w:themeColor="text1"/>
          <w:sz w:val="24"/>
          <w:szCs w:val="24"/>
          <w:lang w:val="en-US"/>
        </w:rPr>
        <w:t xml:space="preserve">ts basic principles facilitates </w:t>
      </w:r>
      <w:r w:rsidRPr="00C60614">
        <w:rPr>
          <w:color w:val="000000" w:themeColor="text1"/>
          <w:sz w:val="24"/>
          <w:szCs w:val="24"/>
          <w:lang w:val="en-US"/>
        </w:rPr>
        <w:t xml:space="preserve">appreciation of its limitations. </w:t>
      </w:r>
      <w:r w:rsidRPr="000F198A">
        <w:rPr>
          <w:i/>
          <w:iCs/>
          <w:color w:val="000000" w:themeColor="text1"/>
          <w:sz w:val="24"/>
          <w:szCs w:val="24"/>
        </w:rPr>
        <w:t>Respir Med</w:t>
      </w:r>
      <w:r w:rsidRPr="00C60614">
        <w:rPr>
          <w:color w:val="000000" w:themeColor="text1"/>
          <w:sz w:val="24"/>
          <w:szCs w:val="24"/>
        </w:rPr>
        <w:t xml:space="preserve"> 2013</w:t>
      </w:r>
      <w:r w:rsidR="000F198A">
        <w:rPr>
          <w:color w:val="000000" w:themeColor="text1"/>
          <w:sz w:val="24"/>
          <w:szCs w:val="24"/>
        </w:rPr>
        <w:t>;</w:t>
      </w:r>
      <w:r w:rsidRPr="00C60614">
        <w:rPr>
          <w:color w:val="000000" w:themeColor="text1"/>
          <w:sz w:val="24"/>
          <w:szCs w:val="24"/>
        </w:rPr>
        <w:t>107(6)</w:t>
      </w:r>
      <w:r w:rsidR="000F198A">
        <w:rPr>
          <w:color w:val="000000" w:themeColor="text1"/>
          <w:sz w:val="24"/>
          <w:szCs w:val="24"/>
        </w:rPr>
        <w:t>:</w:t>
      </w:r>
      <w:r w:rsidRPr="00C60614">
        <w:rPr>
          <w:color w:val="000000" w:themeColor="text1"/>
          <w:sz w:val="24"/>
          <w:szCs w:val="24"/>
        </w:rPr>
        <w:t xml:space="preserve">789-799. </w:t>
      </w:r>
      <w:hyperlink r:id="rId12" w:history="1">
        <w:r w:rsidR="0032367A" w:rsidRPr="00C60614">
          <w:rPr>
            <w:rStyle w:val="Hyperlink"/>
            <w:color w:val="000000" w:themeColor="text1"/>
            <w:sz w:val="24"/>
            <w:szCs w:val="24"/>
            <w:u w:val="none"/>
          </w:rPr>
          <w:t>doi</w:t>
        </w:r>
        <w:r w:rsidR="000F198A">
          <w:rPr>
            <w:rStyle w:val="Hyperlink"/>
            <w:color w:val="000000" w:themeColor="text1"/>
            <w:sz w:val="24"/>
            <w:szCs w:val="24"/>
            <w:u w:val="none"/>
          </w:rPr>
          <w:t>:</w:t>
        </w:r>
        <w:r w:rsidR="0032367A" w:rsidRPr="00C60614">
          <w:rPr>
            <w:rStyle w:val="Hyperlink"/>
            <w:color w:val="000000" w:themeColor="text1"/>
            <w:sz w:val="24"/>
            <w:szCs w:val="24"/>
            <w:u w:val="none"/>
          </w:rPr>
          <w:t>10.1016/j.rmed.2013.02.004</w:t>
        </w:r>
      </w:hyperlink>
    </w:p>
    <w:p w14:paraId="72307B90" w14:textId="003AE8D5" w:rsidR="00CD63B0" w:rsidRPr="008E7F48" w:rsidRDefault="0032367A" w:rsidP="00CD63B0">
      <w:pPr>
        <w:pStyle w:val="p1"/>
        <w:numPr>
          <w:ilvl w:val="0"/>
          <w:numId w:val="5"/>
        </w:numPr>
        <w:spacing w:line="360" w:lineRule="auto"/>
        <w:rPr>
          <w:rFonts w:ascii="Times New Roman" w:hAnsi="Times New Roman"/>
          <w:color w:val="000000" w:themeColor="text1"/>
          <w:sz w:val="24"/>
          <w:szCs w:val="24"/>
        </w:rPr>
      </w:pPr>
      <w:r w:rsidRPr="00C60614">
        <w:rPr>
          <w:rFonts w:ascii="Times New Roman" w:hAnsi="Times New Roman"/>
          <w:color w:val="000000" w:themeColor="text1"/>
          <w:sz w:val="24"/>
          <w:szCs w:val="24"/>
        </w:rPr>
        <w:t xml:space="preserve">Moyle J. Pulse oximetry gives artificially high readings in presence of carboxyhaemoglobin. </w:t>
      </w:r>
      <w:r w:rsidRPr="00BC6B1E">
        <w:rPr>
          <w:rFonts w:ascii="Times New Roman" w:hAnsi="Times New Roman"/>
          <w:i/>
          <w:iCs/>
          <w:color w:val="000000" w:themeColor="text1"/>
          <w:sz w:val="24"/>
          <w:szCs w:val="24"/>
        </w:rPr>
        <w:t>BMJ</w:t>
      </w:r>
      <w:r w:rsidRPr="00C60614">
        <w:rPr>
          <w:rFonts w:ascii="Times New Roman" w:hAnsi="Times New Roman"/>
          <w:color w:val="000000" w:themeColor="text1"/>
          <w:sz w:val="24"/>
          <w:szCs w:val="24"/>
        </w:rPr>
        <w:t xml:space="preserve"> 2021;</w:t>
      </w:r>
      <w:proofErr w:type="gramStart"/>
      <w:r w:rsidRPr="00C60614">
        <w:rPr>
          <w:rFonts w:ascii="Times New Roman" w:hAnsi="Times New Roman"/>
          <w:color w:val="000000" w:themeColor="text1"/>
          <w:sz w:val="24"/>
          <w:szCs w:val="24"/>
        </w:rPr>
        <w:t>373:n</w:t>
      </w:r>
      <w:proofErr w:type="gramEnd"/>
      <w:r w:rsidRPr="00C60614">
        <w:rPr>
          <w:rFonts w:ascii="Times New Roman" w:hAnsi="Times New Roman"/>
          <w:color w:val="000000" w:themeColor="text1"/>
          <w:sz w:val="24"/>
          <w:szCs w:val="24"/>
        </w:rPr>
        <w:t>1103</w:t>
      </w:r>
      <w:r w:rsidR="00BC6B1E">
        <w:rPr>
          <w:rFonts w:ascii="Times New Roman" w:hAnsi="Times New Roman"/>
          <w:color w:val="000000" w:themeColor="text1"/>
          <w:sz w:val="24"/>
          <w:szCs w:val="24"/>
        </w:rPr>
        <w:t>. d</w:t>
      </w:r>
      <w:r w:rsidRPr="00C60614">
        <w:rPr>
          <w:rFonts w:ascii="Times New Roman" w:hAnsi="Times New Roman"/>
          <w:color w:val="000000" w:themeColor="text1"/>
          <w:sz w:val="24"/>
          <w:szCs w:val="24"/>
        </w:rPr>
        <w:t>oi</w:t>
      </w:r>
      <w:r w:rsidR="00BC6B1E">
        <w:rPr>
          <w:rFonts w:ascii="Times New Roman" w:hAnsi="Times New Roman"/>
          <w:color w:val="000000" w:themeColor="text1"/>
          <w:sz w:val="24"/>
          <w:szCs w:val="24"/>
        </w:rPr>
        <w:t>:</w:t>
      </w:r>
      <w:r w:rsidRPr="00C60614">
        <w:rPr>
          <w:rFonts w:ascii="Times New Roman" w:hAnsi="Times New Roman"/>
          <w:color w:val="000000" w:themeColor="text1"/>
          <w:sz w:val="24"/>
          <w:szCs w:val="24"/>
        </w:rPr>
        <w:t>10.1136/</w:t>
      </w:r>
      <w:proofErr w:type="gramStart"/>
      <w:r w:rsidRPr="00C60614">
        <w:rPr>
          <w:rFonts w:ascii="Times New Roman" w:hAnsi="Times New Roman"/>
          <w:color w:val="000000" w:themeColor="text1"/>
          <w:sz w:val="24"/>
          <w:szCs w:val="24"/>
        </w:rPr>
        <w:t>bmj.n</w:t>
      </w:r>
      <w:proofErr w:type="gramEnd"/>
      <w:r w:rsidRPr="00C60614">
        <w:rPr>
          <w:rFonts w:ascii="Times New Roman" w:hAnsi="Times New Roman"/>
          <w:color w:val="000000" w:themeColor="text1"/>
          <w:sz w:val="24"/>
          <w:szCs w:val="24"/>
        </w:rPr>
        <w:t>1103</w:t>
      </w:r>
    </w:p>
    <w:sectPr w:rsidR="00CD63B0" w:rsidRPr="008E7F48" w:rsidSect="00CA65DF">
      <w:footerReference w:type="default" r:id="rId13"/>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DF1E2" w14:textId="77777777" w:rsidR="00952948" w:rsidRDefault="00952948" w:rsidP="00C60614">
      <w:r>
        <w:separator/>
      </w:r>
    </w:p>
  </w:endnote>
  <w:endnote w:type="continuationSeparator" w:id="0">
    <w:p w14:paraId="36CDBD08" w14:textId="77777777" w:rsidR="00952948" w:rsidRDefault="00952948" w:rsidP="00C60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960985"/>
      <w:docPartObj>
        <w:docPartGallery w:val="Page Numbers (Bottom of Page)"/>
        <w:docPartUnique/>
      </w:docPartObj>
    </w:sdtPr>
    <w:sdtEndPr/>
    <w:sdtContent>
      <w:p w14:paraId="27E007D9" w14:textId="1EC99528" w:rsidR="00C60614" w:rsidRDefault="00C60614">
        <w:pPr>
          <w:pStyle w:val="Footer"/>
          <w:jc w:val="center"/>
        </w:pPr>
        <w:r>
          <w:fldChar w:fldCharType="begin"/>
        </w:r>
        <w:r>
          <w:instrText>PAGE   \* MERGEFORMAT</w:instrText>
        </w:r>
        <w:r>
          <w:fldChar w:fldCharType="separate"/>
        </w:r>
        <w:r w:rsidR="00CD63B0" w:rsidRPr="00CD63B0">
          <w:rPr>
            <w:noProof/>
            <w:lang w:val="it-IT"/>
          </w:rPr>
          <w:t>6</w:t>
        </w:r>
        <w:r>
          <w:fldChar w:fldCharType="end"/>
        </w:r>
      </w:p>
    </w:sdtContent>
  </w:sdt>
  <w:p w14:paraId="456F5CCC" w14:textId="77777777" w:rsidR="00C60614" w:rsidRDefault="00C606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E8694" w14:textId="77777777" w:rsidR="00952948" w:rsidRDefault="00952948" w:rsidP="00C60614">
      <w:r>
        <w:separator/>
      </w:r>
    </w:p>
  </w:footnote>
  <w:footnote w:type="continuationSeparator" w:id="0">
    <w:p w14:paraId="07853B16" w14:textId="77777777" w:rsidR="00952948" w:rsidRDefault="00952948" w:rsidP="00C606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84EF7"/>
    <w:multiLevelType w:val="multilevel"/>
    <w:tmpl w:val="35D48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A9079F"/>
    <w:multiLevelType w:val="hybridMultilevel"/>
    <w:tmpl w:val="64322E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B47FE4"/>
    <w:multiLevelType w:val="multilevel"/>
    <w:tmpl w:val="23106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666049"/>
    <w:multiLevelType w:val="multilevel"/>
    <w:tmpl w:val="3F561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B11121"/>
    <w:multiLevelType w:val="hybridMultilevel"/>
    <w:tmpl w:val="C9AC7FA8"/>
    <w:lvl w:ilvl="0" w:tplc="1200D744">
      <w:start w:val="1"/>
      <w:numFmt w:val="decimal"/>
      <w:lvlText w:val="%1."/>
      <w:lvlJc w:val="left"/>
      <w:pPr>
        <w:ind w:left="720" w:hanging="360"/>
      </w:pPr>
      <w:rPr>
        <w:rFonts w:asciiTheme="minorHAnsi" w:eastAsiaTheme="minorHAnsi" w:hAnsiTheme="minorHAnsi" w:cstheme="minorBidi" w:hint="default"/>
        <w:color w:val="000000"/>
        <w:sz w:val="28"/>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34A153E7"/>
    <w:multiLevelType w:val="multilevel"/>
    <w:tmpl w:val="2C448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1637A0"/>
    <w:multiLevelType w:val="multilevel"/>
    <w:tmpl w:val="6E3C6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664895"/>
    <w:multiLevelType w:val="multilevel"/>
    <w:tmpl w:val="8340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3E11AC"/>
    <w:multiLevelType w:val="multilevel"/>
    <w:tmpl w:val="62EC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A65834"/>
    <w:multiLevelType w:val="hybridMultilevel"/>
    <w:tmpl w:val="E5A47848"/>
    <w:lvl w:ilvl="0" w:tplc="F95E4F50">
      <w:start w:val="1"/>
      <w:numFmt w:val="decimal"/>
      <w:lvlText w:val="%1."/>
      <w:lvlJc w:val="left"/>
      <w:pPr>
        <w:ind w:left="630" w:hanging="360"/>
      </w:pPr>
      <w:rPr>
        <w:rFonts w:hint="default"/>
        <w:b w:val="0"/>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num w:numId="1" w16cid:durableId="1787771402">
    <w:abstractNumId w:val="8"/>
  </w:num>
  <w:num w:numId="2" w16cid:durableId="793718694">
    <w:abstractNumId w:val="4"/>
  </w:num>
  <w:num w:numId="3" w16cid:durableId="1387416653">
    <w:abstractNumId w:val="7"/>
  </w:num>
  <w:num w:numId="4" w16cid:durableId="1651246523">
    <w:abstractNumId w:val="0"/>
  </w:num>
  <w:num w:numId="5" w16cid:durableId="722019441">
    <w:abstractNumId w:val="9"/>
  </w:num>
  <w:num w:numId="6" w16cid:durableId="843209534">
    <w:abstractNumId w:val="3"/>
  </w:num>
  <w:num w:numId="7" w16cid:durableId="1875919548">
    <w:abstractNumId w:val="2"/>
  </w:num>
  <w:num w:numId="8" w16cid:durableId="2052463231">
    <w:abstractNumId w:val="5"/>
  </w:num>
  <w:num w:numId="9" w16cid:durableId="780881238">
    <w:abstractNumId w:val="6"/>
  </w:num>
  <w:num w:numId="10" w16cid:durableId="13665186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IwNzQwNDUzNTc1MDVV0lEKTi0uzszPAykwrAUAtqE2uSwAAAA="/>
  </w:docVars>
  <w:rsids>
    <w:rsidRoot w:val="00831C62"/>
    <w:rsid w:val="0000175F"/>
    <w:rsid w:val="00006ECB"/>
    <w:rsid w:val="00007E23"/>
    <w:rsid w:val="00012210"/>
    <w:rsid w:val="00013A38"/>
    <w:rsid w:val="00013F19"/>
    <w:rsid w:val="00016BDA"/>
    <w:rsid w:val="000230B2"/>
    <w:rsid w:val="000239AE"/>
    <w:rsid w:val="000271B5"/>
    <w:rsid w:val="000275D5"/>
    <w:rsid w:val="00027F9D"/>
    <w:rsid w:val="000300A9"/>
    <w:rsid w:val="000316B4"/>
    <w:rsid w:val="00033DA7"/>
    <w:rsid w:val="00034341"/>
    <w:rsid w:val="00043F32"/>
    <w:rsid w:val="00044E6F"/>
    <w:rsid w:val="000460F4"/>
    <w:rsid w:val="00050430"/>
    <w:rsid w:val="0005335C"/>
    <w:rsid w:val="0005494C"/>
    <w:rsid w:val="00061580"/>
    <w:rsid w:val="00065264"/>
    <w:rsid w:val="00067FBD"/>
    <w:rsid w:val="00070C3B"/>
    <w:rsid w:val="000738EB"/>
    <w:rsid w:val="00076FE6"/>
    <w:rsid w:val="00080D74"/>
    <w:rsid w:val="00082134"/>
    <w:rsid w:val="00083732"/>
    <w:rsid w:val="00090341"/>
    <w:rsid w:val="00094C77"/>
    <w:rsid w:val="000A41D8"/>
    <w:rsid w:val="000A5C82"/>
    <w:rsid w:val="000B7B33"/>
    <w:rsid w:val="000C05AB"/>
    <w:rsid w:val="000C63C6"/>
    <w:rsid w:val="000C649C"/>
    <w:rsid w:val="000D1F13"/>
    <w:rsid w:val="000D2F2D"/>
    <w:rsid w:val="000D77D6"/>
    <w:rsid w:val="000E7D97"/>
    <w:rsid w:val="000F198A"/>
    <w:rsid w:val="001059D1"/>
    <w:rsid w:val="00106ABB"/>
    <w:rsid w:val="00106B61"/>
    <w:rsid w:val="001136E3"/>
    <w:rsid w:val="00122DBD"/>
    <w:rsid w:val="001262A8"/>
    <w:rsid w:val="00127140"/>
    <w:rsid w:val="00132CAB"/>
    <w:rsid w:val="0013328D"/>
    <w:rsid w:val="00140D3D"/>
    <w:rsid w:val="00143D6F"/>
    <w:rsid w:val="001447C7"/>
    <w:rsid w:val="00150327"/>
    <w:rsid w:val="00154291"/>
    <w:rsid w:val="0015489D"/>
    <w:rsid w:val="00154B66"/>
    <w:rsid w:val="00154D31"/>
    <w:rsid w:val="00155C9A"/>
    <w:rsid w:val="00156325"/>
    <w:rsid w:val="0016104E"/>
    <w:rsid w:val="00161274"/>
    <w:rsid w:val="001612B1"/>
    <w:rsid w:val="001635D2"/>
    <w:rsid w:val="00166601"/>
    <w:rsid w:val="001666D5"/>
    <w:rsid w:val="00174CEB"/>
    <w:rsid w:val="001801EE"/>
    <w:rsid w:val="00181875"/>
    <w:rsid w:val="001818D9"/>
    <w:rsid w:val="001828EE"/>
    <w:rsid w:val="001839F9"/>
    <w:rsid w:val="00184983"/>
    <w:rsid w:val="00184B3E"/>
    <w:rsid w:val="001953E6"/>
    <w:rsid w:val="001A184A"/>
    <w:rsid w:val="001A1C89"/>
    <w:rsid w:val="001A7E74"/>
    <w:rsid w:val="001B050B"/>
    <w:rsid w:val="001B3BF2"/>
    <w:rsid w:val="001C1202"/>
    <w:rsid w:val="001D1C6C"/>
    <w:rsid w:val="001D2891"/>
    <w:rsid w:val="001D762F"/>
    <w:rsid w:val="001E01DA"/>
    <w:rsid w:val="001E52C2"/>
    <w:rsid w:val="001E5C0C"/>
    <w:rsid w:val="001F26D8"/>
    <w:rsid w:val="001F6767"/>
    <w:rsid w:val="0020129D"/>
    <w:rsid w:val="00202A3F"/>
    <w:rsid w:val="00206A8B"/>
    <w:rsid w:val="00211985"/>
    <w:rsid w:val="00213AD4"/>
    <w:rsid w:val="00215BAA"/>
    <w:rsid w:val="0021718F"/>
    <w:rsid w:val="00226293"/>
    <w:rsid w:val="00227003"/>
    <w:rsid w:val="00235685"/>
    <w:rsid w:val="00236A7F"/>
    <w:rsid w:val="00242687"/>
    <w:rsid w:val="0024544A"/>
    <w:rsid w:val="0024636B"/>
    <w:rsid w:val="00247A66"/>
    <w:rsid w:val="002622A0"/>
    <w:rsid w:val="0026370A"/>
    <w:rsid w:val="00264877"/>
    <w:rsid w:val="00270C98"/>
    <w:rsid w:val="002727D2"/>
    <w:rsid w:val="002757D5"/>
    <w:rsid w:val="00280E86"/>
    <w:rsid w:val="002858EE"/>
    <w:rsid w:val="002862B6"/>
    <w:rsid w:val="00286412"/>
    <w:rsid w:val="00297A2B"/>
    <w:rsid w:val="002A2F0D"/>
    <w:rsid w:val="002A4A7D"/>
    <w:rsid w:val="002A4ABD"/>
    <w:rsid w:val="002B32D1"/>
    <w:rsid w:val="002B33C7"/>
    <w:rsid w:val="002B7ABD"/>
    <w:rsid w:val="002B7B5A"/>
    <w:rsid w:val="002C1997"/>
    <w:rsid w:val="002E0D7C"/>
    <w:rsid w:val="002E5B01"/>
    <w:rsid w:val="002E69C7"/>
    <w:rsid w:val="00300B9C"/>
    <w:rsid w:val="00301923"/>
    <w:rsid w:val="003056E5"/>
    <w:rsid w:val="003075CF"/>
    <w:rsid w:val="0031051F"/>
    <w:rsid w:val="003110A4"/>
    <w:rsid w:val="003118E1"/>
    <w:rsid w:val="00320526"/>
    <w:rsid w:val="0032367A"/>
    <w:rsid w:val="00324FE6"/>
    <w:rsid w:val="00325748"/>
    <w:rsid w:val="00334842"/>
    <w:rsid w:val="00340E57"/>
    <w:rsid w:val="00343738"/>
    <w:rsid w:val="003464F4"/>
    <w:rsid w:val="0035481E"/>
    <w:rsid w:val="00361549"/>
    <w:rsid w:val="003719FC"/>
    <w:rsid w:val="003932FF"/>
    <w:rsid w:val="003A00B6"/>
    <w:rsid w:val="003A1B63"/>
    <w:rsid w:val="003A404C"/>
    <w:rsid w:val="003A517E"/>
    <w:rsid w:val="003A78BB"/>
    <w:rsid w:val="003B079D"/>
    <w:rsid w:val="003B28BF"/>
    <w:rsid w:val="003B4201"/>
    <w:rsid w:val="003B4A9A"/>
    <w:rsid w:val="003B734F"/>
    <w:rsid w:val="003B7BC5"/>
    <w:rsid w:val="003C13A7"/>
    <w:rsid w:val="003C2CC3"/>
    <w:rsid w:val="003D2939"/>
    <w:rsid w:val="003D650E"/>
    <w:rsid w:val="003D67D5"/>
    <w:rsid w:val="003E5BB5"/>
    <w:rsid w:val="003F5E41"/>
    <w:rsid w:val="00400F92"/>
    <w:rsid w:val="00404D6A"/>
    <w:rsid w:val="0041638D"/>
    <w:rsid w:val="004163F3"/>
    <w:rsid w:val="00420B89"/>
    <w:rsid w:val="00430D02"/>
    <w:rsid w:val="004311A2"/>
    <w:rsid w:val="004328BA"/>
    <w:rsid w:val="004466CD"/>
    <w:rsid w:val="004511C6"/>
    <w:rsid w:val="00452DB0"/>
    <w:rsid w:val="0046403B"/>
    <w:rsid w:val="004657B8"/>
    <w:rsid w:val="0047007A"/>
    <w:rsid w:val="0047243C"/>
    <w:rsid w:val="0048426E"/>
    <w:rsid w:val="00485592"/>
    <w:rsid w:val="00485DA2"/>
    <w:rsid w:val="00495877"/>
    <w:rsid w:val="004A0057"/>
    <w:rsid w:val="004A18F4"/>
    <w:rsid w:val="004A60CB"/>
    <w:rsid w:val="004B0092"/>
    <w:rsid w:val="004B7F4D"/>
    <w:rsid w:val="004C0136"/>
    <w:rsid w:val="004C1DB6"/>
    <w:rsid w:val="004C2FFF"/>
    <w:rsid w:val="004C6E18"/>
    <w:rsid w:val="004D05A8"/>
    <w:rsid w:val="004D1FF6"/>
    <w:rsid w:val="004D308B"/>
    <w:rsid w:val="004E05E0"/>
    <w:rsid w:val="004E57D2"/>
    <w:rsid w:val="004F308B"/>
    <w:rsid w:val="004F60E8"/>
    <w:rsid w:val="004F7BA7"/>
    <w:rsid w:val="005007BB"/>
    <w:rsid w:val="00500CF5"/>
    <w:rsid w:val="00502CF9"/>
    <w:rsid w:val="005053D2"/>
    <w:rsid w:val="005075AE"/>
    <w:rsid w:val="005120E8"/>
    <w:rsid w:val="00515636"/>
    <w:rsid w:val="00517004"/>
    <w:rsid w:val="00522380"/>
    <w:rsid w:val="00532C71"/>
    <w:rsid w:val="00533251"/>
    <w:rsid w:val="00534727"/>
    <w:rsid w:val="005410C8"/>
    <w:rsid w:val="0054194D"/>
    <w:rsid w:val="0054217A"/>
    <w:rsid w:val="0054771F"/>
    <w:rsid w:val="00550AC8"/>
    <w:rsid w:val="00551CFC"/>
    <w:rsid w:val="005533C7"/>
    <w:rsid w:val="005611A7"/>
    <w:rsid w:val="00562F34"/>
    <w:rsid w:val="0058363A"/>
    <w:rsid w:val="00597381"/>
    <w:rsid w:val="005A53C9"/>
    <w:rsid w:val="005B3D00"/>
    <w:rsid w:val="005B40F2"/>
    <w:rsid w:val="005B5A2C"/>
    <w:rsid w:val="005B7850"/>
    <w:rsid w:val="005D411C"/>
    <w:rsid w:val="005D494F"/>
    <w:rsid w:val="005D624A"/>
    <w:rsid w:val="005D6782"/>
    <w:rsid w:val="005E13C1"/>
    <w:rsid w:val="005E30B9"/>
    <w:rsid w:val="005E5229"/>
    <w:rsid w:val="005F04AA"/>
    <w:rsid w:val="005F0D1F"/>
    <w:rsid w:val="005F53CD"/>
    <w:rsid w:val="006002FB"/>
    <w:rsid w:val="00604B04"/>
    <w:rsid w:val="006178EF"/>
    <w:rsid w:val="00620FE9"/>
    <w:rsid w:val="00627878"/>
    <w:rsid w:val="00631492"/>
    <w:rsid w:val="00634075"/>
    <w:rsid w:val="00651355"/>
    <w:rsid w:val="006574BB"/>
    <w:rsid w:val="00667094"/>
    <w:rsid w:val="00670592"/>
    <w:rsid w:val="00675310"/>
    <w:rsid w:val="0068049E"/>
    <w:rsid w:val="006813A8"/>
    <w:rsid w:val="00687A48"/>
    <w:rsid w:val="00695466"/>
    <w:rsid w:val="00695AF3"/>
    <w:rsid w:val="006A5141"/>
    <w:rsid w:val="006B4381"/>
    <w:rsid w:val="006B701D"/>
    <w:rsid w:val="006C0452"/>
    <w:rsid w:val="006C403B"/>
    <w:rsid w:val="006C4498"/>
    <w:rsid w:val="006C4F76"/>
    <w:rsid w:val="006D112E"/>
    <w:rsid w:val="006D1823"/>
    <w:rsid w:val="006F09CF"/>
    <w:rsid w:val="006F1D8B"/>
    <w:rsid w:val="006F35BF"/>
    <w:rsid w:val="006F40DE"/>
    <w:rsid w:val="006F4437"/>
    <w:rsid w:val="006F471F"/>
    <w:rsid w:val="0071133E"/>
    <w:rsid w:val="00712481"/>
    <w:rsid w:val="007151EF"/>
    <w:rsid w:val="00722D74"/>
    <w:rsid w:val="007232DC"/>
    <w:rsid w:val="007234D9"/>
    <w:rsid w:val="00723A38"/>
    <w:rsid w:val="00723BE7"/>
    <w:rsid w:val="007348DC"/>
    <w:rsid w:val="00741576"/>
    <w:rsid w:val="007418B1"/>
    <w:rsid w:val="00742E22"/>
    <w:rsid w:val="00744825"/>
    <w:rsid w:val="00746AA0"/>
    <w:rsid w:val="00747DB2"/>
    <w:rsid w:val="00750222"/>
    <w:rsid w:val="007515CE"/>
    <w:rsid w:val="00751A0F"/>
    <w:rsid w:val="00754620"/>
    <w:rsid w:val="0075777D"/>
    <w:rsid w:val="007652B2"/>
    <w:rsid w:val="00766551"/>
    <w:rsid w:val="00770163"/>
    <w:rsid w:val="00772136"/>
    <w:rsid w:val="00780CB5"/>
    <w:rsid w:val="0078537B"/>
    <w:rsid w:val="00790A55"/>
    <w:rsid w:val="00790D67"/>
    <w:rsid w:val="0079158E"/>
    <w:rsid w:val="00793953"/>
    <w:rsid w:val="007A0BAA"/>
    <w:rsid w:val="007A1574"/>
    <w:rsid w:val="007A32F6"/>
    <w:rsid w:val="007B0212"/>
    <w:rsid w:val="007B0AD6"/>
    <w:rsid w:val="007B622A"/>
    <w:rsid w:val="007C03E3"/>
    <w:rsid w:val="007C047A"/>
    <w:rsid w:val="007C1CF3"/>
    <w:rsid w:val="007C35A1"/>
    <w:rsid w:val="007D430D"/>
    <w:rsid w:val="007D6690"/>
    <w:rsid w:val="007E529B"/>
    <w:rsid w:val="007E5488"/>
    <w:rsid w:val="007F0AAE"/>
    <w:rsid w:val="007F22F2"/>
    <w:rsid w:val="007F2A25"/>
    <w:rsid w:val="007F356E"/>
    <w:rsid w:val="008038F8"/>
    <w:rsid w:val="008112CF"/>
    <w:rsid w:val="00813B82"/>
    <w:rsid w:val="00817D57"/>
    <w:rsid w:val="008227F7"/>
    <w:rsid w:val="00823544"/>
    <w:rsid w:val="00826CC0"/>
    <w:rsid w:val="0082711A"/>
    <w:rsid w:val="00831BEE"/>
    <w:rsid w:val="00831C62"/>
    <w:rsid w:val="0083477A"/>
    <w:rsid w:val="008405DB"/>
    <w:rsid w:val="0084408C"/>
    <w:rsid w:val="00847F64"/>
    <w:rsid w:val="008505B0"/>
    <w:rsid w:val="0086751B"/>
    <w:rsid w:val="00875EA8"/>
    <w:rsid w:val="00880612"/>
    <w:rsid w:val="00885583"/>
    <w:rsid w:val="008864C8"/>
    <w:rsid w:val="00891530"/>
    <w:rsid w:val="008962ED"/>
    <w:rsid w:val="008A03A1"/>
    <w:rsid w:val="008B3B07"/>
    <w:rsid w:val="008C2A43"/>
    <w:rsid w:val="008C5600"/>
    <w:rsid w:val="008C7EB9"/>
    <w:rsid w:val="008D095C"/>
    <w:rsid w:val="008D1B09"/>
    <w:rsid w:val="008D3790"/>
    <w:rsid w:val="008E3C3C"/>
    <w:rsid w:val="008E4C69"/>
    <w:rsid w:val="008E69AE"/>
    <w:rsid w:val="008E76C9"/>
    <w:rsid w:val="008E7F48"/>
    <w:rsid w:val="008F05AC"/>
    <w:rsid w:val="008F3AAA"/>
    <w:rsid w:val="008F6989"/>
    <w:rsid w:val="00907334"/>
    <w:rsid w:val="0091239A"/>
    <w:rsid w:val="0091305F"/>
    <w:rsid w:val="0091481C"/>
    <w:rsid w:val="0091487C"/>
    <w:rsid w:val="00916963"/>
    <w:rsid w:val="009238B4"/>
    <w:rsid w:val="00931258"/>
    <w:rsid w:val="009356FF"/>
    <w:rsid w:val="00944679"/>
    <w:rsid w:val="00944E8E"/>
    <w:rsid w:val="00946C8E"/>
    <w:rsid w:val="00951D50"/>
    <w:rsid w:val="00952948"/>
    <w:rsid w:val="00952CEF"/>
    <w:rsid w:val="00955305"/>
    <w:rsid w:val="009553C4"/>
    <w:rsid w:val="00956E10"/>
    <w:rsid w:val="00960241"/>
    <w:rsid w:val="0096434A"/>
    <w:rsid w:val="009665FB"/>
    <w:rsid w:val="009668CE"/>
    <w:rsid w:val="009716D6"/>
    <w:rsid w:val="00971F5D"/>
    <w:rsid w:val="009726A9"/>
    <w:rsid w:val="0097365F"/>
    <w:rsid w:val="00975022"/>
    <w:rsid w:val="0098089E"/>
    <w:rsid w:val="0098622E"/>
    <w:rsid w:val="00987506"/>
    <w:rsid w:val="009877F0"/>
    <w:rsid w:val="0099187C"/>
    <w:rsid w:val="009921F0"/>
    <w:rsid w:val="009969CC"/>
    <w:rsid w:val="009B27A7"/>
    <w:rsid w:val="009B43B7"/>
    <w:rsid w:val="009B51F5"/>
    <w:rsid w:val="009B5607"/>
    <w:rsid w:val="009B678E"/>
    <w:rsid w:val="009B686E"/>
    <w:rsid w:val="009B7187"/>
    <w:rsid w:val="009C1E46"/>
    <w:rsid w:val="009C635E"/>
    <w:rsid w:val="009D2123"/>
    <w:rsid w:val="009D3AD1"/>
    <w:rsid w:val="009E064F"/>
    <w:rsid w:val="009E77B5"/>
    <w:rsid w:val="009F2C17"/>
    <w:rsid w:val="009F4420"/>
    <w:rsid w:val="00A0017E"/>
    <w:rsid w:val="00A0127A"/>
    <w:rsid w:val="00A06905"/>
    <w:rsid w:val="00A11BBC"/>
    <w:rsid w:val="00A130F5"/>
    <w:rsid w:val="00A218C1"/>
    <w:rsid w:val="00A24426"/>
    <w:rsid w:val="00A25571"/>
    <w:rsid w:val="00A25D7D"/>
    <w:rsid w:val="00A265E7"/>
    <w:rsid w:val="00A274B0"/>
    <w:rsid w:val="00A3077A"/>
    <w:rsid w:val="00A30CED"/>
    <w:rsid w:val="00A31880"/>
    <w:rsid w:val="00A34214"/>
    <w:rsid w:val="00A4022D"/>
    <w:rsid w:val="00A43F66"/>
    <w:rsid w:val="00A45C99"/>
    <w:rsid w:val="00A47022"/>
    <w:rsid w:val="00A476EC"/>
    <w:rsid w:val="00A47E85"/>
    <w:rsid w:val="00A5173C"/>
    <w:rsid w:val="00A5458B"/>
    <w:rsid w:val="00A601CA"/>
    <w:rsid w:val="00A64D9A"/>
    <w:rsid w:val="00A657D6"/>
    <w:rsid w:val="00A71340"/>
    <w:rsid w:val="00A75854"/>
    <w:rsid w:val="00A759A5"/>
    <w:rsid w:val="00A826A9"/>
    <w:rsid w:val="00A82E81"/>
    <w:rsid w:val="00A86CFD"/>
    <w:rsid w:val="00A9426C"/>
    <w:rsid w:val="00AA0193"/>
    <w:rsid w:val="00AA17E7"/>
    <w:rsid w:val="00AA1F19"/>
    <w:rsid w:val="00AB5E4B"/>
    <w:rsid w:val="00AC1858"/>
    <w:rsid w:val="00AC3DAA"/>
    <w:rsid w:val="00AC7945"/>
    <w:rsid w:val="00AD5C31"/>
    <w:rsid w:val="00AD72A0"/>
    <w:rsid w:val="00AE7470"/>
    <w:rsid w:val="00AF16EF"/>
    <w:rsid w:val="00AF1766"/>
    <w:rsid w:val="00AF2354"/>
    <w:rsid w:val="00AF32A4"/>
    <w:rsid w:val="00B02374"/>
    <w:rsid w:val="00B04910"/>
    <w:rsid w:val="00B06B78"/>
    <w:rsid w:val="00B170DB"/>
    <w:rsid w:val="00B21631"/>
    <w:rsid w:val="00B22136"/>
    <w:rsid w:val="00B228EB"/>
    <w:rsid w:val="00B2629B"/>
    <w:rsid w:val="00B3261C"/>
    <w:rsid w:val="00B32680"/>
    <w:rsid w:val="00B343AF"/>
    <w:rsid w:val="00B37CA7"/>
    <w:rsid w:val="00B40AA3"/>
    <w:rsid w:val="00B476DC"/>
    <w:rsid w:val="00B47B87"/>
    <w:rsid w:val="00B51274"/>
    <w:rsid w:val="00B527E9"/>
    <w:rsid w:val="00B52C5D"/>
    <w:rsid w:val="00B53E71"/>
    <w:rsid w:val="00B55C95"/>
    <w:rsid w:val="00B5733A"/>
    <w:rsid w:val="00B57984"/>
    <w:rsid w:val="00B6253B"/>
    <w:rsid w:val="00B6350C"/>
    <w:rsid w:val="00B63A7E"/>
    <w:rsid w:val="00B74421"/>
    <w:rsid w:val="00B77A22"/>
    <w:rsid w:val="00B77A46"/>
    <w:rsid w:val="00B853C9"/>
    <w:rsid w:val="00B856B5"/>
    <w:rsid w:val="00B861D1"/>
    <w:rsid w:val="00B870D2"/>
    <w:rsid w:val="00B96A53"/>
    <w:rsid w:val="00BA2094"/>
    <w:rsid w:val="00BA61E9"/>
    <w:rsid w:val="00BB0777"/>
    <w:rsid w:val="00BB3638"/>
    <w:rsid w:val="00BB4851"/>
    <w:rsid w:val="00BB4AE6"/>
    <w:rsid w:val="00BC0DB2"/>
    <w:rsid w:val="00BC4E1D"/>
    <w:rsid w:val="00BC6B1E"/>
    <w:rsid w:val="00BC7FAB"/>
    <w:rsid w:val="00BD01A2"/>
    <w:rsid w:val="00BD3B86"/>
    <w:rsid w:val="00BD46F9"/>
    <w:rsid w:val="00BD5768"/>
    <w:rsid w:val="00BE2352"/>
    <w:rsid w:val="00BE53BA"/>
    <w:rsid w:val="00BF68B0"/>
    <w:rsid w:val="00BF7F2A"/>
    <w:rsid w:val="00C05075"/>
    <w:rsid w:val="00C1045F"/>
    <w:rsid w:val="00C10AA5"/>
    <w:rsid w:val="00C11452"/>
    <w:rsid w:val="00C14E4E"/>
    <w:rsid w:val="00C166E0"/>
    <w:rsid w:val="00C23211"/>
    <w:rsid w:val="00C315A5"/>
    <w:rsid w:val="00C33459"/>
    <w:rsid w:val="00C33CCD"/>
    <w:rsid w:val="00C34962"/>
    <w:rsid w:val="00C34F98"/>
    <w:rsid w:val="00C3667A"/>
    <w:rsid w:val="00C36CCE"/>
    <w:rsid w:val="00C40512"/>
    <w:rsid w:val="00C40ED8"/>
    <w:rsid w:val="00C41515"/>
    <w:rsid w:val="00C41AE5"/>
    <w:rsid w:val="00C459A4"/>
    <w:rsid w:val="00C54DA1"/>
    <w:rsid w:val="00C553D0"/>
    <w:rsid w:val="00C56238"/>
    <w:rsid w:val="00C60614"/>
    <w:rsid w:val="00C64D9D"/>
    <w:rsid w:val="00C6675D"/>
    <w:rsid w:val="00C70F69"/>
    <w:rsid w:val="00C721EA"/>
    <w:rsid w:val="00C74170"/>
    <w:rsid w:val="00C76F0E"/>
    <w:rsid w:val="00C82AB1"/>
    <w:rsid w:val="00C90883"/>
    <w:rsid w:val="00CA0F32"/>
    <w:rsid w:val="00CA1ACB"/>
    <w:rsid w:val="00CA21B8"/>
    <w:rsid w:val="00CA60B3"/>
    <w:rsid w:val="00CA60E2"/>
    <w:rsid w:val="00CA65DF"/>
    <w:rsid w:val="00CB11E5"/>
    <w:rsid w:val="00CB6A19"/>
    <w:rsid w:val="00CC1E72"/>
    <w:rsid w:val="00CC1FFB"/>
    <w:rsid w:val="00CC5F2D"/>
    <w:rsid w:val="00CD0088"/>
    <w:rsid w:val="00CD4504"/>
    <w:rsid w:val="00CD63B0"/>
    <w:rsid w:val="00CE375C"/>
    <w:rsid w:val="00CE6B9E"/>
    <w:rsid w:val="00CE6E98"/>
    <w:rsid w:val="00CF0551"/>
    <w:rsid w:val="00CF74E1"/>
    <w:rsid w:val="00CF7609"/>
    <w:rsid w:val="00D00027"/>
    <w:rsid w:val="00D019E4"/>
    <w:rsid w:val="00D04F9E"/>
    <w:rsid w:val="00D0608B"/>
    <w:rsid w:val="00D062D1"/>
    <w:rsid w:val="00D06D7E"/>
    <w:rsid w:val="00D16A3C"/>
    <w:rsid w:val="00D178F8"/>
    <w:rsid w:val="00D17E5A"/>
    <w:rsid w:val="00D27B6A"/>
    <w:rsid w:val="00D3081A"/>
    <w:rsid w:val="00D33A94"/>
    <w:rsid w:val="00D3663C"/>
    <w:rsid w:val="00D37042"/>
    <w:rsid w:val="00D46690"/>
    <w:rsid w:val="00D47971"/>
    <w:rsid w:val="00D51BE8"/>
    <w:rsid w:val="00D63A6F"/>
    <w:rsid w:val="00D63BB8"/>
    <w:rsid w:val="00D67559"/>
    <w:rsid w:val="00D703D3"/>
    <w:rsid w:val="00D72C85"/>
    <w:rsid w:val="00D741E8"/>
    <w:rsid w:val="00D848BF"/>
    <w:rsid w:val="00D85ECC"/>
    <w:rsid w:val="00D86207"/>
    <w:rsid w:val="00D90536"/>
    <w:rsid w:val="00DA59D3"/>
    <w:rsid w:val="00DA66F7"/>
    <w:rsid w:val="00DB2E8C"/>
    <w:rsid w:val="00DC07D9"/>
    <w:rsid w:val="00DD6194"/>
    <w:rsid w:val="00DD75A2"/>
    <w:rsid w:val="00DE17E3"/>
    <w:rsid w:val="00DE7777"/>
    <w:rsid w:val="00DF3510"/>
    <w:rsid w:val="00DF4BEE"/>
    <w:rsid w:val="00E03022"/>
    <w:rsid w:val="00E044AA"/>
    <w:rsid w:val="00E05817"/>
    <w:rsid w:val="00E070D3"/>
    <w:rsid w:val="00E100A9"/>
    <w:rsid w:val="00E11B6F"/>
    <w:rsid w:val="00E12066"/>
    <w:rsid w:val="00E15681"/>
    <w:rsid w:val="00E267AA"/>
    <w:rsid w:val="00E3385F"/>
    <w:rsid w:val="00E350CE"/>
    <w:rsid w:val="00E40D82"/>
    <w:rsid w:val="00E55B7A"/>
    <w:rsid w:val="00E65230"/>
    <w:rsid w:val="00E7427E"/>
    <w:rsid w:val="00E76B95"/>
    <w:rsid w:val="00E7733B"/>
    <w:rsid w:val="00E822EB"/>
    <w:rsid w:val="00E838BB"/>
    <w:rsid w:val="00E84D8D"/>
    <w:rsid w:val="00E84F65"/>
    <w:rsid w:val="00E8763F"/>
    <w:rsid w:val="00E94D29"/>
    <w:rsid w:val="00EA5ACD"/>
    <w:rsid w:val="00EA7E2A"/>
    <w:rsid w:val="00EB42F5"/>
    <w:rsid w:val="00EB4FA7"/>
    <w:rsid w:val="00EC702A"/>
    <w:rsid w:val="00EC7DBE"/>
    <w:rsid w:val="00ED18C6"/>
    <w:rsid w:val="00EE0295"/>
    <w:rsid w:val="00EE1D96"/>
    <w:rsid w:val="00EE55B5"/>
    <w:rsid w:val="00EE6B83"/>
    <w:rsid w:val="00EE6D98"/>
    <w:rsid w:val="00EF3EF6"/>
    <w:rsid w:val="00EF519E"/>
    <w:rsid w:val="00EF55BE"/>
    <w:rsid w:val="00EF7672"/>
    <w:rsid w:val="00F13B14"/>
    <w:rsid w:val="00F16A01"/>
    <w:rsid w:val="00F34079"/>
    <w:rsid w:val="00F341F0"/>
    <w:rsid w:val="00F3568A"/>
    <w:rsid w:val="00F37E7C"/>
    <w:rsid w:val="00F40660"/>
    <w:rsid w:val="00F41A45"/>
    <w:rsid w:val="00F43518"/>
    <w:rsid w:val="00F525E5"/>
    <w:rsid w:val="00F529A8"/>
    <w:rsid w:val="00F5733F"/>
    <w:rsid w:val="00F63B89"/>
    <w:rsid w:val="00F65527"/>
    <w:rsid w:val="00F70925"/>
    <w:rsid w:val="00F72116"/>
    <w:rsid w:val="00F760F3"/>
    <w:rsid w:val="00F769F3"/>
    <w:rsid w:val="00F76EBA"/>
    <w:rsid w:val="00F84782"/>
    <w:rsid w:val="00F96BE2"/>
    <w:rsid w:val="00FA039C"/>
    <w:rsid w:val="00FA377A"/>
    <w:rsid w:val="00FB4456"/>
    <w:rsid w:val="00FB6A91"/>
    <w:rsid w:val="00FC07F1"/>
    <w:rsid w:val="00FC1280"/>
    <w:rsid w:val="00FC33FE"/>
    <w:rsid w:val="00FC52D9"/>
    <w:rsid w:val="00FD4EAA"/>
    <w:rsid w:val="00FD70F0"/>
    <w:rsid w:val="00FF4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3B88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56325"/>
    <w:rPr>
      <w:rFonts w:ascii="Times New Roman" w:hAnsi="Times New Roman" w:cs="Times New Roman"/>
      <w:lang w:eastAsia="en-GB"/>
    </w:rPr>
  </w:style>
  <w:style w:type="paragraph" w:styleId="Heading1">
    <w:name w:val="heading 1"/>
    <w:basedOn w:val="Normal"/>
    <w:next w:val="Normal"/>
    <w:link w:val="Heading1Char"/>
    <w:uiPriority w:val="9"/>
    <w:qFormat/>
    <w:rsid w:val="008E7F48"/>
    <w:pPr>
      <w:spacing w:line="360" w:lineRule="auto"/>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0175F"/>
    <w:rPr>
      <w:rFonts w:ascii="Helvetica" w:hAnsi="Helvetica"/>
      <w:sz w:val="14"/>
      <w:szCs w:val="14"/>
    </w:rPr>
  </w:style>
  <w:style w:type="character" w:styleId="Emphasis">
    <w:name w:val="Emphasis"/>
    <w:basedOn w:val="DefaultParagraphFont"/>
    <w:uiPriority w:val="20"/>
    <w:qFormat/>
    <w:rsid w:val="00FC33FE"/>
    <w:rPr>
      <w:i/>
      <w:iCs/>
    </w:rPr>
  </w:style>
  <w:style w:type="paragraph" w:styleId="ListParagraph">
    <w:name w:val="List Paragraph"/>
    <w:basedOn w:val="Normal"/>
    <w:uiPriority w:val="34"/>
    <w:qFormat/>
    <w:rsid w:val="004C1DB6"/>
    <w:pPr>
      <w:spacing w:after="160" w:line="256" w:lineRule="auto"/>
      <w:ind w:left="720"/>
      <w:contextualSpacing/>
    </w:pPr>
    <w:rPr>
      <w:sz w:val="22"/>
      <w:szCs w:val="22"/>
      <w:lang w:val="it-IT"/>
    </w:rPr>
  </w:style>
  <w:style w:type="character" w:styleId="Hyperlink">
    <w:name w:val="Hyperlink"/>
    <w:basedOn w:val="DefaultParagraphFont"/>
    <w:uiPriority w:val="99"/>
    <w:unhideWhenUsed/>
    <w:rsid w:val="004C1DB6"/>
    <w:rPr>
      <w:color w:val="0563C1" w:themeColor="hyperlink"/>
      <w:u w:val="single"/>
    </w:rPr>
  </w:style>
  <w:style w:type="character" w:styleId="FollowedHyperlink">
    <w:name w:val="FollowedHyperlink"/>
    <w:basedOn w:val="DefaultParagraphFont"/>
    <w:uiPriority w:val="99"/>
    <w:semiHidden/>
    <w:unhideWhenUsed/>
    <w:rsid w:val="006C4498"/>
    <w:rPr>
      <w:color w:val="954F72" w:themeColor="followedHyperlink"/>
      <w:u w:val="single"/>
    </w:rPr>
  </w:style>
  <w:style w:type="paragraph" w:styleId="NormalWeb">
    <w:name w:val="Normal (Web)"/>
    <w:basedOn w:val="Normal"/>
    <w:uiPriority w:val="99"/>
    <w:semiHidden/>
    <w:unhideWhenUsed/>
    <w:rsid w:val="003B28BF"/>
    <w:pPr>
      <w:spacing w:before="100" w:beforeAutospacing="1" w:after="100" w:afterAutospacing="1"/>
    </w:pPr>
  </w:style>
  <w:style w:type="character" w:styleId="Strong">
    <w:name w:val="Strong"/>
    <w:basedOn w:val="DefaultParagraphFont"/>
    <w:uiPriority w:val="22"/>
    <w:qFormat/>
    <w:rsid w:val="00F72116"/>
    <w:rPr>
      <w:b/>
      <w:bCs/>
    </w:rPr>
  </w:style>
  <w:style w:type="paragraph" w:styleId="Header">
    <w:name w:val="header"/>
    <w:basedOn w:val="Normal"/>
    <w:link w:val="HeaderChar"/>
    <w:uiPriority w:val="99"/>
    <w:unhideWhenUsed/>
    <w:rsid w:val="00C60614"/>
    <w:pPr>
      <w:tabs>
        <w:tab w:val="center" w:pos="4819"/>
        <w:tab w:val="right" w:pos="9638"/>
      </w:tabs>
    </w:pPr>
  </w:style>
  <w:style w:type="character" w:customStyle="1" w:styleId="HeaderChar">
    <w:name w:val="Header Char"/>
    <w:basedOn w:val="DefaultParagraphFont"/>
    <w:link w:val="Header"/>
    <w:uiPriority w:val="99"/>
    <w:rsid w:val="00C60614"/>
    <w:rPr>
      <w:rFonts w:ascii="Times New Roman" w:hAnsi="Times New Roman" w:cs="Times New Roman"/>
      <w:lang w:eastAsia="en-GB"/>
    </w:rPr>
  </w:style>
  <w:style w:type="paragraph" w:styleId="Footer">
    <w:name w:val="footer"/>
    <w:basedOn w:val="Normal"/>
    <w:link w:val="FooterChar"/>
    <w:uiPriority w:val="99"/>
    <w:unhideWhenUsed/>
    <w:rsid w:val="00C60614"/>
    <w:pPr>
      <w:tabs>
        <w:tab w:val="center" w:pos="4819"/>
        <w:tab w:val="right" w:pos="9638"/>
      </w:tabs>
    </w:pPr>
  </w:style>
  <w:style w:type="character" w:customStyle="1" w:styleId="FooterChar">
    <w:name w:val="Footer Char"/>
    <w:basedOn w:val="DefaultParagraphFont"/>
    <w:link w:val="Footer"/>
    <w:uiPriority w:val="99"/>
    <w:rsid w:val="00C60614"/>
    <w:rPr>
      <w:rFonts w:ascii="Times New Roman" w:hAnsi="Times New Roman" w:cs="Times New Roman"/>
      <w:lang w:eastAsia="en-GB"/>
    </w:rPr>
  </w:style>
  <w:style w:type="character" w:customStyle="1" w:styleId="Menzionenonrisolta1">
    <w:name w:val="Menzione non risolta1"/>
    <w:basedOn w:val="DefaultParagraphFont"/>
    <w:uiPriority w:val="99"/>
    <w:rsid w:val="00D72C85"/>
    <w:rPr>
      <w:color w:val="605E5C"/>
      <w:shd w:val="clear" w:color="auto" w:fill="E1DFDD"/>
    </w:rPr>
  </w:style>
  <w:style w:type="paragraph" w:customStyle="1" w:styleId="p2">
    <w:name w:val="p2"/>
    <w:basedOn w:val="Normal"/>
    <w:rsid w:val="00CD63B0"/>
    <w:pPr>
      <w:spacing w:after="30" w:line="113" w:lineRule="atLeast"/>
      <w:ind w:left="120"/>
    </w:pPr>
    <w:rPr>
      <w:rFonts w:ascii="Helvetica" w:hAnsi="Helvetica"/>
      <w:sz w:val="11"/>
      <w:szCs w:val="11"/>
    </w:rPr>
  </w:style>
  <w:style w:type="character" w:customStyle="1" w:styleId="apple-converted-space">
    <w:name w:val="apple-converted-space"/>
    <w:basedOn w:val="DefaultParagraphFont"/>
    <w:rsid w:val="00CD63B0"/>
  </w:style>
  <w:style w:type="paragraph" w:styleId="Title">
    <w:name w:val="Title"/>
    <w:basedOn w:val="Normal"/>
    <w:next w:val="Normal"/>
    <w:link w:val="TitleChar"/>
    <w:uiPriority w:val="10"/>
    <w:qFormat/>
    <w:rsid w:val="008E7F48"/>
    <w:pPr>
      <w:spacing w:line="360" w:lineRule="auto"/>
    </w:pPr>
    <w:rPr>
      <w:b/>
    </w:rPr>
  </w:style>
  <w:style w:type="character" w:customStyle="1" w:styleId="TitleChar">
    <w:name w:val="Title Char"/>
    <w:basedOn w:val="DefaultParagraphFont"/>
    <w:link w:val="Title"/>
    <w:uiPriority w:val="10"/>
    <w:rsid w:val="008E7F48"/>
    <w:rPr>
      <w:rFonts w:ascii="Times New Roman" w:hAnsi="Times New Roman" w:cs="Times New Roman"/>
      <w:b/>
      <w:lang w:eastAsia="en-GB"/>
    </w:rPr>
  </w:style>
  <w:style w:type="character" w:customStyle="1" w:styleId="Heading1Char">
    <w:name w:val="Heading 1 Char"/>
    <w:basedOn w:val="DefaultParagraphFont"/>
    <w:link w:val="Heading1"/>
    <w:uiPriority w:val="9"/>
    <w:rsid w:val="008E7F48"/>
    <w:rPr>
      <w:rFonts w:ascii="Times New Roman" w:hAnsi="Times New Roman" w:cs="Times New Roman"/>
      <w:b/>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4969">
      <w:bodyDiv w:val="1"/>
      <w:marLeft w:val="0"/>
      <w:marRight w:val="0"/>
      <w:marTop w:val="0"/>
      <w:marBottom w:val="0"/>
      <w:divBdr>
        <w:top w:val="none" w:sz="0" w:space="0" w:color="auto"/>
        <w:left w:val="none" w:sz="0" w:space="0" w:color="auto"/>
        <w:bottom w:val="none" w:sz="0" w:space="0" w:color="auto"/>
        <w:right w:val="none" w:sz="0" w:space="0" w:color="auto"/>
      </w:divBdr>
    </w:div>
    <w:div w:id="95099222">
      <w:bodyDiv w:val="1"/>
      <w:marLeft w:val="0"/>
      <w:marRight w:val="0"/>
      <w:marTop w:val="0"/>
      <w:marBottom w:val="0"/>
      <w:divBdr>
        <w:top w:val="none" w:sz="0" w:space="0" w:color="auto"/>
        <w:left w:val="none" w:sz="0" w:space="0" w:color="auto"/>
        <w:bottom w:val="none" w:sz="0" w:space="0" w:color="auto"/>
        <w:right w:val="none" w:sz="0" w:space="0" w:color="auto"/>
      </w:divBdr>
    </w:div>
    <w:div w:id="130099388">
      <w:bodyDiv w:val="1"/>
      <w:marLeft w:val="0"/>
      <w:marRight w:val="0"/>
      <w:marTop w:val="0"/>
      <w:marBottom w:val="0"/>
      <w:divBdr>
        <w:top w:val="none" w:sz="0" w:space="0" w:color="auto"/>
        <w:left w:val="none" w:sz="0" w:space="0" w:color="auto"/>
        <w:bottom w:val="none" w:sz="0" w:space="0" w:color="auto"/>
        <w:right w:val="none" w:sz="0" w:space="0" w:color="auto"/>
      </w:divBdr>
    </w:div>
    <w:div w:id="154078325">
      <w:bodyDiv w:val="1"/>
      <w:marLeft w:val="0"/>
      <w:marRight w:val="0"/>
      <w:marTop w:val="0"/>
      <w:marBottom w:val="0"/>
      <w:divBdr>
        <w:top w:val="none" w:sz="0" w:space="0" w:color="auto"/>
        <w:left w:val="none" w:sz="0" w:space="0" w:color="auto"/>
        <w:bottom w:val="none" w:sz="0" w:space="0" w:color="auto"/>
        <w:right w:val="none" w:sz="0" w:space="0" w:color="auto"/>
      </w:divBdr>
    </w:div>
    <w:div w:id="161434146">
      <w:bodyDiv w:val="1"/>
      <w:marLeft w:val="0"/>
      <w:marRight w:val="0"/>
      <w:marTop w:val="0"/>
      <w:marBottom w:val="0"/>
      <w:divBdr>
        <w:top w:val="none" w:sz="0" w:space="0" w:color="auto"/>
        <w:left w:val="none" w:sz="0" w:space="0" w:color="auto"/>
        <w:bottom w:val="none" w:sz="0" w:space="0" w:color="auto"/>
        <w:right w:val="none" w:sz="0" w:space="0" w:color="auto"/>
      </w:divBdr>
    </w:div>
    <w:div w:id="250042505">
      <w:bodyDiv w:val="1"/>
      <w:marLeft w:val="0"/>
      <w:marRight w:val="0"/>
      <w:marTop w:val="0"/>
      <w:marBottom w:val="0"/>
      <w:divBdr>
        <w:top w:val="none" w:sz="0" w:space="0" w:color="auto"/>
        <w:left w:val="none" w:sz="0" w:space="0" w:color="auto"/>
        <w:bottom w:val="none" w:sz="0" w:space="0" w:color="auto"/>
        <w:right w:val="none" w:sz="0" w:space="0" w:color="auto"/>
      </w:divBdr>
    </w:div>
    <w:div w:id="321398868">
      <w:bodyDiv w:val="1"/>
      <w:marLeft w:val="0"/>
      <w:marRight w:val="0"/>
      <w:marTop w:val="0"/>
      <w:marBottom w:val="0"/>
      <w:divBdr>
        <w:top w:val="none" w:sz="0" w:space="0" w:color="auto"/>
        <w:left w:val="none" w:sz="0" w:space="0" w:color="auto"/>
        <w:bottom w:val="none" w:sz="0" w:space="0" w:color="auto"/>
        <w:right w:val="none" w:sz="0" w:space="0" w:color="auto"/>
      </w:divBdr>
    </w:div>
    <w:div w:id="454907034">
      <w:bodyDiv w:val="1"/>
      <w:marLeft w:val="0"/>
      <w:marRight w:val="0"/>
      <w:marTop w:val="0"/>
      <w:marBottom w:val="0"/>
      <w:divBdr>
        <w:top w:val="none" w:sz="0" w:space="0" w:color="auto"/>
        <w:left w:val="none" w:sz="0" w:space="0" w:color="auto"/>
        <w:bottom w:val="none" w:sz="0" w:space="0" w:color="auto"/>
        <w:right w:val="none" w:sz="0" w:space="0" w:color="auto"/>
      </w:divBdr>
    </w:div>
    <w:div w:id="573659578">
      <w:bodyDiv w:val="1"/>
      <w:marLeft w:val="0"/>
      <w:marRight w:val="0"/>
      <w:marTop w:val="0"/>
      <w:marBottom w:val="0"/>
      <w:divBdr>
        <w:top w:val="none" w:sz="0" w:space="0" w:color="auto"/>
        <w:left w:val="none" w:sz="0" w:space="0" w:color="auto"/>
        <w:bottom w:val="none" w:sz="0" w:space="0" w:color="auto"/>
        <w:right w:val="none" w:sz="0" w:space="0" w:color="auto"/>
      </w:divBdr>
    </w:div>
    <w:div w:id="579213072">
      <w:bodyDiv w:val="1"/>
      <w:marLeft w:val="0"/>
      <w:marRight w:val="0"/>
      <w:marTop w:val="0"/>
      <w:marBottom w:val="0"/>
      <w:divBdr>
        <w:top w:val="none" w:sz="0" w:space="0" w:color="auto"/>
        <w:left w:val="none" w:sz="0" w:space="0" w:color="auto"/>
        <w:bottom w:val="none" w:sz="0" w:space="0" w:color="auto"/>
        <w:right w:val="none" w:sz="0" w:space="0" w:color="auto"/>
      </w:divBdr>
    </w:div>
    <w:div w:id="720641582">
      <w:bodyDiv w:val="1"/>
      <w:marLeft w:val="0"/>
      <w:marRight w:val="0"/>
      <w:marTop w:val="0"/>
      <w:marBottom w:val="0"/>
      <w:divBdr>
        <w:top w:val="none" w:sz="0" w:space="0" w:color="auto"/>
        <w:left w:val="none" w:sz="0" w:space="0" w:color="auto"/>
        <w:bottom w:val="none" w:sz="0" w:space="0" w:color="auto"/>
        <w:right w:val="none" w:sz="0" w:space="0" w:color="auto"/>
      </w:divBdr>
    </w:div>
    <w:div w:id="787311837">
      <w:bodyDiv w:val="1"/>
      <w:marLeft w:val="0"/>
      <w:marRight w:val="0"/>
      <w:marTop w:val="0"/>
      <w:marBottom w:val="0"/>
      <w:divBdr>
        <w:top w:val="none" w:sz="0" w:space="0" w:color="auto"/>
        <w:left w:val="none" w:sz="0" w:space="0" w:color="auto"/>
        <w:bottom w:val="none" w:sz="0" w:space="0" w:color="auto"/>
        <w:right w:val="none" w:sz="0" w:space="0" w:color="auto"/>
      </w:divBdr>
    </w:div>
    <w:div w:id="844054153">
      <w:bodyDiv w:val="1"/>
      <w:marLeft w:val="0"/>
      <w:marRight w:val="0"/>
      <w:marTop w:val="0"/>
      <w:marBottom w:val="0"/>
      <w:divBdr>
        <w:top w:val="none" w:sz="0" w:space="0" w:color="auto"/>
        <w:left w:val="none" w:sz="0" w:space="0" w:color="auto"/>
        <w:bottom w:val="none" w:sz="0" w:space="0" w:color="auto"/>
        <w:right w:val="none" w:sz="0" w:space="0" w:color="auto"/>
      </w:divBdr>
      <w:divsChild>
        <w:div w:id="2003269858">
          <w:marLeft w:val="0"/>
          <w:marRight w:val="0"/>
          <w:marTop w:val="0"/>
          <w:marBottom w:val="150"/>
          <w:divBdr>
            <w:top w:val="none" w:sz="0" w:space="0" w:color="auto"/>
            <w:left w:val="none" w:sz="0" w:space="0" w:color="auto"/>
            <w:bottom w:val="none" w:sz="0" w:space="0" w:color="auto"/>
            <w:right w:val="none" w:sz="0" w:space="0" w:color="auto"/>
          </w:divBdr>
        </w:div>
        <w:div w:id="1626079240">
          <w:marLeft w:val="0"/>
          <w:marRight w:val="0"/>
          <w:marTop w:val="0"/>
          <w:marBottom w:val="225"/>
          <w:divBdr>
            <w:top w:val="none" w:sz="0" w:space="0" w:color="auto"/>
            <w:left w:val="none" w:sz="0" w:space="0" w:color="auto"/>
            <w:bottom w:val="none" w:sz="0" w:space="0" w:color="auto"/>
            <w:right w:val="none" w:sz="0" w:space="0" w:color="auto"/>
          </w:divBdr>
          <w:divsChild>
            <w:div w:id="189615268">
              <w:marLeft w:val="0"/>
              <w:marRight w:val="0"/>
              <w:marTop w:val="0"/>
              <w:marBottom w:val="0"/>
              <w:divBdr>
                <w:top w:val="none" w:sz="0" w:space="0" w:color="auto"/>
                <w:left w:val="none" w:sz="0" w:space="0" w:color="auto"/>
                <w:bottom w:val="none" w:sz="0" w:space="0" w:color="auto"/>
                <w:right w:val="none" w:sz="0" w:space="0" w:color="auto"/>
              </w:divBdr>
              <w:divsChild>
                <w:div w:id="1007902183">
                  <w:marLeft w:val="0"/>
                  <w:marRight w:val="0"/>
                  <w:marTop w:val="0"/>
                  <w:marBottom w:val="75"/>
                  <w:divBdr>
                    <w:top w:val="none" w:sz="0" w:space="0" w:color="auto"/>
                    <w:left w:val="none" w:sz="0" w:space="0" w:color="auto"/>
                    <w:bottom w:val="none" w:sz="0" w:space="0" w:color="auto"/>
                    <w:right w:val="none" w:sz="0" w:space="0" w:color="auto"/>
                  </w:divBdr>
                </w:div>
                <w:div w:id="1573731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866452928">
      <w:bodyDiv w:val="1"/>
      <w:marLeft w:val="0"/>
      <w:marRight w:val="0"/>
      <w:marTop w:val="0"/>
      <w:marBottom w:val="0"/>
      <w:divBdr>
        <w:top w:val="none" w:sz="0" w:space="0" w:color="auto"/>
        <w:left w:val="none" w:sz="0" w:space="0" w:color="auto"/>
        <w:bottom w:val="none" w:sz="0" w:space="0" w:color="auto"/>
        <w:right w:val="none" w:sz="0" w:space="0" w:color="auto"/>
      </w:divBdr>
    </w:div>
    <w:div w:id="935358350">
      <w:bodyDiv w:val="1"/>
      <w:marLeft w:val="0"/>
      <w:marRight w:val="0"/>
      <w:marTop w:val="0"/>
      <w:marBottom w:val="0"/>
      <w:divBdr>
        <w:top w:val="none" w:sz="0" w:space="0" w:color="auto"/>
        <w:left w:val="none" w:sz="0" w:space="0" w:color="auto"/>
        <w:bottom w:val="none" w:sz="0" w:space="0" w:color="auto"/>
        <w:right w:val="none" w:sz="0" w:space="0" w:color="auto"/>
      </w:divBdr>
    </w:div>
    <w:div w:id="949704653">
      <w:bodyDiv w:val="1"/>
      <w:marLeft w:val="0"/>
      <w:marRight w:val="0"/>
      <w:marTop w:val="0"/>
      <w:marBottom w:val="0"/>
      <w:divBdr>
        <w:top w:val="none" w:sz="0" w:space="0" w:color="auto"/>
        <w:left w:val="none" w:sz="0" w:space="0" w:color="auto"/>
        <w:bottom w:val="none" w:sz="0" w:space="0" w:color="auto"/>
        <w:right w:val="none" w:sz="0" w:space="0" w:color="auto"/>
      </w:divBdr>
    </w:div>
    <w:div w:id="1030767357">
      <w:bodyDiv w:val="1"/>
      <w:marLeft w:val="0"/>
      <w:marRight w:val="0"/>
      <w:marTop w:val="0"/>
      <w:marBottom w:val="0"/>
      <w:divBdr>
        <w:top w:val="none" w:sz="0" w:space="0" w:color="auto"/>
        <w:left w:val="none" w:sz="0" w:space="0" w:color="auto"/>
        <w:bottom w:val="none" w:sz="0" w:space="0" w:color="auto"/>
        <w:right w:val="none" w:sz="0" w:space="0" w:color="auto"/>
      </w:divBdr>
    </w:div>
    <w:div w:id="1054236713">
      <w:bodyDiv w:val="1"/>
      <w:marLeft w:val="0"/>
      <w:marRight w:val="0"/>
      <w:marTop w:val="0"/>
      <w:marBottom w:val="0"/>
      <w:divBdr>
        <w:top w:val="none" w:sz="0" w:space="0" w:color="auto"/>
        <w:left w:val="none" w:sz="0" w:space="0" w:color="auto"/>
        <w:bottom w:val="none" w:sz="0" w:space="0" w:color="auto"/>
        <w:right w:val="none" w:sz="0" w:space="0" w:color="auto"/>
      </w:divBdr>
      <w:divsChild>
        <w:div w:id="2021811473">
          <w:marLeft w:val="0"/>
          <w:marRight w:val="0"/>
          <w:marTop w:val="0"/>
          <w:marBottom w:val="150"/>
          <w:divBdr>
            <w:top w:val="none" w:sz="0" w:space="0" w:color="auto"/>
            <w:left w:val="none" w:sz="0" w:space="0" w:color="auto"/>
            <w:bottom w:val="none" w:sz="0" w:space="0" w:color="auto"/>
            <w:right w:val="none" w:sz="0" w:space="0" w:color="auto"/>
          </w:divBdr>
        </w:div>
        <w:div w:id="1001082266">
          <w:marLeft w:val="0"/>
          <w:marRight w:val="0"/>
          <w:marTop w:val="0"/>
          <w:marBottom w:val="225"/>
          <w:divBdr>
            <w:top w:val="none" w:sz="0" w:space="0" w:color="auto"/>
            <w:left w:val="none" w:sz="0" w:space="0" w:color="auto"/>
            <w:bottom w:val="none" w:sz="0" w:space="0" w:color="auto"/>
            <w:right w:val="none" w:sz="0" w:space="0" w:color="auto"/>
          </w:divBdr>
          <w:divsChild>
            <w:div w:id="1013261636">
              <w:marLeft w:val="0"/>
              <w:marRight w:val="0"/>
              <w:marTop w:val="0"/>
              <w:marBottom w:val="0"/>
              <w:divBdr>
                <w:top w:val="none" w:sz="0" w:space="0" w:color="auto"/>
                <w:left w:val="none" w:sz="0" w:space="0" w:color="auto"/>
                <w:bottom w:val="none" w:sz="0" w:space="0" w:color="auto"/>
                <w:right w:val="none" w:sz="0" w:space="0" w:color="auto"/>
              </w:divBdr>
              <w:divsChild>
                <w:div w:id="310713666">
                  <w:marLeft w:val="0"/>
                  <w:marRight w:val="0"/>
                  <w:marTop w:val="0"/>
                  <w:marBottom w:val="75"/>
                  <w:divBdr>
                    <w:top w:val="none" w:sz="0" w:space="0" w:color="auto"/>
                    <w:left w:val="none" w:sz="0" w:space="0" w:color="auto"/>
                    <w:bottom w:val="none" w:sz="0" w:space="0" w:color="auto"/>
                    <w:right w:val="none" w:sz="0" w:space="0" w:color="auto"/>
                  </w:divBdr>
                </w:div>
                <w:div w:id="33202562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084254666">
      <w:bodyDiv w:val="1"/>
      <w:marLeft w:val="0"/>
      <w:marRight w:val="0"/>
      <w:marTop w:val="0"/>
      <w:marBottom w:val="0"/>
      <w:divBdr>
        <w:top w:val="none" w:sz="0" w:space="0" w:color="auto"/>
        <w:left w:val="none" w:sz="0" w:space="0" w:color="auto"/>
        <w:bottom w:val="none" w:sz="0" w:space="0" w:color="auto"/>
        <w:right w:val="none" w:sz="0" w:space="0" w:color="auto"/>
      </w:divBdr>
    </w:div>
    <w:div w:id="1140685887">
      <w:bodyDiv w:val="1"/>
      <w:marLeft w:val="0"/>
      <w:marRight w:val="0"/>
      <w:marTop w:val="0"/>
      <w:marBottom w:val="0"/>
      <w:divBdr>
        <w:top w:val="none" w:sz="0" w:space="0" w:color="auto"/>
        <w:left w:val="none" w:sz="0" w:space="0" w:color="auto"/>
        <w:bottom w:val="none" w:sz="0" w:space="0" w:color="auto"/>
        <w:right w:val="none" w:sz="0" w:space="0" w:color="auto"/>
      </w:divBdr>
    </w:div>
    <w:div w:id="1296132365">
      <w:bodyDiv w:val="1"/>
      <w:marLeft w:val="0"/>
      <w:marRight w:val="0"/>
      <w:marTop w:val="0"/>
      <w:marBottom w:val="0"/>
      <w:divBdr>
        <w:top w:val="none" w:sz="0" w:space="0" w:color="auto"/>
        <w:left w:val="none" w:sz="0" w:space="0" w:color="auto"/>
        <w:bottom w:val="none" w:sz="0" w:space="0" w:color="auto"/>
        <w:right w:val="none" w:sz="0" w:space="0" w:color="auto"/>
      </w:divBdr>
    </w:div>
    <w:div w:id="1439250375">
      <w:bodyDiv w:val="1"/>
      <w:marLeft w:val="0"/>
      <w:marRight w:val="0"/>
      <w:marTop w:val="0"/>
      <w:marBottom w:val="0"/>
      <w:divBdr>
        <w:top w:val="none" w:sz="0" w:space="0" w:color="auto"/>
        <w:left w:val="none" w:sz="0" w:space="0" w:color="auto"/>
        <w:bottom w:val="none" w:sz="0" w:space="0" w:color="auto"/>
        <w:right w:val="none" w:sz="0" w:space="0" w:color="auto"/>
      </w:divBdr>
    </w:div>
    <w:div w:id="1445542599">
      <w:bodyDiv w:val="1"/>
      <w:marLeft w:val="0"/>
      <w:marRight w:val="0"/>
      <w:marTop w:val="0"/>
      <w:marBottom w:val="0"/>
      <w:divBdr>
        <w:top w:val="none" w:sz="0" w:space="0" w:color="auto"/>
        <w:left w:val="none" w:sz="0" w:space="0" w:color="auto"/>
        <w:bottom w:val="none" w:sz="0" w:space="0" w:color="auto"/>
        <w:right w:val="none" w:sz="0" w:space="0" w:color="auto"/>
      </w:divBdr>
    </w:div>
    <w:div w:id="1461535075">
      <w:bodyDiv w:val="1"/>
      <w:marLeft w:val="0"/>
      <w:marRight w:val="0"/>
      <w:marTop w:val="0"/>
      <w:marBottom w:val="0"/>
      <w:divBdr>
        <w:top w:val="none" w:sz="0" w:space="0" w:color="auto"/>
        <w:left w:val="none" w:sz="0" w:space="0" w:color="auto"/>
        <w:bottom w:val="none" w:sz="0" w:space="0" w:color="auto"/>
        <w:right w:val="none" w:sz="0" w:space="0" w:color="auto"/>
      </w:divBdr>
    </w:div>
    <w:div w:id="1473715630">
      <w:bodyDiv w:val="1"/>
      <w:marLeft w:val="0"/>
      <w:marRight w:val="0"/>
      <w:marTop w:val="0"/>
      <w:marBottom w:val="0"/>
      <w:divBdr>
        <w:top w:val="none" w:sz="0" w:space="0" w:color="auto"/>
        <w:left w:val="none" w:sz="0" w:space="0" w:color="auto"/>
        <w:bottom w:val="none" w:sz="0" w:space="0" w:color="auto"/>
        <w:right w:val="none" w:sz="0" w:space="0" w:color="auto"/>
      </w:divBdr>
    </w:div>
    <w:div w:id="1506945240">
      <w:bodyDiv w:val="1"/>
      <w:marLeft w:val="0"/>
      <w:marRight w:val="0"/>
      <w:marTop w:val="0"/>
      <w:marBottom w:val="0"/>
      <w:divBdr>
        <w:top w:val="none" w:sz="0" w:space="0" w:color="auto"/>
        <w:left w:val="none" w:sz="0" w:space="0" w:color="auto"/>
        <w:bottom w:val="none" w:sz="0" w:space="0" w:color="auto"/>
        <w:right w:val="none" w:sz="0" w:space="0" w:color="auto"/>
      </w:divBdr>
    </w:div>
    <w:div w:id="1588152819">
      <w:bodyDiv w:val="1"/>
      <w:marLeft w:val="0"/>
      <w:marRight w:val="0"/>
      <w:marTop w:val="0"/>
      <w:marBottom w:val="0"/>
      <w:divBdr>
        <w:top w:val="none" w:sz="0" w:space="0" w:color="auto"/>
        <w:left w:val="none" w:sz="0" w:space="0" w:color="auto"/>
        <w:bottom w:val="none" w:sz="0" w:space="0" w:color="auto"/>
        <w:right w:val="none" w:sz="0" w:space="0" w:color="auto"/>
      </w:divBdr>
    </w:div>
    <w:div w:id="1695376336">
      <w:bodyDiv w:val="1"/>
      <w:marLeft w:val="0"/>
      <w:marRight w:val="0"/>
      <w:marTop w:val="0"/>
      <w:marBottom w:val="0"/>
      <w:divBdr>
        <w:top w:val="none" w:sz="0" w:space="0" w:color="auto"/>
        <w:left w:val="none" w:sz="0" w:space="0" w:color="auto"/>
        <w:bottom w:val="none" w:sz="0" w:space="0" w:color="auto"/>
        <w:right w:val="none" w:sz="0" w:space="0" w:color="auto"/>
      </w:divBdr>
    </w:div>
    <w:div w:id="1707876868">
      <w:bodyDiv w:val="1"/>
      <w:marLeft w:val="0"/>
      <w:marRight w:val="0"/>
      <w:marTop w:val="0"/>
      <w:marBottom w:val="0"/>
      <w:divBdr>
        <w:top w:val="none" w:sz="0" w:space="0" w:color="auto"/>
        <w:left w:val="none" w:sz="0" w:space="0" w:color="auto"/>
        <w:bottom w:val="none" w:sz="0" w:space="0" w:color="auto"/>
        <w:right w:val="none" w:sz="0" w:space="0" w:color="auto"/>
      </w:divBdr>
    </w:div>
    <w:div w:id="1708994362">
      <w:bodyDiv w:val="1"/>
      <w:marLeft w:val="0"/>
      <w:marRight w:val="0"/>
      <w:marTop w:val="0"/>
      <w:marBottom w:val="0"/>
      <w:divBdr>
        <w:top w:val="none" w:sz="0" w:space="0" w:color="auto"/>
        <w:left w:val="none" w:sz="0" w:space="0" w:color="auto"/>
        <w:bottom w:val="none" w:sz="0" w:space="0" w:color="auto"/>
        <w:right w:val="none" w:sz="0" w:space="0" w:color="auto"/>
      </w:divBdr>
    </w:div>
    <w:div w:id="1739547191">
      <w:bodyDiv w:val="1"/>
      <w:marLeft w:val="0"/>
      <w:marRight w:val="0"/>
      <w:marTop w:val="0"/>
      <w:marBottom w:val="0"/>
      <w:divBdr>
        <w:top w:val="none" w:sz="0" w:space="0" w:color="auto"/>
        <w:left w:val="none" w:sz="0" w:space="0" w:color="auto"/>
        <w:bottom w:val="none" w:sz="0" w:space="0" w:color="auto"/>
        <w:right w:val="none" w:sz="0" w:space="0" w:color="auto"/>
      </w:divBdr>
    </w:div>
    <w:div w:id="1758791384">
      <w:bodyDiv w:val="1"/>
      <w:marLeft w:val="0"/>
      <w:marRight w:val="0"/>
      <w:marTop w:val="0"/>
      <w:marBottom w:val="0"/>
      <w:divBdr>
        <w:top w:val="none" w:sz="0" w:space="0" w:color="auto"/>
        <w:left w:val="none" w:sz="0" w:space="0" w:color="auto"/>
        <w:bottom w:val="none" w:sz="0" w:space="0" w:color="auto"/>
        <w:right w:val="none" w:sz="0" w:space="0" w:color="auto"/>
      </w:divBdr>
    </w:div>
    <w:div w:id="1800413469">
      <w:bodyDiv w:val="1"/>
      <w:marLeft w:val="0"/>
      <w:marRight w:val="0"/>
      <w:marTop w:val="0"/>
      <w:marBottom w:val="0"/>
      <w:divBdr>
        <w:top w:val="none" w:sz="0" w:space="0" w:color="auto"/>
        <w:left w:val="none" w:sz="0" w:space="0" w:color="auto"/>
        <w:bottom w:val="none" w:sz="0" w:space="0" w:color="auto"/>
        <w:right w:val="none" w:sz="0" w:space="0" w:color="auto"/>
      </w:divBdr>
      <w:divsChild>
        <w:div w:id="1280986689">
          <w:marLeft w:val="0"/>
          <w:marRight w:val="0"/>
          <w:marTop w:val="0"/>
          <w:marBottom w:val="150"/>
          <w:divBdr>
            <w:top w:val="none" w:sz="0" w:space="0" w:color="auto"/>
            <w:left w:val="none" w:sz="0" w:space="0" w:color="auto"/>
            <w:bottom w:val="none" w:sz="0" w:space="0" w:color="auto"/>
            <w:right w:val="none" w:sz="0" w:space="0" w:color="auto"/>
          </w:divBdr>
        </w:div>
        <w:div w:id="306281527">
          <w:marLeft w:val="0"/>
          <w:marRight w:val="0"/>
          <w:marTop w:val="0"/>
          <w:marBottom w:val="225"/>
          <w:divBdr>
            <w:top w:val="none" w:sz="0" w:space="0" w:color="auto"/>
            <w:left w:val="none" w:sz="0" w:space="0" w:color="auto"/>
            <w:bottom w:val="none" w:sz="0" w:space="0" w:color="auto"/>
            <w:right w:val="none" w:sz="0" w:space="0" w:color="auto"/>
          </w:divBdr>
          <w:divsChild>
            <w:div w:id="1161459701">
              <w:marLeft w:val="0"/>
              <w:marRight w:val="0"/>
              <w:marTop w:val="0"/>
              <w:marBottom w:val="0"/>
              <w:divBdr>
                <w:top w:val="none" w:sz="0" w:space="0" w:color="auto"/>
                <w:left w:val="none" w:sz="0" w:space="0" w:color="auto"/>
                <w:bottom w:val="none" w:sz="0" w:space="0" w:color="auto"/>
                <w:right w:val="none" w:sz="0" w:space="0" w:color="auto"/>
              </w:divBdr>
              <w:divsChild>
                <w:div w:id="1664702505">
                  <w:marLeft w:val="0"/>
                  <w:marRight w:val="0"/>
                  <w:marTop w:val="0"/>
                  <w:marBottom w:val="75"/>
                  <w:divBdr>
                    <w:top w:val="none" w:sz="0" w:space="0" w:color="auto"/>
                    <w:left w:val="none" w:sz="0" w:space="0" w:color="auto"/>
                    <w:bottom w:val="none" w:sz="0" w:space="0" w:color="auto"/>
                    <w:right w:val="none" w:sz="0" w:space="0" w:color="auto"/>
                  </w:divBdr>
                </w:div>
                <w:div w:id="365182345">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993749132">
      <w:bodyDiv w:val="1"/>
      <w:marLeft w:val="0"/>
      <w:marRight w:val="0"/>
      <w:marTop w:val="0"/>
      <w:marBottom w:val="0"/>
      <w:divBdr>
        <w:top w:val="none" w:sz="0" w:space="0" w:color="auto"/>
        <w:left w:val="none" w:sz="0" w:space="0" w:color="auto"/>
        <w:bottom w:val="none" w:sz="0" w:space="0" w:color="auto"/>
        <w:right w:val="none" w:sz="0" w:space="0" w:color="auto"/>
      </w:divBdr>
    </w:div>
    <w:div w:id="21143236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uidance/the-use-and-regulation-of-pulse-oximeters-information-for-healthcare-professional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fda.gov/medical-devices/safety-communications/pulse-oximeter-accuracy-and-limitations-fda-safety-communication" TargetMode="External"/><Relationship Id="rId12" Type="http://schemas.openxmlformats.org/officeDocument/2006/relationships/hyperlink" Target="https://doi.org/10.1016/j.rmed.2013.02.00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x.doi.org/10.12968/pnur.2021.32.8.31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england.nhs.uk/coronavirus/wp-content/uploads/sites/52/2020/06/C0445-remote-monitoring-in-primary-care-jan-2021-v1.1.pdf" TargetMode="External"/><Relationship Id="rId4" Type="http://schemas.openxmlformats.org/officeDocument/2006/relationships/webSettings" Target="webSettings.xml"/><Relationship Id="rId9" Type="http://schemas.openxmlformats.org/officeDocument/2006/relationships/hyperlink" Target="https://doi.org/10.1111/j.1365-2044.2011.07021.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2127</Words>
  <Characters>12129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Blanshard, Lisa</cp:lastModifiedBy>
  <cp:revision>3</cp:revision>
  <dcterms:created xsi:type="dcterms:W3CDTF">2022-02-26T08:12:00Z</dcterms:created>
  <dcterms:modified xsi:type="dcterms:W3CDTF">2022-05-19T08:29:00Z</dcterms:modified>
</cp:coreProperties>
</file>