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A29A2" w14:textId="764294A4" w:rsidR="00D545F1" w:rsidRDefault="00D545F1"/>
    <w:p w14:paraId="734D5BD3" w14:textId="79C89E6B" w:rsidR="00586086" w:rsidRDefault="00586086"/>
    <w:p w14:paraId="207256F3" w14:textId="5D7E674A" w:rsidR="00586086" w:rsidRPr="00A25254" w:rsidRDefault="00586086">
      <w:pPr>
        <w:rPr>
          <w:b/>
        </w:rPr>
      </w:pPr>
    </w:p>
    <w:p w14:paraId="1F1C5A5C" w14:textId="6AB235C5" w:rsidR="00586086" w:rsidRDefault="00586086"/>
    <w:p w14:paraId="6EDF52F2" w14:textId="2FD06A90" w:rsidR="007570A9" w:rsidRPr="00A81F63" w:rsidRDefault="00A122A0" w:rsidP="00A81F63">
      <w:pPr>
        <w:pStyle w:val="Title"/>
      </w:pPr>
      <w:r w:rsidRPr="00A81F63">
        <w:t xml:space="preserve">Why does technology policy </w:t>
      </w:r>
      <w:r w:rsidR="00FC4493" w:rsidRPr="00A81F63">
        <w:t xml:space="preserve">around Industry 4.0 </w:t>
      </w:r>
      <w:r w:rsidRPr="00A81F63">
        <w:t>continue to draw on technology change approaches developed in the 1960s?</w:t>
      </w:r>
    </w:p>
    <w:p w14:paraId="7D79D077" w14:textId="77777777" w:rsidR="00A122A0" w:rsidRDefault="00A122A0"/>
    <w:p w14:paraId="51C5C92A" w14:textId="2E6F8926" w:rsidR="002945F2" w:rsidRDefault="002945F2">
      <w:r>
        <w:t>Chris Ivory</w:t>
      </w:r>
      <w:r w:rsidR="00252126">
        <w:t xml:space="preserve"> and </w:t>
      </w:r>
      <w:r w:rsidR="00527523">
        <w:t>Lewis Walsh</w:t>
      </w:r>
      <w:r w:rsidR="00252126">
        <w:t xml:space="preserve"> </w:t>
      </w:r>
    </w:p>
    <w:p w14:paraId="07ED40FD" w14:textId="33E2D6A5" w:rsidR="00ED33D5" w:rsidRDefault="00ED33D5"/>
    <w:p w14:paraId="20513C47" w14:textId="2A691A4C" w:rsidR="00ED33D5" w:rsidRDefault="00ED33D5">
      <w:r>
        <w:t>Anglia Ruskin University</w:t>
      </w:r>
    </w:p>
    <w:p w14:paraId="5705A906" w14:textId="77777777" w:rsidR="002945F2" w:rsidRDefault="002945F2"/>
    <w:p w14:paraId="0C0CCC87" w14:textId="099C6FCF" w:rsidR="00130058" w:rsidRPr="00A81F63" w:rsidRDefault="00252126" w:rsidP="00A81F63">
      <w:pPr>
        <w:pStyle w:val="Heading1"/>
      </w:pPr>
      <w:r w:rsidRPr="00A81F63">
        <w:t>Abstract</w:t>
      </w:r>
    </w:p>
    <w:p w14:paraId="517A15CA" w14:textId="53A2CC0F" w:rsidR="00252126" w:rsidRDefault="00252126"/>
    <w:p w14:paraId="277B47F2" w14:textId="47ECEF31" w:rsidR="00252126" w:rsidRDefault="005E4CC7">
      <w:r>
        <w:t>I</w:t>
      </w:r>
      <w:r w:rsidR="00252126">
        <w:t xml:space="preserve">n this article </w:t>
      </w:r>
      <w:r>
        <w:t xml:space="preserve">we argue </w:t>
      </w:r>
      <w:r w:rsidR="00252126">
        <w:t xml:space="preserve">that </w:t>
      </w:r>
      <w:r w:rsidR="006E2FED">
        <w:t xml:space="preserve">technology </w:t>
      </w:r>
      <w:r w:rsidR="00252126">
        <w:t xml:space="preserve">policy thinking around the slow adoption of industry 4.0 </w:t>
      </w:r>
      <w:r w:rsidR="000F362C">
        <w:t xml:space="preserve">amongst manufacturing SMEs </w:t>
      </w:r>
      <w:r w:rsidR="006E2FED">
        <w:t xml:space="preserve">in the North Sea Region </w:t>
      </w:r>
      <w:r w:rsidR="00252126">
        <w:t xml:space="preserve">requires reflection, re-formulation and re-focusing. </w:t>
      </w:r>
      <w:r w:rsidR="00A015D1">
        <w:t xml:space="preserve">Underpinning the rationale for European funded research and knowledge exchange, consultancy and support is the diffusion model of technology change. The article argues that this model encourages those interested in addressing slow rates of adoption to understand lack of adoption as an individual failing </w:t>
      </w:r>
      <w:r w:rsidR="00305AFF">
        <w:t>of the firm.  Instead, we argue</w:t>
      </w:r>
      <w:r w:rsidR="00A015D1">
        <w:t xml:space="preserve"> that </w:t>
      </w:r>
      <w:r w:rsidR="00D50C9B">
        <w:t>adoption</w:t>
      </w:r>
      <w:r w:rsidR="00A015D1">
        <w:t>/non-adoption</w:t>
      </w:r>
      <w:r w:rsidR="00D50C9B">
        <w:t xml:space="preserve"> decisions must be contextualised in the social and material </w:t>
      </w:r>
      <w:r w:rsidR="00A015D1">
        <w:t>realities</w:t>
      </w:r>
      <w:r w:rsidR="00D50C9B">
        <w:t xml:space="preserve"> facing </w:t>
      </w:r>
      <w:r w:rsidR="00A015D1">
        <w:t>decision makers within the firm.</w:t>
      </w:r>
      <w:r w:rsidR="006E2FED">
        <w:t xml:space="preserve"> </w:t>
      </w:r>
      <w:r w:rsidR="00A015D1">
        <w:t>We argue that non-adoption can be a perfectly legitimate strategic choice. T</w:t>
      </w:r>
      <w:r w:rsidR="00D50C9B">
        <w:t xml:space="preserve">he article </w:t>
      </w:r>
      <w:r w:rsidR="006E2FED">
        <w:t>highlights,</w:t>
      </w:r>
      <w:r w:rsidR="00D50C9B">
        <w:t xml:space="preserve"> three </w:t>
      </w:r>
      <w:r w:rsidR="006E2FED">
        <w:t xml:space="preserve">potential contextual components that may better explain low </w:t>
      </w:r>
      <w:r w:rsidR="00192429">
        <w:t xml:space="preserve">industry 4.0 </w:t>
      </w:r>
      <w:r w:rsidR="006E2FED">
        <w:t>adoption rates</w:t>
      </w:r>
      <w:r w:rsidR="00192429">
        <w:t xml:space="preserve"> amongst SMEs</w:t>
      </w:r>
      <w:r w:rsidR="002E690A">
        <w:t xml:space="preserve">: </w:t>
      </w:r>
      <w:r w:rsidR="006E2FED">
        <w:t xml:space="preserve"> </w:t>
      </w:r>
      <w:r w:rsidR="00192429">
        <w:t>interpretative flexibility; continued technology change and lack of growth in other parts of the economy.</w:t>
      </w:r>
    </w:p>
    <w:p w14:paraId="66AF7952" w14:textId="77777777" w:rsidR="00252126" w:rsidRDefault="00252126"/>
    <w:p w14:paraId="5E939B9F" w14:textId="37400994" w:rsidR="00B63AF3" w:rsidRDefault="00252126" w:rsidP="00A81F63">
      <w:pPr>
        <w:pStyle w:val="Heading1"/>
      </w:pPr>
      <w:r w:rsidRPr="00252126">
        <w:t>Introduction</w:t>
      </w:r>
    </w:p>
    <w:p w14:paraId="3E10D4E4" w14:textId="037803C0" w:rsidR="006E2FED" w:rsidRDefault="006E2FED" w:rsidP="006E2FED">
      <w:pPr>
        <w:jc w:val="both"/>
        <w:rPr>
          <w:rFonts w:cs="Times New Roman"/>
          <w:b/>
          <w:color w:val="000000" w:themeColor="text1"/>
        </w:rPr>
      </w:pPr>
    </w:p>
    <w:p w14:paraId="30B63C71" w14:textId="77777777" w:rsidR="00A015D1" w:rsidRPr="00E47C12" w:rsidRDefault="00A015D1" w:rsidP="00A015D1">
      <w:pPr>
        <w:autoSpaceDE w:val="0"/>
        <w:autoSpaceDN w:val="0"/>
        <w:adjustRightInd w:val="0"/>
      </w:pPr>
      <w:r w:rsidRPr="00E47C12">
        <w:t>The article is based on what we have learned over a three-year Interreg project</w:t>
      </w:r>
      <w:r>
        <w:t xml:space="preserve"> (2017-2020). </w:t>
      </w:r>
      <w:r w:rsidRPr="00E47C12">
        <w:t>Over this period the project developed and tested tools including a state of readiness questionnaire, benefits identification and organizational change workshops and</w:t>
      </w:r>
      <w:r>
        <w:t xml:space="preserve"> process</w:t>
      </w:r>
      <w:r w:rsidRPr="00E47C12">
        <w:t xml:space="preserve"> that help</w:t>
      </w:r>
      <w:r>
        <w:t>ed</w:t>
      </w:r>
      <w:r w:rsidRPr="00E47C12">
        <w:t xml:space="preserve"> firms identify future staff needs. The consistent problem faced by all partners in the project was encouraging firms to engage with the testing and development of support tools. To be blunt, firms did not seem to be struggling with barriers to adoption, rather they seemed uninterested in industry 4.0. This joint experience triggered discussion and the search for </w:t>
      </w:r>
      <w:r>
        <w:t xml:space="preserve">alternative approaches to </w:t>
      </w:r>
      <w:r w:rsidRPr="00E47C12">
        <w:t>technology change</w:t>
      </w:r>
      <w:r>
        <w:t xml:space="preserve"> </w:t>
      </w:r>
      <w:r w:rsidRPr="00E47C12">
        <w:t xml:space="preserve">that might explain </w:t>
      </w:r>
      <w:r>
        <w:t xml:space="preserve">why firms were </w:t>
      </w:r>
      <w:r w:rsidRPr="00E47C12">
        <w:t xml:space="preserve">not </w:t>
      </w:r>
      <w:r>
        <w:t xml:space="preserve">motivated to engage in the project. </w:t>
      </w:r>
      <w:r w:rsidRPr="00E47C12">
        <w:t>The article presents the results of that search for new ideas and uses them to re-</w:t>
      </w:r>
      <w:r>
        <w:t>think</w:t>
      </w:r>
      <w:r w:rsidRPr="00E47C12">
        <w:t xml:space="preserve"> both the work we have been doing and the broader policy narrative that we have been a part of. </w:t>
      </w:r>
    </w:p>
    <w:p w14:paraId="2E348A9C" w14:textId="77777777" w:rsidR="00A015D1" w:rsidRDefault="00A015D1" w:rsidP="006E2FED">
      <w:pPr>
        <w:jc w:val="both"/>
        <w:rPr>
          <w:rFonts w:cs="Times New Roman"/>
          <w:b/>
          <w:color w:val="000000" w:themeColor="text1"/>
        </w:rPr>
      </w:pPr>
    </w:p>
    <w:p w14:paraId="26C41050" w14:textId="77777777" w:rsidR="006E2FED" w:rsidRPr="006A17A3" w:rsidRDefault="006E2FED" w:rsidP="006E2FED">
      <w:pPr>
        <w:jc w:val="both"/>
      </w:pPr>
      <w:r w:rsidRPr="006A17A3">
        <w:t>UK Industrial Digitalization Review Interim Report (UK Industrial Digitisation, 2017) defines Industrial Digitalisation as:</w:t>
      </w:r>
    </w:p>
    <w:p w14:paraId="4AB28C9A" w14:textId="77777777" w:rsidR="006E2FED" w:rsidRPr="006A17A3" w:rsidRDefault="006E2FED" w:rsidP="006E2FED">
      <w:pPr>
        <w:jc w:val="both"/>
      </w:pPr>
    </w:p>
    <w:p w14:paraId="3EC8CAFC" w14:textId="35E57FFC" w:rsidR="006E2FED" w:rsidRPr="006A17A3" w:rsidRDefault="006E2FED" w:rsidP="006E2FED">
      <w:pPr>
        <w:jc w:val="both"/>
      </w:pPr>
      <w:r w:rsidRPr="006A17A3">
        <w:t>“</w:t>
      </w:r>
      <w:proofErr w:type="gramStart"/>
      <w:r w:rsidRPr="006A17A3">
        <w:t>the</w:t>
      </w:r>
      <w:proofErr w:type="gramEnd"/>
      <w:r w:rsidRPr="006A17A3">
        <w:t xml:space="preserve"> application of digital tools and technologies, in all their forms, to the value chains of businesses who make things (e.g. automotive and construction) or that are operationally asset intensive (e.g. power grids, wind farms etc.): it is the merging between the physical and digital worlds”. Industry 4.0 is a general</w:t>
      </w:r>
      <w:r w:rsidR="007D4A83" w:rsidRPr="006A17A3">
        <w:t>-</w:t>
      </w:r>
      <w:r w:rsidRPr="006A17A3">
        <w:t xml:space="preserve">purpose technology, one with applicability in a wide </w:t>
      </w:r>
      <w:r w:rsidRPr="006A17A3">
        <w:lastRenderedPageBreak/>
        <w:t>variety of settings.  It can, therefore, be expected to diffuse widely across all sectors of industry</w:t>
      </w:r>
      <w:r w:rsidR="00A015D1">
        <w:t xml:space="preserve"> with positive consequences for whole economies.</w:t>
      </w:r>
      <w:r w:rsidRPr="006A17A3">
        <w:t xml:space="preserve"> </w:t>
      </w:r>
    </w:p>
    <w:p w14:paraId="381FF39F" w14:textId="77777777" w:rsidR="006E2FED" w:rsidRDefault="006E2FED" w:rsidP="006E2FED">
      <w:pPr>
        <w:jc w:val="both"/>
        <w:rPr>
          <w:rFonts w:cs="Times New Roman"/>
          <w:b/>
          <w:color w:val="000000" w:themeColor="text1"/>
        </w:rPr>
      </w:pPr>
    </w:p>
    <w:p w14:paraId="72A45CD1" w14:textId="20F9212B" w:rsidR="007D4A83" w:rsidRDefault="007D4A83" w:rsidP="007D4A83">
      <w:pPr>
        <w:jc w:val="both"/>
      </w:pPr>
      <w:r>
        <w:t xml:space="preserve">Nevertheless, the uptake of digital technology, particularly by Manufacturing SMEs is regarded as </w:t>
      </w:r>
      <w:r w:rsidR="00A015D1">
        <w:t xml:space="preserve">being </w:t>
      </w:r>
      <w:r>
        <w:t>too slow, leading to policy interventions</w:t>
      </w:r>
      <w:r w:rsidR="002304D4">
        <w:t xml:space="preserve">, </w:t>
      </w:r>
      <w:r>
        <w:t xml:space="preserve">such as Made Smarter and </w:t>
      </w:r>
      <w:r w:rsidR="002304D4">
        <w:t xml:space="preserve">our own </w:t>
      </w:r>
      <w:r w:rsidR="00A015D1">
        <w:t xml:space="preserve">funded activities in </w:t>
      </w:r>
      <w:r>
        <w:t>Grow In 4.0</w:t>
      </w:r>
      <w:r w:rsidR="00A015D1">
        <w:t>. These knowledge exchange programmes are</w:t>
      </w:r>
      <w:r>
        <w:t xml:space="preserve"> aimed at supporting</w:t>
      </w:r>
      <w:r w:rsidR="002304D4">
        <w:t xml:space="preserve"> industry 4.0 </w:t>
      </w:r>
      <w:r>
        <w:t xml:space="preserve">uptake amongst </w:t>
      </w:r>
      <w:r w:rsidR="00A015D1">
        <w:t xml:space="preserve">manufacturing </w:t>
      </w:r>
      <w:r>
        <w:t xml:space="preserve">firms. </w:t>
      </w:r>
      <w:r w:rsidR="00A015D1">
        <w:t>However, e</w:t>
      </w:r>
      <w:r>
        <w:t>mbedded in the form of these interventions</w:t>
      </w:r>
      <w:r w:rsidR="00A015D1">
        <w:t xml:space="preserve"> </w:t>
      </w:r>
      <w:r>
        <w:t>is a particular set of believes about how and why technology change occurs</w:t>
      </w:r>
      <w:r w:rsidR="002304D4">
        <w:t>. Primarily, the ‘support’ approach assumes that an industry 4.0 future is a foregone conclusion – that Industry 4.0 will eventually diffuse to all corners of industry and that the only question is how quickly</w:t>
      </w:r>
      <w:r w:rsidR="00A015D1">
        <w:t xml:space="preserve"> it will do so</w:t>
      </w:r>
      <w:r w:rsidR="002304D4">
        <w:t xml:space="preserve">. This techno-determinist view of technology has been widely criticised (Shove, 1993; Pinch and </w:t>
      </w:r>
      <w:proofErr w:type="spellStart"/>
      <w:r w:rsidR="002304D4">
        <w:t>Bijker</w:t>
      </w:r>
      <w:proofErr w:type="spellEnd"/>
      <w:r w:rsidR="002304D4">
        <w:t>, 198</w:t>
      </w:r>
      <w:r w:rsidR="00656456">
        <w:t>4</w:t>
      </w:r>
      <w:r w:rsidR="002304D4">
        <w:t>)</w:t>
      </w:r>
      <w:r w:rsidR="00A015D1">
        <w:t xml:space="preserve"> and we argue </w:t>
      </w:r>
      <w:proofErr w:type="gramStart"/>
      <w:r w:rsidR="00A015D1">
        <w:t>in light of</w:t>
      </w:r>
      <w:proofErr w:type="gramEnd"/>
      <w:r w:rsidR="00A015D1">
        <w:t xml:space="preserve"> this </w:t>
      </w:r>
      <w:r>
        <w:t xml:space="preserve">that the dogged reliance of policy makers an implicit ‘diffusion’ model of innovation </w:t>
      </w:r>
      <w:r w:rsidR="00656456">
        <w:t xml:space="preserve">(see both </w:t>
      </w:r>
      <w:r w:rsidR="00656456" w:rsidRPr="006A17A3">
        <w:t>UK Industrial Digitisation, 2017</w:t>
      </w:r>
      <w:r w:rsidR="00656456">
        <w:t xml:space="preserve"> and Made Smarter, 2017</w:t>
      </w:r>
      <w:r w:rsidR="00656456" w:rsidRPr="006A17A3">
        <w:t xml:space="preserve">) </w:t>
      </w:r>
      <w:r w:rsidR="002304D4">
        <w:t>unhelpfully plays down</w:t>
      </w:r>
      <w:r>
        <w:t xml:space="preserve"> the complex </w:t>
      </w:r>
      <w:r w:rsidR="00A015D1">
        <w:t xml:space="preserve">and dynamic </w:t>
      </w:r>
      <w:r>
        <w:t xml:space="preserve">social, </w:t>
      </w:r>
      <w:r w:rsidR="00A015D1">
        <w:t xml:space="preserve">technological, </w:t>
      </w:r>
      <w:r>
        <w:t xml:space="preserve">organizational and economic contexts in which adoption decisions actually take place.  </w:t>
      </w:r>
      <w:r w:rsidR="00656456">
        <w:t xml:space="preserve">We argue that adoption is better understood as ‘demand’ </w:t>
      </w:r>
      <w:r w:rsidR="00A015D1">
        <w:t xml:space="preserve">for technology change, </w:t>
      </w:r>
      <w:r w:rsidR="00656456">
        <w:t xml:space="preserve">in which high or low demand </w:t>
      </w:r>
      <w:r w:rsidR="00A015D1">
        <w:t xml:space="preserve">for digital technology </w:t>
      </w:r>
      <w:r w:rsidR="00656456">
        <w:t>by SMEs reflects the complex inter</w:t>
      </w:r>
      <w:r w:rsidR="00A015D1">
        <w:t>weaving</w:t>
      </w:r>
      <w:r w:rsidR="00656456">
        <w:t xml:space="preserve"> of</w:t>
      </w:r>
      <w:r w:rsidR="00A015D1">
        <w:t xml:space="preserve"> various contextual factors that shape </w:t>
      </w:r>
      <w:r w:rsidR="00656456">
        <w:t xml:space="preserve">strategic decision making.  </w:t>
      </w:r>
    </w:p>
    <w:p w14:paraId="28089BF4" w14:textId="10BFC3D7" w:rsidR="007D4A83" w:rsidRDefault="007D4A83" w:rsidP="006E2FED">
      <w:pPr>
        <w:jc w:val="both"/>
      </w:pPr>
    </w:p>
    <w:p w14:paraId="27C8C7AE" w14:textId="77777777" w:rsidR="006A17A3" w:rsidRDefault="006A17A3" w:rsidP="006E2FED">
      <w:pPr>
        <w:jc w:val="both"/>
      </w:pPr>
    </w:p>
    <w:p w14:paraId="5F2E37C5" w14:textId="77777777" w:rsidR="006E2FED" w:rsidRDefault="006E2FED" w:rsidP="006E2FED">
      <w:pPr>
        <w:jc w:val="both"/>
      </w:pPr>
    </w:p>
    <w:p w14:paraId="27708E97" w14:textId="32200B0B" w:rsidR="006E2FED" w:rsidRPr="006A17A3" w:rsidRDefault="007D4A83" w:rsidP="00A81F63">
      <w:pPr>
        <w:pStyle w:val="Heading1"/>
      </w:pPr>
      <w:r w:rsidRPr="006A17A3">
        <w:t>The benefits of Industry 4.0</w:t>
      </w:r>
    </w:p>
    <w:p w14:paraId="2F1B7CDB" w14:textId="70D45961" w:rsidR="007D4A83" w:rsidRDefault="007D4A83" w:rsidP="006E2FED">
      <w:pPr>
        <w:jc w:val="both"/>
      </w:pPr>
    </w:p>
    <w:p w14:paraId="0D36E9AA" w14:textId="76339EDC" w:rsidR="00656456" w:rsidRDefault="007430FA" w:rsidP="006E2FED">
      <w:pPr>
        <w:jc w:val="both"/>
      </w:pPr>
      <w:r>
        <w:t xml:space="preserve">That there is a strong relationship between technology change and economic growth is undisputed. As </w:t>
      </w:r>
      <w:r w:rsidRPr="007D4A83">
        <w:t xml:space="preserve">Mokyr (1990) </w:t>
      </w:r>
      <w:r>
        <w:t>notes, technology change has become a</w:t>
      </w:r>
      <w:r w:rsidRPr="007D4A83">
        <w:t xml:space="preserve"> “...</w:t>
      </w:r>
      <w:r w:rsidRPr="00656456">
        <w:rPr>
          <w:i/>
        </w:rPr>
        <w:t>seemingly perpetual mechanism of continual expansion</w:t>
      </w:r>
      <w:r w:rsidR="00656456">
        <w:rPr>
          <w:i/>
        </w:rPr>
        <w:t xml:space="preserve">” </w:t>
      </w:r>
      <w:r w:rsidR="00656456" w:rsidRPr="00656456">
        <w:t>– a lesson not lost on promoters of industry 4.0</w:t>
      </w:r>
      <w:r w:rsidR="00656456">
        <w:t>. Technology innovation, in this understanding, is a driver of economic growth, firm competitiveness and higher living standards. Digital technology is a general</w:t>
      </w:r>
      <w:r w:rsidR="00A015D1">
        <w:t>-</w:t>
      </w:r>
      <w:r w:rsidR="00656456">
        <w:t>purpose technology, meaning it is applicable to all industries – hence it has been hailed as a driver of the 3</w:t>
      </w:r>
      <w:r w:rsidR="00656456" w:rsidRPr="00656456">
        <w:rPr>
          <w:vertAlign w:val="superscript"/>
        </w:rPr>
        <w:t>rd</w:t>
      </w:r>
      <w:r w:rsidR="00656456">
        <w:t xml:space="preserve"> Industrial revolution. </w:t>
      </w:r>
    </w:p>
    <w:p w14:paraId="639D1D3A" w14:textId="77777777" w:rsidR="00656456" w:rsidRDefault="00656456" w:rsidP="006E2FED">
      <w:pPr>
        <w:jc w:val="both"/>
      </w:pPr>
    </w:p>
    <w:p w14:paraId="3DDD7CCF" w14:textId="35625595" w:rsidR="002304D4" w:rsidRDefault="007430FA" w:rsidP="006E2FED">
      <w:pPr>
        <w:jc w:val="both"/>
      </w:pPr>
      <w:r>
        <w:t xml:space="preserve">The many </w:t>
      </w:r>
      <w:r w:rsidR="00FC4493">
        <w:t xml:space="preserve">demonstrable </w:t>
      </w:r>
      <w:r>
        <w:t xml:space="preserve">benefits of industry 4.0 </w:t>
      </w:r>
      <w:r w:rsidR="00656456">
        <w:t xml:space="preserve">make this view </w:t>
      </w:r>
      <w:r>
        <w:t xml:space="preserve">difficult to argue with. Digital technology through sensors, connectivity and data processing offers more refined, </w:t>
      </w:r>
      <w:proofErr w:type="gramStart"/>
      <w:r>
        <w:t>extensive</w:t>
      </w:r>
      <w:proofErr w:type="gramEnd"/>
      <w:r>
        <w:t xml:space="preserve"> and remote control over processes and c</w:t>
      </w:r>
      <w:r w:rsidR="00656456">
        <w:t>ostless real-time c</w:t>
      </w:r>
      <w:r>
        <w:t xml:space="preserve">onnectivity between elements of the production process (Wang et al 2015, Wang et al., 2016). The ability to access </w:t>
      </w:r>
      <w:r w:rsidR="00FC4493">
        <w:t xml:space="preserve">manufacturing </w:t>
      </w:r>
      <w:r w:rsidR="00656456">
        <w:t>process</w:t>
      </w:r>
      <w:r>
        <w:t xml:space="preserve"> data in real-time improves strategic and operational decision making (Porter and </w:t>
      </w:r>
      <w:proofErr w:type="spellStart"/>
      <w:r>
        <w:t>Heppelmann</w:t>
      </w:r>
      <w:proofErr w:type="spellEnd"/>
      <w:r>
        <w:t xml:space="preserve">, 2014, Schwab, 2016) </w:t>
      </w:r>
      <w:r w:rsidR="00656456">
        <w:t xml:space="preserve">and so </w:t>
      </w:r>
      <w:r>
        <w:t>allow</w:t>
      </w:r>
      <w:r w:rsidR="00656456">
        <w:t>s</w:t>
      </w:r>
      <w:r>
        <w:t xml:space="preserve"> production to run more flexibly, </w:t>
      </w:r>
      <w:proofErr w:type="gramStart"/>
      <w:r>
        <w:t>reliably</w:t>
      </w:r>
      <w:proofErr w:type="gramEnd"/>
      <w:r>
        <w:t xml:space="preserve"> and efficiently (</w:t>
      </w:r>
      <w:proofErr w:type="spellStart"/>
      <w:r>
        <w:t>Shrouf</w:t>
      </w:r>
      <w:proofErr w:type="spellEnd"/>
      <w:r>
        <w:t xml:space="preserve"> et al 2014; </w:t>
      </w:r>
      <w:proofErr w:type="spellStart"/>
      <w:r>
        <w:t>Hozdić</w:t>
      </w:r>
      <w:proofErr w:type="spellEnd"/>
      <w:r>
        <w:t xml:space="preserve"> 2015). Thus, adopting firms </w:t>
      </w:r>
      <w:proofErr w:type="gramStart"/>
      <w:r>
        <w:t>are able to</w:t>
      </w:r>
      <w:proofErr w:type="gramEnd"/>
      <w:r>
        <w:t xml:space="preserve"> lower maintenance costs (predictive maintenance</w:t>
      </w:r>
      <w:r w:rsidR="002304D4">
        <w:t xml:space="preserve"> based on </w:t>
      </w:r>
      <w:r w:rsidR="00FC4493">
        <w:t xml:space="preserve">wear </w:t>
      </w:r>
      <w:r w:rsidR="002304D4">
        <w:t>data</w:t>
      </w:r>
      <w:r>
        <w:t xml:space="preserve">), reduce down time, </w:t>
      </w:r>
      <w:r w:rsidR="005E4CC7">
        <w:t xml:space="preserve">are able to </w:t>
      </w:r>
      <w:r>
        <w:t>run process</w:t>
      </w:r>
      <w:r w:rsidR="006A17A3">
        <w:t>es</w:t>
      </w:r>
      <w:r>
        <w:t xml:space="preserve"> at higher </w:t>
      </w:r>
      <w:r w:rsidR="006A17A3">
        <w:t>capacity with fewer staff</w:t>
      </w:r>
      <w:r>
        <w:t xml:space="preserve"> and better respond to consumer demands for product customisation (</w:t>
      </w:r>
      <w:proofErr w:type="spellStart"/>
      <w:r>
        <w:t>Zawadzk</w:t>
      </w:r>
      <w:proofErr w:type="spellEnd"/>
      <w:r>
        <w:t xml:space="preserve"> and </w:t>
      </w:r>
      <w:proofErr w:type="spellStart"/>
      <w:r>
        <w:t>Żywick</w:t>
      </w:r>
      <w:proofErr w:type="spellEnd"/>
      <w:r>
        <w:t xml:space="preserve"> 2016). Manufactures can themselves manufacture goods with integrated digital capability (Ayala et al., 2017, </w:t>
      </w:r>
      <w:proofErr w:type="spellStart"/>
      <w:r>
        <w:t>Coreynen</w:t>
      </w:r>
      <w:proofErr w:type="spellEnd"/>
      <w:r>
        <w:t xml:space="preserve"> et al., 2017) </w:t>
      </w:r>
      <w:r w:rsidR="00656456">
        <w:t xml:space="preserve">which then subsequently </w:t>
      </w:r>
      <w:r>
        <w:t>yield user data that enable new services (such as charging for functionality that can be turned off and on remotely).</w:t>
      </w:r>
    </w:p>
    <w:p w14:paraId="79304561" w14:textId="77777777" w:rsidR="002304D4" w:rsidRDefault="002304D4" w:rsidP="006E2FED">
      <w:pPr>
        <w:jc w:val="both"/>
        <w:rPr>
          <w:rFonts w:cs="Times New Roman"/>
          <w:color w:val="000000" w:themeColor="text1"/>
        </w:rPr>
      </w:pPr>
    </w:p>
    <w:p w14:paraId="59CEBDE4" w14:textId="703201F4" w:rsidR="00656456" w:rsidRDefault="002304D4" w:rsidP="00656456">
      <w:pPr>
        <w:jc w:val="both"/>
      </w:pPr>
      <w:r>
        <w:rPr>
          <w:rFonts w:cs="Times New Roman"/>
          <w:color w:val="000000" w:themeColor="text1"/>
        </w:rPr>
        <w:t>Thus, t</w:t>
      </w:r>
      <w:r w:rsidRPr="006D5E23">
        <w:rPr>
          <w:rFonts w:cs="Times New Roman"/>
          <w:color w:val="000000" w:themeColor="text1"/>
        </w:rPr>
        <w:t xml:space="preserve">he application of </w:t>
      </w:r>
      <w:r>
        <w:rPr>
          <w:rFonts w:cs="Times New Roman"/>
          <w:color w:val="000000" w:themeColor="text1"/>
        </w:rPr>
        <w:t xml:space="preserve">Industry 4.0 </w:t>
      </w:r>
      <w:r w:rsidRPr="006D5E23">
        <w:rPr>
          <w:rFonts w:cs="Times New Roman"/>
          <w:color w:val="000000" w:themeColor="text1"/>
        </w:rPr>
        <w:t>technologies will</w:t>
      </w:r>
      <w:r>
        <w:rPr>
          <w:rFonts w:cs="Times New Roman"/>
          <w:color w:val="000000" w:themeColor="text1"/>
        </w:rPr>
        <w:t>, it is claimed,</w:t>
      </w:r>
      <w:r w:rsidRPr="006D5E23">
        <w:rPr>
          <w:rFonts w:cs="Times New Roman"/>
          <w:color w:val="000000" w:themeColor="text1"/>
        </w:rPr>
        <w:t xml:space="preserve"> continue to disrupt companies </w:t>
      </w:r>
      <w:r>
        <w:rPr>
          <w:rFonts w:cs="Times New Roman"/>
          <w:color w:val="000000" w:themeColor="text1"/>
        </w:rPr>
        <w:t xml:space="preserve">giving rise to new business models, </w:t>
      </w:r>
      <w:r w:rsidRPr="006D5E23">
        <w:rPr>
          <w:rFonts w:cs="Times New Roman"/>
          <w:color w:val="000000" w:themeColor="text1"/>
        </w:rPr>
        <w:t xml:space="preserve">enhanced </w:t>
      </w:r>
      <w:proofErr w:type="gramStart"/>
      <w:r w:rsidRPr="006D5E23">
        <w:rPr>
          <w:rFonts w:cs="Times New Roman"/>
          <w:color w:val="000000" w:themeColor="text1"/>
        </w:rPr>
        <w:t>products</w:t>
      </w:r>
      <w:proofErr w:type="gramEnd"/>
      <w:r w:rsidRPr="006D5E23">
        <w:rPr>
          <w:rFonts w:cs="Times New Roman"/>
          <w:color w:val="000000" w:themeColor="text1"/>
        </w:rPr>
        <w:t xml:space="preserve"> and </w:t>
      </w:r>
      <w:r>
        <w:rPr>
          <w:rFonts w:cs="Times New Roman"/>
          <w:color w:val="000000" w:themeColor="text1"/>
        </w:rPr>
        <w:t xml:space="preserve">enhanced </w:t>
      </w:r>
      <w:r w:rsidRPr="006D5E23">
        <w:rPr>
          <w:rFonts w:cs="Times New Roman"/>
          <w:color w:val="000000" w:themeColor="text1"/>
        </w:rPr>
        <w:t xml:space="preserve">services </w:t>
      </w:r>
      <w:r w:rsidRPr="006D5E23">
        <w:rPr>
          <w:rFonts w:cs="Times New Roman"/>
          <w:color w:val="000000" w:themeColor="text1"/>
        </w:rPr>
        <w:lastRenderedPageBreak/>
        <w:t>(Made Smarter, 2017)</w:t>
      </w:r>
      <w:r w:rsidR="00A015D1">
        <w:rPr>
          <w:rFonts w:cs="Times New Roman"/>
          <w:color w:val="000000" w:themeColor="text1"/>
        </w:rPr>
        <w:t xml:space="preserve"> with the potential to </w:t>
      </w:r>
      <w:r>
        <w:t>transform</w:t>
      </w:r>
      <w:r w:rsidR="00A015D1">
        <w:t xml:space="preserve"> industry</w:t>
      </w:r>
      <w:r>
        <w:t xml:space="preserve"> (Langley, et al. 2020</w:t>
      </w:r>
      <w:r w:rsidR="00656456">
        <w:t xml:space="preserve">; </w:t>
      </w:r>
      <w:r w:rsidR="00656456">
        <w:rPr>
          <w:rFonts w:cs="Times New Roman"/>
          <w:color w:val="000000" w:themeColor="text1"/>
        </w:rPr>
        <w:t>B</w:t>
      </w:r>
      <w:proofErr w:type="spellStart"/>
      <w:r w:rsidR="00656456" w:rsidRPr="002304D4">
        <w:rPr>
          <w:rFonts w:cs="Times New Roman"/>
          <w:color w:val="000000" w:themeColor="text1"/>
          <w:lang w:val="en-US"/>
        </w:rPr>
        <w:t>rynjolfsson</w:t>
      </w:r>
      <w:proofErr w:type="spellEnd"/>
      <w:r w:rsidR="00656456" w:rsidRPr="002304D4">
        <w:rPr>
          <w:rFonts w:cs="Times New Roman"/>
          <w:color w:val="000000" w:themeColor="text1"/>
          <w:lang w:val="en-US"/>
        </w:rPr>
        <w:t xml:space="preserve"> and </w:t>
      </w:r>
      <w:proofErr w:type="spellStart"/>
      <w:r w:rsidR="00656456" w:rsidRPr="002304D4">
        <w:rPr>
          <w:rFonts w:cs="Times New Roman"/>
          <w:color w:val="000000" w:themeColor="text1"/>
          <w:lang w:val="en-US"/>
        </w:rPr>
        <w:t>Mcafee</w:t>
      </w:r>
      <w:proofErr w:type="spellEnd"/>
      <w:r w:rsidR="00656456">
        <w:rPr>
          <w:rFonts w:cs="Times New Roman"/>
          <w:color w:val="000000" w:themeColor="text1"/>
          <w:lang w:val="en-US"/>
        </w:rPr>
        <w:t xml:space="preserve">, </w:t>
      </w:r>
      <w:r w:rsidR="00656456" w:rsidRPr="002304D4">
        <w:rPr>
          <w:rFonts w:cs="Times New Roman"/>
          <w:color w:val="000000" w:themeColor="text1"/>
          <w:lang w:val="en-US"/>
        </w:rPr>
        <w:t>2016</w:t>
      </w:r>
      <w:r>
        <w:t xml:space="preserve">). </w:t>
      </w:r>
      <w:r w:rsidR="005E4CC7">
        <w:t xml:space="preserve">From the perspective of policy makers, </w:t>
      </w:r>
      <w:r w:rsidR="00A015D1">
        <w:t xml:space="preserve">the rapid adoption of </w:t>
      </w:r>
      <w:r w:rsidR="005E4CC7">
        <w:t>i</w:t>
      </w:r>
      <w:r>
        <w:t xml:space="preserve">ndustry 4.0 is </w:t>
      </w:r>
      <w:r w:rsidR="00A015D1">
        <w:t xml:space="preserve">itself </w:t>
      </w:r>
      <w:r>
        <w:t xml:space="preserve">essential for future growth and competitiveness (see, for example, </w:t>
      </w:r>
      <w:r w:rsidRPr="00C87786">
        <w:rPr>
          <w:rFonts w:cs="Times New Roman"/>
          <w:color w:val="000000" w:themeColor="text1"/>
        </w:rPr>
        <w:t>European Commission, 2016; UK Industrial Digitisation, 2017).</w:t>
      </w:r>
      <w:r w:rsidR="00656456">
        <w:t xml:space="preserve"> </w:t>
      </w:r>
    </w:p>
    <w:p w14:paraId="1FF2F0AC" w14:textId="77777777" w:rsidR="00656456" w:rsidRDefault="00656456" w:rsidP="00656456">
      <w:pPr>
        <w:jc w:val="both"/>
      </w:pPr>
    </w:p>
    <w:p w14:paraId="53A805F5" w14:textId="63D10EEA" w:rsidR="007430FA" w:rsidRDefault="007430FA" w:rsidP="00656456">
      <w:pPr>
        <w:jc w:val="both"/>
      </w:pPr>
      <w:r>
        <w:t xml:space="preserve">Consequently, </w:t>
      </w:r>
      <w:r w:rsidR="00A015D1">
        <w:t xml:space="preserve">from this perspective, </w:t>
      </w:r>
      <w:r>
        <w:t xml:space="preserve">it is paradoxical that </w:t>
      </w:r>
      <w:proofErr w:type="gramStart"/>
      <w:r>
        <w:t>SME’s</w:t>
      </w:r>
      <w:proofErr w:type="gramEnd"/>
      <w:r>
        <w:t xml:space="preserve"> </w:t>
      </w:r>
      <w:r w:rsidR="00A015D1">
        <w:t>would be</w:t>
      </w:r>
      <w:r>
        <w:t xml:space="preserve"> reticent to make the investments </w:t>
      </w:r>
      <w:r w:rsidR="006A17A3">
        <w:t>necessary</w:t>
      </w:r>
      <w:r>
        <w:t xml:space="preserve"> to yield these benefits</w:t>
      </w:r>
      <w:r w:rsidR="00A015D1">
        <w:t xml:space="preserve">. Framed in the logic of paradox, </w:t>
      </w:r>
      <w:proofErr w:type="spellStart"/>
      <w:r w:rsidR="00656456">
        <w:t>Delotte’s</w:t>
      </w:r>
      <w:proofErr w:type="spellEnd"/>
      <w:r w:rsidR="00656456">
        <w:t xml:space="preserve"> 2019 industry survey found </w:t>
      </w:r>
      <w:r w:rsidR="00A015D1">
        <w:t xml:space="preserve">that many </w:t>
      </w:r>
      <w:r w:rsidR="00656456">
        <w:t xml:space="preserve">CEOs </w:t>
      </w:r>
      <w:r w:rsidR="00A015D1">
        <w:t xml:space="preserve">were still </w:t>
      </w:r>
      <w:r w:rsidR="00656456">
        <w:t xml:space="preserve">reticent to commit to industry 4.0. </w:t>
      </w:r>
      <w:r w:rsidR="00656456" w:rsidRPr="00A25254">
        <w:rPr>
          <w:rFonts w:cs="Times New Roman"/>
          <w:bCs/>
          <w:color w:val="000000" w:themeColor="text1"/>
        </w:rPr>
        <w:t>Made Smart</w:t>
      </w:r>
      <w:r w:rsidR="00656456">
        <w:rPr>
          <w:rFonts w:cs="Times New Roman"/>
          <w:bCs/>
          <w:color w:val="000000" w:themeColor="text1"/>
        </w:rPr>
        <w:t>er (</w:t>
      </w:r>
      <w:r w:rsidR="00656456" w:rsidRPr="00FC4493">
        <w:rPr>
          <w:rFonts w:cs="Times New Roman"/>
          <w:iCs/>
          <w:color w:val="000000" w:themeColor="text1"/>
        </w:rPr>
        <w:t>2017)</w:t>
      </w:r>
      <w:r w:rsidR="00FC4493" w:rsidRPr="00FC4493">
        <w:rPr>
          <w:rFonts w:cs="Times New Roman"/>
          <w:iCs/>
          <w:color w:val="000000" w:themeColor="text1"/>
        </w:rPr>
        <w:t>,</w:t>
      </w:r>
      <w:r w:rsidR="00FC4493">
        <w:rPr>
          <w:rFonts w:cs="Times New Roman"/>
          <w:iCs/>
          <w:color w:val="000000" w:themeColor="text1"/>
        </w:rPr>
        <w:t xml:space="preserve"> </w:t>
      </w:r>
      <w:r w:rsidR="00FC4493" w:rsidRPr="00FC4493">
        <w:rPr>
          <w:rFonts w:cs="Times New Roman"/>
          <w:iCs/>
        </w:rPr>
        <w:t>McKinsey Digital</w:t>
      </w:r>
      <w:r w:rsidR="00FC4493">
        <w:rPr>
          <w:rFonts w:cs="Times New Roman"/>
          <w:iCs/>
        </w:rPr>
        <w:t xml:space="preserve"> (</w:t>
      </w:r>
      <w:r w:rsidR="00FC4493" w:rsidRPr="00FC4493">
        <w:rPr>
          <w:rFonts w:cs="Times New Roman"/>
          <w:iCs/>
        </w:rPr>
        <w:t>201</w:t>
      </w:r>
      <w:r w:rsidR="00FC4493">
        <w:rPr>
          <w:rFonts w:cs="Times New Roman"/>
          <w:iCs/>
        </w:rPr>
        <w:t>6)</w:t>
      </w:r>
      <w:r w:rsidR="00656456">
        <w:rPr>
          <w:rFonts w:cs="Times New Roman"/>
          <w:bCs/>
          <w:color w:val="000000" w:themeColor="text1"/>
        </w:rPr>
        <w:t xml:space="preserve"> and </w:t>
      </w:r>
      <w:r w:rsidR="00656456" w:rsidRPr="00A25254">
        <w:rPr>
          <w:rFonts w:cs="Times New Roman"/>
          <w:color w:val="000000" w:themeColor="text1"/>
        </w:rPr>
        <w:t>UK Industrial Digitisation</w:t>
      </w:r>
      <w:r w:rsidR="00656456">
        <w:rPr>
          <w:rFonts w:cs="Times New Roman"/>
          <w:color w:val="000000" w:themeColor="text1"/>
        </w:rPr>
        <w:t xml:space="preserve"> (</w:t>
      </w:r>
      <w:r w:rsidR="00656456" w:rsidRPr="00A25254">
        <w:rPr>
          <w:rFonts w:cs="Times New Roman"/>
          <w:color w:val="000000" w:themeColor="text1"/>
        </w:rPr>
        <w:t>2017</w:t>
      </w:r>
      <w:r w:rsidR="00656456" w:rsidRPr="00A25254">
        <w:rPr>
          <w:rFonts w:cs="Times New Roman"/>
          <w:bCs/>
          <w:color w:val="000000" w:themeColor="text1"/>
        </w:rPr>
        <w:t>)</w:t>
      </w:r>
      <w:r w:rsidR="00656456">
        <w:rPr>
          <w:rFonts w:cs="Times New Roman"/>
          <w:bCs/>
          <w:color w:val="000000" w:themeColor="text1"/>
        </w:rPr>
        <w:t xml:space="preserve"> make the same complaint, suggesting that </w:t>
      </w:r>
      <w:r w:rsidR="00656456">
        <w:rPr>
          <w:rFonts w:cs="Times New Roman"/>
          <w:color w:val="000000" w:themeColor="text1"/>
        </w:rPr>
        <w:t xml:space="preserve">low adoption rates are caused by a variety of factors: firms </w:t>
      </w:r>
      <w:r w:rsidR="00656456" w:rsidRPr="007570A9">
        <w:rPr>
          <w:rFonts w:cs="Times New Roman"/>
          <w:iCs/>
          <w:color w:val="000000" w:themeColor="text1"/>
        </w:rPr>
        <w:t>lack</w:t>
      </w:r>
      <w:r w:rsidR="00656456">
        <w:rPr>
          <w:rFonts w:cs="Times New Roman"/>
          <w:iCs/>
          <w:color w:val="000000" w:themeColor="text1"/>
        </w:rPr>
        <w:t>ing</w:t>
      </w:r>
      <w:r w:rsidR="00656456" w:rsidRPr="007570A9">
        <w:rPr>
          <w:rFonts w:cs="Times New Roman"/>
          <w:iCs/>
          <w:color w:val="000000" w:themeColor="text1"/>
        </w:rPr>
        <w:t xml:space="preserve"> the right leadership, </w:t>
      </w:r>
      <w:r w:rsidR="00656456">
        <w:rPr>
          <w:rFonts w:cs="Times New Roman"/>
          <w:iCs/>
          <w:color w:val="000000" w:themeColor="text1"/>
        </w:rPr>
        <w:t xml:space="preserve">lacking in the skills needed to enact organizational change, </w:t>
      </w:r>
      <w:r w:rsidR="00FC4493">
        <w:rPr>
          <w:rFonts w:cs="Times New Roman"/>
          <w:iCs/>
          <w:color w:val="000000" w:themeColor="text1"/>
        </w:rPr>
        <w:t xml:space="preserve">over-cautious with regards R&amp;D investments, </w:t>
      </w:r>
      <w:r w:rsidR="00656456">
        <w:rPr>
          <w:rFonts w:cs="Times New Roman"/>
          <w:iCs/>
          <w:color w:val="000000" w:themeColor="text1"/>
        </w:rPr>
        <w:t xml:space="preserve">failing to prioritise </w:t>
      </w:r>
      <w:r w:rsidR="00FC4493">
        <w:rPr>
          <w:rFonts w:cs="Times New Roman"/>
          <w:iCs/>
          <w:color w:val="000000" w:themeColor="text1"/>
        </w:rPr>
        <w:t xml:space="preserve">organizational </w:t>
      </w:r>
      <w:r w:rsidR="00656456">
        <w:rPr>
          <w:rFonts w:cs="Times New Roman"/>
          <w:iCs/>
          <w:color w:val="000000" w:themeColor="text1"/>
        </w:rPr>
        <w:t xml:space="preserve">change or </w:t>
      </w:r>
      <w:r w:rsidR="00DA2164">
        <w:rPr>
          <w:rFonts w:cs="Times New Roman"/>
          <w:iCs/>
          <w:color w:val="000000" w:themeColor="text1"/>
        </w:rPr>
        <w:t xml:space="preserve">simply </w:t>
      </w:r>
      <w:r w:rsidR="00656456" w:rsidRPr="007570A9">
        <w:rPr>
          <w:rFonts w:cs="Times New Roman"/>
          <w:iCs/>
          <w:color w:val="000000" w:themeColor="text1"/>
        </w:rPr>
        <w:t>lack</w:t>
      </w:r>
      <w:r w:rsidR="00656456">
        <w:rPr>
          <w:rFonts w:cs="Times New Roman"/>
          <w:iCs/>
          <w:color w:val="000000" w:themeColor="text1"/>
        </w:rPr>
        <w:t>ing</w:t>
      </w:r>
      <w:r w:rsidR="00656456" w:rsidRPr="007570A9">
        <w:rPr>
          <w:rFonts w:cs="Times New Roman"/>
          <w:iCs/>
          <w:color w:val="000000" w:themeColor="text1"/>
        </w:rPr>
        <w:t xml:space="preserve"> in confidence</w:t>
      </w:r>
      <w:r w:rsidR="00656456">
        <w:rPr>
          <w:rFonts w:cs="Times New Roman"/>
          <w:iCs/>
          <w:color w:val="000000" w:themeColor="text1"/>
        </w:rPr>
        <w:t xml:space="preserve">. Other reports note a general conservatism and lack of ambition pervading </w:t>
      </w:r>
      <w:r w:rsidR="00832FBF">
        <w:rPr>
          <w:rFonts w:cs="Times New Roman"/>
          <w:iCs/>
          <w:color w:val="000000" w:themeColor="text1"/>
        </w:rPr>
        <w:t xml:space="preserve">whole regions </w:t>
      </w:r>
      <w:r w:rsidR="00656456">
        <w:rPr>
          <w:rFonts w:cs="Times New Roman"/>
          <w:iCs/>
          <w:color w:val="000000" w:themeColor="text1"/>
        </w:rPr>
        <w:t>(</w:t>
      </w:r>
      <w:proofErr w:type="gramStart"/>
      <w:r w:rsidR="00656456">
        <w:rPr>
          <w:rFonts w:cs="Times New Roman"/>
          <w:iCs/>
          <w:color w:val="000000" w:themeColor="text1"/>
        </w:rPr>
        <w:t>e.g.</w:t>
      </w:r>
      <w:proofErr w:type="gramEnd"/>
      <w:r w:rsidR="00656456">
        <w:rPr>
          <w:rFonts w:cs="Times New Roman"/>
          <w:iCs/>
          <w:color w:val="000000" w:themeColor="text1"/>
        </w:rPr>
        <w:t xml:space="preserve"> </w:t>
      </w:r>
      <w:proofErr w:type="spellStart"/>
      <w:r w:rsidR="00656456" w:rsidRPr="00656456">
        <w:rPr>
          <w:rFonts w:cs="Times New Roman"/>
          <w:iCs/>
          <w:color w:val="000000" w:themeColor="text1"/>
        </w:rPr>
        <w:t>Stentoft</w:t>
      </w:r>
      <w:proofErr w:type="spellEnd"/>
      <w:r w:rsidR="00656456">
        <w:rPr>
          <w:rFonts w:cs="Times New Roman"/>
          <w:iCs/>
          <w:color w:val="000000" w:themeColor="text1"/>
        </w:rPr>
        <w:t xml:space="preserve">, </w:t>
      </w:r>
      <w:proofErr w:type="spellStart"/>
      <w:r w:rsidR="00656456" w:rsidRPr="00656456">
        <w:rPr>
          <w:rFonts w:cs="Times New Roman"/>
          <w:iCs/>
          <w:color w:val="000000" w:themeColor="text1"/>
        </w:rPr>
        <w:t>Rajkamur</w:t>
      </w:r>
      <w:proofErr w:type="spellEnd"/>
      <w:r w:rsidR="00656456" w:rsidRPr="00656456">
        <w:rPr>
          <w:rFonts w:cs="Times New Roman"/>
          <w:iCs/>
          <w:color w:val="000000" w:themeColor="text1"/>
        </w:rPr>
        <w:t xml:space="preserve"> and Madsen</w:t>
      </w:r>
      <w:r w:rsidR="00656456">
        <w:rPr>
          <w:rFonts w:cs="Times New Roman"/>
          <w:iCs/>
          <w:color w:val="000000" w:themeColor="text1"/>
        </w:rPr>
        <w:t xml:space="preserve"> </w:t>
      </w:r>
      <w:r w:rsidR="00656456" w:rsidRPr="00656456">
        <w:rPr>
          <w:rFonts w:cs="Times New Roman"/>
          <w:iCs/>
          <w:color w:val="000000" w:themeColor="text1"/>
        </w:rPr>
        <w:t>(2017)</w:t>
      </w:r>
      <w:r w:rsidR="00656456">
        <w:rPr>
          <w:rFonts w:cs="Times New Roman"/>
          <w:iCs/>
          <w:color w:val="000000" w:themeColor="text1"/>
        </w:rPr>
        <w:t xml:space="preserve"> with respect to</w:t>
      </w:r>
      <w:r w:rsidR="00656456" w:rsidRPr="00656456">
        <w:rPr>
          <w:rFonts w:cs="Times New Roman"/>
          <w:iCs/>
          <w:color w:val="000000" w:themeColor="text1"/>
        </w:rPr>
        <w:t xml:space="preserve"> Danish Industry</w:t>
      </w:r>
      <w:r w:rsidR="00656456">
        <w:rPr>
          <w:rFonts w:cs="Times New Roman"/>
          <w:iCs/>
          <w:color w:val="000000" w:themeColor="text1"/>
        </w:rPr>
        <w:t xml:space="preserve">). </w:t>
      </w:r>
      <w:r w:rsidR="00A015D1">
        <w:rPr>
          <w:rFonts w:cs="Times New Roman"/>
          <w:iCs/>
          <w:color w:val="000000" w:themeColor="text1"/>
        </w:rPr>
        <w:t>T</w:t>
      </w:r>
      <w:r w:rsidR="00656456">
        <w:rPr>
          <w:rFonts w:cs="Times New Roman"/>
          <w:iCs/>
          <w:color w:val="000000" w:themeColor="text1"/>
        </w:rPr>
        <w:t>he problem, as these reports understand</w:t>
      </w:r>
      <w:r w:rsidR="00A015D1">
        <w:rPr>
          <w:rFonts w:cs="Times New Roman"/>
          <w:iCs/>
          <w:color w:val="000000" w:themeColor="text1"/>
        </w:rPr>
        <w:t xml:space="preserve"> it, </w:t>
      </w:r>
      <w:r w:rsidR="00656456">
        <w:rPr>
          <w:rFonts w:cs="Times New Roman"/>
          <w:iCs/>
          <w:color w:val="000000" w:themeColor="text1"/>
        </w:rPr>
        <w:t>is one of individual firm</w:t>
      </w:r>
      <w:r w:rsidR="00A015D1">
        <w:rPr>
          <w:rFonts w:cs="Times New Roman"/>
          <w:iCs/>
          <w:color w:val="000000" w:themeColor="text1"/>
        </w:rPr>
        <w:t>’</w:t>
      </w:r>
      <w:r w:rsidR="00656456">
        <w:rPr>
          <w:rFonts w:cs="Times New Roman"/>
          <w:iCs/>
          <w:color w:val="000000" w:themeColor="text1"/>
        </w:rPr>
        <w:t>s failure to grasp the opportuni</w:t>
      </w:r>
      <w:r w:rsidR="00832FBF">
        <w:rPr>
          <w:rFonts w:cs="Times New Roman"/>
          <w:iCs/>
          <w:color w:val="000000" w:themeColor="text1"/>
        </w:rPr>
        <w:t>ties presented by industry 4.0.</w:t>
      </w:r>
      <w:r w:rsidR="00656456">
        <w:rPr>
          <w:rFonts w:cs="Times New Roman"/>
          <w:iCs/>
          <w:color w:val="000000" w:themeColor="text1"/>
        </w:rPr>
        <w:t xml:space="preserve"> We were not able to find a report which</w:t>
      </w:r>
      <w:r w:rsidR="00A015D1">
        <w:rPr>
          <w:rFonts w:cs="Times New Roman"/>
          <w:iCs/>
          <w:color w:val="000000" w:themeColor="text1"/>
        </w:rPr>
        <w:t xml:space="preserve"> broke</w:t>
      </w:r>
      <w:r w:rsidR="00656456">
        <w:rPr>
          <w:rFonts w:cs="Times New Roman"/>
          <w:iCs/>
          <w:color w:val="000000" w:themeColor="text1"/>
        </w:rPr>
        <w:t xml:space="preserve"> the isomorphism of this this logic. The</w:t>
      </w:r>
      <w:r w:rsidR="00FC4493">
        <w:rPr>
          <w:rFonts w:cs="Times New Roman"/>
          <w:iCs/>
          <w:color w:val="000000" w:themeColor="text1"/>
        </w:rPr>
        <w:t xml:space="preserve"> </w:t>
      </w:r>
      <w:r w:rsidR="00832FBF">
        <w:rPr>
          <w:rFonts w:cs="Times New Roman"/>
          <w:iCs/>
          <w:color w:val="000000" w:themeColor="text1"/>
        </w:rPr>
        <w:t>‘</w:t>
      </w:r>
      <w:r w:rsidR="00656456">
        <w:rPr>
          <w:rFonts w:cs="Times New Roman"/>
          <w:iCs/>
          <w:color w:val="000000" w:themeColor="text1"/>
        </w:rPr>
        <w:t>contextual</w:t>
      </w:r>
      <w:r w:rsidR="00832FBF">
        <w:rPr>
          <w:rFonts w:cs="Times New Roman"/>
          <w:iCs/>
          <w:color w:val="000000" w:themeColor="text1"/>
        </w:rPr>
        <w:t>’</w:t>
      </w:r>
      <w:r w:rsidR="00656456">
        <w:rPr>
          <w:rFonts w:cs="Times New Roman"/>
          <w:iCs/>
          <w:color w:val="000000" w:themeColor="text1"/>
        </w:rPr>
        <w:t xml:space="preserve"> factor</w:t>
      </w:r>
      <w:r w:rsidR="00FC4493">
        <w:rPr>
          <w:rFonts w:cs="Times New Roman"/>
          <w:iCs/>
          <w:color w:val="000000" w:themeColor="text1"/>
        </w:rPr>
        <w:t>s</w:t>
      </w:r>
      <w:r w:rsidR="00656456">
        <w:rPr>
          <w:rFonts w:cs="Times New Roman"/>
          <w:iCs/>
          <w:color w:val="000000" w:themeColor="text1"/>
        </w:rPr>
        <w:t xml:space="preserve"> that did gain any traction w</w:t>
      </w:r>
      <w:r w:rsidR="00A015D1">
        <w:rPr>
          <w:rFonts w:cs="Times New Roman"/>
          <w:iCs/>
          <w:color w:val="000000" w:themeColor="text1"/>
        </w:rPr>
        <w:t>ere</w:t>
      </w:r>
      <w:r w:rsidR="00656456">
        <w:rPr>
          <w:rFonts w:cs="Times New Roman"/>
          <w:iCs/>
          <w:color w:val="000000" w:themeColor="text1"/>
        </w:rPr>
        <w:t xml:space="preserve"> skills shortages</w:t>
      </w:r>
      <w:r w:rsidR="00FC4493">
        <w:rPr>
          <w:rFonts w:cs="Times New Roman"/>
          <w:iCs/>
          <w:color w:val="000000" w:themeColor="text1"/>
        </w:rPr>
        <w:t>, lack of standards and</w:t>
      </w:r>
      <w:r w:rsidR="00A015D1">
        <w:rPr>
          <w:rFonts w:cs="Times New Roman"/>
          <w:iCs/>
          <w:color w:val="000000" w:themeColor="text1"/>
        </w:rPr>
        <w:t>, perhaps unsurp</w:t>
      </w:r>
      <w:r w:rsidR="00832FBF">
        <w:rPr>
          <w:rFonts w:cs="Times New Roman"/>
          <w:iCs/>
          <w:color w:val="000000" w:themeColor="text1"/>
        </w:rPr>
        <w:t>ri</w:t>
      </w:r>
      <w:r w:rsidR="00A015D1">
        <w:rPr>
          <w:rFonts w:cs="Times New Roman"/>
          <w:iCs/>
          <w:color w:val="000000" w:themeColor="text1"/>
        </w:rPr>
        <w:t>singly,</w:t>
      </w:r>
      <w:r w:rsidR="00FC4493">
        <w:rPr>
          <w:rFonts w:cs="Times New Roman"/>
          <w:iCs/>
          <w:color w:val="000000" w:themeColor="text1"/>
        </w:rPr>
        <w:t xml:space="preserve"> lack of support</w:t>
      </w:r>
      <w:r w:rsidR="00832FBF">
        <w:rPr>
          <w:rFonts w:cs="Times New Roman"/>
          <w:iCs/>
          <w:color w:val="000000" w:themeColor="text1"/>
        </w:rPr>
        <w:t xml:space="preserve"> from regional and nation government agencies.</w:t>
      </w:r>
      <w:r w:rsidR="00656456">
        <w:rPr>
          <w:rFonts w:cs="Times New Roman"/>
          <w:iCs/>
          <w:color w:val="000000" w:themeColor="text1"/>
        </w:rPr>
        <w:t xml:space="preserve">   </w:t>
      </w:r>
    </w:p>
    <w:p w14:paraId="5842A099" w14:textId="02E0325D" w:rsidR="006E2FED" w:rsidRDefault="006E2FED" w:rsidP="006E2FED">
      <w:pPr>
        <w:rPr>
          <w:b/>
        </w:rPr>
      </w:pPr>
    </w:p>
    <w:p w14:paraId="0C2E7417" w14:textId="4A7FE225" w:rsidR="007430FA" w:rsidRDefault="007430FA" w:rsidP="006E2FED">
      <w:pPr>
        <w:rPr>
          <w:b/>
        </w:rPr>
      </w:pPr>
    </w:p>
    <w:p w14:paraId="6135FE83" w14:textId="755ED295" w:rsidR="000F362C" w:rsidRDefault="006A17A3" w:rsidP="00A81F63">
      <w:pPr>
        <w:pStyle w:val="Heading1"/>
      </w:pPr>
      <w:r>
        <w:t>Policy narratives and assumptions</w:t>
      </w:r>
    </w:p>
    <w:p w14:paraId="51C19710" w14:textId="0ACD2140" w:rsidR="006A17A3" w:rsidRDefault="006A17A3">
      <w:pPr>
        <w:rPr>
          <w:b/>
        </w:rPr>
      </w:pPr>
    </w:p>
    <w:p w14:paraId="6147A293" w14:textId="6F700045" w:rsidR="002304D4" w:rsidRDefault="00832FBF" w:rsidP="002304D4">
      <w:pPr>
        <w:jc w:val="both"/>
        <w:rPr>
          <w:rFonts w:cs="Times New Roman"/>
          <w:bCs/>
          <w:color w:val="000000" w:themeColor="text1"/>
        </w:rPr>
      </w:pPr>
      <w:r>
        <w:rPr>
          <w:rFonts w:cs="Times New Roman"/>
          <w:bCs/>
          <w:color w:val="000000" w:themeColor="text1"/>
        </w:rPr>
        <w:t>T</w:t>
      </w:r>
      <w:r w:rsidR="005E1DFC">
        <w:rPr>
          <w:rFonts w:cs="Times New Roman"/>
          <w:bCs/>
          <w:color w:val="000000" w:themeColor="text1"/>
        </w:rPr>
        <w:t xml:space="preserve">he </w:t>
      </w:r>
      <w:r w:rsidR="00656456">
        <w:rPr>
          <w:rFonts w:cs="Times New Roman"/>
          <w:bCs/>
          <w:color w:val="000000" w:themeColor="text1"/>
        </w:rPr>
        <w:t>‘</w:t>
      </w:r>
      <w:r w:rsidR="002304D4" w:rsidRPr="006A17A3">
        <w:rPr>
          <w:rFonts w:cs="Times New Roman"/>
          <w:bCs/>
          <w:color w:val="000000" w:themeColor="text1"/>
        </w:rPr>
        <w:t>technology adoption</w:t>
      </w:r>
      <w:r w:rsidR="00656456">
        <w:rPr>
          <w:rFonts w:cs="Times New Roman"/>
          <w:bCs/>
          <w:color w:val="000000" w:themeColor="text1"/>
        </w:rPr>
        <w:t>’</w:t>
      </w:r>
      <w:r w:rsidR="002304D4" w:rsidRPr="006A17A3">
        <w:rPr>
          <w:rFonts w:cs="Times New Roman"/>
          <w:bCs/>
          <w:color w:val="000000" w:themeColor="text1"/>
        </w:rPr>
        <w:t xml:space="preserve"> model made famous by Rogers (1962)</w:t>
      </w:r>
      <w:r>
        <w:rPr>
          <w:rFonts w:cs="Times New Roman"/>
          <w:bCs/>
          <w:color w:val="000000" w:themeColor="text1"/>
        </w:rPr>
        <w:t xml:space="preserve"> is a </w:t>
      </w:r>
      <w:proofErr w:type="gramStart"/>
      <w:r>
        <w:rPr>
          <w:rFonts w:cs="Times New Roman"/>
          <w:bCs/>
          <w:color w:val="000000" w:themeColor="text1"/>
        </w:rPr>
        <w:t xml:space="preserve">useful </w:t>
      </w:r>
      <w:r w:rsidR="005E1DFC">
        <w:rPr>
          <w:rFonts w:cs="Times New Roman"/>
          <w:bCs/>
          <w:color w:val="000000" w:themeColor="text1"/>
        </w:rPr>
        <w:t>.</w:t>
      </w:r>
      <w:proofErr w:type="gramEnd"/>
      <w:r w:rsidR="005E1DFC">
        <w:rPr>
          <w:rFonts w:cs="Times New Roman"/>
          <w:bCs/>
          <w:color w:val="000000" w:themeColor="text1"/>
        </w:rPr>
        <w:t xml:space="preserve"> Rogers uses a diffusion metaphor and</w:t>
      </w:r>
      <w:r w:rsidR="002304D4" w:rsidRPr="006A17A3">
        <w:rPr>
          <w:rFonts w:cs="Times New Roman"/>
          <w:bCs/>
          <w:color w:val="000000" w:themeColor="text1"/>
        </w:rPr>
        <w:t xml:space="preserve"> character</w:t>
      </w:r>
      <w:r w:rsidR="002304D4">
        <w:rPr>
          <w:rFonts w:cs="Times New Roman"/>
          <w:bCs/>
          <w:color w:val="000000" w:themeColor="text1"/>
        </w:rPr>
        <w:t>ise</w:t>
      </w:r>
      <w:r w:rsidR="005E1DFC">
        <w:rPr>
          <w:rFonts w:cs="Times New Roman"/>
          <w:bCs/>
          <w:color w:val="000000" w:themeColor="text1"/>
        </w:rPr>
        <w:t>s</w:t>
      </w:r>
      <w:r w:rsidR="002304D4">
        <w:rPr>
          <w:rFonts w:cs="Times New Roman"/>
          <w:bCs/>
          <w:color w:val="000000" w:themeColor="text1"/>
        </w:rPr>
        <w:t xml:space="preserve"> new</w:t>
      </w:r>
      <w:r w:rsidR="002304D4" w:rsidRPr="006A17A3">
        <w:rPr>
          <w:rFonts w:cs="Times New Roman"/>
          <w:bCs/>
          <w:color w:val="000000" w:themeColor="text1"/>
        </w:rPr>
        <w:t xml:space="preserve"> technology as </w:t>
      </w:r>
      <w:r w:rsidR="00656456">
        <w:rPr>
          <w:rFonts w:cs="Times New Roman"/>
          <w:bCs/>
          <w:color w:val="000000" w:themeColor="text1"/>
        </w:rPr>
        <w:t xml:space="preserve">moving </w:t>
      </w:r>
      <w:r w:rsidR="002304D4" w:rsidRPr="006A17A3">
        <w:rPr>
          <w:rFonts w:cs="Times New Roman"/>
          <w:bCs/>
          <w:color w:val="000000" w:themeColor="text1"/>
        </w:rPr>
        <w:t>steadily through populations</w:t>
      </w:r>
      <w:r w:rsidR="005E1DFC">
        <w:rPr>
          <w:rFonts w:cs="Times New Roman"/>
          <w:bCs/>
          <w:color w:val="000000" w:themeColor="text1"/>
        </w:rPr>
        <w:t xml:space="preserve"> of individuals and firms – the metaphor has stuck</w:t>
      </w:r>
      <w:r w:rsidR="002304D4" w:rsidRPr="006A17A3">
        <w:rPr>
          <w:rFonts w:cs="Times New Roman"/>
          <w:bCs/>
          <w:color w:val="000000" w:themeColor="text1"/>
        </w:rPr>
        <w:t xml:space="preserve">. </w:t>
      </w:r>
      <w:r w:rsidR="005E1DFC">
        <w:rPr>
          <w:rFonts w:cs="Times New Roman"/>
          <w:bCs/>
          <w:color w:val="000000" w:themeColor="text1"/>
        </w:rPr>
        <w:t xml:space="preserve">In Roger’s model the </w:t>
      </w:r>
      <w:r w:rsidR="002304D4" w:rsidRPr="006A17A3">
        <w:rPr>
          <w:rFonts w:cs="Times New Roman"/>
          <w:bCs/>
          <w:color w:val="000000" w:themeColor="text1"/>
        </w:rPr>
        <w:t>population itself</w:t>
      </w:r>
      <w:r w:rsidR="002304D4">
        <w:rPr>
          <w:rFonts w:cs="Times New Roman"/>
          <w:bCs/>
          <w:color w:val="000000" w:themeColor="text1"/>
        </w:rPr>
        <w:t xml:space="preserve"> is characterised by</w:t>
      </w:r>
      <w:r w:rsidR="002304D4" w:rsidRPr="006A17A3">
        <w:rPr>
          <w:rFonts w:cs="Times New Roman"/>
          <w:bCs/>
          <w:color w:val="000000" w:themeColor="text1"/>
        </w:rPr>
        <w:t xml:space="preserve"> different </w:t>
      </w:r>
      <w:r w:rsidR="002304D4">
        <w:rPr>
          <w:rFonts w:cs="Times New Roman"/>
          <w:bCs/>
          <w:color w:val="000000" w:themeColor="text1"/>
        </w:rPr>
        <w:t xml:space="preserve">categories of </w:t>
      </w:r>
      <w:r w:rsidR="002304D4" w:rsidRPr="006A17A3">
        <w:rPr>
          <w:rFonts w:cs="Times New Roman"/>
          <w:bCs/>
          <w:color w:val="000000" w:themeColor="text1"/>
        </w:rPr>
        <w:t>individual actors with differing propensit</w:t>
      </w:r>
      <w:r w:rsidR="005E1DFC">
        <w:rPr>
          <w:rFonts w:cs="Times New Roman"/>
          <w:bCs/>
          <w:color w:val="000000" w:themeColor="text1"/>
        </w:rPr>
        <w:t>ies</w:t>
      </w:r>
      <w:r w:rsidR="002304D4" w:rsidRPr="006A17A3">
        <w:rPr>
          <w:rFonts w:cs="Times New Roman"/>
          <w:bCs/>
          <w:color w:val="000000" w:themeColor="text1"/>
        </w:rPr>
        <w:t xml:space="preserve"> to adopt new innovations. Limited numbers of </w:t>
      </w:r>
      <w:r w:rsidR="005E4CC7">
        <w:rPr>
          <w:rFonts w:cs="Times New Roman"/>
          <w:bCs/>
          <w:color w:val="000000" w:themeColor="text1"/>
        </w:rPr>
        <w:t>‘</w:t>
      </w:r>
      <w:r w:rsidR="002304D4" w:rsidRPr="006A17A3">
        <w:rPr>
          <w:rFonts w:cs="Times New Roman"/>
          <w:bCs/>
          <w:color w:val="000000" w:themeColor="text1"/>
        </w:rPr>
        <w:t>early adopters</w:t>
      </w:r>
      <w:r w:rsidR="005E4CC7">
        <w:rPr>
          <w:rFonts w:cs="Times New Roman"/>
          <w:bCs/>
          <w:color w:val="000000" w:themeColor="text1"/>
        </w:rPr>
        <w:t>’</w:t>
      </w:r>
      <w:r w:rsidR="002304D4" w:rsidRPr="006A17A3">
        <w:rPr>
          <w:rFonts w:cs="Times New Roman"/>
          <w:bCs/>
          <w:color w:val="000000" w:themeColor="text1"/>
        </w:rPr>
        <w:t xml:space="preserve"> lead the way</w:t>
      </w:r>
      <w:r w:rsidR="005E1DFC">
        <w:rPr>
          <w:rFonts w:cs="Times New Roman"/>
          <w:bCs/>
          <w:color w:val="000000" w:themeColor="text1"/>
        </w:rPr>
        <w:t>,</w:t>
      </w:r>
      <w:r w:rsidR="002304D4" w:rsidRPr="006A17A3">
        <w:rPr>
          <w:rFonts w:cs="Times New Roman"/>
          <w:bCs/>
          <w:color w:val="000000" w:themeColor="text1"/>
        </w:rPr>
        <w:t xml:space="preserve"> followed by the bulk of </w:t>
      </w:r>
      <w:r w:rsidR="005E4CC7">
        <w:rPr>
          <w:rFonts w:cs="Times New Roman"/>
          <w:bCs/>
          <w:color w:val="000000" w:themeColor="text1"/>
        </w:rPr>
        <w:t>‘</w:t>
      </w:r>
      <w:r w:rsidR="002304D4" w:rsidRPr="006A17A3">
        <w:rPr>
          <w:rFonts w:cs="Times New Roman"/>
          <w:bCs/>
          <w:color w:val="000000" w:themeColor="text1"/>
        </w:rPr>
        <w:t>adopters</w:t>
      </w:r>
      <w:r w:rsidR="005E4CC7">
        <w:rPr>
          <w:rFonts w:cs="Times New Roman"/>
          <w:bCs/>
          <w:color w:val="000000" w:themeColor="text1"/>
        </w:rPr>
        <w:t>’</w:t>
      </w:r>
      <w:r w:rsidR="005E1DFC">
        <w:rPr>
          <w:rFonts w:cs="Times New Roman"/>
          <w:bCs/>
          <w:color w:val="000000" w:themeColor="text1"/>
        </w:rPr>
        <w:t xml:space="preserve">, </w:t>
      </w:r>
      <w:r w:rsidR="002304D4" w:rsidRPr="006A17A3">
        <w:rPr>
          <w:rFonts w:cs="Times New Roman"/>
          <w:bCs/>
          <w:color w:val="000000" w:themeColor="text1"/>
        </w:rPr>
        <w:t xml:space="preserve">followed by another smaller </w:t>
      </w:r>
      <w:r w:rsidR="005E1DFC">
        <w:rPr>
          <w:rFonts w:cs="Times New Roman"/>
          <w:bCs/>
          <w:color w:val="000000" w:themeColor="text1"/>
        </w:rPr>
        <w:t>group</w:t>
      </w:r>
      <w:r w:rsidR="002304D4" w:rsidRPr="006A17A3">
        <w:rPr>
          <w:rFonts w:cs="Times New Roman"/>
          <w:bCs/>
          <w:color w:val="000000" w:themeColor="text1"/>
        </w:rPr>
        <w:t xml:space="preserve"> of</w:t>
      </w:r>
      <w:r w:rsidR="005E4CC7">
        <w:rPr>
          <w:rFonts w:cs="Times New Roman"/>
          <w:bCs/>
          <w:color w:val="000000" w:themeColor="text1"/>
        </w:rPr>
        <w:t xml:space="preserve"> resistant</w:t>
      </w:r>
      <w:r w:rsidR="002304D4" w:rsidRPr="006A17A3">
        <w:rPr>
          <w:rFonts w:cs="Times New Roman"/>
          <w:bCs/>
          <w:color w:val="000000" w:themeColor="text1"/>
        </w:rPr>
        <w:t xml:space="preserve"> </w:t>
      </w:r>
      <w:r w:rsidR="005E4CC7">
        <w:rPr>
          <w:rFonts w:cs="Times New Roman"/>
          <w:bCs/>
          <w:color w:val="000000" w:themeColor="text1"/>
        </w:rPr>
        <w:t>‘</w:t>
      </w:r>
      <w:proofErr w:type="gramStart"/>
      <w:r w:rsidR="002304D4" w:rsidRPr="006A17A3">
        <w:rPr>
          <w:rFonts w:cs="Times New Roman"/>
          <w:bCs/>
          <w:color w:val="000000" w:themeColor="text1"/>
        </w:rPr>
        <w:t>laggards</w:t>
      </w:r>
      <w:r w:rsidR="005E4CC7">
        <w:rPr>
          <w:rFonts w:cs="Times New Roman"/>
          <w:bCs/>
          <w:color w:val="000000" w:themeColor="text1"/>
        </w:rPr>
        <w:t>’</w:t>
      </w:r>
      <w:proofErr w:type="gramEnd"/>
      <w:r w:rsidR="002304D4" w:rsidRPr="006A17A3">
        <w:rPr>
          <w:rFonts w:cs="Times New Roman"/>
          <w:bCs/>
          <w:color w:val="000000" w:themeColor="text1"/>
        </w:rPr>
        <w:t>. The rate of adoption can be mapped onto the classic</w:t>
      </w:r>
      <w:r w:rsidR="005E4CC7">
        <w:rPr>
          <w:rFonts w:cs="Times New Roman"/>
          <w:bCs/>
          <w:color w:val="000000" w:themeColor="text1"/>
        </w:rPr>
        <w:t xml:space="preserve"> and now famous</w:t>
      </w:r>
      <w:r w:rsidR="002304D4" w:rsidRPr="006A17A3">
        <w:rPr>
          <w:rFonts w:cs="Times New Roman"/>
          <w:bCs/>
          <w:color w:val="000000" w:themeColor="text1"/>
        </w:rPr>
        <w:t xml:space="preserve"> ‘S’ curve</w:t>
      </w:r>
      <w:r w:rsidR="005E1DFC">
        <w:rPr>
          <w:rFonts w:cs="Times New Roman"/>
          <w:bCs/>
          <w:color w:val="000000" w:themeColor="text1"/>
        </w:rPr>
        <w:t xml:space="preserve"> – with slow but accelerating initial uptake, rapid uptake and then taping off again as the market becomes saturated</w:t>
      </w:r>
      <w:r w:rsidR="00FC4493">
        <w:rPr>
          <w:rFonts w:cs="Times New Roman"/>
          <w:bCs/>
          <w:color w:val="000000" w:themeColor="text1"/>
        </w:rPr>
        <w:t xml:space="preserve"> with only the laggards still resisting adoption</w:t>
      </w:r>
      <w:r w:rsidR="005E1DFC">
        <w:rPr>
          <w:rFonts w:cs="Times New Roman"/>
          <w:bCs/>
          <w:color w:val="000000" w:themeColor="text1"/>
        </w:rPr>
        <w:t xml:space="preserve">. </w:t>
      </w:r>
      <w:r w:rsidR="00656456">
        <w:rPr>
          <w:rFonts w:cs="Times New Roman"/>
          <w:bCs/>
          <w:color w:val="000000" w:themeColor="text1"/>
        </w:rPr>
        <w:t xml:space="preserve">The adopting populations themselves, defined in this way, map onto the normal distribution we would expect to see of any </w:t>
      </w:r>
      <w:r w:rsidR="00A015D1">
        <w:rPr>
          <w:rFonts w:cs="Times New Roman"/>
          <w:bCs/>
          <w:color w:val="000000" w:themeColor="text1"/>
        </w:rPr>
        <w:t xml:space="preserve">single </w:t>
      </w:r>
      <w:r w:rsidR="00656456">
        <w:rPr>
          <w:rFonts w:cs="Times New Roman"/>
          <w:bCs/>
          <w:color w:val="000000" w:themeColor="text1"/>
        </w:rPr>
        <w:t xml:space="preserve">population characteristic. </w:t>
      </w:r>
    </w:p>
    <w:p w14:paraId="46BAE2CA" w14:textId="77777777" w:rsidR="002304D4" w:rsidRDefault="002304D4" w:rsidP="002304D4">
      <w:pPr>
        <w:jc w:val="both"/>
        <w:rPr>
          <w:rFonts w:cs="Times New Roman"/>
          <w:bCs/>
          <w:color w:val="000000" w:themeColor="text1"/>
        </w:rPr>
      </w:pPr>
    </w:p>
    <w:p w14:paraId="2A351D2A" w14:textId="4BD40B38" w:rsidR="002304D4" w:rsidRPr="002304D4" w:rsidRDefault="002304D4" w:rsidP="002304D4">
      <w:pPr>
        <w:jc w:val="both"/>
        <w:rPr>
          <w:rFonts w:cs="Times New Roman"/>
          <w:bCs/>
          <w:color w:val="000000" w:themeColor="text1"/>
        </w:rPr>
      </w:pPr>
      <w:r>
        <w:rPr>
          <w:rFonts w:cs="Times New Roman"/>
          <w:bCs/>
          <w:color w:val="000000" w:themeColor="text1"/>
        </w:rPr>
        <w:t xml:space="preserve">The model is alive and well </w:t>
      </w:r>
      <w:r w:rsidR="00656456">
        <w:rPr>
          <w:rFonts w:cs="Times New Roman"/>
          <w:bCs/>
          <w:color w:val="000000" w:themeColor="text1"/>
        </w:rPr>
        <w:t xml:space="preserve">and unchanged in its application </w:t>
      </w:r>
      <w:r>
        <w:rPr>
          <w:rFonts w:cs="Times New Roman"/>
          <w:bCs/>
          <w:color w:val="000000" w:themeColor="text1"/>
        </w:rPr>
        <w:t xml:space="preserve">in the 2000s. </w:t>
      </w:r>
      <w:r w:rsidRPr="002304D4">
        <w:rPr>
          <w:rFonts w:cs="Times New Roman"/>
          <w:bCs/>
          <w:color w:val="000000" w:themeColor="text1"/>
        </w:rPr>
        <w:t xml:space="preserve">Deloitte’ s </w:t>
      </w:r>
      <w:r w:rsidR="005E4CC7">
        <w:rPr>
          <w:rFonts w:cs="Times New Roman"/>
          <w:bCs/>
          <w:color w:val="000000" w:themeColor="text1"/>
        </w:rPr>
        <w:t xml:space="preserve">industry 4.0 </w:t>
      </w:r>
      <w:r w:rsidRPr="002304D4">
        <w:rPr>
          <w:rFonts w:cs="Times New Roman"/>
          <w:bCs/>
          <w:color w:val="000000" w:themeColor="text1"/>
        </w:rPr>
        <w:t>2019 survey report</w:t>
      </w:r>
      <w:r w:rsidR="005E4CC7">
        <w:rPr>
          <w:rFonts w:cs="Times New Roman"/>
          <w:bCs/>
          <w:color w:val="000000" w:themeColor="text1"/>
        </w:rPr>
        <w:t>s, for example,</w:t>
      </w:r>
      <w:r w:rsidRPr="002304D4">
        <w:rPr>
          <w:rFonts w:cs="Times New Roman"/>
          <w:bCs/>
          <w:color w:val="000000" w:themeColor="text1"/>
        </w:rPr>
        <w:t xml:space="preserve"> that overall, just 20.7 percent of manufacturing organizations surveyed rated themselves as “highly prepared” to address the emerging business models the Fourth Industrial Revolution. Their summary then goes on to identify Frontrunners, Followers and Stragglers. Frontrunners, which comprise 26 percent of the respondents, indicated that they strongly believe in the business value of adopting new technology solutions for digital transformation and are ready to use the new technologies. Followers (51 percent) generally believe in the business value of new technology solutions, but lag on readiness. Stragglers (23 percent) are not yet on board with the business value of new technology solutions and are behind on adoption readiness. Clearly these categories are taken directly from Roger’s </w:t>
      </w:r>
      <w:r w:rsidR="00FC4493">
        <w:rPr>
          <w:rFonts w:cs="Times New Roman"/>
          <w:bCs/>
          <w:color w:val="000000" w:themeColor="text1"/>
        </w:rPr>
        <w:t xml:space="preserve">categories of </w:t>
      </w:r>
      <w:r w:rsidRPr="002304D4">
        <w:rPr>
          <w:rFonts w:cs="Times New Roman"/>
          <w:bCs/>
          <w:color w:val="000000" w:themeColor="text1"/>
        </w:rPr>
        <w:t>early adopters, adopters and laggards and reproduces the logic</w:t>
      </w:r>
      <w:r w:rsidR="00656456">
        <w:rPr>
          <w:rFonts w:cs="Times New Roman"/>
          <w:bCs/>
          <w:color w:val="000000" w:themeColor="text1"/>
        </w:rPr>
        <w:t xml:space="preserve"> underpinning </w:t>
      </w:r>
      <w:r w:rsidRPr="002304D4">
        <w:rPr>
          <w:rFonts w:cs="Times New Roman"/>
          <w:bCs/>
          <w:color w:val="000000" w:themeColor="text1"/>
        </w:rPr>
        <w:t xml:space="preserve">the diffusion </w:t>
      </w:r>
      <w:r w:rsidR="002B3C6A">
        <w:rPr>
          <w:rFonts w:cs="Times New Roman"/>
          <w:bCs/>
          <w:color w:val="000000" w:themeColor="text1"/>
        </w:rPr>
        <w:t>model.</w:t>
      </w:r>
    </w:p>
    <w:p w14:paraId="08905CA9" w14:textId="4542AEB5" w:rsidR="002304D4" w:rsidRPr="006A17A3" w:rsidRDefault="002304D4" w:rsidP="002304D4">
      <w:pPr>
        <w:jc w:val="both"/>
        <w:rPr>
          <w:rFonts w:cs="Times New Roman"/>
          <w:bCs/>
          <w:color w:val="000000" w:themeColor="text1"/>
        </w:rPr>
      </w:pPr>
    </w:p>
    <w:p w14:paraId="253F68C2" w14:textId="6D70B3A1" w:rsidR="002304D4" w:rsidRDefault="005E1DFC" w:rsidP="002304D4">
      <w:pPr>
        <w:rPr>
          <w:rFonts w:cs="Times New Roman"/>
          <w:bCs/>
          <w:color w:val="000000" w:themeColor="text1"/>
        </w:rPr>
      </w:pPr>
      <w:r>
        <w:rPr>
          <w:rFonts w:cs="Times New Roman"/>
          <w:bCs/>
          <w:color w:val="000000" w:themeColor="text1"/>
        </w:rPr>
        <w:t>The model, it should be noted is not without its problems. Firstly, it is historical, it looks back at what has happened</w:t>
      </w:r>
      <w:r w:rsidR="002B3C6A">
        <w:rPr>
          <w:rFonts w:cs="Times New Roman"/>
          <w:bCs/>
          <w:color w:val="000000" w:themeColor="text1"/>
        </w:rPr>
        <w:t>, it is not a predictive model or a theory of technology change.</w:t>
      </w:r>
      <w:r>
        <w:rPr>
          <w:rFonts w:cs="Times New Roman"/>
          <w:bCs/>
          <w:color w:val="000000" w:themeColor="text1"/>
        </w:rPr>
        <w:t xml:space="preserve"> Secondly, </w:t>
      </w:r>
      <w:r w:rsidR="002B3C6A">
        <w:rPr>
          <w:rFonts w:cs="Times New Roman"/>
          <w:bCs/>
          <w:color w:val="000000" w:themeColor="text1"/>
        </w:rPr>
        <w:t xml:space="preserve">and relatedly, </w:t>
      </w:r>
      <w:r>
        <w:rPr>
          <w:rFonts w:cs="Times New Roman"/>
          <w:bCs/>
          <w:color w:val="000000" w:themeColor="text1"/>
        </w:rPr>
        <w:t>it individualises explanations for adoption (early adopter, adopter, laggard)</w:t>
      </w:r>
      <w:r w:rsidR="00A015D1">
        <w:rPr>
          <w:rFonts w:cs="Times New Roman"/>
          <w:bCs/>
          <w:color w:val="000000" w:themeColor="text1"/>
        </w:rPr>
        <w:t>, paying no attention to context</w:t>
      </w:r>
      <w:r>
        <w:rPr>
          <w:rFonts w:cs="Times New Roman"/>
          <w:bCs/>
          <w:color w:val="000000" w:themeColor="text1"/>
        </w:rPr>
        <w:t xml:space="preserve"> </w:t>
      </w:r>
      <w:r w:rsidR="002B3C6A">
        <w:rPr>
          <w:rFonts w:cs="Times New Roman"/>
          <w:bCs/>
          <w:color w:val="000000" w:themeColor="text1"/>
        </w:rPr>
        <w:t>(Shove, 1993)</w:t>
      </w:r>
      <w:r w:rsidR="00A015D1">
        <w:rPr>
          <w:rFonts w:cs="Times New Roman"/>
          <w:bCs/>
          <w:color w:val="000000" w:themeColor="text1"/>
        </w:rPr>
        <w:t>.</w:t>
      </w:r>
      <w:r w:rsidR="00656456">
        <w:rPr>
          <w:rFonts w:cs="Times New Roman"/>
          <w:bCs/>
          <w:color w:val="000000" w:themeColor="text1"/>
        </w:rPr>
        <w:t xml:space="preserve"> In so doing</w:t>
      </w:r>
      <w:r w:rsidR="002B3C6A">
        <w:rPr>
          <w:rFonts w:cs="Times New Roman"/>
          <w:bCs/>
          <w:color w:val="000000" w:themeColor="text1"/>
        </w:rPr>
        <w:t xml:space="preserve"> </w:t>
      </w:r>
      <w:r w:rsidR="00656456">
        <w:rPr>
          <w:rFonts w:cs="Times New Roman"/>
          <w:bCs/>
          <w:color w:val="000000" w:themeColor="text1"/>
        </w:rPr>
        <w:t xml:space="preserve">it </w:t>
      </w:r>
      <w:r>
        <w:rPr>
          <w:rFonts w:cs="Times New Roman"/>
          <w:bCs/>
          <w:color w:val="000000" w:themeColor="text1"/>
        </w:rPr>
        <w:t>creates a circular argument</w:t>
      </w:r>
      <w:r w:rsidR="00656456">
        <w:rPr>
          <w:rFonts w:cs="Times New Roman"/>
          <w:bCs/>
          <w:color w:val="000000" w:themeColor="text1"/>
        </w:rPr>
        <w:t xml:space="preserve">, </w:t>
      </w:r>
      <w:r>
        <w:rPr>
          <w:rFonts w:cs="Times New Roman"/>
          <w:bCs/>
          <w:color w:val="000000" w:themeColor="text1"/>
        </w:rPr>
        <w:t>a late adopter</w:t>
      </w:r>
      <w:r w:rsidR="00656456">
        <w:rPr>
          <w:rFonts w:cs="Times New Roman"/>
          <w:bCs/>
          <w:color w:val="000000" w:themeColor="text1"/>
        </w:rPr>
        <w:t>, for example,</w:t>
      </w:r>
      <w:r>
        <w:rPr>
          <w:rFonts w:cs="Times New Roman"/>
          <w:bCs/>
          <w:color w:val="000000" w:themeColor="text1"/>
        </w:rPr>
        <w:t xml:space="preserve"> is a </w:t>
      </w:r>
      <w:r w:rsidR="00656456">
        <w:rPr>
          <w:rFonts w:cs="Times New Roman"/>
          <w:bCs/>
          <w:color w:val="000000" w:themeColor="text1"/>
        </w:rPr>
        <w:t>label given to an observed behaviour</w:t>
      </w:r>
      <w:r>
        <w:rPr>
          <w:rFonts w:cs="Times New Roman"/>
          <w:bCs/>
          <w:color w:val="000000" w:themeColor="text1"/>
        </w:rPr>
        <w:t xml:space="preserve">, </w:t>
      </w:r>
      <w:r w:rsidR="00656456">
        <w:rPr>
          <w:rFonts w:cs="Times New Roman"/>
          <w:bCs/>
          <w:color w:val="000000" w:themeColor="text1"/>
        </w:rPr>
        <w:t xml:space="preserve">but it is </w:t>
      </w:r>
      <w:r>
        <w:rPr>
          <w:rFonts w:cs="Times New Roman"/>
          <w:bCs/>
          <w:color w:val="000000" w:themeColor="text1"/>
        </w:rPr>
        <w:t>not an explanat</w:t>
      </w:r>
      <w:r w:rsidR="00656456">
        <w:rPr>
          <w:rFonts w:cs="Times New Roman"/>
          <w:bCs/>
          <w:color w:val="000000" w:themeColor="text1"/>
        </w:rPr>
        <w:t>ion of it</w:t>
      </w:r>
      <w:r>
        <w:rPr>
          <w:rFonts w:cs="Times New Roman"/>
          <w:bCs/>
          <w:color w:val="000000" w:themeColor="text1"/>
        </w:rPr>
        <w:t>.</w:t>
      </w:r>
      <w:r w:rsidR="00656456">
        <w:rPr>
          <w:rFonts w:cs="Times New Roman"/>
          <w:bCs/>
          <w:color w:val="000000" w:themeColor="text1"/>
        </w:rPr>
        <w:t xml:space="preserve"> </w:t>
      </w:r>
      <w:r w:rsidR="002B3C6A">
        <w:rPr>
          <w:rFonts w:cs="Times New Roman"/>
          <w:bCs/>
          <w:color w:val="000000" w:themeColor="text1"/>
        </w:rPr>
        <w:t>The model offers a what, but not a why.</w:t>
      </w:r>
      <w:r>
        <w:rPr>
          <w:rFonts w:cs="Times New Roman"/>
          <w:bCs/>
          <w:color w:val="000000" w:themeColor="text1"/>
        </w:rPr>
        <w:t xml:space="preserve"> The model also </w:t>
      </w:r>
      <w:r w:rsidR="00656456">
        <w:rPr>
          <w:rFonts w:cs="Times New Roman"/>
          <w:bCs/>
          <w:color w:val="000000" w:themeColor="text1"/>
        </w:rPr>
        <w:t xml:space="preserve">provides and </w:t>
      </w:r>
      <w:r>
        <w:rPr>
          <w:rFonts w:cs="Times New Roman"/>
          <w:bCs/>
          <w:color w:val="000000" w:themeColor="text1"/>
        </w:rPr>
        <w:t>inherently linear</w:t>
      </w:r>
      <w:r w:rsidR="00656456">
        <w:rPr>
          <w:rFonts w:cs="Times New Roman"/>
          <w:bCs/>
          <w:color w:val="000000" w:themeColor="text1"/>
        </w:rPr>
        <w:t xml:space="preserve"> metaphor – diffusion is a metaphoric understanding of technology change that encourages the idea that </w:t>
      </w:r>
      <w:r>
        <w:rPr>
          <w:rFonts w:cs="Times New Roman"/>
          <w:bCs/>
          <w:color w:val="000000" w:themeColor="text1"/>
        </w:rPr>
        <w:t>technology change happens in one direction</w:t>
      </w:r>
      <w:r w:rsidR="00656456">
        <w:rPr>
          <w:rFonts w:cs="Times New Roman"/>
          <w:bCs/>
          <w:color w:val="000000" w:themeColor="text1"/>
        </w:rPr>
        <w:t>.</w:t>
      </w:r>
      <w:r>
        <w:rPr>
          <w:rFonts w:cs="Times New Roman"/>
          <w:bCs/>
          <w:color w:val="000000" w:themeColor="text1"/>
        </w:rPr>
        <w:t xml:space="preserve"> </w:t>
      </w:r>
      <w:r w:rsidR="00656456">
        <w:rPr>
          <w:rFonts w:cs="Times New Roman"/>
          <w:bCs/>
          <w:color w:val="000000" w:themeColor="text1"/>
        </w:rPr>
        <w:t>D</w:t>
      </w:r>
      <w:r>
        <w:rPr>
          <w:rFonts w:cs="Times New Roman"/>
          <w:bCs/>
          <w:color w:val="000000" w:themeColor="text1"/>
        </w:rPr>
        <w:t>iffusion does not</w:t>
      </w:r>
      <w:r w:rsidR="00656456">
        <w:rPr>
          <w:rFonts w:cs="Times New Roman"/>
          <w:bCs/>
          <w:color w:val="000000" w:themeColor="text1"/>
        </w:rPr>
        <w:t xml:space="preserve"> occur, for example, in</w:t>
      </w:r>
      <w:r>
        <w:rPr>
          <w:rFonts w:cs="Times New Roman"/>
          <w:bCs/>
          <w:color w:val="000000" w:themeColor="text1"/>
        </w:rPr>
        <w:t xml:space="preserve"> reverse </w:t>
      </w:r>
      <w:r w:rsidR="00656456">
        <w:rPr>
          <w:rFonts w:cs="Times New Roman"/>
          <w:bCs/>
          <w:color w:val="000000" w:themeColor="text1"/>
        </w:rPr>
        <w:t>and it does not</w:t>
      </w:r>
      <w:r>
        <w:rPr>
          <w:rFonts w:cs="Times New Roman"/>
          <w:bCs/>
          <w:color w:val="000000" w:themeColor="text1"/>
        </w:rPr>
        <w:t xml:space="preserve"> change direction</w:t>
      </w:r>
      <w:r w:rsidR="00656456">
        <w:rPr>
          <w:rFonts w:cs="Times New Roman"/>
          <w:bCs/>
          <w:color w:val="000000" w:themeColor="text1"/>
        </w:rPr>
        <w:t xml:space="preserve">. </w:t>
      </w:r>
    </w:p>
    <w:p w14:paraId="462A4ECF" w14:textId="77777777" w:rsidR="002B3C6A" w:rsidRDefault="002B3C6A" w:rsidP="005E1DFC">
      <w:pPr>
        <w:autoSpaceDE w:val="0"/>
        <w:autoSpaceDN w:val="0"/>
        <w:adjustRightInd w:val="0"/>
        <w:rPr>
          <w:rFonts w:cs="Times New Roman"/>
          <w:bCs/>
          <w:color w:val="000000" w:themeColor="text1"/>
        </w:rPr>
      </w:pPr>
    </w:p>
    <w:p w14:paraId="386250D9" w14:textId="75654F43" w:rsidR="005E1DFC" w:rsidRDefault="005E1DFC" w:rsidP="005E1DFC">
      <w:pPr>
        <w:autoSpaceDE w:val="0"/>
        <w:autoSpaceDN w:val="0"/>
        <w:adjustRightInd w:val="0"/>
        <w:rPr>
          <w:rFonts w:cs="Times New Roman"/>
          <w:bCs/>
          <w:color w:val="000000" w:themeColor="text1"/>
        </w:rPr>
      </w:pPr>
      <w:r w:rsidRPr="005E1DFC">
        <w:rPr>
          <w:rFonts w:cs="Times New Roman"/>
          <w:bCs/>
          <w:color w:val="000000" w:themeColor="text1"/>
        </w:rPr>
        <w:t>T</w:t>
      </w:r>
      <w:r w:rsidRPr="006A17A3">
        <w:rPr>
          <w:rFonts w:cs="Times New Roman"/>
          <w:bCs/>
          <w:color w:val="000000" w:themeColor="text1"/>
        </w:rPr>
        <w:t xml:space="preserve">he </w:t>
      </w:r>
      <w:r w:rsidR="00656456">
        <w:rPr>
          <w:rFonts w:cs="Times New Roman"/>
          <w:bCs/>
          <w:color w:val="000000" w:themeColor="text1"/>
        </w:rPr>
        <w:t xml:space="preserve">diffusion </w:t>
      </w:r>
      <w:r w:rsidRPr="006A17A3">
        <w:rPr>
          <w:rFonts w:cs="Times New Roman"/>
          <w:bCs/>
          <w:color w:val="000000" w:themeColor="text1"/>
        </w:rPr>
        <w:t xml:space="preserve">model </w:t>
      </w:r>
      <w:r w:rsidR="00656456">
        <w:rPr>
          <w:rFonts w:cs="Times New Roman"/>
          <w:bCs/>
          <w:color w:val="000000" w:themeColor="text1"/>
        </w:rPr>
        <w:t>is compelling, in part perhaps, because it sits so comfortably with entrenched</w:t>
      </w:r>
      <w:r w:rsidRPr="006A17A3">
        <w:rPr>
          <w:rFonts w:cs="Times New Roman"/>
          <w:bCs/>
          <w:color w:val="000000" w:themeColor="text1"/>
        </w:rPr>
        <w:t xml:space="preserve"> rational-individual and market-economic ideas about how anonymous de-contextualised individuals make decisions – issues of relative power and conflicts within existing institutional arrangements </w:t>
      </w:r>
      <w:r>
        <w:rPr>
          <w:rFonts w:cs="Times New Roman"/>
          <w:bCs/>
          <w:color w:val="000000" w:themeColor="text1"/>
        </w:rPr>
        <w:t>are</w:t>
      </w:r>
      <w:r w:rsidRPr="006A17A3">
        <w:rPr>
          <w:rFonts w:cs="Times New Roman"/>
          <w:bCs/>
          <w:color w:val="000000" w:themeColor="text1"/>
        </w:rPr>
        <w:t xml:space="preserve"> ignored (Shove, 1993). </w:t>
      </w:r>
      <w:r w:rsidR="00F33000">
        <w:rPr>
          <w:rFonts w:cs="Times New Roman"/>
          <w:bCs/>
          <w:color w:val="000000" w:themeColor="text1"/>
        </w:rPr>
        <w:t>The consequence of this ‘individualising’, a sort of blame narrative, is that subsequent e</w:t>
      </w:r>
      <w:r w:rsidRPr="006A17A3">
        <w:rPr>
          <w:rFonts w:cs="Times New Roman"/>
          <w:bCs/>
          <w:color w:val="000000" w:themeColor="text1"/>
        </w:rPr>
        <w:t>xplanations for slow up-take</w:t>
      </w:r>
      <w:r w:rsidR="00F33000">
        <w:rPr>
          <w:rFonts w:cs="Times New Roman"/>
          <w:bCs/>
          <w:color w:val="000000" w:themeColor="text1"/>
        </w:rPr>
        <w:t xml:space="preserve"> </w:t>
      </w:r>
      <w:r w:rsidRPr="006A17A3">
        <w:rPr>
          <w:rFonts w:cs="Times New Roman"/>
          <w:bCs/>
          <w:color w:val="000000" w:themeColor="text1"/>
        </w:rPr>
        <w:t>are individualistic in nature</w:t>
      </w:r>
      <w:proofErr w:type="gramStart"/>
      <w:r w:rsidRPr="006A17A3">
        <w:rPr>
          <w:rFonts w:cs="Times New Roman"/>
          <w:bCs/>
          <w:color w:val="000000" w:themeColor="text1"/>
        </w:rPr>
        <w:t>:”…</w:t>
      </w:r>
      <w:proofErr w:type="gramEnd"/>
      <w:r w:rsidRPr="006A17A3">
        <w:rPr>
          <w:rFonts w:cs="Times New Roman"/>
          <w:bCs/>
          <w:color w:val="000000" w:themeColor="text1"/>
        </w:rPr>
        <w:t xml:space="preserve">apathy, ignorance, traditionalism and lack of political will” </w:t>
      </w:r>
      <w:r w:rsidR="002B3C6A">
        <w:rPr>
          <w:rFonts w:cs="Times New Roman"/>
          <w:bCs/>
          <w:color w:val="000000" w:themeColor="text1"/>
        </w:rPr>
        <w:t xml:space="preserve">are  assumed to lie behind slow adoption, </w:t>
      </w:r>
      <w:r w:rsidRPr="006A17A3">
        <w:rPr>
          <w:rFonts w:cs="Times New Roman"/>
          <w:bCs/>
          <w:color w:val="000000" w:themeColor="text1"/>
        </w:rPr>
        <w:t>while</w:t>
      </w:r>
      <w:r w:rsidR="00F33000">
        <w:rPr>
          <w:rFonts w:cs="Times New Roman"/>
          <w:bCs/>
          <w:color w:val="000000" w:themeColor="text1"/>
        </w:rPr>
        <w:t>, for example,</w:t>
      </w:r>
      <w:r w:rsidRPr="006A17A3">
        <w:rPr>
          <w:rFonts w:cs="Times New Roman"/>
          <w:bCs/>
          <w:color w:val="000000" w:themeColor="text1"/>
        </w:rPr>
        <w:t xml:space="preserve"> the </w:t>
      </w:r>
      <w:r w:rsidR="002B3C6A">
        <w:rPr>
          <w:rFonts w:cs="Times New Roman"/>
          <w:bCs/>
          <w:color w:val="000000" w:themeColor="text1"/>
        </w:rPr>
        <w:t xml:space="preserve">actual usefulness </w:t>
      </w:r>
      <w:r w:rsidRPr="006A17A3">
        <w:rPr>
          <w:rFonts w:cs="Times New Roman"/>
          <w:bCs/>
          <w:color w:val="000000" w:themeColor="text1"/>
        </w:rPr>
        <w:t xml:space="preserve">of the technology itself </w:t>
      </w:r>
      <w:r w:rsidR="002B3C6A">
        <w:rPr>
          <w:rFonts w:cs="Times New Roman"/>
          <w:bCs/>
          <w:color w:val="000000" w:themeColor="text1"/>
        </w:rPr>
        <w:t xml:space="preserve">is never questioned </w:t>
      </w:r>
      <w:r w:rsidRPr="006A17A3">
        <w:rPr>
          <w:rFonts w:cs="Times New Roman"/>
          <w:bCs/>
          <w:color w:val="000000" w:themeColor="text1"/>
        </w:rPr>
        <w:t xml:space="preserve">(Shove, p. 1107). </w:t>
      </w:r>
    </w:p>
    <w:p w14:paraId="3D65638D" w14:textId="0E6BD7A8" w:rsidR="005E1DFC" w:rsidRDefault="005E1DFC" w:rsidP="002304D4">
      <w:pPr>
        <w:rPr>
          <w:rFonts w:cs="Times New Roman"/>
          <w:b/>
          <w:bCs/>
          <w:color w:val="000000" w:themeColor="text1"/>
        </w:rPr>
      </w:pPr>
    </w:p>
    <w:p w14:paraId="73F63473" w14:textId="7229FEDA" w:rsidR="002B3C6A" w:rsidRDefault="002B3C6A" w:rsidP="002B3C6A">
      <w:pPr>
        <w:jc w:val="both"/>
        <w:rPr>
          <w:rFonts w:cs="Times New Roman"/>
          <w:color w:val="000000" w:themeColor="text1"/>
        </w:rPr>
      </w:pPr>
      <w:r>
        <w:rPr>
          <w:rFonts w:cs="Times New Roman"/>
          <w:color w:val="000000" w:themeColor="text1"/>
        </w:rPr>
        <w:t xml:space="preserve">This individualising is </w:t>
      </w:r>
      <w:r w:rsidR="00A015D1">
        <w:rPr>
          <w:rFonts w:cs="Times New Roman"/>
          <w:color w:val="000000" w:themeColor="text1"/>
        </w:rPr>
        <w:t xml:space="preserve">also </w:t>
      </w:r>
      <w:r w:rsidR="00F33000">
        <w:rPr>
          <w:rFonts w:cs="Times New Roman"/>
          <w:color w:val="000000" w:themeColor="text1"/>
        </w:rPr>
        <w:t xml:space="preserve">neatly </w:t>
      </w:r>
      <w:r>
        <w:rPr>
          <w:rFonts w:cs="Times New Roman"/>
          <w:color w:val="000000" w:themeColor="text1"/>
        </w:rPr>
        <w:t xml:space="preserve">evident in </w:t>
      </w:r>
      <w:proofErr w:type="spellStart"/>
      <w:r>
        <w:rPr>
          <w:rFonts w:cs="Times New Roman"/>
          <w:color w:val="000000" w:themeColor="text1"/>
        </w:rPr>
        <w:t>Delotte’s</w:t>
      </w:r>
      <w:proofErr w:type="spellEnd"/>
      <w:r>
        <w:rPr>
          <w:rFonts w:cs="Times New Roman"/>
          <w:color w:val="000000" w:themeColor="text1"/>
        </w:rPr>
        <w:t xml:space="preserve"> explanation for its survey findings. They report that while firms </w:t>
      </w:r>
      <w:r w:rsidRPr="00A74430">
        <w:rPr>
          <w:rFonts w:cs="Times New Roman"/>
          <w:color w:val="000000" w:themeColor="text1"/>
        </w:rPr>
        <w:t xml:space="preserve">conceptually understood the profound business and societal changes </w:t>
      </w:r>
      <w:r>
        <w:rPr>
          <w:rFonts w:cs="Times New Roman"/>
          <w:color w:val="000000" w:themeColor="text1"/>
        </w:rPr>
        <w:t xml:space="preserve">that </w:t>
      </w:r>
      <w:r w:rsidRPr="00A74430">
        <w:rPr>
          <w:rFonts w:cs="Times New Roman"/>
          <w:color w:val="000000" w:themeColor="text1"/>
        </w:rPr>
        <w:t xml:space="preserve">Industry 4.0 may bring, </w:t>
      </w:r>
      <w:r>
        <w:rPr>
          <w:rFonts w:cs="Times New Roman"/>
          <w:color w:val="000000" w:themeColor="text1"/>
        </w:rPr>
        <w:t xml:space="preserve">they </w:t>
      </w:r>
      <w:r w:rsidRPr="00A74430">
        <w:rPr>
          <w:rFonts w:cs="Times New Roman"/>
          <w:color w:val="000000" w:themeColor="text1"/>
        </w:rPr>
        <w:t>were less certain how they could take action to benefit</w:t>
      </w:r>
      <w:r>
        <w:rPr>
          <w:rFonts w:cs="Times New Roman"/>
          <w:color w:val="000000" w:themeColor="text1"/>
        </w:rPr>
        <w:t xml:space="preserve"> from Industry 4.0</w:t>
      </w:r>
      <w:r w:rsidRPr="00A74430">
        <w:rPr>
          <w:rFonts w:cs="Times New Roman"/>
          <w:color w:val="000000" w:themeColor="text1"/>
        </w:rPr>
        <w:t>.</w:t>
      </w:r>
      <w:r>
        <w:rPr>
          <w:rFonts w:cs="Times New Roman"/>
          <w:color w:val="000000" w:themeColor="text1"/>
        </w:rPr>
        <w:t xml:space="preserve"> There were </w:t>
      </w:r>
      <w:r w:rsidRPr="00A74430">
        <w:rPr>
          <w:rFonts w:cs="Times New Roman"/>
          <w:color w:val="000000" w:themeColor="text1"/>
        </w:rPr>
        <w:t>too many options, not enough information</w:t>
      </w:r>
      <w:r>
        <w:rPr>
          <w:rFonts w:cs="Times New Roman"/>
          <w:color w:val="000000" w:themeColor="text1"/>
        </w:rPr>
        <w:t xml:space="preserve"> meaning that </w:t>
      </w:r>
      <w:r w:rsidRPr="00A74430">
        <w:rPr>
          <w:rFonts w:cs="Times New Roman"/>
          <w:color w:val="000000" w:themeColor="text1"/>
        </w:rPr>
        <w:t>many are finding it difficult to take the step toward investing</w:t>
      </w:r>
      <w:r>
        <w:rPr>
          <w:rFonts w:cs="Times New Roman"/>
          <w:color w:val="000000" w:themeColor="text1"/>
        </w:rPr>
        <w:t>. They also found that l</w:t>
      </w:r>
      <w:r w:rsidRPr="00A74430">
        <w:rPr>
          <w:rFonts w:cs="Times New Roman"/>
          <w:color w:val="000000" w:themeColor="text1"/>
        </w:rPr>
        <w:t>eaders continue</w:t>
      </w:r>
      <w:r>
        <w:rPr>
          <w:rFonts w:cs="Times New Roman"/>
          <w:color w:val="000000" w:themeColor="text1"/>
        </w:rPr>
        <w:t>d</w:t>
      </w:r>
      <w:r w:rsidRPr="00A74430">
        <w:rPr>
          <w:rFonts w:cs="Times New Roman"/>
          <w:color w:val="000000" w:themeColor="text1"/>
        </w:rPr>
        <w:t xml:space="preserve"> to focus more on using advanced technologies to protect their positions rather than make bold investments to drive disruption</w:t>
      </w:r>
      <w:r>
        <w:rPr>
          <w:rFonts w:cs="Times New Roman"/>
          <w:color w:val="000000" w:themeColor="text1"/>
        </w:rPr>
        <w:t xml:space="preserve">. </w:t>
      </w:r>
    </w:p>
    <w:p w14:paraId="5A3D125C" w14:textId="77777777" w:rsidR="002B3C6A" w:rsidRDefault="002B3C6A" w:rsidP="002304D4">
      <w:pPr>
        <w:rPr>
          <w:rFonts w:cs="Times New Roman"/>
          <w:b/>
          <w:bCs/>
          <w:color w:val="000000" w:themeColor="text1"/>
        </w:rPr>
      </w:pPr>
    </w:p>
    <w:p w14:paraId="10C0C22C" w14:textId="0DE34016" w:rsidR="00F33000" w:rsidRDefault="00A015D1" w:rsidP="002809E4">
      <w:pPr>
        <w:jc w:val="both"/>
        <w:rPr>
          <w:rFonts w:cs="Times New Roman"/>
          <w:color w:val="000000" w:themeColor="text1"/>
        </w:rPr>
      </w:pPr>
      <w:proofErr w:type="gramStart"/>
      <w:r>
        <w:rPr>
          <w:rFonts w:cs="Times New Roman"/>
          <w:color w:val="000000" w:themeColor="text1"/>
        </w:rPr>
        <w:t>Needless to say, t</w:t>
      </w:r>
      <w:r w:rsidR="00E876FB">
        <w:rPr>
          <w:rFonts w:cs="Times New Roman"/>
          <w:color w:val="000000" w:themeColor="text1"/>
        </w:rPr>
        <w:t>he</w:t>
      </w:r>
      <w:proofErr w:type="gramEnd"/>
      <w:r w:rsidR="00E876FB">
        <w:rPr>
          <w:rFonts w:cs="Times New Roman"/>
          <w:color w:val="000000" w:themeColor="text1"/>
        </w:rPr>
        <w:t xml:space="preserve"> </w:t>
      </w:r>
      <w:r w:rsidR="002B3C6A">
        <w:rPr>
          <w:rFonts w:cs="Times New Roman"/>
          <w:color w:val="000000" w:themeColor="text1"/>
        </w:rPr>
        <w:t>diffusion model also underpin</w:t>
      </w:r>
      <w:r w:rsidR="00F33000">
        <w:rPr>
          <w:rFonts w:cs="Times New Roman"/>
          <w:color w:val="000000" w:themeColor="text1"/>
        </w:rPr>
        <w:t>ned</w:t>
      </w:r>
      <w:r w:rsidR="002B3C6A">
        <w:rPr>
          <w:rFonts w:cs="Times New Roman"/>
          <w:color w:val="000000" w:themeColor="text1"/>
        </w:rPr>
        <w:t xml:space="preserve"> the rational for </w:t>
      </w:r>
      <w:r w:rsidR="00E876FB">
        <w:rPr>
          <w:rFonts w:cs="Times New Roman"/>
          <w:color w:val="000000" w:themeColor="text1"/>
        </w:rPr>
        <w:t>investment in projects such as ours, Grow-IN 4.0 aimed at supporting firms in adopting industry 4.0.</w:t>
      </w:r>
      <w:r w:rsidR="00FD52F0">
        <w:rPr>
          <w:rFonts w:cs="Times New Roman"/>
          <w:color w:val="000000" w:themeColor="text1"/>
        </w:rPr>
        <w:t xml:space="preserve"> </w:t>
      </w:r>
      <w:r w:rsidR="002B3C6A">
        <w:rPr>
          <w:rFonts w:cs="Times New Roman"/>
          <w:color w:val="000000" w:themeColor="text1"/>
        </w:rPr>
        <w:t xml:space="preserve">Underling </w:t>
      </w:r>
      <w:r w:rsidR="005E1DFC">
        <w:rPr>
          <w:rFonts w:cs="Times New Roman"/>
          <w:color w:val="000000" w:themeColor="text1"/>
        </w:rPr>
        <w:t>the</w:t>
      </w:r>
      <w:r w:rsidR="002B3C6A">
        <w:rPr>
          <w:rFonts w:cs="Times New Roman"/>
          <w:color w:val="000000" w:themeColor="text1"/>
        </w:rPr>
        <w:t xml:space="preserve"> rationale for these </w:t>
      </w:r>
      <w:r w:rsidR="005E1DFC">
        <w:rPr>
          <w:rFonts w:cs="Times New Roman"/>
          <w:color w:val="000000" w:themeColor="text1"/>
        </w:rPr>
        <w:t xml:space="preserve">interventions </w:t>
      </w:r>
      <w:r>
        <w:rPr>
          <w:rFonts w:cs="Times New Roman"/>
          <w:color w:val="000000" w:themeColor="text1"/>
        </w:rPr>
        <w:t>was</w:t>
      </w:r>
      <w:r w:rsidR="005E1DFC">
        <w:rPr>
          <w:rFonts w:cs="Times New Roman"/>
          <w:color w:val="000000" w:themeColor="text1"/>
        </w:rPr>
        <w:t xml:space="preserve"> the idea</w:t>
      </w:r>
      <w:r w:rsidR="002B3C6A">
        <w:rPr>
          <w:rFonts w:cs="Times New Roman"/>
          <w:color w:val="000000" w:themeColor="text1"/>
        </w:rPr>
        <w:t>, drawn from the diffusion model,</w:t>
      </w:r>
      <w:r w:rsidR="005E1DFC">
        <w:rPr>
          <w:rFonts w:cs="Times New Roman"/>
          <w:color w:val="000000" w:themeColor="text1"/>
        </w:rPr>
        <w:t xml:space="preserve"> that slow-adopters are failing or lacking in some way</w:t>
      </w:r>
      <w:r w:rsidR="002B3C6A">
        <w:rPr>
          <w:rFonts w:cs="Times New Roman"/>
          <w:color w:val="000000" w:themeColor="text1"/>
        </w:rPr>
        <w:t xml:space="preserve"> and this in turn makes sense of what we a term a </w:t>
      </w:r>
      <w:r w:rsidR="00E876FB">
        <w:rPr>
          <w:rFonts w:cs="Times New Roman"/>
          <w:color w:val="000000" w:themeColor="text1"/>
        </w:rPr>
        <w:t>‘narrative of support’</w:t>
      </w:r>
      <w:r w:rsidR="00F33000">
        <w:rPr>
          <w:rFonts w:cs="Times New Roman"/>
          <w:color w:val="000000" w:themeColor="text1"/>
        </w:rPr>
        <w:t xml:space="preserve"> – the rationale for the project.</w:t>
      </w:r>
      <w:r w:rsidR="00E876FB">
        <w:rPr>
          <w:rFonts w:cs="Times New Roman"/>
          <w:color w:val="000000" w:themeColor="text1"/>
        </w:rPr>
        <w:t xml:space="preserve"> </w:t>
      </w:r>
      <w:r w:rsidR="005E1DFC">
        <w:rPr>
          <w:rFonts w:cs="Times New Roman"/>
          <w:color w:val="000000" w:themeColor="text1"/>
        </w:rPr>
        <w:t xml:space="preserve"> </w:t>
      </w:r>
      <w:r w:rsidR="00F33000">
        <w:rPr>
          <w:rFonts w:cs="Times New Roman"/>
          <w:color w:val="000000" w:themeColor="text1"/>
        </w:rPr>
        <w:t>Indeed, t</w:t>
      </w:r>
      <w:r w:rsidR="00F33000" w:rsidRPr="006A17A3">
        <w:rPr>
          <w:rFonts w:cs="Times New Roman"/>
          <w:color w:val="000000" w:themeColor="text1"/>
        </w:rPr>
        <w:t>he individualising</w:t>
      </w:r>
      <w:r w:rsidR="00F33000">
        <w:rPr>
          <w:rFonts w:cs="Times New Roman"/>
          <w:color w:val="000000" w:themeColor="text1"/>
        </w:rPr>
        <w:t xml:space="preserve"> and ‘support’</w:t>
      </w:r>
      <w:r w:rsidR="00F33000" w:rsidRPr="006A17A3">
        <w:rPr>
          <w:rFonts w:cs="Times New Roman"/>
          <w:color w:val="000000" w:themeColor="text1"/>
        </w:rPr>
        <w:t xml:space="preserve"> narrative </w:t>
      </w:r>
      <w:r w:rsidR="00F33000">
        <w:rPr>
          <w:rFonts w:cs="Times New Roman"/>
          <w:color w:val="000000" w:themeColor="text1"/>
        </w:rPr>
        <w:t xml:space="preserve">is </w:t>
      </w:r>
      <w:r w:rsidR="00F33000" w:rsidRPr="006A17A3">
        <w:rPr>
          <w:rFonts w:cs="Times New Roman"/>
          <w:color w:val="000000" w:themeColor="text1"/>
        </w:rPr>
        <w:t xml:space="preserve">prevalent in </w:t>
      </w:r>
      <w:r w:rsidR="00F33000">
        <w:rPr>
          <w:rFonts w:cs="Times New Roman"/>
          <w:color w:val="000000" w:themeColor="text1"/>
        </w:rPr>
        <w:t>much of the 2017 bid document for Grow-In 4.0</w:t>
      </w:r>
      <w:r w:rsidR="00F33000" w:rsidRPr="006A17A3">
        <w:rPr>
          <w:rFonts w:cs="Times New Roman"/>
          <w:color w:val="000000" w:themeColor="text1"/>
        </w:rPr>
        <w:t xml:space="preserve">. </w:t>
      </w:r>
      <w:r w:rsidR="00F33000">
        <w:rPr>
          <w:rFonts w:cs="Times New Roman"/>
          <w:color w:val="000000" w:themeColor="text1"/>
        </w:rPr>
        <w:t xml:space="preserve">One beneficiary </w:t>
      </w:r>
      <w:r w:rsidR="00F33000" w:rsidRPr="006A17A3">
        <w:rPr>
          <w:rFonts w:cs="Times New Roman"/>
          <w:color w:val="000000" w:themeColor="text1"/>
        </w:rPr>
        <w:t xml:space="preserve">promised to “…provide our experiences in the </w:t>
      </w:r>
      <w:r w:rsidR="00F33000" w:rsidRPr="00043957">
        <w:rPr>
          <w:rFonts w:cs="Times New Roman"/>
          <w:i/>
          <w:color w:val="000000" w:themeColor="text1"/>
        </w:rPr>
        <w:t>measurement of competencies</w:t>
      </w:r>
      <w:r w:rsidR="00F33000" w:rsidRPr="006A17A3">
        <w:rPr>
          <w:rFonts w:cs="Times New Roman"/>
          <w:color w:val="000000" w:themeColor="text1"/>
        </w:rPr>
        <w:t xml:space="preserve">”. (p.3, GI4.0 bid). </w:t>
      </w:r>
      <w:r w:rsidR="00F33000">
        <w:rPr>
          <w:rFonts w:cs="Times New Roman"/>
          <w:color w:val="000000" w:themeColor="text1"/>
        </w:rPr>
        <w:t>Another promised to offer “...</w:t>
      </w:r>
      <w:r w:rsidR="00F33000" w:rsidRPr="00043957">
        <w:rPr>
          <w:rFonts w:cs="Times New Roman"/>
          <w:i/>
          <w:color w:val="000000" w:themeColor="text1"/>
        </w:rPr>
        <w:t>counselling and facilitation</w:t>
      </w:r>
      <w:r w:rsidR="00F33000">
        <w:rPr>
          <w:rFonts w:cs="Times New Roman"/>
          <w:color w:val="000000" w:themeColor="text1"/>
        </w:rPr>
        <w:t>,</w:t>
      </w:r>
      <w:r w:rsidR="00F33000" w:rsidRPr="006A17A3">
        <w:rPr>
          <w:rFonts w:cs="Times New Roman"/>
          <w:color w:val="000000" w:themeColor="text1"/>
        </w:rPr>
        <w:t xml:space="preserve"> as core instruments to enhance innovation and growth in manufacturing SMEs” (GI4.0 bid page 1).  </w:t>
      </w:r>
    </w:p>
    <w:p w14:paraId="02C9920F" w14:textId="77777777" w:rsidR="00F33000" w:rsidRDefault="00F33000" w:rsidP="002809E4">
      <w:pPr>
        <w:jc w:val="both"/>
        <w:rPr>
          <w:rFonts w:cs="Times New Roman"/>
          <w:color w:val="000000" w:themeColor="text1"/>
        </w:rPr>
      </w:pPr>
    </w:p>
    <w:p w14:paraId="1A79CE6D" w14:textId="621E36D9" w:rsidR="00FD52F0" w:rsidRDefault="00F33000" w:rsidP="002809E4">
      <w:pPr>
        <w:jc w:val="both"/>
        <w:rPr>
          <w:rFonts w:cs="Times New Roman"/>
          <w:bCs/>
          <w:color w:val="000000" w:themeColor="text1"/>
        </w:rPr>
      </w:pPr>
      <w:r>
        <w:rPr>
          <w:rFonts w:cs="Times New Roman"/>
          <w:color w:val="000000" w:themeColor="text1"/>
        </w:rPr>
        <w:t>It is also possible to discern what we refer to as the ‘</w:t>
      </w:r>
      <w:r w:rsidRPr="006A17A3">
        <w:rPr>
          <w:rFonts w:cs="Times New Roman"/>
          <w:color w:val="000000" w:themeColor="text1"/>
        </w:rPr>
        <w:t>journey narrative</w:t>
      </w:r>
      <w:r>
        <w:rPr>
          <w:rFonts w:cs="Times New Roman"/>
          <w:color w:val="000000" w:themeColor="text1"/>
        </w:rPr>
        <w:t>’</w:t>
      </w:r>
      <w:r w:rsidRPr="006A17A3">
        <w:rPr>
          <w:rFonts w:cs="Times New Roman"/>
          <w:color w:val="000000" w:themeColor="text1"/>
        </w:rPr>
        <w:t xml:space="preserve">. </w:t>
      </w:r>
      <w:r>
        <w:rPr>
          <w:rFonts w:cs="Times New Roman"/>
          <w:color w:val="000000" w:themeColor="text1"/>
        </w:rPr>
        <w:t xml:space="preserve">For example, one </w:t>
      </w:r>
      <w:r w:rsidRPr="006A17A3">
        <w:rPr>
          <w:rFonts w:cs="Times New Roman"/>
          <w:color w:val="000000" w:themeColor="text1"/>
        </w:rPr>
        <w:t>beneficiary</w:t>
      </w:r>
      <w:r>
        <w:rPr>
          <w:rFonts w:cs="Times New Roman"/>
          <w:color w:val="000000" w:themeColor="text1"/>
        </w:rPr>
        <w:t xml:space="preserve"> p</w:t>
      </w:r>
      <w:r w:rsidRPr="006A17A3">
        <w:rPr>
          <w:rFonts w:cs="Times New Roman"/>
          <w:color w:val="000000" w:themeColor="text1"/>
        </w:rPr>
        <w:t xml:space="preserve">romised to “… learn from the partnership particularly in the created innovations thus allowing the </w:t>
      </w:r>
      <w:r>
        <w:rPr>
          <w:rFonts w:cs="Times New Roman"/>
          <w:color w:val="000000" w:themeColor="text1"/>
        </w:rPr>
        <w:t xml:space="preserve">XXXX </w:t>
      </w:r>
      <w:r w:rsidRPr="006A17A3">
        <w:rPr>
          <w:rFonts w:cs="Times New Roman"/>
          <w:color w:val="000000" w:themeColor="text1"/>
        </w:rPr>
        <w:t xml:space="preserve">to disseminate these to manufacturing SMEs </w:t>
      </w:r>
      <w:r w:rsidRPr="00043957">
        <w:rPr>
          <w:rFonts w:cs="Times New Roman"/>
          <w:i/>
          <w:color w:val="000000" w:themeColor="text1"/>
        </w:rPr>
        <w:t>who are heading towards Industry 4.0</w:t>
      </w:r>
      <w:r w:rsidRPr="006A17A3">
        <w:rPr>
          <w:rFonts w:cs="Times New Roman"/>
          <w:color w:val="000000" w:themeColor="text1"/>
        </w:rPr>
        <w:t xml:space="preserve"> in Germany” (GI4.0 bid page 3)</w:t>
      </w:r>
      <w:r>
        <w:rPr>
          <w:rFonts w:cs="Times New Roman"/>
          <w:color w:val="000000" w:themeColor="text1"/>
        </w:rPr>
        <w:t xml:space="preserve"> while another asserted their role as being to</w:t>
      </w:r>
      <w:r w:rsidRPr="006A17A3">
        <w:rPr>
          <w:rFonts w:cs="Times New Roman"/>
          <w:color w:val="000000" w:themeColor="text1"/>
        </w:rPr>
        <w:t xml:space="preserve"> </w:t>
      </w:r>
      <w:r>
        <w:rPr>
          <w:rFonts w:cs="Times New Roman"/>
          <w:color w:val="000000" w:themeColor="text1"/>
        </w:rPr>
        <w:t>“</w:t>
      </w:r>
      <w:proofErr w:type="gramStart"/>
      <w:r w:rsidRPr="006A17A3">
        <w:rPr>
          <w:rFonts w:cs="Times New Roman"/>
          <w:color w:val="000000" w:themeColor="text1"/>
        </w:rPr>
        <w:t>….raise</w:t>
      </w:r>
      <w:proofErr w:type="gramEnd"/>
      <w:r w:rsidRPr="006A17A3">
        <w:rPr>
          <w:rFonts w:cs="Times New Roman"/>
          <w:color w:val="000000" w:themeColor="text1"/>
        </w:rPr>
        <w:t xml:space="preserve"> the level of innovation and to create more growth within manufacturing </w:t>
      </w:r>
      <w:r w:rsidRPr="00043957">
        <w:rPr>
          <w:rFonts w:cs="Times New Roman"/>
          <w:i/>
          <w:color w:val="000000" w:themeColor="text1"/>
        </w:rPr>
        <w:t>SMEs who are heading for Industry 4.0</w:t>
      </w:r>
      <w:r w:rsidRPr="006A17A3">
        <w:rPr>
          <w:rFonts w:cs="Times New Roman"/>
          <w:color w:val="000000" w:themeColor="text1"/>
        </w:rPr>
        <w:t>. (GI4.0 bid p.1).</w:t>
      </w:r>
      <w:r>
        <w:rPr>
          <w:rFonts w:cs="Times New Roman"/>
          <w:color w:val="000000" w:themeColor="text1"/>
        </w:rPr>
        <w:t xml:space="preserve"> In our regular meetings, we used this language routinely and without reflection and indeed, used it to inform the ‘support’ tools we developed. The project developed its own ‘state of readiness’ tools to assess where SMEs where on their journey toward industry 4.0, while others were designed to create confidence </w:t>
      </w:r>
      <w:r>
        <w:rPr>
          <w:rFonts w:cs="Times New Roman"/>
          <w:color w:val="000000" w:themeColor="text1"/>
        </w:rPr>
        <w:lastRenderedPageBreak/>
        <w:t xml:space="preserve">in decision making, identify future staff needs and increase the level of trust and confidence in staff needed to enact change. Together, these approaches all remained with the logical boundaries of the diffusion model’s linearity (either as ‘diffusion process’ or as a ‘journey toward’)– that industry 4.0 was an unavoidable part of all firm’s futures. The result of this was that we struggled to see beyond our own linear assumptions about technology change.  No part of our thinking or analysis was shaped by the possibility that delaying adoption or not adopting where also reasonable strategies.  </w:t>
      </w:r>
    </w:p>
    <w:p w14:paraId="074DD348" w14:textId="77777777" w:rsidR="00E876FB" w:rsidRDefault="00E876FB" w:rsidP="002809E4">
      <w:pPr>
        <w:jc w:val="both"/>
        <w:rPr>
          <w:rFonts w:cs="Times New Roman"/>
          <w:color w:val="000000" w:themeColor="text1"/>
        </w:rPr>
      </w:pPr>
    </w:p>
    <w:p w14:paraId="5D8923D8" w14:textId="71310DBA" w:rsidR="002B3C6A" w:rsidRDefault="002B3C6A" w:rsidP="00833CC0">
      <w:pPr>
        <w:jc w:val="both"/>
        <w:rPr>
          <w:rFonts w:cs="Times New Roman"/>
          <w:color w:val="000000" w:themeColor="text1"/>
        </w:rPr>
      </w:pPr>
    </w:p>
    <w:p w14:paraId="36061E03" w14:textId="3B1E7692" w:rsidR="002B3C6A" w:rsidRPr="008971D1" w:rsidRDefault="002B3C6A" w:rsidP="002B3C6A">
      <w:pPr>
        <w:rPr>
          <w:rFonts w:cs="Times New Roman"/>
          <w:color w:val="000000" w:themeColor="text1"/>
        </w:rPr>
      </w:pPr>
      <w:r>
        <w:rPr>
          <w:rFonts w:cs="Times New Roman"/>
          <w:color w:val="000000" w:themeColor="text1"/>
        </w:rPr>
        <w:t>In this formulation the role for researchers such as ourselves is also clear</w:t>
      </w:r>
      <w:r w:rsidR="00F33000">
        <w:rPr>
          <w:rFonts w:cs="Times New Roman"/>
          <w:color w:val="000000" w:themeColor="text1"/>
        </w:rPr>
        <w:t>ly</w:t>
      </w:r>
      <w:r>
        <w:rPr>
          <w:rFonts w:cs="Times New Roman"/>
          <w:color w:val="000000" w:themeColor="text1"/>
        </w:rPr>
        <w:t xml:space="preserve"> pre-scribed. As Shove (1993) wryly observes: </w:t>
      </w:r>
      <w:r w:rsidRPr="008971D1">
        <w:rPr>
          <w:rFonts w:cs="Times New Roman"/>
          <w:color w:val="000000" w:themeColor="text1"/>
        </w:rPr>
        <w:t>“</w:t>
      </w:r>
      <w:r>
        <w:rPr>
          <w:rFonts w:cs="Times New Roman"/>
          <w:color w:val="000000" w:themeColor="text1"/>
        </w:rPr>
        <w:t>S</w:t>
      </w:r>
      <w:r w:rsidRPr="008971D1">
        <w:rPr>
          <w:rFonts w:cs="Times New Roman"/>
          <w:color w:val="000000" w:themeColor="text1"/>
        </w:rPr>
        <w:t>ociologists, economists and market analysts are then charged with the secondary tasks of removing blockages and easing channels of communication so as to allow proven technologies to flow unhindered into everyday practice”.</w:t>
      </w:r>
      <w:r>
        <w:rPr>
          <w:rFonts w:cs="Times New Roman"/>
          <w:color w:val="000000" w:themeColor="text1"/>
        </w:rPr>
        <w:t xml:space="preserve"> (p.1108).</w:t>
      </w:r>
    </w:p>
    <w:p w14:paraId="01E886DE" w14:textId="743BD277" w:rsidR="002B3C6A" w:rsidRDefault="002B3C6A" w:rsidP="00833CC0">
      <w:pPr>
        <w:jc w:val="both"/>
        <w:rPr>
          <w:rFonts w:cs="Times New Roman"/>
          <w:color w:val="000000" w:themeColor="text1"/>
        </w:rPr>
      </w:pPr>
    </w:p>
    <w:p w14:paraId="30313EC0" w14:textId="5C4C4872" w:rsidR="002B3C6A" w:rsidRDefault="002B3C6A" w:rsidP="006A17A3">
      <w:pPr>
        <w:autoSpaceDE w:val="0"/>
        <w:autoSpaceDN w:val="0"/>
        <w:adjustRightInd w:val="0"/>
      </w:pPr>
      <w:r>
        <w:rPr>
          <w:rFonts w:cs="Times New Roman"/>
          <w:bCs/>
          <w:color w:val="000000" w:themeColor="text1"/>
        </w:rPr>
        <w:t xml:space="preserve">Consultants of course make their living from such work, clearing the way for technology diffusion by removing the blockages caused by reticent, </w:t>
      </w:r>
      <w:proofErr w:type="gramStart"/>
      <w:r>
        <w:rPr>
          <w:rFonts w:cs="Times New Roman"/>
          <w:bCs/>
          <w:color w:val="000000" w:themeColor="text1"/>
        </w:rPr>
        <w:t>incompetent</w:t>
      </w:r>
      <w:proofErr w:type="gramEnd"/>
      <w:r>
        <w:rPr>
          <w:rFonts w:cs="Times New Roman"/>
          <w:bCs/>
          <w:color w:val="000000" w:themeColor="text1"/>
        </w:rPr>
        <w:t xml:space="preserve"> or just ill-informed </w:t>
      </w:r>
      <w:r w:rsidR="00F33000">
        <w:rPr>
          <w:rFonts w:cs="Times New Roman"/>
          <w:bCs/>
          <w:color w:val="000000" w:themeColor="text1"/>
        </w:rPr>
        <w:t>senior teams,</w:t>
      </w:r>
      <w:r>
        <w:rPr>
          <w:rFonts w:cs="Times New Roman"/>
          <w:bCs/>
          <w:color w:val="000000" w:themeColor="text1"/>
        </w:rPr>
        <w:t xml:space="preserve"> but is this the right role for researchers? </w:t>
      </w:r>
      <w:r>
        <w:rPr>
          <w:rFonts w:cs="Times New Roman"/>
          <w:color w:val="000000" w:themeColor="text1"/>
        </w:rPr>
        <w:t xml:space="preserve"> The Grow-In</w:t>
      </w:r>
      <w:r w:rsidR="00F33000">
        <w:rPr>
          <w:rFonts w:cs="Times New Roman"/>
          <w:color w:val="000000" w:themeColor="text1"/>
        </w:rPr>
        <w:t xml:space="preserve"> 4.0</w:t>
      </w:r>
      <w:r>
        <w:rPr>
          <w:rFonts w:cs="Times New Roman"/>
          <w:color w:val="000000" w:themeColor="text1"/>
        </w:rPr>
        <w:t xml:space="preserve"> deliverables where clear on this – engage with 150 firms, develop tools and business model</w:t>
      </w:r>
      <w:r w:rsidR="00F33000">
        <w:rPr>
          <w:rFonts w:cs="Times New Roman"/>
          <w:color w:val="000000" w:themeColor="text1"/>
        </w:rPr>
        <w:t>s to</w:t>
      </w:r>
      <w:r>
        <w:rPr>
          <w:rFonts w:cs="Times New Roman"/>
          <w:color w:val="000000" w:themeColor="text1"/>
        </w:rPr>
        <w:t xml:space="preserve"> support the positive impact </w:t>
      </w:r>
      <w:r w:rsidR="00F33000">
        <w:rPr>
          <w:rFonts w:cs="Times New Roman"/>
          <w:color w:val="000000" w:themeColor="text1"/>
        </w:rPr>
        <w:t xml:space="preserve">of industry 4.0. </w:t>
      </w:r>
    </w:p>
    <w:p w14:paraId="15BFB7E8" w14:textId="77777777" w:rsidR="002B3C6A" w:rsidRDefault="002B3C6A" w:rsidP="006A17A3">
      <w:pPr>
        <w:autoSpaceDE w:val="0"/>
        <w:autoSpaceDN w:val="0"/>
        <w:adjustRightInd w:val="0"/>
      </w:pPr>
    </w:p>
    <w:p w14:paraId="4F9528B0" w14:textId="72CBDB5D" w:rsidR="002304D4" w:rsidRDefault="002304D4" w:rsidP="00FD68C8">
      <w:pPr>
        <w:autoSpaceDE w:val="0"/>
        <w:autoSpaceDN w:val="0"/>
        <w:adjustRightInd w:val="0"/>
        <w:rPr>
          <w:rFonts w:cs="Times New Roman"/>
          <w:color w:val="000000" w:themeColor="text1"/>
        </w:rPr>
      </w:pPr>
    </w:p>
    <w:p w14:paraId="74F099DF" w14:textId="75842676" w:rsidR="008971D1" w:rsidRPr="00F33000" w:rsidRDefault="006A17A3" w:rsidP="00A81F63">
      <w:pPr>
        <w:pStyle w:val="Heading1"/>
      </w:pPr>
      <w:r>
        <w:t xml:space="preserve"> </w:t>
      </w:r>
      <w:r w:rsidR="00043957" w:rsidRPr="00043957">
        <w:t>RE-thinking our approach</w:t>
      </w:r>
    </w:p>
    <w:p w14:paraId="56078C44" w14:textId="4B38B628" w:rsidR="00350006" w:rsidRDefault="00350006" w:rsidP="002809E4">
      <w:pPr>
        <w:jc w:val="both"/>
        <w:rPr>
          <w:rFonts w:cs="Times New Roman"/>
          <w:color w:val="000000" w:themeColor="text1"/>
        </w:rPr>
      </w:pPr>
    </w:p>
    <w:p w14:paraId="7704D3DE" w14:textId="4518887C" w:rsidR="002304D4" w:rsidRDefault="00043957" w:rsidP="002304D4">
      <w:pPr>
        <w:jc w:val="both"/>
      </w:pPr>
      <w:r>
        <w:t xml:space="preserve">Our narrow approach to the relationship between manufacturing SMEs and industry 4.0 technology perfectly matches </w:t>
      </w:r>
      <w:r w:rsidR="002304D4">
        <w:t>Shove</w:t>
      </w:r>
      <w:r>
        <w:t xml:space="preserve">’s concern that policy </w:t>
      </w:r>
      <w:r w:rsidR="002304D4">
        <w:t xml:space="preserve">is underpinned by the </w:t>
      </w:r>
      <w:r>
        <w:t xml:space="preserve">linear, </w:t>
      </w:r>
      <w:r w:rsidR="002304D4">
        <w:t>technology-</w:t>
      </w:r>
      <w:r>
        <w:t xml:space="preserve">centric </w:t>
      </w:r>
      <w:r w:rsidR="002304D4">
        <w:t xml:space="preserve">logic of </w:t>
      </w:r>
      <w:r w:rsidR="00F33000">
        <w:t>the diffusion model.</w:t>
      </w:r>
      <w:r w:rsidR="002304D4">
        <w:t xml:space="preserve"> </w:t>
      </w:r>
      <w:r>
        <w:t xml:space="preserve">An </w:t>
      </w:r>
      <w:r w:rsidR="002304D4">
        <w:t>approach</w:t>
      </w:r>
      <w:r>
        <w:t xml:space="preserve"> that wilfully individualises</w:t>
      </w:r>
      <w:r w:rsidR="002304D4">
        <w:t xml:space="preserve"> adoption decisions and</w:t>
      </w:r>
      <w:r>
        <w:t xml:space="preserve"> so ignores the broader context in which those decisions are made and</w:t>
      </w:r>
      <w:r w:rsidR="002304D4">
        <w:t xml:space="preserve"> </w:t>
      </w:r>
      <w:r>
        <w:t xml:space="preserve">limits its focus to the </w:t>
      </w:r>
      <w:r w:rsidR="002304D4">
        <w:t>individual shortcomings</w:t>
      </w:r>
      <w:r>
        <w:t xml:space="preserve"> </w:t>
      </w:r>
      <w:r w:rsidR="002304D4">
        <w:t>of non-</w:t>
      </w:r>
      <w:r>
        <w:t xml:space="preserve">and slow </w:t>
      </w:r>
      <w:r w:rsidR="002304D4">
        <w:t xml:space="preserve">adopters. </w:t>
      </w:r>
    </w:p>
    <w:p w14:paraId="4288971B" w14:textId="4C7904BC" w:rsidR="006A17A3" w:rsidRDefault="006A17A3" w:rsidP="002809E4">
      <w:pPr>
        <w:jc w:val="both"/>
        <w:rPr>
          <w:rFonts w:cs="Times New Roman"/>
          <w:color w:val="000000" w:themeColor="text1"/>
        </w:rPr>
      </w:pPr>
    </w:p>
    <w:p w14:paraId="59B76FB9" w14:textId="0BE9279E" w:rsidR="00043957" w:rsidRDefault="00043957" w:rsidP="002809E4">
      <w:pPr>
        <w:jc w:val="both"/>
        <w:rPr>
          <w:rFonts w:cs="Times New Roman"/>
          <w:color w:val="000000" w:themeColor="text1"/>
        </w:rPr>
      </w:pPr>
      <w:r>
        <w:rPr>
          <w:rFonts w:cs="Times New Roman"/>
          <w:color w:val="000000" w:themeColor="text1"/>
        </w:rPr>
        <w:t xml:space="preserve">We turn now to what a fuller consideration of those contexts might have looked like. </w:t>
      </w:r>
    </w:p>
    <w:p w14:paraId="43B55EA4" w14:textId="0AA18CC7" w:rsidR="006A17A3" w:rsidRDefault="00407F80" w:rsidP="00350006">
      <w:pPr>
        <w:jc w:val="both"/>
        <w:rPr>
          <w:rFonts w:cs="Times New Roman"/>
          <w:color w:val="000000" w:themeColor="text1"/>
        </w:rPr>
      </w:pPr>
      <w:r w:rsidRPr="00350006">
        <w:rPr>
          <w:rFonts w:cs="Times New Roman"/>
          <w:color w:val="000000" w:themeColor="text1"/>
        </w:rPr>
        <w:t>Contexts for action</w:t>
      </w:r>
      <w:r w:rsidR="00350006" w:rsidRPr="00350006">
        <w:rPr>
          <w:rFonts w:cs="Times New Roman"/>
          <w:color w:val="000000" w:themeColor="text1"/>
        </w:rPr>
        <w:t xml:space="preserve"> – that is the </w:t>
      </w:r>
      <w:r w:rsidR="00E458BA">
        <w:rPr>
          <w:rFonts w:cs="Times New Roman"/>
          <w:color w:val="000000" w:themeColor="text1"/>
        </w:rPr>
        <w:t xml:space="preserve">technological, institutional, </w:t>
      </w:r>
      <w:proofErr w:type="gramStart"/>
      <w:r w:rsidR="00350006" w:rsidRPr="00350006">
        <w:rPr>
          <w:rFonts w:cs="Times New Roman"/>
          <w:color w:val="000000" w:themeColor="text1"/>
        </w:rPr>
        <w:t>economic</w:t>
      </w:r>
      <w:proofErr w:type="gramEnd"/>
      <w:r w:rsidR="00350006" w:rsidRPr="00350006">
        <w:rPr>
          <w:rFonts w:cs="Times New Roman"/>
          <w:color w:val="000000" w:themeColor="text1"/>
        </w:rPr>
        <w:t xml:space="preserve"> and organisational </w:t>
      </w:r>
      <w:r w:rsidR="00E458BA">
        <w:rPr>
          <w:rFonts w:cs="Times New Roman"/>
          <w:color w:val="000000" w:themeColor="text1"/>
        </w:rPr>
        <w:t xml:space="preserve">regime </w:t>
      </w:r>
      <w:r w:rsidR="00350006" w:rsidRPr="00350006">
        <w:rPr>
          <w:rFonts w:cs="Times New Roman"/>
          <w:color w:val="000000" w:themeColor="text1"/>
        </w:rPr>
        <w:t xml:space="preserve">that make sense of </w:t>
      </w:r>
      <w:r w:rsidR="00974911">
        <w:rPr>
          <w:rFonts w:cs="Times New Roman"/>
          <w:color w:val="000000" w:themeColor="text1"/>
        </w:rPr>
        <w:t>the adoption of industry 4.0.</w:t>
      </w:r>
      <w:r w:rsidR="00E458BA">
        <w:rPr>
          <w:rFonts w:cs="Times New Roman"/>
          <w:color w:val="000000" w:themeColor="text1"/>
        </w:rPr>
        <w:t xml:space="preserve">and non-adoption of industry 4.0 at any given moment in time. </w:t>
      </w:r>
    </w:p>
    <w:p w14:paraId="361AF3C7" w14:textId="77777777" w:rsidR="006A17A3" w:rsidRDefault="006A17A3" w:rsidP="00350006">
      <w:pPr>
        <w:jc w:val="both"/>
        <w:rPr>
          <w:rFonts w:cs="Times New Roman"/>
          <w:color w:val="000000" w:themeColor="text1"/>
        </w:rPr>
      </w:pPr>
    </w:p>
    <w:p w14:paraId="07F30EE4" w14:textId="16BF5565" w:rsidR="00974911" w:rsidRDefault="006A17A3" w:rsidP="00350006">
      <w:pPr>
        <w:jc w:val="both"/>
        <w:rPr>
          <w:rFonts w:cs="Times New Roman"/>
          <w:color w:val="000000" w:themeColor="text1"/>
        </w:rPr>
      </w:pPr>
      <w:r>
        <w:rPr>
          <w:rFonts w:cs="Times New Roman"/>
          <w:color w:val="000000" w:themeColor="text1"/>
        </w:rPr>
        <w:t xml:space="preserve"> </w:t>
      </w:r>
    </w:p>
    <w:p w14:paraId="11B500B5" w14:textId="35525138" w:rsidR="00974911" w:rsidRPr="00F33000" w:rsidRDefault="00F33000" w:rsidP="00F33000">
      <w:pPr>
        <w:pStyle w:val="ListParagraph"/>
        <w:numPr>
          <w:ilvl w:val="0"/>
          <w:numId w:val="7"/>
        </w:numPr>
        <w:jc w:val="both"/>
        <w:rPr>
          <w:rFonts w:cs="Times New Roman"/>
          <w:color w:val="000000" w:themeColor="text1"/>
        </w:rPr>
      </w:pPr>
      <w:proofErr w:type="spellStart"/>
      <w:r w:rsidRPr="00F33000">
        <w:rPr>
          <w:rFonts w:cs="Times New Roman"/>
          <w:color w:val="000000" w:themeColor="text1"/>
        </w:rPr>
        <w:t>Interperatative</w:t>
      </w:r>
      <w:proofErr w:type="spellEnd"/>
      <w:r w:rsidRPr="00F33000">
        <w:rPr>
          <w:rFonts w:cs="Times New Roman"/>
          <w:color w:val="000000" w:themeColor="text1"/>
        </w:rPr>
        <w:t xml:space="preserve"> flexibility and decision-making uncertainty</w:t>
      </w:r>
    </w:p>
    <w:p w14:paraId="29237019" w14:textId="77777777" w:rsidR="00F33000" w:rsidRDefault="00F33000" w:rsidP="00350006">
      <w:pPr>
        <w:jc w:val="both"/>
        <w:rPr>
          <w:rFonts w:cs="Times New Roman"/>
          <w:color w:val="000000" w:themeColor="text1"/>
        </w:rPr>
      </w:pPr>
    </w:p>
    <w:p w14:paraId="52F332FC" w14:textId="05BD15E6" w:rsidR="00043957" w:rsidRDefault="00A015D1" w:rsidP="00350006">
      <w:pPr>
        <w:jc w:val="both"/>
        <w:rPr>
          <w:rFonts w:cs="Times New Roman"/>
          <w:color w:val="000000" w:themeColor="text1"/>
        </w:rPr>
      </w:pPr>
      <w:r>
        <w:rPr>
          <w:rFonts w:cs="Times New Roman"/>
          <w:color w:val="000000" w:themeColor="text1"/>
        </w:rPr>
        <w:t xml:space="preserve">Slow technology uptake </w:t>
      </w:r>
      <w:r w:rsidR="006A17A3">
        <w:rPr>
          <w:rFonts w:cs="Times New Roman"/>
          <w:color w:val="000000" w:themeColor="text1"/>
        </w:rPr>
        <w:t>is not unusual</w:t>
      </w:r>
      <w:r w:rsidR="002304D4">
        <w:rPr>
          <w:rFonts w:cs="Times New Roman"/>
          <w:color w:val="000000" w:themeColor="text1"/>
        </w:rPr>
        <w:t>, even</w:t>
      </w:r>
      <w:r w:rsidR="006A17A3">
        <w:rPr>
          <w:rFonts w:cs="Times New Roman"/>
          <w:color w:val="000000" w:themeColor="text1"/>
        </w:rPr>
        <w:t xml:space="preserve"> in times of rapid technological change</w:t>
      </w:r>
      <w:r w:rsidR="002304D4">
        <w:rPr>
          <w:rFonts w:cs="Times New Roman"/>
          <w:color w:val="000000" w:themeColor="text1"/>
        </w:rPr>
        <w:t xml:space="preserve"> and economic growth</w:t>
      </w:r>
      <w:r w:rsidR="006A17A3">
        <w:rPr>
          <w:rFonts w:cs="Times New Roman"/>
          <w:color w:val="000000" w:themeColor="text1"/>
        </w:rPr>
        <w:t xml:space="preserve">. It took firms 25 years </w:t>
      </w:r>
      <w:r w:rsidR="002304D4">
        <w:rPr>
          <w:rFonts w:cs="Times New Roman"/>
          <w:color w:val="000000" w:themeColor="text1"/>
        </w:rPr>
        <w:t xml:space="preserve">for the manufacturing firms of the industrial revolution to fully exploit the benefits of </w:t>
      </w:r>
      <w:proofErr w:type="gramStart"/>
      <w:r w:rsidR="002304D4">
        <w:rPr>
          <w:rFonts w:cs="Times New Roman"/>
          <w:color w:val="000000" w:themeColor="text1"/>
        </w:rPr>
        <w:t>electrically-powered</w:t>
      </w:r>
      <w:proofErr w:type="gramEnd"/>
      <w:r w:rsidR="002304D4">
        <w:rPr>
          <w:rFonts w:cs="Times New Roman"/>
          <w:color w:val="000000" w:themeColor="text1"/>
        </w:rPr>
        <w:t xml:space="preserve"> machinery. B</w:t>
      </w:r>
      <w:proofErr w:type="spellStart"/>
      <w:r w:rsidR="002304D4" w:rsidRPr="002304D4">
        <w:rPr>
          <w:rFonts w:cs="Times New Roman"/>
          <w:color w:val="000000" w:themeColor="text1"/>
          <w:lang w:val="en-US"/>
        </w:rPr>
        <w:t>rynjolfsson</w:t>
      </w:r>
      <w:proofErr w:type="spellEnd"/>
      <w:r w:rsidR="002304D4" w:rsidRPr="002304D4">
        <w:rPr>
          <w:rFonts w:cs="Times New Roman"/>
          <w:color w:val="000000" w:themeColor="text1"/>
          <w:lang w:val="en-US"/>
        </w:rPr>
        <w:t xml:space="preserve"> and </w:t>
      </w:r>
      <w:proofErr w:type="spellStart"/>
      <w:r w:rsidR="002304D4" w:rsidRPr="002304D4">
        <w:rPr>
          <w:rFonts w:cs="Times New Roman"/>
          <w:color w:val="000000" w:themeColor="text1"/>
          <w:lang w:val="en-US"/>
        </w:rPr>
        <w:t>Mcafee</w:t>
      </w:r>
      <w:proofErr w:type="spellEnd"/>
      <w:r w:rsidR="002304D4" w:rsidRPr="002304D4">
        <w:rPr>
          <w:rFonts w:cs="Times New Roman"/>
          <w:color w:val="000000" w:themeColor="text1"/>
          <w:lang w:val="en-US"/>
        </w:rPr>
        <w:t xml:space="preserve"> (2016)</w:t>
      </w:r>
      <w:r w:rsidR="002304D4">
        <w:rPr>
          <w:rFonts w:cs="Times New Roman"/>
          <w:color w:val="000000" w:themeColor="text1"/>
        </w:rPr>
        <w:t xml:space="preserve">, interestingly, provide a very individualising explanation for this, </w:t>
      </w:r>
      <w:r>
        <w:rPr>
          <w:rFonts w:cs="Times New Roman"/>
          <w:color w:val="000000" w:themeColor="text1"/>
        </w:rPr>
        <w:t xml:space="preserve">arguing that </w:t>
      </w:r>
      <w:r w:rsidR="002304D4">
        <w:rPr>
          <w:rFonts w:cs="Times New Roman"/>
          <w:color w:val="000000" w:themeColor="text1"/>
        </w:rPr>
        <w:t>that this is how long it took for older owners to retire and younger more entrepreneurial managers to take over. A better explanation</w:t>
      </w:r>
      <w:r w:rsidR="00F33000">
        <w:rPr>
          <w:rFonts w:cs="Times New Roman"/>
          <w:color w:val="000000" w:themeColor="text1"/>
        </w:rPr>
        <w:t>, in our view,</w:t>
      </w:r>
      <w:r w:rsidR="002304D4">
        <w:rPr>
          <w:rFonts w:cs="Times New Roman"/>
          <w:color w:val="000000" w:themeColor="text1"/>
        </w:rPr>
        <w:t xml:space="preserve"> lies in the disruption and confusion caused by young technologies – what has been termed </w:t>
      </w:r>
      <w:r w:rsidR="001E7ADA">
        <w:rPr>
          <w:rFonts w:cs="Times New Roman"/>
          <w:color w:val="000000" w:themeColor="text1"/>
        </w:rPr>
        <w:t>interpretative</w:t>
      </w:r>
      <w:r w:rsidR="002304D4">
        <w:rPr>
          <w:rFonts w:cs="Times New Roman"/>
          <w:color w:val="000000" w:themeColor="text1"/>
        </w:rPr>
        <w:t xml:space="preserve"> flexibility (Pinch and </w:t>
      </w:r>
      <w:proofErr w:type="spellStart"/>
      <w:r w:rsidR="002304D4">
        <w:rPr>
          <w:rFonts w:cs="Times New Roman"/>
          <w:color w:val="000000" w:themeColor="text1"/>
        </w:rPr>
        <w:t>Bijker</w:t>
      </w:r>
      <w:proofErr w:type="spellEnd"/>
      <w:r w:rsidR="002304D4">
        <w:rPr>
          <w:rFonts w:cs="Times New Roman"/>
          <w:color w:val="000000" w:themeColor="text1"/>
        </w:rPr>
        <w:t>, 1987</w:t>
      </w:r>
      <w:r w:rsidR="001E7ADA">
        <w:rPr>
          <w:rFonts w:cs="Times New Roman"/>
          <w:color w:val="000000" w:themeColor="text1"/>
        </w:rPr>
        <w:t>)</w:t>
      </w:r>
      <w:r>
        <w:rPr>
          <w:rFonts w:cs="Times New Roman"/>
          <w:color w:val="000000" w:themeColor="text1"/>
        </w:rPr>
        <w:t xml:space="preserve"> -</w:t>
      </w:r>
      <w:r w:rsidR="001E7ADA">
        <w:rPr>
          <w:rFonts w:cs="Times New Roman"/>
          <w:color w:val="000000" w:themeColor="text1"/>
        </w:rPr>
        <w:t xml:space="preserve"> periods in which there is uncertainty as to</w:t>
      </w:r>
      <w:r w:rsidR="00D76353">
        <w:rPr>
          <w:rFonts w:cs="Times New Roman"/>
          <w:color w:val="000000" w:themeColor="text1"/>
        </w:rPr>
        <w:t xml:space="preserve"> how </w:t>
      </w:r>
      <w:r>
        <w:rPr>
          <w:rFonts w:cs="Times New Roman"/>
          <w:color w:val="000000" w:themeColor="text1"/>
        </w:rPr>
        <w:t>a</w:t>
      </w:r>
      <w:r w:rsidR="00D76353">
        <w:rPr>
          <w:rFonts w:cs="Times New Roman"/>
          <w:color w:val="000000" w:themeColor="text1"/>
        </w:rPr>
        <w:t xml:space="preserve"> technology should be understood</w:t>
      </w:r>
      <w:r w:rsidR="00F33000">
        <w:rPr>
          <w:rFonts w:cs="Times New Roman"/>
          <w:color w:val="000000" w:themeColor="text1"/>
        </w:rPr>
        <w:t xml:space="preserve"> and used</w:t>
      </w:r>
      <w:r w:rsidR="001E7ADA">
        <w:rPr>
          <w:rFonts w:cs="Times New Roman"/>
          <w:color w:val="000000" w:themeColor="text1"/>
        </w:rPr>
        <w:t>.</w:t>
      </w:r>
      <w:r w:rsidR="00D76353">
        <w:rPr>
          <w:rFonts w:cs="Times New Roman"/>
          <w:color w:val="000000" w:themeColor="text1"/>
        </w:rPr>
        <w:t xml:space="preserve"> It is not surprising perhaps, that </w:t>
      </w:r>
      <w:proofErr w:type="spellStart"/>
      <w:r w:rsidR="00D76353">
        <w:rPr>
          <w:rFonts w:cs="Times New Roman"/>
          <w:color w:val="000000" w:themeColor="text1"/>
        </w:rPr>
        <w:t>Delotte</w:t>
      </w:r>
      <w:proofErr w:type="spellEnd"/>
      <w:r w:rsidR="00D76353">
        <w:rPr>
          <w:rFonts w:cs="Times New Roman"/>
          <w:color w:val="000000" w:themeColor="text1"/>
        </w:rPr>
        <w:t xml:space="preserve"> found that managers were </w:t>
      </w:r>
      <w:r w:rsidR="00D76353">
        <w:rPr>
          <w:rFonts w:cs="Times New Roman"/>
          <w:color w:val="000000" w:themeColor="text1"/>
        </w:rPr>
        <w:lastRenderedPageBreak/>
        <w:t>unsure how to act</w:t>
      </w:r>
      <w:r>
        <w:rPr>
          <w:rFonts w:cs="Times New Roman"/>
          <w:color w:val="000000" w:themeColor="text1"/>
        </w:rPr>
        <w:t>. T</w:t>
      </w:r>
      <w:r w:rsidR="00F33000">
        <w:rPr>
          <w:rFonts w:cs="Times New Roman"/>
          <w:color w:val="000000" w:themeColor="text1"/>
        </w:rPr>
        <w:t>he issue perhaps was not a lack of information but conflicting and shifting information, not really information at all.</w:t>
      </w:r>
      <w:r w:rsidR="00D76353">
        <w:rPr>
          <w:rFonts w:cs="Times New Roman"/>
          <w:color w:val="000000" w:themeColor="text1"/>
        </w:rPr>
        <w:t xml:space="preserve"> </w:t>
      </w:r>
      <w:r w:rsidR="00F33000">
        <w:rPr>
          <w:rFonts w:cs="Times New Roman"/>
          <w:color w:val="000000" w:themeColor="text1"/>
        </w:rPr>
        <w:t xml:space="preserve">Arguably, system providers and policy makers contribute to the confusion with claims for benefits which are always positive in the extreme.  </w:t>
      </w:r>
      <w:r>
        <w:rPr>
          <w:rFonts w:cs="Times New Roman"/>
          <w:color w:val="000000" w:themeColor="text1"/>
        </w:rPr>
        <w:t>H</w:t>
      </w:r>
      <w:r w:rsidR="00F33000">
        <w:rPr>
          <w:rFonts w:cs="Times New Roman"/>
          <w:color w:val="000000" w:themeColor="text1"/>
        </w:rPr>
        <w:t xml:space="preserve">ubris from </w:t>
      </w:r>
      <w:r>
        <w:rPr>
          <w:rFonts w:cs="Times New Roman"/>
          <w:color w:val="000000" w:themeColor="text1"/>
        </w:rPr>
        <w:t xml:space="preserve">academics, </w:t>
      </w:r>
      <w:r w:rsidR="00F33000">
        <w:rPr>
          <w:rFonts w:cs="Times New Roman"/>
          <w:color w:val="000000" w:themeColor="text1"/>
        </w:rPr>
        <w:t>policy makers and consultants, which potential adopters are right to be suspicious of</w:t>
      </w:r>
      <w:r>
        <w:rPr>
          <w:rFonts w:cs="Times New Roman"/>
          <w:color w:val="000000" w:themeColor="text1"/>
        </w:rPr>
        <w:t>, may well be itself acting to supress adoption.</w:t>
      </w:r>
      <w:r w:rsidR="001E7ADA">
        <w:rPr>
          <w:rFonts w:cs="Times New Roman"/>
          <w:color w:val="000000" w:themeColor="text1"/>
        </w:rPr>
        <w:t xml:space="preserve"> </w:t>
      </w:r>
    </w:p>
    <w:p w14:paraId="7CE5045D" w14:textId="77777777" w:rsidR="00043957" w:rsidRDefault="00043957" w:rsidP="00350006">
      <w:pPr>
        <w:jc w:val="both"/>
        <w:rPr>
          <w:rFonts w:cs="Times New Roman"/>
          <w:color w:val="000000" w:themeColor="text1"/>
        </w:rPr>
      </w:pPr>
    </w:p>
    <w:p w14:paraId="569C7D58" w14:textId="654FED65" w:rsidR="006A17A3" w:rsidRPr="00F33000" w:rsidRDefault="00F33000" w:rsidP="00F33000">
      <w:pPr>
        <w:pStyle w:val="ListParagraph"/>
        <w:numPr>
          <w:ilvl w:val="0"/>
          <w:numId w:val="7"/>
        </w:numPr>
        <w:jc w:val="both"/>
        <w:rPr>
          <w:rFonts w:cs="Times New Roman"/>
          <w:color w:val="000000" w:themeColor="text1"/>
        </w:rPr>
      </w:pPr>
      <w:r>
        <w:rPr>
          <w:rFonts w:cs="Times New Roman"/>
          <w:color w:val="000000" w:themeColor="text1"/>
        </w:rPr>
        <w:t xml:space="preserve">Rapid technology change </w:t>
      </w:r>
    </w:p>
    <w:p w14:paraId="210B25FB" w14:textId="720FA4E5" w:rsidR="00F33000" w:rsidRDefault="00F33000" w:rsidP="00350006">
      <w:pPr>
        <w:jc w:val="both"/>
        <w:rPr>
          <w:rFonts w:cs="Times New Roman"/>
          <w:color w:val="000000" w:themeColor="text1"/>
        </w:rPr>
      </w:pPr>
      <w:r>
        <w:rPr>
          <w:rFonts w:cs="Times New Roman"/>
          <w:color w:val="000000" w:themeColor="text1"/>
        </w:rPr>
        <w:t>A related issue concerns the rate of i</w:t>
      </w:r>
      <w:r w:rsidR="00043957">
        <w:rPr>
          <w:rFonts w:cs="Times New Roman"/>
          <w:color w:val="000000" w:themeColor="text1"/>
        </w:rPr>
        <w:t xml:space="preserve">mprovement in the </w:t>
      </w:r>
      <w:r w:rsidR="00974911">
        <w:rPr>
          <w:rFonts w:cs="Times New Roman"/>
          <w:color w:val="000000" w:themeColor="text1"/>
        </w:rPr>
        <w:t xml:space="preserve">technology itself. As </w:t>
      </w:r>
      <w:r w:rsidR="001E7ADA">
        <w:rPr>
          <w:rFonts w:cs="Times New Roman"/>
          <w:color w:val="000000" w:themeColor="text1"/>
        </w:rPr>
        <w:t xml:space="preserve">ever more </w:t>
      </w:r>
      <w:r w:rsidR="00974911">
        <w:rPr>
          <w:rFonts w:cs="Times New Roman"/>
          <w:color w:val="000000" w:themeColor="text1"/>
        </w:rPr>
        <w:t>providers emerge offering new solutions</w:t>
      </w:r>
      <w:r>
        <w:rPr>
          <w:rFonts w:cs="Times New Roman"/>
          <w:color w:val="000000" w:themeColor="text1"/>
        </w:rPr>
        <w:t xml:space="preserve">, and while this does cause confusion, it is also the case that </w:t>
      </w:r>
      <w:r w:rsidR="001E7ADA">
        <w:rPr>
          <w:rFonts w:cs="Times New Roman"/>
          <w:color w:val="000000" w:themeColor="text1"/>
        </w:rPr>
        <w:t>those solutions tend to</w:t>
      </w:r>
      <w:r w:rsidR="00974911">
        <w:rPr>
          <w:rFonts w:cs="Times New Roman"/>
          <w:color w:val="000000" w:themeColor="text1"/>
        </w:rPr>
        <w:t xml:space="preserve"> get better over time</w:t>
      </w:r>
      <w:r w:rsidR="00A015D1">
        <w:rPr>
          <w:rFonts w:cs="Times New Roman"/>
          <w:color w:val="000000" w:themeColor="text1"/>
        </w:rPr>
        <w:t>.</w:t>
      </w:r>
      <w:r w:rsidR="001E7ADA">
        <w:rPr>
          <w:rFonts w:cs="Times New Roman"/>
          <w:color w:val="000000" w:themeColor="text1"/>
        </w:rPr>
        <w:t xml:space="preserve"> </w:t>
      </w:r>
      <w:r w:rsidR="00A015D1">
        <w:rPr>
          <w:rFonts w:cs="Times New Roman"/>
          <w:color w:val="000000" w:themeColor="text1"/>
        </w:rPr>
        <w:t>T</w:t>
      </w:r>
      <w:r w:rsidR="001E7ADA">
        <w:rPr>
          <w:rFonts w:cs="Times New Roman"/>
          <w:color w:val="000000" w:themeColor="text1"/>
        </w:rPr>
        <w:t xml:space="preserve">hey become more usable, </w:t>
      </w:r>
      <w:r w:rsidR="00D76353">
        <w:rPr>
          <w:rFonts w:cs="Times New Roman"/>
          <w:color w:val="000000" w:themeColor="text1"/>
        </w:rPr>
        <w:t xml:space="preserve">better </w:t>
      </w:r>
      <w:r w:rsidR="001E7ADA">
        <w:rPr>
          <w:rFonts w:cs="Times New Roman"/>
          <w:color w:val="000000" w:themeColor="text1"/>
        </w:rPr>
        <w:t xml:space="preserve">adapted to specific </w:t>
      </w:r>
      <w:proofErr w:type="gramStart"/>
      <w:r w:rsidR="001E7ADA">
        <w:rPr>
          <w:rFonts w:cs="Times New Roman"/>
          <w:color w:val="000000" w:themeColor="text1"/>
        </w:rPr>
        <w:t>contexts</w:t>
      </w:r>
      <w:proofErr w:type="gramEnd"/>
      <w:r w:rsidR="001E7ADA">
        <w:rPr>
          <w:rFonts w:cs="Times New Roman"/>
          <w:color w:val="000000" w:themeColor="text1"/>
        </w:rPr>
        <w:t xml:space="preserve"> and </w:t>
      </w:r>
      <w:r w:rsidR="00974911">
        <w:rPr>
          <w:rFonts w:cs="Times New Roman"/>
          <w:color w:val="000000" w:themeColor="text1"/>
        </w:rPr>
        <w:t>have reliability problems and usability issues ironed out –</w:t>
      </w:r>
      <w:r w:rsidR="00161D1D">
        <w:rPr>
          <w:rFonts w:cs="Times New Roman"/>
          <w:color w:val="000000" w:themeColor="text1"/>
        </w:rPr>
        <w:t xml:space="preserve"> </w:t>
      </w:r>
      <w:r w:rsidR="001E7ADA">
        <w:rPr>
          <w:rFonts w:cs="Times New Roman"/>
          <w:color w:val="000000" w:themeColor="text1"/>
        </w:rPr>
        <w:t xml:space="preserve">they settle, in other words, into stable </w:t>
      </w:r>
      <w:r w:rsidR="00043957">
        <w:rPr>
          <w:rFonts w:cs="Times New Roman"/>
          <w:color w:val="000000" w:themeColor="text1"/>
        </w:rPr>
        <w:t>‘</w:t>
      </w:r>
      <w:r w:rsidR="001E7ADA">
        <w:rPr>
          <w:rFonts w:cs="Times New Roman"/>
          <w:color w:val="000000" w:themeColor="text1"/>
        </w:rPr>
        <w:t>dominant designs</w:t>
      </w:r>
      <w:r w:rsidR="00043957">
        <w:rPr>
          <w:rFonts w:cs="Times New Roman"/>
          <w:color w:val="000000" w:themeColor="text1"/>
        </w:rPr>
        <w:t>’</w:t>
      </w:r>
      <w:r w:rsidR="001E7ADA">
        <w:rPr>
          <w:rFonts w:cs="Times New Roman"/>
          <w:color w:val="000000" w:themeColor="text1"/>
        </w:rPr>
        <w:t xml:space="preserve"> (</w:t>
      </w:r>
      <w:r w:rsidR="001E7ADA" w:rsidRPr="00CE62C9">
        <w:t>Utterback</w:t>
      </w:r>
      <w:r w:rsidR="00FC4493">
        <w:t xml:space="preserve">, </w:t>
      </w:r>
      <w:r w:rsidR="001E7ADA" w:rsidRPr="00CE62C9">
        <w:t>199</w:t>
      </w:r>
      <w:r w:rsidR="00FC4493">
        <w:t>4</w:t>
      </w:r>
      <w:r w:rsidR="001E7ADA">
        <w:rPr>
          <w:rFonts w:cs="Times New Roman"/>
          <w:color w:val="000000" w:themeColor="text1"/>
        </w:rPr>
        <w:t xml:space="preserve">). If digital technologies are still emergent, which they appear to be, then </w:t>
      </w:r>
      <w:r w:rsidR="00974911">
        <w:rPr>
          <w:rFonts w:cs="Times New Roman"/>
          <w:color w:val="000000" w:themeColor="text1"/>
        </w:rPr>
        <w:t>delay</w:t>
      </w:r>
      <w:r w:rsidR="00A015D1">
        <w:rPr>
          <w:rFonts w:cs="Times New Roman"/>
          <w:color w:val="000000" w:themeColor="text1"/>
        </w:rPr>
        <w:t>ing</w:t>
      </w:r>
      <w:r w:rsidR="00974911">
        <w:rPr>
          <w:rFonts w:cs="Times New Roman"/>
          <w:color w:val="000000" w:themeColor="text1"/>
        </w:rPr>
        <w:t xml:space="preserve"> </w:t>
      </w:r>
      <w:r w:rsidR="00A015D1">
        <w:rPr>
          <w:rFonts w:cs="Times New Roman"/>
          <w:color w:val="000000" w:themeColor="text1"/>
        </w:rPr>
        <w:t>adoption makes strategic sense</w:t>
      </w:r>
      <w:r w:rsidR="001E7ADA">
        <w:rPr>
          <w:rFonts w:cs="Times New Roman"/>
          <w:color w:val="000000" w:themeColor="text1"/>
        </w:rPr>
        <w:t>.</w:t>
      </w:r>
      <w:r w:rsidR="00D76353">
        <w:rPr>
          <w:rFonts w:cs="Times New Roman"/>
          <w:color w:val="000000" w:themeColor="text1"/>
        </w:rPr>
        <w:t xml:space="preserve"> A</w:t>
      </w:r>
      <w:r w:rsidR="001E7ADA">
        <w:rPr>
          <w:rFonts w:cs="Times New Roman"/>
          <w:color w:val="000000" w:themeColor="text1"/>
        </w:rPr>
        <w:t>llowing</w:t>
      </w:r>
      <w:r w:rsidR="00974911">
        <w:rPr>
          <w:rFonts w:cs="Times New Roman"/>
          <w:color w:val="000000" w:themeColor="text1"/>
        </w:rPr>
        <w:t xml:space="preserve"> your competitors</w:t>
      </w:r>
      <w:r w:rsidR="00D76353">
        <w:rPr>
          <w:rFonts w:cs="Times New Roman"/>
          <w:color w:val="000000" w:themeColor="text1"/>
        </w:rPr>
        <w:t xml:space="preserve"> to go first means </w:t>
      </w:r>
      <w:r w:rsidR="001E7ADA">
        <w:rPr>
          <w:rFonts w:cs="Times New Roman"/>
          <w:color w:val="000000" w:themeColor="text1"/>
        </w:rPr>
        <w:t xml:space="preserve">you can learn from </w:t>
      </w:r>
      <w:r w:rsidR="00D76353">
        <w:rPr>
          <w:rFonts w:cs="Times New Roman"/>
          <w:color w:val="000000" w:themeColor="text1"/>
        </w:rPr>
        <w:t xml:space="preserve">their mistakes, what </w:t>
      </w:r>
      <w:r w:rsidR="00974911">
        <w:rPr>
          <w:rFonts w:cs="Times New Roman"/>
          <w:color w:val="000000" w:themeColor="text1"/>
        </w:rPr>
        <w:t xml:space="preserve">Porter (1985) calls this the ‘follower advantage’. </w:t>
      </w:r>
      <w:r w:rsidR="001E7ADA">
        <w:rPr>
          <w:rFonts w:cs="Times New Roman"/>
          <w:color w:val="000000" w:themeColor="text1"/>
        </w:rPr>
        <w:t xml:space="preserve">Put another way, being a </w:t>
      </w:r>
      <w:r w:rsidR="00974911">
        <w:rPr>
          <w:rFonts w:cs="Times New Roman"/>
          <w:color w:val="000000" w:themeColor="text1"/>
        </w:rPr>
        <w:t xml:space="preserve">laggard is a problem in </w:t>
      </w:r>
      <w:r w:rsidR="00161D1D">
        <w:rPr>
          <w:rFonts w:cs="Times New Roman"/>
          <w:color w:val="000000" w:themeColor="text1"/>
        </w:rPr>
        <w:t xml:space="preserve">the diffusion </w:t>
      </w:r>
      <w:r w:rsidR="00974911">
        <w:rPr>
          <w:rFonts w:cs="Times New Roman"/>
          <w:color w:val="000000" w:themeColor="text1"/>
        </w:rPr>
        <w:t>model</w:t>
      </w:r>
      <w:r w:rsidR="00D76353">
        <w:rPr>
          <w:rFonts w:cs="Times New Roman"/>
          <w:color w:val="000000" w:themeColor="text1"/>
        </w:rPr>
        <w:t>,</w:t>
      </w:r>
      <w:r w:rsidR="00974911">
        <w:rPr>
          <w:rFonts w:cs="Times New Roman"/>
          <w:color w:val="000000" w:themeColor="text1"/>
        </w:rPr>
        <w:t xml:space="preserve"> but a </w:t>
      </w:r>
      <w:r w:rsidR="00D76353">
        <w:rPr>
          <w:rFonts w:cs="Times New Roman"/>
          <w:color w:val="000000" w:themeColor="text1"/>
        </w:rPr>
        <w:t xml:space="preserve">respectable </w:t>
      </w:r>
      <w:r w:rsidR="00974911">
        <w:rPr>
          <w:rFonts w:cs="Times New Roman"/>
          <w:color w:val="000000" w:themeColor="text1"/>
        </w:rPr>
        <w:t xml:space="preserve">strategic </w:t>
      </w:r>
      <w:r w:rsidR="00D76353">
        <w:rPr>
          <w:rFonts w:cs="Times New Roman"/>
          <w:color w:val="000000" w:themeColor="text1"/>
        </w:rPr>
        <w:t xml:space="preserve">position </w:t>
      </w:r>
      <w:r w:rsidR="00E27790">
        <w:rPr>
          <w:rFonts w:cs="Times New Roman"/>
          <w:color w:val="000000" w:themeColor="text1"/>
        </w:rPr>
        <w:t>from another perspective</w:t>
      </w:r>
      <w:r w:rsidR="00A015D1">
        <w:rPr>
          <w:rFonts w:cs="Times New Roman"/>
          <w:color w:val="000000" w:themeColor="text1"/>
        </w:rPr>
        <w:t xml:space="preserve"> or put yet another way, today’s early adopters may turn out to be tomorrows bankrupts.</w:t>
      </w:r>
      <w:r w:rsidR="00D76353">
        <w:rPr>
          <w:rFonts w:cs="Times New Roman"/>
          <w:color w:val="000000" w:themeColor="text1"/>
        </w:rPr>
        <w:t xml:space="preserve"> </w:t>
      </w:r>
      <w:r w:rsidR="00974911">
        <w:rPr>
          <w:rFonts w:cs="Times New Roman"/>
          <w:color w:val="000000" w:themeColor="text1"/>
        </w:rPr>
        <w:t xml:space="preserve"> </w:t>
      </w:r>
    </w:p>
    <w:p w14:paraId="3FED4D8F" w14:textId="77777777" w:rsidR="00F33000" w:rsidRDefault="00F33000" w:rsidP="00350006">
      <w:pPr>
        <w:jc w:val="both"/>
        <w:rPr>
          <w:rFonts w:cs="Times New Roman"/>
          <w:color w:val="000000" w:themeColor="text1"/>
        </w:rPr>
      </w:pPr>
    </w:p>
    <w:p w14:paraId="657B3E39" w14:textId="6FAAFEC6" w:rsidR="00F33000" w:rsidRPr="006A17A3" w:rsidRDefault="00E27790" w:rsidP="00E27790">
      <w:pPr>
        <w:pStyle w:val="ListParagraph"/>
        <w:numPr>
          <w:ilvl w:val="0"/>
          <w:numId w:val="7"/>
        </w:numPr>
        <w:jc w:val="both"/>
        <w:rPr>
          <w:rFonts w:cs="Times New Roman"/>
          <w:color w:val="000000" w:themeColor="text1"/>
        </w:rPr>
      </w:pPr>
      <w:r>
        <w:rPr>
          <w:rFonts w:cs="Times New Roman"/>
          <w:color w:val="000000" w:themeColor="text1"/>
        </w:rPr>
        <w:t>Economic realism</w:t>
      </w:r>
    </w:p>
    <w:p w14:paraId="440EF87C" w14:textId="549AAE0A" w:rsidR="00F33000" w:rsidRDefault="00F33000" w:rsidP="00F33000">
      <w:pPr>
        <w:jc w:val="both"/>
        <w:rPr>
          <w:rFonts w:cs="Times New Roman"/>
          <w:color w:val="000000" w:themeColor="text1"/>
        </w:rPr>
      </w:pPr>
      <w:r>
        <w:rPr>
          <w:rFonts w:cs="Times New Roman"/>
          <w:color w:val="000000" w:themeColor="text1"/>
        </w:rPr>
        <w:t xml:space="preserve">Unfortunately, Western economic growth </w:t>
      </w:r>
      <w:r w:rsidR="00A015D1">
        <w:rPr>
          <w:rFonts w:cs="Times New Roman"/>
          <w:color w:val="000000" w:themeColor="text1"/>
        </w:rPr>
        <w:t>has been</w:t>
      </w:r>
      <w:r>
        <w:rPr>
          <w:rFonts w:cs="Times New Roman"/>
          <w:color w:val="000000" w:themeColor="text1"/>
        </w:rPr>
        <w:t xml:space="preserve"> stagnating since the 1970</w:t>
      </w:r>
      <w:proofErr w:type="gramStart"/>
      <w:r>
        <w:rPr>
          <w:rFonts w:cs="Times New Roman"/>
          <w:color w:val="000000" w:themeColor="text1"/>
        </w:rPr>
        <w:t>s  (</w:t>
      </w:r>
      <w:proofErr w:type="gramEnd"/>
      <w:r>
        <w:rPr>
          <w:rFonts w:cs="Times New Roman"/>
          <w:color w:val="000000" w:themeColor="text1"/>
        </w:rPr>
        <w:t>Gordon, 201</w:t>
      </w:r>
      <w:r w:rsidR="00B366E9">
        <w:rPr>
          <w:rFonts w:cs="Times New Roman"/>
          <w:color w:val="000000" w:themeColor="text1"/>
        </w:rPr>
        <w:t>6</w:t>
      </w:r>
      <w:r>
        <w:rPr>
          <w:rFonts w:cs="Times New Roman"/>
          <w:color w:val="000000" w:themeColor="text1"/>
        </w:rPr>
        <w:t xml:space="preserve">;  </w:t>
      </w:r>
      <w:proofErr w:type="spellStart"/>
      <w:r>
        <w:rPr>
          <w:rFonts w:cs="Times New Roman"/>
          <w:color w:val="000000" w:themeColor="text1"/>
        </w:rPr>
        <w:t>Benav</w:t>
      </w:r>
      <w:r w:rsidR="00B366E9">
        <w:rPr>
          <w:rFonts w:cs="Times New Roman"/>
          <w:color w:val="000000" w:themeColor="text1"/>
        </w:rPr>
        <w:t>a</w:t>
      </w:r>
      <w:r>
        <w:rPr>
          <w:rFonts w:cs="Times New Roman"/>
          <w:color w:val="000000" w:themeColor="text1"/>
        </w:rPr>
        <w:t>v</w:t>
      </w:r>
      <w:proofErr w:type="spellEnd"/>
      <w:r>
        <w:rPr>
          <w:rFonts w:cs="Times New Roman"/>
          <w:color w:val="000000" w:themeColor="text1"/>
        </w:rPr>
        <w:t>, 2020 )</w:t>
      </w:r>
      <w:r w:rsidR="00A015D1">
        <w:rPr>
          <w:rFonts w:cs="Times New Roman"/>
          <w:color w:val="000000" w:themeColor="text1"/>
        </w:rPr>
        <w:t>;</w:t>
      </w:r>
      <w:r>
        <w:rPr>
          <w:rFonts w:cs="Times New Roman"/>
          <w:color w:val="000000" w:themeColor="text1"/>
        </w:rPr>
        <w:t xml:space="preserve"> in part</w:t>
      </w:r>
      <w:r w:rsidR="00B366E9">
        <w:rPr>
          <w:rFonts w:cs="Times New Roman"/>
          <w:color w:val="000000" w:themeColor="text1"/>
        </w:rPr>
        <w:t>,</w:t>
      </w:r>
      <w:r w:rsidR="00A015D1">
        <w:rPr>
          <w:rFonts w:cs="Times New Roman"/>
          <w:color w:val="000000" w:themeColor="text1"/>
        </w:rPr>
        <w:t xml:space="preserve"> ironically,</w:t>
      </w:r>
      <w:r w:rsidR="00B366E9">
        <w:rPr>
          <w:rFonts w:cs="Times New Roman"/>
          <w:color w:val="000000" w:themeColor="text1"/>
        </w:rPr>
        <w:t xml:space="preserve"> </w:t>
      </w:r>
      <w:r>
        <w:rPr>
          <w:rFonts w:cs="Times New Roman"/>
          <w:color w:val="000000" w:themeColor="text1"/>
        </w:rPr>
        <w:t>because of entrenched over-capacity in production (</w:t>
      </w:r>
      <w:proofErr w:type="spellStart"/>
      <w:r>
        <w:rPr>
          <w:rFonts w:cs="Times New Roman"/>
          <w:color w:val="000000" w:themeColor="text1"/>
        </w:rPr>
        <w:t>Benav</w:t>
      </w:r>
      <w:r w:rsidR="00B366E9">
        <w:rPr>
          <w:rFonts w:cs="Times New Roman"/>
          <w:color w:val="000000" w:themeColor="text1"/>
        </w:rPr>
        <w:t>a</w:t>
      </w:r>
      <w:r>
        <w:rPr>
          <w:rFonts w:cs="Times New Roman"/>
          <w:color w:val="000000" w:themeColor="text1"/>
        </w:rPr>
        <w:t>v</w:t>
      </w:r>
      <w:proofErr w:type="spellEnd"/>
      <w:r>
        <w:rPr>
          <w:rFonts w:cs="Times New Roman"/>
          <w:color w:val="000000" w:themeColor="text1"/>
        </w:rPr>
        <w:t xml:space="preserve">, 2020). It is for this reason, </w:t>
      </w:r>
      <w:proofErr w:type="spellStart"/>
      <w:r>
        <w:rPr>
          <w:rFonts w:cs="Times New Roman"/>
          <w:color w:val="000000" w:themeColor="text1"/>
        </w:rPr>
        <w:t>Benav</w:t>
      </w:r>
      <w:r w:rsidR="00B366E9">
        <w:rPr>
          <w:rFonts w:cs="Times New Roman"/>
          <w:color w:val="000000" w:themeColor="text1"/>
        </w:rPr>
        <w:t>a</w:t>
      </w:r>
      <w:r>
        <w:rPr>
          <w:rFonts w:cs="Times New Roman"/>
          <w:color w:val="000000" w:themeColor="text1"/>
        </w:rPr>
        <w:t>v</w:t>
      </w:r>
      <w:proofErr w:type="spellEnd"/>
      <w:r>
        <w:rPr>
          <w:rFonts w:cs="Times New Roman"/>
          <w:color w:val="000000" w:themeColor="text1"/>
        </w:rPr>
        <w:t xml:space="preserve"> argues, that investment has fled industry leading to global de-industrialisation and into services, </w:t>
      </w:r>
      <w:proofErr w:type="gramStart"/>
      <w:r>
        <w:rPr>
          <w:rFonts w:cs="Times New Roman"/>
          <w:color w:val="000000" w:themeColor="text1"/>
        </w:rPr>
        <w:t>real-estate</w:t>
      </w:r>
      <w:proofErr w:type="gramEnd"/>
      <w:r>
        <w:rPr>
          <w:rFonts w:cs="Times New Roman"/>
          <w:color w:val="000000" w:themeColor="text1"/>
        </w:rPr>
        <w:t xml:space="preserve"> and finance. Any decision to adopt a technology is of course </w:t>
      </w:r>
      <w:r w:rsidR="00B366E9">
        <w:rPr>
          <w:rFonts w:cs="Times New Roman"/>
          <w:color w:val="000000" w:themeColor="text1"/>
        </w:rPr>
        <w:t xml:space="preserve">also </w:t>
      </w:r>
      <w:r>
        <w:rPr>
          <w:rFonts w:cs="Times New Roman"/>
          <w:color w:val="000000" w:themeColor="text1"/>
        </w:rPr>
        <w:t>an investment decision and investors tend to keep their hands firmly in their pockets when they do not have the sense that demand for products is growing (</w:t>
      </w:r>
      <w:proofErr w:type="spellStart"/>
      <w:r>
        <w:rPr>
          <w:rFonts w:cs="Times New Roman"/>
          <w:color w:val="000000" w:themeColor="text1"/>
        </w:rPr>
        <w:t>Benav</w:t>
      </w:r>
      <w:r w:rsidR="00B366E9">
        <w:rPr>
          <w:rFonts w:cs="Times New Roman"/>
          <w:color w:val="000000" w:themeColor="text1"/>
        </w:rPr>
        <w:t>a</w:t>
      </w:r>
      <w:r>
        <w:rPr>
          <w:rFonts w:cs="Times New Roman"/>
          <w:color w:val="000000" w:themeColor="text1"/>
        </w:rPr>
        <w:t>v</w:t>
      </w:r>
      <w:proofErr w:type="spellEnd"/>
      <w:r>
        <w:rPr>
          <w:rFonts w:cs="Times New Roman"/>
          <w:color w:val="000000" w:themeColor="text1"/>
        </w:rPr>
        <w:t xml:space="preserve">, 2020). This </w:t>
      </w:r>
      <w:r w:rsidR="00A015D1">
        <w:rPr>
          <w:rFonts w:cs="Times New Roman"/>
          <w:color w:val="000000" w:themeColor="text1"/>
        </w:rPr>
        <w:t xml:space="preserve">is </w:t>
      </w:r>
      <w:r>
        <w:rPr>
          <w:rFonts w:cs="Times New Roman"/>
          <w:color w:val="000000" w:themeColor="text1"/>
        </w:rPr>
        <w:t xml:space="preserve">precisely what we see with Apple </w:t>
      </w:r>
      <w:proofErr w:type="spellStart"/>
      <w:r>
        <w:rPr>
          <w:rFonts w:cs="Times New Roman"/>
          <w:color w:val="000000" w:themeColor="text1"/>
        </w:rPr>
        <w:t>inc</w:t>
      </w:r>
      <w:proofErr w:type="spellEnd"/>
      <w:r>
        <w:rPr>
          <w:rFonts w:cs="Times New Roman"/>
          <w:color w:val="000000" w:themeColor="text1"/>
        </w:rPr>
        <w:t xml:space="preserve"> </w:t>
      </w:r>
      <w:proofErr w:type="gramStart"/>
      <w:r>
        <w:rPr>
          <w:rFonts w:cs="Times New Roman"/>
          <w:color w:val="000000" w:themeColor="text1"/>
        </w:rPr>
        <w:t>at the moment</w:t>
      </w:r>
      <w:proofErr w:type="gramEnd"/>
      <w:r>
        <w:rPr>
          <w:rFonts w:cs="Times New Roman"/>
          <w:color w:val="000000" w:themeColor="text1"/>
        </w:rPr>
        <w:t xml:space="preserve">, they are sitting on over 4bn dollars, with no incentive to invest and other large technology firms, such as Boeing, </w:t>
      </w:r>
      <w:r w:rsidR="00A015D1">
        <w:rPr>
          <w:rFonts w:cs="Times New Roman"/>
          <w:color w:val="000000" w:themeColor="text1"/>
        </w:rPr>
        <w:t xml:space="preserve">who </w:t>
      </w:r>
      <w:r>
        <w:rPr>
          <w:rFonts w:cs="Times New Roman"/>
          <w:color w:val="000000" w:themeColor="text1"/>
        </w:rPr>
        <w:t>are using profits not to re-invest in new technology, but to buy back their own shares. Given that returns to investment in R&amp;D have fallen from 2.7% (1970-1979) to 1.2% (2012-2019)</w:t>
      </w:r>
      <w:r w:rsidR="00A015D1">
        <w:rPr>
          <w:rFonts w:cs="Times New Roman"/>
          <w:color w:val="000000" w:themeColor="text1"/>
        </w:rPr>
        <w:t xml:space="preserve"> avoiding big technology investments is perhaps </w:t>
      </w:r>
      <w:r>
        <w:rPr>
          <w:rFonts w:cs="Times New Roman"/>
          <w:color w:val="000000" w:themeColor="text1"/>
        </w:rPr>
        <w:t xml:space="preserve">a sensible survival strategy.  </w:t>
      </w:r>
    </w:p>
    <w:p w14:paraId="0D5F767B" w14:textId="77777777" w:rsidR="00F33000" w:rsidRDefault="00F33000" w:rsidP="00F33000">
      <w:pPr>
        <w:jc w:val="both"/>
        <w:rPr>
          <w:rFonts w:cs="Times New Roman"/>
          <w:color w:val="000000" w:themeColor="text1"/>
        </w:rPr>
      </w:pPr>
    </w:p>
    <w:p w14:paraId="22510076" w14:textId="7633296C" w:rsidR="00F33000" w:rsidRDefault="00F33000" w:rsidP="00F33000">
      <w:pPr>
        <w:jc w:val="both"/>
      </w:pPr>
      <w:r>
        <w:rPr>
          <w:rFonts w:cs="Times New Roman"/>
          <w:color w:val="000000" w:themeColor="text1"/>
        </w:rPr>
        <w:t xml:space="preserve">The support-based policy intervention is of course based implicitly on the idea that investment in innovation leads to economic growth. This may be true in areas where there remains growth potential, such as those firms increasing their </w:t>
      </w:r>
      <w:r w:rsidR="00A015D1">
        <w:rPr>
          <w:rFonts w:cs="Times New Roman"/>
          <w:color w:val="000000" w:themeColor="text1"/>
        </w:rPr>
        <w:t>share</w:t>
      </w:r>
      <w:r>
        <w:rPr>
          <w:rFonts w:cs="Times New Roman"/>
          <w:color w:val="000000" w:themeColor="text1"/>
        </w:rPr>
        <w:t xml:space="preserve"> of existing markets (this has been the case where the retreat of the state has ceded service provision to the private sector) or where new products are created to replace old ones (such as the smart phone</w:t>
      </w:r>
      <w:proofErr w:type="gramStart"/>
      <w:r>
        <w:rPr>
          <w:rFonts w:cs="Times New Roman"/>
          <w:color w:val="000000" w:themeColor="text1"/>
        </w:rPr>
        <w:t>)</w:t>
      </w:r>
      <w:proofErr w:type="gramEnd"/>
      <w:r>
        <w:rPr>
          <w:rFonts w:cs="Times New Roman"/>
          <w:color w:val="000000" w:themeColor="text1"/>
        </w:rPr>
        <w:t xml:space="preserve"> but this remains a zero-sum gain in terms of growth and job creation.    </w:t>
      </w:r>
    </w:p>
    <w:p w14:paraId="188B760D" w14:textId="77777777" w:rsidR="00F33000" w:rsidRDefault="00F33000" w:rsidP="00F33000">
      <w:pPr>
        <w:jc w:val="both"/>
      </w:pPr>
    </w:p>
    <w:p w14:paraId="41FBA7DA" w14:textId="568D1CF6" w:rsidR="00407F80" w:rsidRDefault="00F33000" w:rsidP="00F33000">
      <w:pPr>
        <w:jc w:val="both"/>
        <w:rPr>
          <w:rFonts w:cs="Times New Roman"/>
          <w:color w:val="000000" w:themeColor="text1"/>
        </w:rPr>
      </w:pPr>
      <w:r>
        <w:rPr>
          <w:rFonts w:cs="Times New Roman"/>
          <w:color w:val="000000" w:themeColor="text1"/>
        </w:rPr>
        <w:t xml:space="preserve">It follows that active and risky investment in greater productive efficiency industry 4.0 may not be a sensible option for </w:t>
      </w:r>
      <w:proofErr w:type="gramStart"/>
      <w:r>
        <w:rPr>
          <w:rFonts w:cs="Times New Roman"/>
          <w:color w:val="000000" w:themeColor="text1"/>
        </w:rPr>
        <w:t>the majority of</w:t>
      </w:r>
      <w:proofErr w:type="gramEnd"/>
      <w:r>
        <w:rPr>
          <w:rFonts w:cs="Times New Roman"/>
          <w:color w:val="000000" w:themeColor="text1"/>
        </w:rPr>
        <w:t xml:space="preserve"> firms – indeed, at the level of the economy, it may simply lead to more over-capacity that is already causing manufacturing its</w:t>
      </w:r>
      <w:r w:rsidR="00A015D1">
        <w:rPr>
          <w:rFonts w:cs="Times New Roman"/>
          <w:color w:val="000000" w:themeColor="text1"/>
        </w:rPr>
        <w:t>’</w:t>
      </w:r>
      <w:r>
        <w:rPr>
          <w:rFonts w:cs="Times New Roman"/>
          <w:color w:val="000000" w:themeColor="text1"/>
        </w:rPr>
        <w:t xml:space="preserve"> woes.  Seen from the perspective of the individual firm, projects like GI4.0 are in effect pressuring </w:t>
      </w:r>
      <w:r w:rsidR="00A015D1">
        <w:rPr>
          <w:rFonts w:cs="Times New Roman"/>
          <w:color w:val="000000" w:themeColor="text1"/>
        </w:rPr>
        <w:t>individual firms</w:t>
      </w:r>
      <w:r>
        <w:rPr>
          <w:rFonts w:cs="Times New Roman"/>
          <w:color w:val="000000" w:themeColor="text1"/>
        </w:rPr>
        <w:t xml:space="preserve"> to take the risks of innovation</w:t>
      </w:r>
      <w:r w:rsidR="00A015D1">
        <w:rPr>
          <w:rFonts w:cs="Times New Roman"/>
          <w:color w:val="000000" w:themeColor="text1"/>
        </w:rPr>
        <w:t>,</w:t>
      </w:r>
      <w:r>
        <w:rPr>
          <w:rFonts w:cs="Times New Roman"/>
          <w:color w:val="000000" w:themeColor="text1"/>
        </w:rPr>
        <w:t xml:space="preserve"> at a time when the returns on this investment are questionable. </w:t>
      </w:r>
      <w:r w:rsidR="00974911">
        <w:rPr>
          <w:rFonts w:cs="Times New Roman"/>
          <w:color w:val="000000" w:themeColor="text1"/>
        </w:rPr>
        <w:t xml:space="preserve"> </w:t>
      </w:r>
    </w:p>
    <w:p w14:paraId="3E3023C3" w14:textId="77777777" w:rsidR="006A7B89" w:rsidRDefault="006A7B89" w:rsidP="002809E4">
      <w:pPr>
        <w:jc w:val="both"/>
        <w:rPr>
          <w:rFonts w:cs="Times New Roman"/>
          <w:color w:val="000000" w:themeColor="text1"/>
        </w:rPr>
      </w:pPr>
    </w:p>
    <w:p w14:paraId="0A8D3BB3" w14:textId="7F43AD66" w:rsidR="001E7ADA" w:rsidRPr="00E27790" w:rsidRDefault="00E27790" w:rsidP="00E27790">
      <w:pPr>
        <w:pStyle w:val="ListParagraph"/>
        <w:numPr>
          <w:ilvl w:val="0"/>
          <w:numId w:val="7"/>
        </w:numPr>
        <w:jc w:val="both"/>
        <w:rPr>
          <w:rFonts w:cs="Times New Roman"/>
          <w:color w:val="000000" w:themeColor="text1"/>
        </w:rPr>
      </w:pPr>
      <w:r>
        <w:rPr>
          <w:rFonts w:cs="Times New Roman"/>
          <w:color w:val="000000" w:themeColor="text1"/>
        </w:rPr>
        <w:t>A</w:t>
      </w:r>
      <w:r w:rsidRPr="00E27790">
        <w:rPr>
          <w:rFonts w:cs="Times New Roman"/>
          <w:color w:val="000000" w:themeColor="text1"/>
        </w:rPr>
        <w:t>ppr</w:t>
      </w:r>
      <w:r>
        <w:rPr>
          <w:rFonts w:cs="Times New Roman"/>
          <w:color w:val="000000" w:themeColor="text1"/>
        </w:rPr>
        <w:t>o</w:t>
      </w:r>
      <w:r w:rsidRPr="00E27790">
        <w:rPr>
          <w:rFonts w:cs="Times New Roman"/>
          <w:color w:val="000000" w:themeColor="text1"/>
        </w:rPr>
        <w:t>priateness</w:t>
      </w:r>
    </w:p>
    <w:p w14:paraId="69845F84" w14:textId="77777777" w:rsidR="001E7ADA" w:rsidRPr="006A7B89" w:rsidRDefault="001E7ADA" w:rsidP="002809E4">
      <w:pPr>
        <w:jc w:val="both"/>
        <w:rPr>
          <w:rFonts w:cs="Times New Roman"/>
          <w:b/>
          <w:color w:val="000000" w:themeColor="text1"/>
        </w:rPr>
      </w:pPr>
    </w:p>
    <w:p w14:paraId="3BDE7C0A" w14:textId="07799064" w:rsidR="001E7ADA" w:rsidRDefault="00E04F3C" w:rsidP="002809E4">
      <w:pPr>
        <w:jc w:val="both"/>
        <w:rPr>
          <w:rFonts w:cs="Times New Roman"/>
          <w:color w:val="000000" w:themeColor="text1"/>
        </w:rPr>
      </w:pPr>
      <w:r>
        <w:rPr>
          <w:rFonts w:cs="Times New Roman"/>
          <w:color w:val="000000" w:themeColor="text1"/>
        </w:rPr>
        <w:t>Foxcon</w:t>
      </w:r>
      <w:r w:rsidR="008C7449">
        <w:rPr>
          <w:rFonts w:cs="Times New Roman"/>
          <w:color w:val="000000" w:themeColor="text1"/>
        </w:rPr>
        <w:t>n</w:t>
      </w:r>
      <w:r>
        <w:rPr>
          <w:rFonts w:cs="Times New Roman"/>
          <w:color w:val="000000" w:themeColor="text1"/>
        </w:rPr>
        <w:t xml:space="preserve">, the Apple </w:t>
      </w:r>
      <w:proofErr w:type="spellStart"/>
      <w:r>
        <w:rPr>
          <w:rFonts w:cs="Times New Roman"/>
          <w:color w:val="000000" w:themeColor="text1"/>
        </w:rPr>
        <w:t>Iphone</w:t>
      </w:r>
      <w:proofErr w:type="spellEnd"/>
      <w:r>
        <w:rPr>
          <w:rFonts w:cs="Times New Roman"/>
          <w:color w:val="000000" w:themeColor="text1"/>
        </w:rPr>
        <w:t xml:space="preserve"> assembly giant, has its workers sitting around tables assembling </w:t>
      </w:r>
      <w:proofErr w:type="spellStart"/>
      <w:r>
        <w:rPr>
          <w:rFonts w:cs="Times New Roman"/>
          <w:color w:val="000000" w:themeColor="text1"/>
        </w:rPr>
        <w:t>Iphones</w:t>
      </w:r>
      <w:proofErr w:type="spellEnd"/>
      <w:r>
        <w:rPr>
          <w:rFonts w:cs="Times New Roman"/>
          <w:color w:val="000000" w:themeColor="text1"/>
        </w:rPr>
        <w:t xml:space="preserve"> by hand from piles of components </w:t>
      </w:r>
      <w:r w:rsidR="00043957">
        <w:rPr>
          <w:rFonts w:cs="Times New Roman"/>
          <w:color w:val="000000" w:themeColor="text1"/>
        </w:rPr>
        <w:t>lying on</w:t>
      </w:r>
      <w:r w:rsidR="00D76353">
        <w:rPr>
          <w:rFonts w:cs="Times New Roman"/>
          <w:color w:val="000000" w:themeColor="text1"/>
        </w:rPr>
        <w:t xml:space="preserve"> </w:t>
      </w:r>
      <w:r>
        <w:rPr>
          <w:rFonts w:cs="Times New Roman"/>
          <w:color w:val="000000" w:themeColor="text1"/>
        </w:rPr>
        <w:t xml:space="preserve">the table. The automation technologies </w:t>
      </w:r>
      <w:r w:rsidR="008C7449">
        <w:rPr>
          <w:rFonts w:cs="Times New Roman"/>
          <w:color w:val="000000" w:themeColor="text1"/>
        </w:rPr>
        <w:t xml:space="preserve">that could </w:t>
      </w:r>
      <w:r>
        <w:rPr>
          <w:rFonts w:cs="Times New Roman"/>
          <w:color w:val="000000" w:themeColor="text1"/>
        </w:rPr>
        <w:t xml:space="preserve">do this work are well established – and would barely count as innovation, but they are not adopted. The reason for this is partly </w:t>
      </w:r>
      <w:proofErr w:type="gramStart"/>
      <w:r>
        <w:rPr>
          <w:rFonts w:cs="Times New Roman"/>
          <w:color w:val="000000" w:themeColor="text1"/>
        </w:rPr>
        <w:t>low</w:t>
      </w:r>
      <w:r w:rsidR="008C7449">
        <w:rPr>
          <w:rFonts w:cs="Times New Roman"/>
          <w:color w:val="000000" w:themeColor="text1"/>
        </w:rPr>
        <w:t>-</w:t>
      </w:r>
      <w:r>
        <w:rPr>
          <w:rFonts w:cs="Times New Roman"/>
          <w:color w:val="000000" w:themeColor="text1"/>
        </w:rPr>
        <w:t>wages</w:t>
      </w:r>
      <w:proofErr w:type="gramEnd"/>
      <w:r>
        <w:rPr>
          <w:rFonts w:cs="Times New Roman"/>
          <w:color w:val="000000" w:themeColor="text1"/>
        </w:rPr>
        <w:t xml:space="preserve">, but it is </w:t>
      </w:r>
      <w:r w:rsidR="001E7ADA">
        <w:rPr>
          <w:rFonts w:cs="Times New Roman"/>
          <w:color w:val="000000" w:themeColor="text1"/>
        </w:rPr>
        <w:t xml:space="preserve">also the specific context in which the firm operates. </w:t>
      </w:r>
      <w:r>
        <w:rPr>
          <w:rFonts w:cs="Times New Roman"/>
          <w:color w:val="000000" w:themeColor="text1"/>
        </w:rPr>
        <w:t>To keep its products up-to date and allow last</w:t>
      </w:r>
      <w:r w:rsidR="008C7449">
        <w:rPr>
          <w:rFonts w:cs="Times New Roman"/>
          <w:color w:val="000000" w:themeColor="text1"/>
        </w:rPr>
        <w:t>-</w:t>
      </w:r>
      <w:r>
        <w:rPr>
          <w:rFonts w:cs="Times New Roman"/>
          <w:color w:val="000000" w:themeColor="text1"/>
        </w:rPr>
        <w:t>minute changes</w:t>
      </w:r>
      <w:r w:rsidR="008C7449">
        <w:rPr>
          <w:rFonts w:cs="Times New Roman"/>
          <w:color w:val="000000" w:themeColor="text1"/>
        </w:rPr>
        <w:t xml:space="preserve"> Apple prefers </w:t>
      </w:r>
      <w:proofErr w:type="gramStart"/>
      <w:r w:rsidR="008C7449">
        <w:rPr>
          <w:rFonts w:cs="Times New Roman"/>
          <w:color w:val="000000" w:themeColor="text1"/>
        </w:rPr>
        <w:t>on-tap</w:t>
      </w:r>
      <w:proofErr w:type="gramEnd"/>
      <w:r w:rsidR="008C7449">
        <w:rPr>
          <w:rFonts w:cs="Times New Roman"/>
          <w:color w:val="000000" w:themeColor="text1"/>
        </w:rPr>
        <w:t xml:space="preserve"> human hands. </w:t>
      </w:r>
      <w:r>
        <w:rPr>
          <w:rFonts w:cs="Times New Roman"/>
          <w:color w:val="000000" w:themeColor="text1"/>
        </w:rPr>
        <w:t xml:space="preserve"> </w:t>
      </w:r>
      <w:r w:rsidR="008C7449">
        <w:rPr>
          <w:rFonts w:cs="Times New Roman"/>
          <w:color w:val="000000" w:themeColor="text1"/>
        </w:rPr>
        <w:t>I</w:t>
      </w:r>
      <w:r>
        <w:rPr>
          <w:rFonts w:cs="Times New Roman"/>
          <w:color w:val="000000" w:themeColor="text1"/>
        </w:rPr>
        <w:t>n one instance</w:t>
      </w:r>
      <w:r w:rsidR="00B366E9">
        <w:rPr>
          <w:rFonts w:cs="Times New Roman"/>
          <w:color w:val="000000" w:themeColor="text1"/>
        </w:rPr>
        <w:t>, for example,</w:t>
      </w:r>
      <w:r>
        <w:rPr>
          <w:rFonts w:cs="Times New Roman"/>
          <w:color w:val="000000" w:themeColor="text1"/>
        </w:rPr>
        <w:t xml:space="preserve"> Apple decided </w:t>
      </w:r>
      <w:r w:rsidR="00B366E9">
        <w:rPr>
          <w:rFonts w:cs="Times New Roman"/>
          <w:color w:val="000000" w:themeColor="text1"/>
        </w:rPr>
        <w:t xml:space="preserve">last minute, </w:t>
      </w:r>
      <w:r w:rsidR="00043957">
        <w:rPr>
          <w:rFonts w:cs="Times New Roman"/>
          <w:color w:val="000000" w:themeColor="text1"/>
        </w:rPr>
        <w:t xml:space="preserve">that </w:t>
      </w:r>
      <w:r>
        <w:rPr>
          <w:rFonts w:cs="Times New Roman"/>
          <w:color w:val="000000" w:themeColor="text1"/>
        </w:rPr>
        <w:t>it wanted to use glass instead of plastic screens</w:t>
      </w:r>
      <w:r w:rsidR="00043957">
        <w:rPr>
          <w:rFonts w:cs="Times New Roman"/>
          <w:color w:val="000000" w:themeColor="text1"/>
        </w:rPr>
        <w:t xml:space="preserve"> in its </w:t>
      </w:r>
      <w:proofErr w:type="spellStart"/>
      <w:r w:rsidR="00043957">
        <w:rPr>
          <w:rFonts w:cs="Times New Roman"/>
          <w:color w:val="000000" w:themeColor="text1"/>
        </w:rPr>
        <w:t>Iphone</w:t>
      </w:r>
      <w:proofErr w:type="spellEnd"/>
      <w:r w:rsidR="00043957">
        <w:rPr>
          <w:rFonts w:cs="Times New Roman"/>
          <w:color w:val="000000" w:themeColor="text1"/>
        </w:rPr>
        <w:t xml:space="preserve"> 5</w:t>
      </w:r>
      <w:r>
        <w:rPr>
          <w:rFonts w:cs="Times New Roman"/>
          <w:color w:val="000000" w:themeColor="text1"/>
        </w:rPr>
        <w:t xml:space="preserve">. The workers, who live in dormitories at the factory, were woken up, given a cup of tea and a biscuit, and sent down to the cavernous assembly rooms where they </w:t>
      </w:r>
      <w:r w:rsidR="008C7449">
        <w:rPr>
          <w:rFonts w:cs="Times New Roman"/>
          <w:color w:val="000000" w:themeColor="text1"/>
        </w:rPr>
        <w:t xml:space="preserve">set about </w:t>
      </w:r>
      <w:r>
        <w:rPr>
          <w:rFonts w:cs="Times New Roman"/>
          <w:color w:val="000000" w:themeColor="text1"/>
        </w:rPr>
        <w:t>stripp</w:t>
      </w:r>
      <w:r w:rsidR="008C7449">
        <w:rPr>
          <w:rFonts w:cs="Times New Roman"/>
          <w:color w:val="000000" w:themeColor="text1"/>
        </w:rPr>
        <w:t>ing</w:t>
      </w:r>
      <w:r>
        <w:rPr>
          <w:rFonts w:cs="Times New Roman"/>
          <w:color w:val="000000" w:themeColor="text1"/>
        </w:rPr>
        <w:t xml:space="preserve"> out the already installed plastic screens and replac</w:t>
      </w:r>
      <w:r w:rsidR="008C7449">
        <w:rPr>
          <w:rFonts w:cs="Times New Roman"/>
          <w:color w:val="000000" w:themeColor="text1"/>
        </w:rPr>
        <w:t>ing</w:t>
      </w:r>
      <w:r>
        <w:rPr>
          <w:rFonts w:cs="Times New Roman"/>
          <w:color w:val="000000" w:themeColor="text1"/>
        </w:rPr>
        <w:t xml:space="preserve"> them with glass ones</w:t>
      </w:r>
      <w:r w:rsidR="001E7ADA">
        <w:rPr>
          <w:rFonts w:cs="Times New Roman"/>
          <w:color w:val="000000" w:themeColor="text1"/>
        </w:rPr>
        <w:t xml:space="preserve"> (Freeman, 2018)</w:t>
      </w:r>
      <w:r>
        <w:rPr>
          <w:rFonts w:cs="Times New Roman"/>
          <w:color w:val="000000" w:themeColor="text1"/>
        </w:rPr>
        <w:t>.</w:t>
      </w:r>
      <w:r w:rsidR="001E7ADA">
        <w:rPr>
          <w:rFonts w:cs="Times New Roman"/>
          <w:color w:val="000000" w:themeColor="text1"/>
        </w:rPr>
        <w:t xml:space="preserve"> In our own ongoing research, we have seen digital technologies, in </w:t>
      </w:r>
      <w:r w:rsidR="00E27790">
        <w:rPr>
          <w:rFonts w:cs="Times New Roman"/>
          <w:color w:val="000000" w:themeColor="text1"/>
        </w:rPr>
        <w:t>one</w:t>
      </w:r>
      <w:r w:rsidR="001E7ADA">
        <w:rPr>
          <w:rFonts w:cs="Times New Roman"/>
          <w:color w:val="000000" w:themeColor="text1"/>
        </w:rPr>
        <w:t xml:space="preserve"> case a boiler repair diagnostic system, maintained for a decade and then abandoned. </w:t>
      </w:r>
      <w:r w:rsidR="00043957">
        <w:rPr>
          <w:rFonts w:cs="Times New Roman"/>
          <w:color w:val="000000" w:themeColor="text1"/>
        </w:rPr>
        <w:t xml:space="preserve">Large commercial aircraft can, in theory, pilot themselves from airport to airport - they </w:t>
      </w:r>
      <w:proofErr w:type="gramStart"/>
      <w:r w:rsidR="00043957">
        <w:rPr>
          <w:rFonts w:cs="Times New Roman"/>
          <w:color w:val="000000" w:themeColor="text1"/>
        </w:rPr>
        <w:t>don’t</w:t>
      </w:r>
      <w:proofErr w:type="gramEnd"/>
      <w:r w:rsidR="00043957">
        <w:rPr>
          <w:rFonts w:cs="Times New Roman"/>
          <w:color w:val="000000" w:themeColor="text1"/>
        </w:rPr>
        <w:t xml:space="preserve"> need </w:t>
      </w:r>
      <w:r w:rsidR="00E27790">
        <w:rPr>
          <w:rFonts w:cs="Times New Roman"/>
          <w:color w:val="000000" w:themeColor="text1"/>
        </w:rPr>
        <w:t xml:space="preserve">even one </w:t>
      </w:r>
      <w:r w:rsidR="00043957">
        <w:rPr>
          <w:rFonts w:cs="Times New Roman"/>
          <w:color w:val="000000" w:themeColor="text1"/>
        </w:rPr>
        <w:t>pilot.</w:t>
      </w:r>
      <w:r w:rsidR="00E27790">
        <w:rPr>
          <w:rFonts w:cs="Times New Roman"/>
          <w:color w:val="000000" w:themeColor="text1"/>
        </w:rPr>
        <w:t xml:space="preserve"> </w:t>
      </w:r>
      <w:r w:rsidR="00043957">
        <w:rPr>
          <w:rFonts w:cs="Times New Roman"/>
          <w:color w:val="000000" w:themeColor="text1"/>
        </w:rPr>
        <w:t xml:space="preserve">Yet two </w:t>
      </w:r>
      <w:r w:rsidR="00E27790">
        <w:rPr>
          <w:rFonts w:cs="Times New Roman"/>
          <w:color w:val="000000" w:themeColor="text1"/>
        </w:rPr>
        <w:t xml:space="preserve">pilots </w:t>
      </w:r>
      <w:r w:rsidR="00043957">
        <w:rPr>
          <w:rFonts w:cs="Times New Roman"/>
          <w:color w:val="000000" w:themeColor="text1"/>
        </w:rPr>
        <w:t>remain in every aircraft – held in place by powerful unions and public opinion</w:t>
      </w:r>
      <w:r w:rsidR="00E27790">
        <w:rPr>
          <w:rFonts w:cs="Times New Roman"/>
          <w:color w:val="000000" w:themeColor="text1"/>
        </w:rPr>
        <w:t xml:space="preserve"> – it would be difficult to argue that automation has been a good investment for this repair company or for airlines. </w:t>
      </w:r>
      <w:r w:rsidR="00043957">
        <w:rPr>
          <w:rFonts w:cs="Times New Roman"/>
          <w:color w:val="000000" w:themeColor="text1"/>
        </w:rPr>
        <w:t xml:space="preserve">  </w:t>
      </w:r>
    </w:p>
    <w:p w14:paraId="57255CCE" w14:textId="31B30548" w:rsidR="00B63AF3" w:rsidRDefault="001E7ADA" w:rsidP="002809E4">
      <w:pPr>
        <w:jc w:val="both"/>
        <w:rPr>
          <w:rFonts w:cs="Times New Roman"/>
          <w:color w:val="000000" w:themeColor="text1"/>
        </w:rPr>
      </w:pPr>
      <w:r>
        <w:rPr>
          <w:rFonts w:cs="Times New Roman"/>
          <w:color w:val="000000" w:themeColor="text1"/>
        </w:rPr>
        <w:t xml:space="preserve"> </w:t>
      </w:r>
    </w:p>
    <w:p w14:paraId="1C9F9243" w14:textId="7C53E0E4" w:rsidR="00B63AF3" w:rsidRDefault="00B63AF3" w:rsidP="00A81F63">
      <w:pPr>
        <w:pStyle w:val="Heading1"/>
      </w:pPr>
      <w:r w:rsidRPr="00B63AF3">
        <w:t>Conclusion</w:t>
      </w:r>
    </w:p>
    <w:p w14:paraId="6103E0FA" w14:textId="77777777" w:rsidR="002A768F" w:rsidRDefault="002A768F" w:rsidP="002809E4">
      <w:pPr>
        <w:jc w:val="both"/>
        <w:rPr>
          <w:rFonts w:cs="Times New Roman"/>
          <w:color w:val="000000" w:themeColor="text1"/>
        </w:rPr>
      </w:pPr>
    </w:p>
    <w:p w14:paraId="1C8FD6E1" w14:textId="1A220F97" w:rsidR="002A768F" w:rsidRDefault="00E44C19" w:rsidP="002809E4">
      <w:pPr>
        <w:jc w:val="both"/>
        <w:rPr>
          <w:rFonts w:cs="Times New Roman"/>
          <w:color w:val="000000" w:themeColor="text1"/>
        </w:rPr>
      </w:pPr>
      <w:r w:rsidRPr="001E7ADA">
        <w:rPr>
          <w:rFonts w:cs="Times New Roman"/>
          <w:color w:val="000000" w:themeColor="text1"/>
        </w:rPr>
        <w:t xml:space="preserve">The models </w:t>
      </w:r>
      <w:r w:rsidR="00884D66" w:rsidRPr="001E7ADA">
        <w:rPr>
          <w:rFonts w:cs="Times New Roman"/>
          <w:color w:val="000000" w:themeColor="text1"/>
        </w:rPr>
        <w:t xml:space="preserve">used by policy makers </w:t>
      </w:r>
      <w:r w:rsidR="00FC4493">
        <w:rPr>
          <w:rFonts w:cs="Times New Roman"/>
          <w:color w:val="000000" w:themeColor="text1"/>
        </w:rPr>
        <w:t xml:space="preserve">and consultants </w:t>
      </w:r>
      <w:r w:rsidR="0060035D">
        <w:rPr>
          <w:rFonts w:cs="Times New Roman"/>
          <w:color w:val="000000" w:themeColor="text1"/>
        </w:rPr>
        <w:t xml:space="preserve">create simple and compelling </w:t>
      </w:r>
      <w:r w:rsidR="00D76353">
        <w:rPr>
          <w:rFonts w:cs="Times New Roman"/>
          <w:color w:val="000000" w:themeColor="text1"/>
        </w:rPr>
        <w:t xml:space="preserve">narratives (diffusion, </w:t>
      </w:r>
      <w:r w:rsidR="00FC4493">
        <w:rPr>
          <w:rFonts w:cs="Times New Roman"/>
          <w:color w:val="000000" w:themeColor="text1"/>
        </w:rPr>
        <w:t xml:space="preserve">support, </w:t>
      </w:r>
      <w:r w:rsidR="00D76353">
        <w:rPr>
          <w:rFonts w:cs="Times New Roman"/>
          <w:color w:val="000000" w:themeColor="text1"/>
        </w:rPr>
        <w:t>developmental journeys) that provide simple and plausible problem-solution couplings (Kuhn, 1962)</w:t>
      </w:r>
      <w:r w:rsidR="0060035D">
        <w:rPr>
          <w:rFonts w:cs="Times New Roman"/>
          <w:color w:val="000000" w:themeColor="text1"/>
        </w:rPr>
        <w:t xml:space="preserve"> </w:t>
      </w:r>
      <w:r w:rsidR="00FC4493">
        <w:rPr>
          <w:rFonts w:cs="Times New Roman"/>
          <w:color w:val="000000" w:themeColor="text1"/>
        </w:rPr>
        <w:t xml:space="preserve">and these provide clear </w:t>
      </w:r>
      <w:r w:rsidR="0060035D">
        <w:rPr>
          <w:rFonts w:cs="Times New Roman"/>
          <w:color w:val="000000" w:themeColor="text1"/>
        </w:rPr>
        <w:t xml:space="preserve">rationales for investment in </w:t>
      </w:r>
      <w:r w:rsidR="00A015D1">
        <w:rPr>
          <w:rFonts w:cs="Times New Roman"/>
          <w:color w:val="000000" w:themeColor="text1"/>
        </w:rPr>
        <w:t>support</w:t>
      </w:r>
      <w:r w:rsidR="0060035D">
        <w:rPr>
          <w:rFonts w:cs="Times New Roman"/>
          <w:color w:val="000000" w:themeColor="text1"/>
        </w:rPr>
        <w:t xml:space="preserve"> and knowledge exchange.</w:t>
      </w:r>
      <w:r w:rsidR="00D76353">
        <w:rPr>
          <w:rFonts w:cs="Times New Roman"/>
          <w:color w:val="000000" w:themeColor="text1"/>
        </w:rPr>
        <w:t xml:space="preserve"> </w:t>
      </w:r>
      <w:r w:rsidR="00FC4493">
        <w:rPr>
          <w:rFonts w:cs="Times New Roman"/>
          <w:color w:val="000000" w:themeColor="text1"/>
        </w:rPr>
        <w:t>However, these narratives also trap us into asking a limited number of questions. As academics we need to rise above hype, technological hubris and given problem-solution couplings. We need to focus first and foremost on the contextual factors which shape SME decision making. In so doing, we must allow that not acting in a way that fits with policy makers</w:t>
      </w:r>
      <w:r w:rsidR="00A015D1">
        <w:rPr>
          <w:rFonts w:cs="Times New Roman"/>
          <w:color w:val="000000" w:themeColor="text1"/>
        </w:rPr>
        <w:t>’</w:t>
      </w:r>
      <w:r w:rsidR="00FC4493">
        <w:rPr>
          <w:rFonts w:cs="Times New Roman"/>
          <w:color w:val="000000" w:themeColor="text1"/>
        </w:rPr>
        <w:t xml:space="preserve"> economic and social models may also make sense – not adopting industry 4.0 must be seen as a legitimate rather than a luddite act.  We must also look to the bigger picture of that context, how, for example, are the economic conditions experienced by SMEs and how does this shape their decision making? Finally, we must understand SMEs as consumers of technology and seek to understand how that consumption is constructed. SMEs are not getting in the way of </w:t>
      </w:r>
      <w:proofErr w:type="gramStart"/>
      <w:r w:rsidR="00FC4493">
        <w:rPr>
          <w:rFonts w:cs="Times New Roman"/>
          <w:color w:val="000000" w:themeColor="text1"/>
        </w:rPr>
        <w:t>diffusion,</w:t>
      </w:r>
      <w:proofErr w:type="gramEnd"/>
      <w:r w:rsidR="00FC4493">
        <w:rPr>
          <w:rFonts w:cs="Times New Roman"/>
          <w:color w:val="000000" w:themeColor="text1"/>
        </w:rPr>
        <w:t xml:space="preserve"> they are displaying consumption patterns that reflect lived-realities – complex realities that policy makers and consultants seem presently unwilling to try and access. </w:t>
      </w:r>
    </w:p>
    <w:p w14:paraId="29955410" w14:textId="77777777" w:rsidR="002A768F" w:rsidRDefault="002A768F" w:rsidP="002809E4">
      <w:pPr>
        <w:jc w:val="both"/>
        <w:rPr>
          <w:rFonts w:cs="Times New Roman"/>
          <w:color w:val="000000" w:themeColor="text1"/>
        </w:rPr>
      </w:pPr>
    </w:p>
    <w:p w14:paraId="5CE74D1D" w14:textId="77777777" w:rsidR="00FC4493" w:rsidRDefault="00884D66" w:rsidP="002809E4">
      <w:pPr>
        <w:jc w:val="both"/>
        <w:rPr>
          <w:rFonts w:cs="Times New Roman"/>
          <w:color w:val="000000" w:themeColor="text1"/>
        </w:rPr>
      </w:pPr>
      <w:r w:rsidRPr="001E7ADA">
        <w:rPr>
          <w:rFonts w:cs="Times New Roman"/>
          <w:color w:val="000000" w:themeColor="text1"/>
        </w:rPr>
        <w:t xml:space="preserve"> </w:t>
      </w:r>
    </w:p>
    <w:p w14:paraId="6FC043BD" w14:textId="4F57C7EF" w:rsidR="00E44C19" w:rsidRPr="00AB00B2" w:rsidRDefault="00FC4493" w:rsidP="00A81F63">
      <w:pPr>
        <w:pStyle w:val="Heading1"/>
      </w:pPr>
      <w:r w:rsidRPr="00AB00B2">
        <w:t>References</w:t>
      </w:r>
      <w:r w:rsidR="00884D66" w:rsidRPr="00AB00B2">
        <w:t xml:space="preserve">  </w:t>
      </w:r>
    </w:p>
    <w:p w14:paraId="021EB389" w14:textId="77777777" w:rsidR="00884D66" w:rsidRPr="001E7ADA" w:rsidRDefault="00884D66" w:rsidP="002809E4">
      <w:pPr>
        <w:jc w:val="both"/>
        <w:rPr>
          <w:rFonts w:cs="Times New Roman"/>
          <w:color w:val="000000" w:themeColor="text1"/>
        </w:rPr>
      </w:pPr>
    </w:p>
    <w:p w14:paraId="3CAC8607" w14:textId="109650D4" w:rsidR="00FC4493" w:rsidRPr="00ED3905" w:rsidRDefault="00FC4493" w:rsidP="00FC4493">
      <w:pPr>
        <w:pStyle w:val="xxmsonormal"/>
        <w:shd w:val="clear" w:color="auto" w:fill="FFFFFF"/>
        <w:rPr>
          <w:rFonts w:asciiTheme="minorHAnsi" w:eastAsiaTheme="minorHAnsi" w:hAnsiTheme="minorHAnsi"/>
          <w:color w:val="000000" w:themeColor="text1"/>
        </w:rPr>
      </w:pPr>
      <w:r w:rsidRPr="00ED3905">
        <w:rPr>
          <w:rFonts w:asciiTheme="minorHAnsi" w:eastAsiaTheme="minorHAnsi" w:hAnsiTheme="minorHAnsi"/>
          <w:color w:val="000000" w:themeColor="text1"/>
        </w:rPr>
        <w:t xml:space="preserve">Brynjolfsson, E., &amp; McAfee, A. (2014). The second machine age: Work, progress, and prosperity in a time of brilliant </w:t>
      </w:r>
      <w:proofErr w:type="spellStart"/>
      <w:r w:rsidRPr="00ED3905">
        <w:rPr>
          <w:rFonts w:asciiTheme="minorHAnsi" w:eastAsiaTheme="minorHAnsi" w:hAnsiTheme="minorHAnsi"/>
          <w:color w:val="000000" w:themeColor="text1"/>
        </w:rPr>
        <w:t>echnologies</w:t>
      </w:r>
      <w:proofErr w:type="spellEnd"/>
      <w:r w:rsidRPr="00ED3905">
        <w:rPr>
          <w:rFonts w:asciiTheme="minorHAnsi" w:eastAsiaTheme="minorHAnsi" w:hAnsiTheme="minorHAnsi"/>
          <w:color w:val="000000" w:themeColor="text1"/>
        </w:rPr>
        <w:t>: WW Norton &amp; Company.</w:t>
      </w:r>
    </w:p>
    <w:p w14:paraId="7FC662F0" w14:textId="77777777" w:rsidR="00ED3905" w:rsidRPr="00ED3905" w:rsidRDefault="00ED3905" w:rsidP="00ED3905">
      <w:pPr>
        <w:rPr>
          <w:rFonts w:cs="Times New Roman"/>
          <w:color w:val="000000" w:themeColor="text1"/>
        </w:rPr>
      </w:pPr>
      <w:proofErr w:type="spellStart"/>
      <w:r w:rsidRPr="00ED3905">
        <w:rPr>
          <w:rFonts w:cs="Times New Roman"/>
          <w:color w:val="000000" w:themeColor="text1"/>
        </w:rPr>
        <w:t>Dalenogare</w:t>
      </w:r>
      <w:proofErr w:type="spellEnd"/>
      <w:r w:rsidRPr="00ED3905">
        <w:rPr>
          <w:rFonts w:cs="Times New Roman"/>
          <w:color w:val="000000" w:themeColor="text1"/>
        </w:rPr>
        <w:t>, L. S., Benitez, G. B., Ayala, N. F., &amp; Frank, A. G. (2018). The expected contribution of Industry 4.0 technologies for industrial performance. International Journal of Production Economics, 204, 383-394.</w:t>
      </w:r>
    </w:p>
    <w:p w14:paraId="79989D53" w14:textId="7A446FC0" w:rsidR="00FC4493" w:rsidRPr="00ED3905" w:rsidRDefault="00FC4493" w:rsidP="00FC4493">
      <w:pPr>
        <w:pStyle w:val="xxmsonormal"/>
        <w:shd w:val="clear" w:color="auto" w:fill="FFFFFF"/>
        <w:rPr>
          <w:rFonts w:asciiTheme="minorHAnsi" w:eastAsiaTheme="minorHAnsi" w:hAnsiTheme="minorHAnsi"/>
          <w:color w:val="000000" w:themeColor="text1"/>
        </w:rPr>
      </w:pPr>
      <w:r w:rsidRPr="00ED3905">
        <w:rPr>
          <w:rFonts w:asciiTheme="minorHAnsi" w:eastAsiaTheme="minorHAnsi" w:hAnsiTheme="minorHAnsi"/>
          <w:color w:val="000000" w:themeColor="text1"/>
        </w:rPr>
        <w:lastRenderedPageBreak/>
        <w:t xml:space="preserve">Deloitte (2019) Industry 4.0: </w:t>
      </w:r>
      <w:proofErr w:type="spellStart"/>
      <w:r w:rsidRPr="00ED3905">
        <w:rPr>
          <w:rFonts w:asciiTheme="minorHAnsi" w:eastAsiaTheme="minorHAnsi" w:hAnsiTheme="minorHAnsi"/>
          <w:color w:val="000000" w:themeColor="text1"/>
        </w:rPr>
        <w:t>Global’s</w:t>
      </w:r>
      <w:proofErr w:type="spellEnd"/>
      <w:r w:rsidRPr="00ED3905">
        <w:rPr>
          <w:rFonts w:asciiTheme="minorHAnsi" w:eastAsiaTheme="minorHAnsi" w:hAnsiTheme="minorHAnsi"/>
          <w:color w:val="000000" w:themeColor="text1"/>
        </w:rPr>
        <w:t xml:space="preserve"> annual survey on business’s preparedness for a connected era. https://www2.deloitte.com/insights/us/en/deloitte-review/issue-22/industry-4-0-technology-manufacturing-revolution.html </w:t>
      </w:r>
    </w:p>
    <w:p w14:paraId="20484EAF" w14:textId="77777777" w:rsidR="00FC4493" w:rsidRPr="00ED3905" w:rsidRDefault="00FC4493" w:rsidP="00FC4493">
      <w:pPr>
        <w:pStyle w:val="xxmsonormal"/>
        <w:shd w:val="clear" w:color="auto" w:fill="FFFFFF"/>
        <w:rPr>
          <w:rFonts w:asciiTheme="minorHAnsi" w:eastAsiaTheme="minorHAnsi" w:hAnsiTheme="minorHAnsi"/>
          <w:color w:val="000000" w:themeColor="text1"/>
        </w:rPr>
      </w:pPr>
      <w:r w:rsidRPr="00ED3905">
        <w:rPr>
          <w:rFonts w:asciiTheme="minorHAnsi" w:eastAsiaTheme="minorHAnsi" w:hAnsiTheme="minorHAnsi"/>
          <w:color w:val="000000" w:themeColor="text1"/>
        </w:rPr>
        <w:t>Freeman, J. (2018) Behemoth: A History of the Factory and the Making of the Modern World, WW Norton and Company, NY.</w:t>
      </w:r>
    </w:p>
    <w:p w14:paraId="58BAC156" w14:textId="3237D55C" w:rsidR="00FC4493" w:rsidRPr="00ED3905" w:rsidRDefault="00FC4493" w:rsidP="00FC4493">
      <w:pPr>
        <w:pStyle w:val="xxmsonormal"/>
        <w:shd w:val="clear" w:color="auto" w:fill="FFFFFF"/>
        <w:rPr>
          <w:rFonts w:asciiTheme="minorHAnsi" w:eastAsiaTheme="minorHAnsi" w:hAnsiTheme="minorHAnsi"/>
          <w:color w:val="000000" w:themeColor="text1"/>
        </w:rPr>
      </w:pPr>
      <w:r w:rsidRPr="00ED3905">
        <w:rPr>
          <w:rFonts w:asciiTheme="minorHAnsi" w:eastAsiaTheme="minorHAnsi" w:hAnsiTheme="minorHAnsi"/>
          <w:color w:val="000000" w:themeColor="text1"/>
        </w:rPr>
        <w:t>Gordon, R. (2016) The Rise and Fall of American Growth Princeton University Press, NJ.</w:t>
      </w:r>
    </w:p>
    <w:p w14:paraId="2195D8E6" w14:textId="77777777" w:rsidR="00ED3905" w:rsidRPr="00ED3905" w:rsidRDefault="00ED3905" w:rsidP="00ED3905">
      <w:pPr>
        <w:pStyle w:val="NormalWeb"/>
        <w:rPr>
          <w:rFonts w:asciiTheme="minorHAnsi" w:eastAsiaTheme="minorHAnsi" w:hAnsiTheme="minorHAnsi"/>
          <w:color w:val="000000" w:themeColor="text1"/>
        </w:rPr>
      </w:pPr>
      <w:proofErr w:type="spellStart"/>
      <w:r w:rsidRPr="00ED3905">
        <w:rPr>
          <w:rFonts w:asciiTheme="minorHAnsi" w:eastAsiaTheme="minorHAnsi" w:hAnsiTheme="minorHAnsi"/>
          <w:color w:val="000000" w:themeColor="text1"/>
        </w:rPr>
        <w:t>Hozdić</w:t>
      </w:r>
      <w:proofErr w:type="spellEnd"/>
      <w:r w:rsidRPr="00ED3905">
        <w:rPr>
          <w:rFonts w:asciiTheme="minorHAnsi" w:eastAsiaTheme="minorHAnsi" w:hAnsiTheme="minorHAnsi"/>
          <w:color w:val="000000" w:themeColor="text1"/>
        </w:rPr>
        <w:t>, E. (2015). Smart factory for industry 4.0: A review. International Journal of Modern Manufacturing Technologies, 7(1), 28-35.</w:t>
      </w:r>
    </w:p>
    <w:p w14:paraId="5F942AA6" w14:textId="52350090" w:rsidR="00FC4493" w:rsidRPr="00ED3905" w:rsidRDefault="00FC4493" w:rsidP="00FC4493">
      <w:pPr>
        <w:pStyle w:val="xxmsonormal"/>
        <w:shd w:val="clear" w:color="auto" w:fill="FFFFFF"/>
        <w:rPr>
          <w:rFonts w:asciiTheme="minorHAnsi" w:eastAsiaTheme="minorHAnsi" w:hAnsiTheme="minorHAnsi"/>
          <w:color w:val="000000" w:themeColor="text1"/>
        </w:rPr>
      </w:pPr>
      <w:r w:rsidRPr="00ED3905">
        <w:rPr>
          <w:rFonts w:asciiTheme="minorHAnsi" w:eastAsiaTheme="minorHAnsi" w:hAnsiTheme="minorHAnsi"/>
          <w:color w:val="000000" w:themeColor="text1"/>
        </w:rPr>
        <w:t>Industrial Digitalisation Review (2017) Industrial Digitalisation Review: Interim Report. https://www.tpdegrees.com/globalassets/pdfs/research-2017/idr_interimreport_july17.pdf</w:t>
      </w:r>
    </w:p>
    <w:p w14:paraId="2ECB6828" w14:textId="1CB825F0" w:rsidR="00FC4493" w:rsidRPr="00ED3905" w:rsidRDefault="00FC4493" w:rsidP="00FC4493">
      <w:pPr>
        <w:pStyle w:val="xxmsonormal"/>
        <w:shd w:val="clear" w:color="auto" w:fill="FFFFFF"/>
        <w:rPr>
          <w:rFonts w:asciiTheme="minorHAnsi" w:eastAsiaTheme="minorHAnsi" w:hAnsiTheme="minorHAnsi"/>
          <w:color w:val="000000" w:themeColor="text1"/>
        </w:rPr>
      </w:pPr>
      <w:r w:rsidRPr="00ED3905">
        <w:rPr>
          <w:rFonts w:asciiTheme="minorHAnsi" w:eastAsiaTheme="minorHAnsi" w:hAnsiTheme="minorHAnsi"/>
          <w:color w:val="000000" w:themeColor="text1"/>
        </w:rPr>
        <w:t>Made Smarter (2017), Made Smarter Review (2017), Department for Business, Energy &amp; Industrial Strategy https://assets.publishing.service.gov.uk/government/uploads/system/uploads/attachment_data/file/655570/20171027_MadeSmarter_FINAL_DIGITAL.pdf</w:t>
      </w:r>
    </w:p>
    <w:p w14:paraId="39FE121C" w14:textId="15A361A5" w:rsidR="00FC4493" w:rsidRPr="00ED3905" w:rsidRDefault="00FC4493" w:rsidP="00FC4493">
      <w:pPr>
        <w:pStyle w:val="xxmsonormal"/>
        <w:shd w:val="clear" w:color="auto" w:fill="FFFFFF"/>
        <w:rPr>
          <w:rFonts w:asciiTheme="minorHAnsi" w:eastAsiaTheme="minorHAnsi" w:hAnsiTheme="minorHAnsi"/>
          <w:color w:val="000000" w:themeColor="text1"/>
        </w:rPr>
      </w:pPr>
      <w:r w:rsidRPr="00ED3905">
        <w:rPr>
          <w:rFonts w:asciiTheme="minorHAnsi" w:eastAsiaTheme="minorHAnsi" w:hAnsiTheme="minorHAnsi"/>
          <w:color w:val="000000" w:themeColor="text1"/>
        </w:rPr>
        <w:t xml:space="preserve">McKinsey Digital (2016) Industry 4.0 after the initial hype: Where manufacturers are finding value and how they can best capture it. </w:t>
      </w:r>
      <w:hyperlink r:id="rId8" w:history="1">
        <w:r w:rsidR="00ED3905" w:rsidRPr="00ED3905">
          <w:rPr>
            <w:rFonts w:asciiTheme="minorHAnsi" w:eastAsiaTheme="minorHAnsi" w:hAnsiTheme="minorHAnsi"/>
            <w:color w:val="000000" w:themeColor="text1"/>
          </w:rPr>
          <w:t>https://www.mckinsey.com/~/media/mckinsey/business%20functions/mckinsey%20digital/our%20insights/getting%20the%20most%20out%20of%20industry%204%200/mckinsey_industry_40_2016.ashx</w:t>
        </w:r>
      </w:hyperlink>
    </w:p>
    <w:p w14:paraId="37E5A373" w14:textId="77777777" w:rsidR="00ED3905" w:rsidRPr="00ED3905" w:rsidRDefault="00ED3905" w:rsidP="00ED3905">
      <w:pPr>
        <w:pStyle w:val="NormalWeb"/>
        <w:rPr>
          <w:rFonts w:asciiTheme="minorHAnsi" w:eastAsiaTheme="minorHAnsi" w:hAnsiTheme="minorHAnsi"/>
          <w:color w:val="000000" w:themeColor="text1"/>
        </w:rPr>
      </w:pPr>
      <w:r w:rsidRPr="00ED3905">
        <w:rPr>
          <w:rFonts w:asciiTheme="minorHAnsi" w:eastAsiaTheme="minorHAnsi" w:hAnsiTheme="minorHAnsi"/>
          <w:color w:val="000000" w:themeColor="text1"/>
        </w:rPr>
        <w:t xml:space="preserve">Nascimento, D. L. M., </w:t>
      </w:r>
      <w:proofErr w:type="spellStart"/>
      <w:r w:rsidRPr="00ED3905">
        <w:rPr>
          <w:rFonts w:asciiTheme="minorHAnsi" w:eastAsiaTheme="minorHAnsi" w:hAnsiTheme="minorHAnsi"/>
          <w:color w:val="000000" w:themeColor="text1"/>
        </w:rPr>
        <w:t>Alencastro</w:t>
      </w:r>
      <w:proofErr w:type="spellEnd"/>
      <w:r w:rsidRPr="00ED3905">
        <w:rPr>
          <w:rFonts w:asciiTheme="minorHAnsi" w:eastAsiaTheme="minorHAnsi" w:hAnsiTheme="minorHAnsi"/>
          <w:color w:val="000000" w:themeColor="text1"/>
        </w:rPr>
        <w:t xml:space="preserve">, V., </w:t>
      </w:r>
      <w:proofErr w:type="spellStart"/>
      <w:r w:rsidRPr="00ED3905">
        <w:rPr>
          <w:rFonts w:asciiTheme="minorHAnsi" w:eastAsiaTheme="minorHAnsi" w:hAnsiTheme="minorHAnsi"/>
          <w:color w:val="000000" w:themeColor="text1"/>
        </w:rPr>
        <w:t>Quelhas</w:t>
      </w:r>
      <w:proofErr w:type="spellEnd"/>
      <w:r w:rsidRPr="00ED3905">
        <w:rPr>
          <w:rFonts w:asciiTheme="minorHAnsi" w:eastAsiaTheme="minorHAnsi" w:hAnsiTheme="minorHAnsi"/>
          <w:color w:val="000000" w:themeColor="text1"/>
        </w:rPr>
        <w:t xml:space="preserve">, O. L. G., </w:t>
      </w:r>
      <w:proofErr w:type="spellStart"/>
      <w:r w:rsidRPr="00ED3905">
        <w:rPr>
          <w:rFonts w:asciiTheme="minorHAnsi" w:eastAsiaTheme="minorHAnsi" w:hAnsiTheme="minorHAnsi"/>
          <w:color w:val="000000" w:themeColor="text1"/>
        </w:rPr>
        <w:t>Caiado</w:t>
      </w:r>
      <w:proofErr w:type="spellEnd"/>
      <w:r w:rsidRPr="00ED3905">
        <w:rPr>
          <w:rFonts w:asciiTheme="minorHAnsi" w:eastAsiaTheme="minorHAnsi" w:hAnsiTheme="minorHAnsi"/>
          <w:color w:val="000000" w:themeColor="text1"/>
        </w:rPr>
        <w:t>, R. G. G., Garza-Reyes, J. A., Rocha-Lona, L., &amp; Tortorella, G. (2019). Exploring Industry 4.0 technologies to enable circular economy practices in a manufacturing context. Journal of Manufacturing Technology Management.</w:t>
      </w:r>
    </w:p>
    <w:p w14:paraId="7FFC1BBE" w14:textId="253AAEAD" w:rsidR="00FC4493" w:rsidRPr="00ED3905" w:rsidRDefault="00FC4493" w:rsidP="00FC4493">
      <w:pPr>
        <w:pStyle w:val="xxmsonormal"/>
        <w:shd w:val="clear" w:color="auto" w:fill="FFFFFF"/>
        <w:rPr>
          <w:rFonts w:asciiTheme="minorHAnsi" w:eastAsiaTheme="minorHAnsi" w:hAnsiTheme="minorHAnsi"/>
          <w:color w:val="000000" w:themeColor="text1"/>
        </w:rPr>
      </w:pPr>
      <w:r w:rsidRPr="00ED3905">
        <w:rPr>
          <w:rFonts w:asciiTheme="minorHAnsi" w:eastAsiaTheme="minorHAnsi" w:hAnsiTheme="minorHAnsi"/>
          <w:color w:val="000000" w:themeColor="text1"/>
        </w:rPr>
        <w:t>Pinch, T. and Wiebe, B. (1984) "The Social Construction of Facts and Artefacts: Or How the Sociology of Science and the Sociology of Technology Might Benefit Each Other." Social Studies of Science 14(3): 399-441.</w:t>
      </w:r>
    </w:p>
    <w:p w14:paraId="60A9A583" w14:textId="3D0D84F8" w:rsidR="00FC4493" w:rsidRPr="00ED3905" w:rsidRDefault="00FC4493" w:rsidP="00FC4493">
      <w:pPr>
        <w:pStyle w:val="xxmsonormal"/>
        <w:shd w:val="clear" w:color="auto" w:fill="FFFFFF"/>
        <w:rPr>
          <w:rFonts w:asciiTheme="minorHAnsi" w:eastAsiaTheme="minorHAnsi" w:hAnsiTheme="minorHAnsi"/>
          <w:color w:val="000000" w:themeColor="text1"/>
        </w:rPr>
      </w:pPr>
      <w:r w:rsidRPr="00ED3905">
        <w:rPr>
          <w:rFonts w:asciiTheme="minorHAnsi" w:eastAsiaTheme="minorHAnsi" w:hAnsiTheme="minorHAnsi"/>
          <w:color w:val="000000" w:themeColor="text1"/>
        </w:rPr>
        <w:t xml:space="preserve">Porter, </w:t>
      </w:r>
      <w:r w:rsidR="00ED3905" w:rsidRPr="00ED3905">
        <w:rPr>
          <w:rFonts w:asciiTheme="minorHAnsi" w:eastAsiaTheme="minorHAnsi" w:hAnsiTheme="minorHAnsi"/>
          <w:color w:val="000000" w:themeColor="text1"/>
        </w:rPr>
        <w:t>M.</w:t>
      </w:r>
      <w:r w:rsidRPr="00ED3905">
        <w:rPr>
          <w:rFonts w:asciiTheme="minorHAnsi" w:eastAsiaTheme="minorHAnsi" w:hAnsiTheme="minorHAnsi"/>
          <w:color w:val="000000" w:themeColor="text1"/>
        </w:rPr>
        <w:t xml:space="preserve"> (1985) Competitive Advantage: Creating and Sustaining Superior Performance, New York: Free Press.</w:t>
      </w:r>
    </w:p>
    <w:p w14:paraId="5CCAAC59" w14:textId="47CA2D47" w:rsidR="00ED3905" w:rsidRPr="00ED3905" w:rsidRDefault="00ED3905" w:rsidP="00ED3905">
      <w:pPr>
        <w:pStyle w:val="NormalWeb"/>
        <w:rPr>
          <w:rFonts w:asciiTheme="minorHAnsi" w:eastAsiaTheme="minorHAnsi" w:hAnsiTheme="minorHAnsi"/>
          <w:color w:val="000000" w:themeColor="text1"/>
        </w:rPr>
      </w:pPr>
      <w:r w:rsidRPr="00ED3905">
        <w:rPr>
          <w:rFonts w:asciiTheme="minorHAnsi" w:eastAsiaTheme="minorHAnsi" w:hAnsiTheme="minorHAnsi"/>
          <w:color w:val="000000" w:themeColor="text1"/>
        </w:rPr>
        <w:t xml:space="preserve">Porter, M. and </w:t>
      </w:r>
      <w:proofErr w:type="spellStart"/>
      <w:r w:rsidRPr="00ED3905">
        <w:rPr>
          <w:rFonts w:asciiTheme="minorHAnsi" w:eastAsiaTheme="minorHAnsi" w:hAnsiTheme="minorHAnsi"/>
          <w:color w:val="000000" w:themeColor="text1"/>
        </w:rPr>
        <w:t>Heppelmann</w:t>
      </w:r>
      <w:proofErr w:type="spellEnd"/>
      <w:r w:rsidRPr="00ED3905">
        <w:rPr>
          <w:rFonts w:asciiTheme="minorHAnsi" w:eastAsiaTheme="minorHAnsi" w:hAnsiTheme="minorHAnsi"/>
          <w:color w:val="000000" w:themeColor="text1"/>
        </w:rPr>
        <w:t>, J. E. (2014). How smart, connected products are transforming competition. Harvard business review, 92(11), 64-88.</w:t>
      </w:r>
    </w:p>
    <w:p w14:paraId="6642BD54" w14:textId="77777777" w:rsidR="00ED3905" w:rsidRPr="00ED3905" w:rsidRDefault="00ED3905" w:rsidP="00ED3905">
      <w:pPr>
        <w:pStyle w:val="NormalWeb"/>
        <w:rPr>
          <w:rFonts w:asciiTheme="minorHAnsi" w:eastAsiaTheme="minorHAnsi" w:hAnsiTheme="minorHAnsi"/>
          <w:color w:val="000000" w:themeColor="text1"/>
        </w:rPr>
      </w:pPr>
      <w:r w:rsidRPr="00ED3905">
        <w:rPr>
          <w:rFonts w:asciiTheme="minorHAnsi" w:eastAsiaTheme="minorHAnsi" w:hAnsiTheme="minorHAnsi"/>
          <w:color w:val="000000" w:themeColor="text1"/>
        </w:rPr>
        <w:t>Schwab, K. (2017). The fourth industrial revolution. Currency.</w:t>
      </w:r>
    </w:p>
    <w:p w14:paraId="2966280B" w14:textId="77777777" w:rsidR="00ED3905" w:rsidRPr="00ED3905" w:rsidRDefault="00ED3905" w:rsidP="00ED3905">
      <w:pPr>
        <w:pStyle w:val="NormalWeb"/>
        <w:rPr>
          <w:rFonts w:asciiTheme="minorHAnsi" w:eastAsiaTheme="minorHAnsi" w:hAnsiTheme="minorHAnsi"/>
          <w:color w:val="000000" w:themeColor="text1"/>
        </w:rPr>
      </w:pPr>
      <w:proofErr w:type="spellStart"/>
      <w:r w:rsidRPr="00ED3905">
        <w:rPr>
          <w:rFonts w:asciiTheme="minorHAnsi" w:eastAsiaTheme="minorHAnsi" w:hAnsiTheme="minorHAnsi"/>
          <w:color w:val="000000" w:themeColor="text1"/>
        </w:rPr>
        <w:t>Shrouf</w:t>
      </w:r>
      <w:proofErr w:type="spellEnd"/>
      <w:r w:rsidRPr="00ED3905">
        <w:rPr>
          <w:rFonts w:asciiTheme="minorHAnsi" w:eastAsiaTheme="minorHAnsi" w:hAnsiTheme="minorHAnsi"/>
          <w:color w:val="000000" w:themeColor="text1"/>
        </w:rPr>
        <w:t xml:space="preserve">, F., </w:t>
      </w:r>
      <w:proofErr w:type="spellStart"/>
      <w:r w:rsidRPr="00ED3905">
        <w:rPr>
          <w:rFonts w:asciiTheme="minorHAnsi" w:eastAsiaTheme="minorHAnsi" w:hAnsiTheme="minorHAnsi"/>
          <w:color w:val="000000" w:themeColor="text1"/>
        </w:rPr>
        <w:t>Ordieres</w:t>
      </w:r>
      <w:proofErr w:type="spellEnd"/>
      <w:r w:rsidRPr="00ED3905">
        <w:rPr>
          <w:rFonts w:asciiTheme="minorHAnsi" w:eastAsiaTheme="minorHAnsi" w:hAnsiTheme="minorHAnsi"/>
          <w:color w:val="000000" w:themeColor="text1"/>
        </w:rPr>
        <w:t xml:space="preserve">, J., &amp; </w:t>
      </w:r>
      <w:proofErr w:type="spellStart"/>
      <w:r w:rsidRPr="00ED3905">
        <w:rPr>
          <w:rFonts w:asciiTheme="minorHAnsi" w:eastAsiaTheme="minorHAnsi" w:hAnsiTheme="minorHAnsi"/>
          <w:color w:val="000000" w:themeColor="text1"/>
        </w:rPr>
        <w:t>Miragliotta</w:t>
      </w:r>
      <w:proofErr w:type="spellEnd"/>
      <w:r w:rsidRPr="00ED3905">
        <w:rPr>
          <w:rFonts w:asciiTheme="minorHAnsi" w:eastAsiaTheme="minorHAnsi" w:hAnsiTheme="minorHAnsi"/>
          <w:color w:val="000000" w:themeColor="text1"/>
        </w:rPr>
        <w:t>, G. (2014, December). Smart factories in Industry 4.0: A review of the concept and of energy management approached in production based on the Internet of Things paradigm. In 2014 IEEE international conference on industrial engineering and engineering management (pp. 697-701). IEEE.</w:t>
      </w:r>
    </w:p>
    <w:p w14:paraId="562F263D" w14:textId="77777777" w:rsidR="00ED3905" w:rsidRPr="00ED3905" w:rsidRDefault="00ED3905" w:rsidP="00FC4493">
      <w:pPr>
        <w:pStyle w:val="xxmsonormal"/>
        <w:shd w:val="clear" w:color="auto" w:fill="FFFFFF"/>
        <w:rPr>
          <w:rFonts w:asciiTheme="minorHAnsi" w:eastAsiaTheme="minorHAnsi" w:hAnsiTheme="minorHAnsi"/>
          <w:color w:val="000000" w:themeColor="text1"/>
        </w:rPr>
      </w:pPr>
    </w:p>
    <w:p w14:paraId="087A1AC4" w14:textId="77777777" w:rsidR="00FC4493" w:rsidRPr="00ED3905" w:rsidRDefault="00FC4493" w:rsidP="00FC4493">
      <w:pPr>
        <w:pStyle w:val="xxmsonormal"/>
        <w:shd w:val="clear" w:color="auto" w:fill="FFFFFF"/>
        <w:rPr>
          <w:rFonts w:asciiTheme="minorHAnsi" w:eastAsiaTheme="minorHAnsi" w:hAnsiTheme="minorHAnsi"/>
          <w:color w:val="000000" w:themeColor="text1"/>
        </w:rPr>
      </w:pPr>
      <w:r w:rsidRPr="00ED3905">
        <w:rPr>
          <w:rFonts w:asciiTheme="minorHAnsi" w:eastAsiaTheme="minorHAnsi" w:hAnsiTheme="minorHAnsi"/>
          <w:color w:val="000000" w:themeColor="text1"/>
        </w:rPr>
        <w:t>Rogers, E. M. (1962) Diffusion of Innovations, Glencoe: Free Press, New York.</w:t>
      </w:r>
    </w:p>
    <w:p w14:paraId="3E3521E8" w14:textId="77777777" w:rsidR="00FC4493" w:rsidRPr="00ED3905" w:rsidRDefault="00FC4493" w:rsidP="00FC4493">
      <w:pPr>
        <w:pStyle w:val="xxmsonormal"/>
        <w:shd w:val="clear" w:color="auto" w:fill="FFFFFF"/>
        <w:rPr>
          <w:rFonts w:asciiTheme="minorHAnsi" w:eastAsiaTheme="minorHAnsi" w:hAnsiTheme="minorHAnsi"/>
          <w:color w:val="000000" w:themeColor="text1"/>
        </w:rPr>
      </w:pPr>
      <w:r w:rsidRPr="00ED3905">
        <w:rPr>
          <w:rFonts w:asciiTheme="minorHAnsi" w:eastAsiaTheme="minorHAnsi" w:hAnsiTheme="minorHAnsi"/>
          <w:color w:val="000000" w:themeColor="text1"/>
        </w:rPr>
        <w:t xml:space="preserve">Shove, E. (1993) Gaps, </w:t>
      </w:r>
      <w:proofErr w:type="gramStart"/>
      <w:r w:rsidRPr="00ED3905">
        <w:rPr>
          <w:rFonts w:asciiTheme="minorHAnsi" w:eastAsiaTheme="minorHAnsi" w:hAnsiTheme="minorHAnsi"/>
          <w:color w:val="000000" w:themeColor="text1"/>
        </w:rPr>
        <w:t>barriers</w:t>
      </w:r>
      <w:proofErr w:type="gramEnd"/>
      <w:r w:rsidRPr="00ED3905">
        <w:rPr>
          <w:rFonts w:asciiTheme="minorHAnsi" w:eastAsiaTheme="minorHAnsi" w:hAnsiTheme="minorHAnsi"/>
          <w:color w:val="000000" w:themeColor="text1"/>
        </w:rPr>
        <w:t xml:space="preserve"> and conceptual chasms: theories of technology transfer and energy in buildings, Energy Policy. Vol. 26(15): 1105-1112.</w:t>
      </w:r>
    </w:p>
    <w:p w14:paraId="69125111" w14:textId="77777777" w:rsidR="00FC4493" w:rsidRPr="00ED3905" w:rsidRDefault="00FC4493" w:rsidP="00FC4493">
      <w:pPr>
        <w:pStyle w:val="xxmsonormal"/>
        <w:shd w:val="clear" w:color="auto" w:fill="FFFFFF"/>
        <w:rPr>
          <w:rFonts w:asciiTheme="minorHAnsi" w:eastAsiaTheme="minorHAnsi" w:hAnsiTheme="minorHAnsi"/>
          <w:color w:val="000000" w:themeColor="text1"/>
        </w:rPr>
      </w:pPr>
      <w:proofErr w:type="spellStart"/>
      <w:r w:rsidRPr="00ED3905">
        <w:rPr>
          <w:rFonts w:asciiTheme="minorHAnsi" w:eastAsiaTheme="minorHAnsi" w:hAnsiTheme="minorHAnsi"/>
          <w:color w:val="000000" w:themeColor="text1"/>
        </w:rPr>
        <w:t>Stentoft</w:t>
      </w:r>
      <w:proofErr w:type="spellEnd"/>
      <w:r w:rsidRPr="00ED3905">
        <w:rPr>
          <w:rFonts w:asciiTheme="minorHAnsi" w:eastAsiaTheme="minorHAnsi" w:hAnsiTheme="minorHAnsi"/>
          <w:color w:val="000000" w:themeColor="text1"/>
        </w:rPr>
        <w:t xml:space="preserve">, J., </w:t>
      </w:r>
      <w:proofErr w:type="spellStart"/>
      <w:r w:rsidRPr="00ED3905">
        <w:rPr>
          <w:rFonts w:asciiTheme="minorHAnsi" w:eastAsiaTheme="minorHAnsi" w:hAnsiTheme="minorHAnsi"/>
          <w:color w:val="000000" w:themeColor="text1"/>
        </w:rPr>
        <w:t>Rajkamur</w:t>
      </w:r>
      <w:proofErr w:type="spellEnd"/>
      <w:r w:rsidRPr="00ED3905">
        <w:rPr>
          <w:rFonts w:asciiTheme="minorHAnsi" w:eastAsiaTheme="minorHAnsi" w:hAnsiTheme="minorHAnsi"/>
          <w:color w:val="000000" w:themeColor="text1"/>
        </w:rPr>
        <w:t xml:space="preserve"> and Madsen, </w:t>
      </w:r>
      <w:proofErr w:type="gramStart"/>
      <w:r w:rsidRPr="00ED3905">
        <w:rPr>
          <w:rFonts w:asciiTheme="minorHAnsi" w:eastAsiaTheme="minorHAnsi" w:hAnsiTheme="minorHAnsi"/>
          <w:color w:val="000000" w:themeColor="text1"/>
        </w:rPr>
        <w:t>E  (</w:t>
      </w:r>
      <w:proofErr w:type="gramEnd"/>
      <w:r w:rsidRPr="00ED3905">
        <w:rPr>
          <w:rFonts w:asciiTheme="minorHAnsi" w:eastAsiaTheme="minorHAnsi" w:hAnsiTheme="minorHAnsi"/>
          <w:color w:val="000000" w:themeColor="text1"/>
        </w:rPr>
        <w:t xml:space="preserve">2017) Industry 4.0 in Danish Industry: An </w:t>
      </w:r>
      <w:proofErr w:type="spellStart"/>
      <w:r w:rsidRPr="00ED3905">
        <w:rPr>
          <w:rFonts w:asciiTheme="minorHAnsi" w:eastAsiaTheme="minorHAnsi" w:hAnsiTheme="minorHAnsi"/>
          <w:color w:val="000000" w:themeColor="text1"/>
        </w:rPr>
        <w:t>empricial</w:t>
      </w:r>
      <w:proofErr w:type="spellEnd"/>
      <w:r w:rsidRPr="00ED3905">
        <w:rPr>
          <w:rFonts w:asciiTheme="minorHAnsi" w:eastAsiaTheme="minorHAnsi" w:hAnsiTheme="minorHAnsi"/>
          <w:color w:val="000000" w:themeColor="text1"/>
        </w:rPr>
        <w:t xml:space="preserve"> investigation of the degree of knowledge, perceived relevance and current practice (2017), University of Southern Denmark.</w:t>
      </w:r>
    </w:p>
    <w:p w14:paraId="71059E2D" w14:textId="2EA3B623" w:rsidR="00E04F3C" w:rsidRPr="00ED3905" w:rsidRDefault="00FC4493" w:rsidP="00FC4493">
      <w:pPr>
        <w:pStyle w:val="xxmsonormal"/>
        <w:shd w:val="clear" w:color="auto" w:fill="FFFFFF"/>
        <w:spacing w:before="0" w:beforeAutospacing="0" w:after="0" w:afterAutospacing="0"/>
        <w:rPr>
          <w:rFonts w:asciiTheme="minorHAnsi" w:eastAsiaTheme="minorHAnsi" w:hAnsiTheme="minorHAnsi"/>
          <w:color w:val="000000" w:themeColor="text1"/>
        </w:rPr>
      </w:pPr>
      <w:r w:rsidRPr="00ED3905">
        <w:rPr>
          <w:rFonts w:asciiTheme="minorHAnsi" w:eastAsiaTheme="minorHAnsi" w:hAnsiTheme="minorHAnsi"/>
          <w:color w:val="000000" w:themeColor="text1"/>
        </w:rPr>
        <w:t>Utterback, J.M. (1994) Mastering the Dynamics of Innovation, Boston, Mass.: Harvard Business School Press.</w:t>
      </w:r>
    </w:p>
    <w:p w14:paraId="598F23BF" w14:textId="635B37B7" w:rsidR="00ED3905" w:rsidRPr="00ED3905" w:rsidRDefault="00ED3905" w:rsidP="00FC4493">
      <w:pPr>
        <w:pStyle w:val="xxmsonormal"/>
        <w:shd w:val="clear" w:color="auto" w:fill="FFFFFF"/>
        <w:spacing w:before="0" w:beforeAutospacing="0" w:after="0" w:afterAutospacing="0"/>
        <w:rPr>
          <w:rFonts w:asciiTheme="minorHAnsi" w:eastAsiaTheme="minorHAnsi" w:hAnsiTheme="minorHAnsi"/>
          <w:color w:val="000000" w:themeColor="text1"/>
        </w:rPr>
      </w:pPr>
    </w:p>
    <w:p w14:paraId="144FE53E" w14:textId="77777777" w:rsidR="00ED3905" w:rsidRPr="00ED3905" w:rsidRDefault="00ED3905" w:rsidP="00ED3905">
      <w:pPr>
        <w:pStyle w:val="NormalWeb"/>
        <w:rPr>
          <w:rFonts w:asciiTheme="minorHAnsi" w:eastAsiaTheme="minorHAnsi" w:hAnsiTheme="minorHAnsi"/>
          <w:color w:val="000000" w:themeColor="text1"/>
        </w:rPr>
      </w:pPr>
      <w:r w:rsidRPr="00ED3905">
        <w:rPr>
          <w:rFonts w:asciiTheme="minorHAnsi" w:eastAsiaTheme="minorHAnsi" w:hAnsiTheme="minorHAnsi"/>
          <w:color w:val="000000" w:themeColor="text1"/>
        </w:rPr>
        <w:t xml:space="preserve">Wang, S., Wan, J., Li, D., &amp; Zhang, C. (2016). Implementing smart factory of </w:t>
      </w:r>
      <w:proofErr w:type="spellStart"/>
      <w:r w:rsidRPr="00ED3905">
        <w:rPr>
          <w:rFonts w:asciiTheme="minorHAnsi" w:eastAsiaTheme="minorHAnsi" w:hAnsiTheme="minorHAnsi"/>
          <w:color w:val="000000" w:themeColor="text1"/>
        </w:rPr>
        <w:t>industrie</w:t>
      </w:r>
      <w:proofErr w:type="spellEnd"/>
      <w:r w:rsidRPr="00ED3905">
        <w:rPr>
          <w:rFonts w:asciiTheme="minorHAnsi" w:eastAsiaTheme="minorHAnsi" w:hAnsiTheme="minorHAnsi"/>
          <w:color w:val="000000" w:themeColor="text1"/>
        </w:rPr>
        <w:t xml:space="preserve"> 4.0: an outlook. International journal of distributed sensor networks, 12(1), 3159805.</w:t>
      </w:r>
    </w:p>
    <w:p w14:paraId="581A3D76" w14:textId="77777777" w:rsidR="00ED3905" w:rsidRPr="00ED3905" w:rsidRDefault="00ED3905" w:rsidP="00ED3905">
      <w:pPr>
        <w:pStyle w:val="NormalWeb"/>
        <w:rPr>
          <w:rFonts w:asciiTheme="minorHAnsi" w:eastAsiaTheme="minorHAnsi" w:hAnsiTheme="minorHAnsi"/>
          <w:color w:val="000000" w:themeColor="text1"/>
        </w:rPr>
      </w:pPr>
      <w:r w:rsidRPr="00ED3905">
        <w:rPr>
          <w:rFonts w:asciiTheme="minorHAnsi" w:eastAsiaTheme="minorHAnsi" w:hAnsiTheme="minorHAnsi"/>
          <w:color w:val="000000" w:themeColor="text1"/>
        </w:rPr>
        <w:t xml:space="preserve">Wang, S., Wan, J., Li, D., &amp; Zhang, C. (2016). Implementing smart factory of </w:t>
      </w:r>
      <w:proofErr w:type="spellStart"/>
      <w:r w:rsidRPr="00ED3905">
        <w:rPr>
          <w:rFonts w:asciiTheme="minorHAnsi" w:eastAsiaTheme="minorHAnsi" w:hAnsiTheme="minorHAnsi"/>
          <w:color w:val="000000" w:themeColor="text1"/>
        </w:rPr>
        <w:t>industrie</w:t>
      </w:r>
      <w:proofErr w:type="spellEnd"/>
      <w:r w:rsidRPr="00ED3905">
        <w:rPr>
          <w:rFonts w:asciiTheme="minorHAnsi" w:eastAsiaTheme="minorHAnsi" w:hAnsiTheme="minorHAnsi"/>
          <w:color w:val="000000" w:themeColor="text1"/>
        </w:rPr>
        <w:t xml:space="preserve"> 4.0: an outlook. International journal of distributed sensor networks, 12(1), 3159805.</w:t>
      </w:r>
    </w:p>
    <w:p w14:paraId="01B4BA15" w14:textId="77777777" w:rsidR="00ED3905" w:rsidRPr="00ED3905" w:rsidRDefault="00ED3905" w:rsidP="00ED3905">
      <w:pPr>
        <w:pStyle w:val="NormalWeb"/>
        <w:rPr>
          <w:rFonts w:asciiTheme="minorHAnsi" w:eastAsiaTheme="minorHAnsi" w:hAnsiTheme="minorHAnsi"/>
          <w:color w:val="000000" w:themeColor="text1"/>
        </w:rPr>
      </w:pPr>
      <w:proofErr w:type="spellStart"/>
      <w:r w:rsidRPr="00ED3905">
        <w:rPr>
          <w:rFonts w:asciiTheme="minorHAnsi" w:eastAsiaTheme="minorHAnsi" w:hAnsiTheme="minorHAnsi"/>
          <w:color w:val="000000" w:themeColor="text1"/>
        </w:rPr>
        <w:t>Zawadzki</w:t>
      </w:r>
      <w:proofErr w:type="spellEnd"/>
      <w:r w:rsidRPr="00ED3905">
        <w:rPr>
          <w:rFonts w:asciiTheme="minorHAnsi" w:eastAsiaTheme="minorHAnsi" w:hAnsiTheme="minorHAnsi"/>
          <w:color w:val="000000" w:themeColor="text1"/>
        </w:rPr>
        <w:t xml:space="preserve">, P., &amp; </w:t>
      </w:r>
      <w:proofErr w:type="spellStart"/>
      <w:r w:rsidRPr="00ED3905">
        <w:rPr>
          <w:rFonts w:asciiTheme="minorHAnsi" w:eastAsiaTheme="minorHAnsi" w:hAnsiTheme="minorHAnsi"/>
          <w:color w:val="000000" w:themeColor="text1"/>
        </w:rPr>
        <w:t>Żywicki</w:t>
      </w:r>
      <w:proofErr w:type="spellEnd"/>
      <w:r w:rsidRPr="00ED3905">
        <w:rPr>
          <w:rFonts w:asciiTheme="minorHAnsi" w:eastAsiaTheme="minorHAnsi" w:hAnsiTheme="minorHAnsi"/>
          <w:color w:val="000000" w:themeColor="text1"/>
        </w:rPr>
        <w:t>, K. (2016). Smart product design and production control for effective mass</w:t>
      </w:r>
    </w:p>
    <w:p w14:paraId="3D7565CF" w14:textId="77777777" w:rsidR="00ED3905" w:rsidRDefault="00ED3905" w:rsidP="00FC4493">
      <w:pPr>
        <w:pStyle w:val="xxmsonormal"/>
        <w:shd w:val="clear" w:color="auto" w:fill="FFFFFF"/>
        <w:spacing w:before="0" w:beforeAutospacing="0" w:after="0" w:afterAutospacing="0"/>
        <w:rPr>
          <w:color w:val="201F1E"/>
        </w:rPr>
      </w:pPr>
    </w:p>
    <w:p w14:paraId="0D02BB63" w14:textId="77777777" w:rsidR="00B63AF3" w:rsidRDefault="00B63AF3" w:rsidP="002809E4">
      <w:pPr>
        <w:jc w:val="both"/>
        <w:rPr>
          <w:rFonts w:cs="Times New Roman"/>
          <w:color w:val="000000" w:themeColor="text1"/>
        </w:rPr>
      </w:pPr>
    </w:p>
    <w:p w14:paraId="49536F69" w14:textId="77777777" w:rsidR="00B01C1C" w:rsidRPr="007A47AC" w:rsidRDefault="00B01C1C">
      <w:pPr>
        <w:rPr>
          <w:b/>
          <w:color w:val="AEAAAA" w:themeColor="background2" w:themeShade="BF"/>
        </w:rPr>
      </w:pPr>
    </w:p>
    <w:sectPr w:rsidR="00B01C1C" w:rsidRPr="007A47AC" w:rsidSect="00EE4FF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275AC"/>
    <w:multiLevelType w:val="hybridMultilevel"/>
    <w:tmpl w:val="4C48DF78"/>
    <w:lvl w:ilvl="0" w:tplc="B52E4DB8">
      <w:start w:val="1"/>
      <w:numFmt w:val="bullet"/>
      <w:lvlText w:val="•"/>
      <w:lvlJc w:val="left"/>
      <w:pPr>
        <w:tabs>
          <w:tab w:val="num" w:pos="720"/>
        </w:tabs>
        <w:ind w:left="720" w:hanging="360"/>
      </w:pPr>
      <w:rPr>
        <w:rFonts w:ascii="Arial" w:hAnsi="Arial" w:hint="default"/>
      </w:rPr>
    </w:lvl>
    <w:lvl w:ilvl="1" w:tplc="E500F224" w:tentative="1">
      <w:start w:val="1"/>
      <w:numFmt w:val="bullet"/>
      <w:lvlText w:val="•"/>
      <w:lvlJc w:val="left"/>
      <w:pPr>
        <w:tabs>
          <w:tab w:val="num" w:pos="1440"/>
        </w:tabs>
        <w:ind w:left="1440" w:hanging="360"/>
      </w:pPr>
      <w:rPr>
        <w:rFonts w:ascii="Arial" w:hAnsi="Arial" w:hint="default"/>
      </w:rPr>
    </w:lvl>
    <w:lvl w:ilvl="2" w:tplc="FD8C6FA2" w:tentative="1">
      <w:start w:val="1"/>
      <w:numFmt w:val="bullet"/>
      <w:lvlText w:val="•"/>
      <w:lvlJc w:val="left"/>
      <w:pPr>
        <w:tabs>
          <w:tab w:val="num" w:pos="2160"/>
        </w:tabs>
        <w:ind w:left="2160" w:hanging="360"/>
      </w:pPr>
      <w:rPr>
        <w:rFonts w:ascii="Arial" w:hAnsi="Arial" w:hint="default"/>
      </w:rPr>
    </w:lvl>
    <w:lvl w:ilvl="3" w:tplc="F84E59C8" w:tentative="1">
      <w:start w:val="1"/>
      <w:numFmt w:val="bullet"/>
      <w:lvlText w:val="•"/>
      <w:lvlJc w:val="left"/>
      <w:pPr>
        <w:tabs>
          <w:tab w:val="num" w:pos="2880"/>
        </w:tabs>
        <w:ind w:left="2880" w:hanging="360"/>
      </w:pPr>
      <w:rPr>
        <w:rFonts w:ascii="Arial" w:hAnsi="Arial" w:hint="default"/>
      </w:rPr>
    </w:lvl>
    <w:lvl w:ilvl="4" w:tplc="D3B43E38" w:tentative="1">
      <w:start w:val="1"/>
      <w:numFmt w:val="bullet"/>
      <w:lvlText w:val="•"/>
      <w:lvlJc w:val="left"/>
      <w:pPr>
        <w:tabs>
          <w:tab w:val="num" w:pos="3600"/>
        </w:tabs>
        <w:ind w:left="3600" w:hanging="360"/>
      </w:pPr>
      <w:rPr>
        <w:rFonts w:ascii="Arial" w:hAnsi="Arial" w:hint="default"/>
      </w:rPr>
    </w:lvl>
    <w:lvl w:ilvl="5" w:tplc="7A26946E" w:tentative="1">
      <w:start w:val="1"/>
      <w:numFmt w:val="bullet"/>
      <w:lvlText w:val="•"/>
      <w:lvlJc w:val="left"/>
      <w:pPr>
        <w:tabs>
          <w:tab w:val="num" w:pos="4320"/>
        </w:tabs>
        <w:ind w:left="4320" w:hanging="360"/>
      </w:pPr>
      <w:rPr>
        <w:rFonts w:ascii="Arial" w:hAnsi="Arial" w:hint="default"/>
      </w:rPr>
    </w:lvl>
    <w:lvl w:ilvl="6" w:tplc="E528CF92" w:tentative="1">
      <w:start w:val="1"/>
      <w:numFmt w:val="bullet"/>
      <w:lvlText w:val="•"/>
      <w:lvlJc w:val="left"/>
      <w:pPr>
        <w:tabs>
          <w:tab w:val="num" w:pos="5040"/>
        </w:tabs>
        <w:ind w:left="5040" w:hanging="360"/>
      </w:pPr>
      <w:rPr>
        <w:rFonts w:ascii="Arial" w:hAnsi="Arial" w:hint="default"/>
      </w:rPr>
    </w:lvl>
    <w:lvl w:ilvl="7" w:tplc="9CB445B6" w:tentative="1">
      <w:start w:val="1"/>
      <w:numFmt w:val="bullet"/>
      <w:lvlText w:val="•"/>
      <w:lvlJc w:val="left"/>
      <w:pPr>
        <w:tabs>
          <w:tab w:val="num" w:pos="5760"/>
        </w:tabs>
        <w:ind w:left="5760" w:hanging="360"/>
      </w:pPr>
      <w:rPr>
        <w:rFonts w:ascii="Arial" w:hAnsi="Arial" w:hint="default"/>
      </w:rPr>
    </w:lvl>
    <w:lvl w:ilvl="8" w:tplc="D2A2170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6913FCE"/>
    <w:multiLevelType w:val="hybridMultilevel"/>
    <w:tmpl w:val="1FC296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022B1D"/>
    <w:multiLevelType w:val="hybridMultilevel"/>
    <w:tmpl w:val="6654FA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F91106"/>
    <w:multiLevelType w:val="hybridMultilevel"/>
    <w:tmpl w:val="79B0D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4ED037D"/>
    <w:multiLevelType w:val="hybridMultilevel"/>
    <w:tmpl w:val="1FC296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075343"/>
    <w:multiLevelType w:val="hybridMultilevel"/>
    <w:tmpl w:val="F514C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D24361"/>
    <w:multiLevelType w:val="hybridMultilevel"/>
    <w:tmpl w:val="D4CC3316"/>
    <w:lvl w:ilvl="0" w:tplc="22AEC0D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6"/>
  </w:num>
  <w:num w:numId="4">
    <w:abstractNumId w:val="0"/>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086"/>
    <w:rsid w:val="000029C9"/>
    <w:rsid w:val="000054E0"/>
    <w:rsid w:val="00006C4E"/>
    <w:rsid w:val="00043957"/>
    <w:rsid w:val="00047037"/>
    <w:rsid w:val="00060F63"/>
    <w:rsid w:val="000D7F59"/>
    <w:rsid w:val="000F168F"/>
    <w:rsid w:val="000F362C"/>
    <w:rsid w:val="001031EF"/>
    <w:rsid w:val="0012220C"/>
    <w:rsid w:val="00130058"/>
    <w:rsid w:val="00130C78"/>
    <w:rsid w:val="00136FC0"/>
    <w:rsid w:val="001533E7"/>
    <w:rsid w:val="00161D1D"/>
    <w:rsid w:val="001710D3"/>
    <w:rsid w:val="00192429"/>
    <w:rsid w:val="001B42E8"/>
    <w:rsid w:val="001C18C4"/>
    <w:rsid w:val="001D3A97"/>
    <w:rsid w:val="001E1E24"/>
    <w:rsid w:val="001E7691"/>
    <w:rsid w:val="001E7ADA"/>
    <w:rsid w:val="002304D4"/>
    <w:rsid w:val="00230AFA"/>
    <w:rsid w:val="002443D2"/>
    <w:rsid w:val="00252126"/>
    <w:rsid w:val="0026238C"/>
    <w:rsid w:val="00264F8B"/>
    <w:rsid w:val="002809E4"/>
    <w:rsid w:val="00284684"/>
    <w:rsid w:val="0028718A"/>
    <w:rsid w:val="00287356"/>
    <w:rsid w:val="002923A2"/>
    <w:rsid w:val="002945F2"/>
    <w:rsid w:val="002A3E5F"/>
    <w:rsid w:val="002A768F"/>
    <w:rsid w:val="002B287D"/>
    <w:rsid w:val="002B3C6A"/>
    <w:rsid w:val="002E690A"/>
    <w:rsid w:val="002E7F08"/>
    <w:rsid w:val="00305AFF"/>
    <w:rsid w:val="0031754A"/>
    <w:rsid w:val="00317D1B"/>
    <w:rsid w:val="00322007"/>
    <w:rsid w:val="0033038B"/>
    <w:rsid w:val="00340079"/>
    <w:rsid w:val="00350006"/>
    <w:rsid w:val="00391008"/>
    <w:rsid w:val="00397876"/>
    <w:rsid w:val="003A50E3"/>
    <w:rsid w:val="003D1FD7"/>
    <w:rsid w:val="003F7D7B"/>
    <w:rsid w:val="00407F80"/>
    <w:rsid w:val="0044410E"/>
    <w:rsid w:val="004578ED"/>
    <w:rsid w:val="004648FC"/>
    <w:rsid w:val="004C0BCC"/>
    <w:rsid w:val="004D2CD9"/>
    <w:rsid w:val="004E67B8"/>
    <w:rsid w:val="005220F2"/>
    <w:rsid w:val="00527523"/>
    <w:rsid w:val="00553149"/>
    <w:rsid w:val="00580C7B"/>
    <w:rsid w:val="00586086"/>
    <w:rsid w:val="005C1128"/>
    <w:rsid w:val="005C59F9"/>
    <w:rsid w:val="005E1DFC"/>
    <w:rsid w:val="005E4CC7"/>
    <w:rsid w:val="005F598B"/>
    <w:rsid w:val="0060035D"/>
    <w:rsid w:val="00621C0D"/>
    <w:rsid w:val="0064083B"/>
    <w:rsid w:val="00656456"/>
    <w:rsid w:val="00696962"/>
    <w:rsid w:val="006A17A3"/>
    <w:rsid w:val="006A7B89"/>
    <w:rsid w:val="006B2AB3"/>
    <w:rsid w:val="006C099C"/>
    <w:rsid w:val="006D4FC2"/>
    <w:rsid w:val="006D73E6"/>
    <w:rsid w:val="006E2FED"/>
    <w:rsid w:val="006E56D8"/>
    <w:rsid w:val="00725C57"/>
    <w:rsid w:val="007328D8"/>
    <w:rsid w:val="00737CE0"/>
    <w:rsid w:val="007430FA"/>
    <w:rsid w:val="00745BED"/>
    <w:rsid w:val="007570A9"/>
    <w:rsid w:val="007A47AC"/>
    <w:rsid w:val="007C02AA"/>
    <w:rsid w:val="007D4A83"/>
    <w:rsid w:val="007E6801"/>
    <w:rsid w:val="007F291D"/>
    <w:rsid w:val="0082406A"/>
    <w:rsid w:val="00832FBF"/>
    <w:rsid w:val="00833CC0"/>
    <w:rsid w:val="00842FDB"/>
    <w:rsid w:val="0087638A"/>
    <w:rsid w:val="00884D66"/>
    <w:rsid w:val="008971D1"/>
    <w:rsid w:val="008B56AE"/>
    <w:rsid w:val="008C1D77"/>
    <w:rsid w:val="008C5426"/>
    <w:rsid w:val="008C7449"/>
    <w:rsid w:val="008F66B0"/>
    <w:rsid w:val="00901C6D"/>
    <w:rsid w:val="009257F6"/>
    <w:rsid w:val="00926B68"/>
    <w:rsid w:val="009366BE"/>
    <w:rsid w:val="009679A0"/>
    <w:rsid w:val="00974911"/>
    <w:rsid w:val="00974B9E"/>
    <w:rsid w:val="00992972"/>
    <w:rsid w:val="009A2944"/>
    <w:rsid w:val="009C2058"/>
    <w:rsid w:val="009D2DE7"/>
    <w:rsid w:val="00A015D1"/>
    <w:rsid w:val="00A122A0"/>
    <w:rsid w:val="00A23D67"/>
    <w:rsid w:val="00A251B0"/>
    <w:rsid w:val="00A25254"/>
    <w:rsid w:val="00A5716F"/>
    <w:rsid w:val="00A60C20"/>
    <w:rsid w:val="00A623D5"/>
    <w:rsid w:val="00A74430"/>
    <w:rsid w:val="00A81F63"/>
    <w:rsid w:val="00A9462D"/>
    <w:rsid w:val="00AA6E28"/>
    <w:rsid w:val="00AB00B2"/>
    <w:rsid w:val="00AB4FAE"/>
    <w:rsid w:val="00AF5BF8"/>
    <w:rsid w:val="00B01C1C"/>
    <w:rsid w:val="00B13CDB"/>
    <w:rsid w:val="00B366E9"/>
    <w:rsid w:val="00B63AF3"/>
    <w:rsid w:val="00BB5FF5"/>
    <w:rsid w:val="00BD315B"/>
    <w:rsid w:val="00BD3EC8"/>
    <w:rsid w:val="00BD6812"/>
    <w:rsid w:val="00BE133B"/>
    <w:rsid w:val="00C148B6"/>
    <w:rsid w:val="00C459DB"/>
    <w:rsid w:val="00C47A51"/>
    <w:rsid w:val="00C72E0D"/>
    <w:rsid w:val="00C87786"/>
    <w:rsid w:val="00CA0664"/>
    <w:rsid w:val="00CB4398"/>
    <w:rsid w:val="00CC5CFA"/>
    <w:rsid w:val="00CD3121"/>
    <w:rsid w:val="00CD3D6E"/>
    <w:rsid w:val="00CF2C7C"/>
    <w:rsid w:val="00D34CC5"/>
    <w:rsid w:val="00D44640"/>
    <w:rsid w:val="00D50C9B"/>
    <w:rsid w:val="00D545F1"/>
    <w:rsid w:val="00D64240"/>
    <w:rsid w:val="00D76353"/>
    <w:rsid w:val="00D80FA2"/>
    <w:rsid w:val="00D94723"/>
    <w:rsid w:val="00DA2164"/>
    <w:rsid w:val="00DF330E"/>
    <w:rsid w:val="00E01665"/>
    <w:rsid w:val="00E04F3C"/>
    <w:rsid w:val="00E27790"/>
    <w:rsid w:val="00E44594"/>
    <w:rsid w:val="00E44C19"/>
    <w:rsid w:val="00E458BA"/>
    <w:rsid w:val="00E47C12"/>
    <w:rsid w:val="00E876FB"/>
    <w:rsid w:val="00ED33D5"/>
    <w:rsid w:val="00ED3905"/>
    <w:rsid w:val="00EE4FFE"/>
    <w:rsid w:val="00F03F15"/>
    <w:rsid w:val="00F0696A"/>
    <w:rsid w:val="00F225ED"/>
    <w:rsid w:val="00F33000"/>
    <w:rsid w:val="00F475EC"/>
    <w:rsid w:val="00F95200"/>
    <w:rsid w:val="00FC4493"/>
    <w:rsid w:val="00FD28E3"/>
    <w:rsid w:val="00FD52F0"/>
    <w:rsid w:val="00FD68C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ACFD4"/>
  <w15:chartTrackingRefBased/>
  <w15:docId w15:val="{5402C40E-FEDC-584A-A358-91212F368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1F63"/>
    <w:pP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1C1C"/>
    <w:pPr>
      <w:ind w:left="720"/>
      <w:contextualSpacing/>
    </w:pPr>
  </w:style>
  <w:style w:type="character" w:styleId="Hyperlink">
    <w:name w:val="Hyperlink"/>
    <w:basedOn w:val="DefaultParagraphFont"/>
    <w:uiPriority w:val="99"/>
    <w:unhideWhenUsed/>
    <w:rsid w:val="002809E4"/>
    <w:rPr>
      <w:color w:val="0563C1" w:themeColor="hyperlink"/>
      <w:u w:val="single"/>
    </w:rPr>
  </w:style>
  <w:style w:type="character" w:styleId="UnresolvedMention">
    <w:name w:val="Unresolved Mention"/>
    <w:basedOn w:val="DefaultParagraphFont"/>
    <w:uiPriority w:val="99"/>
    <w:semiHidden/>
    <w:unhideWhenUsed/>
    <w:rsid w:val="002809E4"/>
    <w:rPr>
      <w:color w:val="605E5C"/>
      <w:shd w:val="clear" w:color="auto" w:fill="E1DFDD"/>
    </w:rPr>
  </w:style>
  <w:style w:type="character" w:styleId="CommentReference">
    <w:name w:val="annotation reference"/>
    <w:basedOn w:val="DefaultParagraphFont"/>
    <w:uiPriority w:val="99"/>
    <w:semiHidden/>
    <w:unhideWhenUsed/>
    <w:rsid w:val="00284684"/>
    <w:rPr>
      <w:sz w:val="16"/>
      <w:szCs w:val="16"/>
    </w:rPr>
  </w:style>
  <w:style w:type="paragraph" w:styleId="CommentText">
    <w:name w:val="annotation text"/>
    <w:basedOn w:val="Normal"/>
    <w:link w:val="CommentTextChar"/>
    <w:uiPriority w:val="99"/>
    <w:semiHidden/>
    <w:unhideWhenUsed/>
    <w:rsid w:val="00284684"/>
    <w:rPr>
      <w:sz w:val="20"/>
      <w:szCs w:val="20"/>
    </w:rPr>
  </w:style>
  <w:style w:type="character" w:customStyle="1" w:styleId="CommentTextChar">
    <w:name w:val="Comment Text Char"/>
    <w:basedOn w:val="DefaultParagraphFont"/>
    <w:link w:val="CommentText"/>
    <w:uiPriority w:val="99"/>
    <w:semiHidden/>
    <w:rsid w:val="00284684"/>
    <w:rPr>
      <w:sz w:val="20"/>
      <w:szCs w:val="20"/>
    </w:rPr>
  </w:style>
  <w:style w:type="paragraph" w:styleId="CommentSubject">
    <w:name w:val="annotation subject"/>
    <w:basedOn w:val="CommentText"/>
    <w:next w:val="CommentText"/>
    <w:link w:val="CommentSubjectChar"/>
    <w:uiPriority w:val="99"/>
    <w:semiHidden/>
    <w:unhideWhenUsed/>
    <w:rsid w:val="00284684"/>
    <w:rPr>
      <w:b/>
      <w:bCs/>
    </w:rPr>
  </w:style>
  <w:style w:type="character" w:customStyle="1" w:styleId="CommentSubjectChar">
    <w:name w:val="Comment Subject Char"/>
    <w:basedOn w:val="CommentTextChar"/>
    <w:link w:val="CommentSubject"/>
    <w:uiPriority w:val="99"/>
    <w:semiHidden/>
    <w:rsid w:val="00284684"/>
    <w:rPr>
      <w:b/>
      <w:bCs/>
      <w:sz w:val="20"/>
      <w:szCs w:val="20"/>
    </w:rPr>
  </w:style>
  <w:style w:type="paragraph" w:styleId="BalloonText">
    <w:name w:val="Balloon Text"/>
    <w:basedOn w:val="Normal"/>
    <w:link w:val="BalloonTextChar"/>
    <w:uiPriority w:val="99"/>
    <w:semiHidden/>
    <w:unhideWhenUsed/>
    <w:rsid w:val="0028468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4684"/>
    <w:rPr>
      <w:rFonts w:ascii="Segoe UI" w:hAnsi="Segoe UI" w:cs="Segoe UI"/>
      <w:sz w:val="18"/>
      <w:szCs w:val="18"/>
    </w:rPr>
  </w:style>
  <w:style w:type="paragraph" w:customStyle="1" w:styleId="xxmsonormal">
    <w:name w:val="x_xmsonormal"/>
    <w:basedOn w:val="Normal"/>
    <w:rsid w:val="00B63AF3"/>
    <w:pPr>
      <w:spacing w:before="100" w:beforeAutospacing="1" w:after="100" w:afterAutospacing="1"/>
    </w:pPr>
    <w:rPr>
      <w:rFonts w:ascii="Times New Roman" w:eastAsia="Times New Roman" w:hAnsi="Times New Roman" w:cs="Times New Roman"/>
    </w:rPr>
  </w:style>
  <w:style w:type="character" w:customStyle="1" w:styleId="s1">
    <w:name w:val="s1"/>
    <w:basedOn w:val="DefaultParagraphFont"/>
    <w:rsid w:val="00FC4493"/>
  </w:style>
  <w:style w:type="paragraph" w:styleId="NormalWeb">
    <w:name w:val="Normal (Web)"/>
    <w:basedOn w:val="Normal"/>
    <w:uiPriority w:val="99"/>
    <w:semiHidden/>
    <w:unhideWhenUsed/>
    <w:rsid w:val="00ED3905"/>
    <w:pPr>
      <w:spacing w:before="100" w:beforeAutospacing="1" w:after="100" w:afterAutospacing="1"/>
    </w:pPr>
    <w:rPr>
      <w:rFonts w:ascii="Times New Roman" w:eastAsia="Times New Roman" w:hAnsi="Times New Roman" w:cs="Times New Roman"/>
    </w:rPr>
  </w:style>
  <w:style w:type="paragraph" w:styleId="Title">
    <w:name w:val="Title"/>
    <w:basedOn w:val="Normal"/>
    <w:next w:val="Normal"/>
    <w:link w:val="TitleChar"/>
    <w:uiPriority w:val="10"/>
    <w:qFormat/>
    <w:rsid w:val="00A81F63"/>
    <w:rPr>
      <w:b/>
    </w:rPr>
  </w:style>
  <w:style w:type="character" w:customStyle="1" w:styleId="TitleChar">
    <w:name w:val="Title Char"/>
    <w:basedOn w:val="DefaultParagraphFont"/>
    <w:link w:val="Title"/>
    <w:uiPriority w:val="10"/>
    <w:rsid w:val="00A81F63"/>
    <w:rPr>
      <w:b/>
    </w:rPr>
  </w:style>
  <w:style w:type="character" w:customStyle="1" w:styleId="Heading1Char">
    <w:name w:val="Heading 1 Char"/>
    <w:basedOn w:val="DefaultParagraphFont"/>
    <w:link w:val="Heading1"/>
    <w:uiPriority w:val="9"/>
    <w:rsid w:val="00A81F63"/>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745321">
      <w:bodyDiv w:val="1"/>
      <w:marLeft w:val="0"/>
      <w:marRight w:val="0"/>
      <w:marTop w:val="0"/>
      <w:marBottom w:val="0"/>
      <w:divBdr>
        <w:top w:val="none" w:sz="0" w:space="0" w:color="auto"/>
        <w:left w:val="none" w:sz="0" w:space="0" w:color="auto"/>
        <w:bottom w:val="none" w:sz="0" w:space="0" w:color="auto"/>
        <w:right w:val="none" w:sz="0" w:space="0" w:color="auto"/>
      </w:divBdr>
    </w:div>
    <w:div w:id="191890046">
      <w:bodyDiv w:val="1"/>
      <w:marLeft w:val="0"/>
      <w:marRight w:val="0"/>
      <w:marTop w:val="0"/>
      <w:marBottom w:val="0"/>
      <w:divBdr>
        <w:top w:val="none" w:sz="0" w:space="0" w:color="auto"/>
        <w:left w:val="none" w:sz="0" w:space="0" w:color="auto"/>
        <w:bottom w:val="none" w:sz="0" w:space="0" w:color="auto"/>
        <w:right w:val="none" w:sz="0" w:space="0" w:color="auto"/>
      </w:divBdr>
    </w:div>
    <w:div w:id="260996294">
      <w:bodyDiv w:val="1"/>
      <w:marLeft w:val="0"/>
      <w:marRight w:val="0"/>
      <w:marTop w:val="0"/>
      <w:marBottom w:val="0"/>
      <w:divBdr>
        <w:top w:val="none" w:sz="0" w:space="0" w:color="auto"/>
        <w:left w:val="none" w:sz="0" w:space="0" w:color="auto"/>
        <w:bottom w:val="none" w:sz="0" w:space="0" w:color="auto"/>
        <w:right w:val="none" w:sz="0" w:space="0" w:color="auto"/>
      </w:divBdr>
    </w:div>
    <w:div w:id="391386797">
      <w:bodyDiv w:val="1"/>
      <w:marLeft w:val="0"/>
      <w:marRight w:val="0"/>
      <w:marTop w:val="0"/>
      <w:marBottom w:val="0"/>
      <w:divBdr>
        <w:top w:val="none" w:sz="0" w:space="0" w:color="auto"/>
        <w:left w:val="none" w:sz="0" w:space="0" w:color="auto"/>
        <w:bottom w:val="none" w:sz="0" w:space="0" w:color="auto"/>
        <w:right w:val="none" w:sz="0" w:space="0" w:color="auto"/>
      </w:divBdr>
      <w:divsChild>
        <w:div w:id="1338923726">
          <w:marLeft w:val="360"/>
          <w:marRight w:val="0"/>
          <w:marTop w:val="200"/>
          <w:marBottom w:val="0"/>
          <w:divBdr>
            <w:top w:val="none" w:sz="0" w:space="0" w:color="auto"/>
            <w:left w:val="none" w:sz="0" w:space="0" w:color="auto"/>
            <w:bottom w:val="none" w:sz="0" w:space="0" w:color="auto"/>
            <w:right w:val="none" w:sz="0" w:space="0" w:color="auto"/>
          </w:divBdr>
        </w:div>
        <w:div w:id="2101749850">
          <w:marLeft w:val="360"/>
          <w:marRight w:val="0"/>
          <w:marTop w:val="200"/>
          <w:marBottom w:val="0"/>
          <w:divBdr>
            <w:top w:val="none" w:sz="0" w:space="0" w:color="auto"/>
            <w:left w:val="none" w:sz="0" w:space="0" w:color="auto"/>
            <w:bottom w:val="none" w:sz="0" w:space="0" w:color="auto"/>
            <w:right w:val="none" w:sz="0" w:space="0" w:color="auto"/>
          </w:divBdr>
        </w:div>
        <w:div w:id="1273365860">
          <w:marLeft w:val="360"/>
          <w:marRight w:val="0"/>
          <w:marTop w:val="200"/>
          <w:marBottom w:val="0"/>
          <w:divBdr>
            <w:top w:val="none" w:sz="0" w:space="0" w:color="auto"/>
            <w:left w:val="none" w:sz="0" w:space="0" w:color="auto"/>
            <w:bottom w:val="none" w:sz="0" w:space="0" w:color="auto"/>
            <w:right w:val="none" w:sz="0" w:space="0" w:color="auto"/>
          </w:divBdr>
        </w:div>
        <w:div w:id="996029748">
          <w:marLeft w:val="360"/>
          <w:marRight w:val="0"/>
          <w:marTop w:val="200"/>
          <w:marBottom w:val="0"/>
          <w:divBdr>
            <w:top w:val="none" w:sz="0" w:space="0" w:color="auto"/>
            <w:left w:val="none" w:sz="0" w:space="0" w:color="auto"/>
            <w:bottom w:val="none" w:sz="0" w:space="0" w:color="auto"/>
            <w:right w:val="none" w:sz="0" w:space="0" w:color="auto"/>
          </w:divBdr>
        </w:div>
      </w:divsChild>
    </w:div>
    <w:div w:id="423696785">
      <w:bodyDiv w:val="1"/>
      <w:marLeft w:val="0"/>
      <w:marRight w:val="0"/>
      <w:marTop w:val="0"/>
      <w:marBottom w:val="0"/>
      <w:divBdr>
        <w:top w:val="none" w:sz="0" w:space="0" w:color="auto"/>
        <w:left w:val="none" w:sz="0" w:space="0" w:color="auto"/>
        <w:bottom w:val="none" w:sz="0" w:space="0" w:color="auto"/>
        <w:right w:val="none" w:sz="0" w:space="0" w:color="auto"/>
      </w:divBdr>
    </w:div>
    <w:div w:id="446389429">
      <w:bodyDiv w:val="1"/>
      <w:marLeft w:val="0"/>
      <w:marRight w:val="0"/>
      <w:marTop w:val="0"/>
      <w:marBottom w:val="0"/>
      <w:divBdr>
        <w:top w:val="none" w:sz="0" w:space="0" w:color="auto"/>
        <w:left w:val="none" w:sz="0" w:space="0" w:color="auto"/>
        <w:bottom w:val="none" w:sz="0" w:space="0" w:color="auto"/>
        <w:right w:val="none" w:sz="0" w:space="0" w:color="auto"/>
      </w:divBdr>
    </w:div>
    <w:div w:id="790510861">
      <w:bodyDiv w:val="1"/>
      <w:marLeft w:val="0"/>
      <w:marRight w:val="0"/>
      <w:marTop w:val="0"/>
      <w:marBottom w:val="0"/>
      <w:divBdr>
        <w:top w:val="none" w:sz="0" w:space="0" w:color="auto"/>
        <w:left w:val="none" w:sz="0" w:space="0" w:color="auto"/>
        <w:bottom w:val="none" w:sz="0" w:space="0" w:color="auto"/>
        <w:right w:val="none" w:sz="0" w:space="0" w:color="auto"/>
      </w:divBdr>
    </w:div>
    <w:div w:id="894315754">
      <w:bodyDiv w:val="1"/>
      <w:marLeft w:val="0"/>
      <w:marRight w:val="0"/>
      <w:marTop w:val="0"/>
      <w:marBottom w:val="0"/>
      <w:divBdr>
        <w:top w:val="none" w:sz="0" w:space="0" w:color="auto"/>
        <w:left w:val="none" w:sz="0" w:space="0" w:color="auto"/>
        <w:bottom w:val="none" w:sz="0" w:space="0" w:color="auto"/>
        <w:right w:val="none" w:sz="0" w:space="0" w:color="auto"/>
      </w:divBdr>
      <w:divsChild>
        <w:div w:id="993802455">
          <w:marLeft w:val="547"/>
          <w:marRight w:val="0"/>
          <w:marTop w:val="134"/>
          <w:marBottom w:val="0"/>
          <w:divBdr>
            <w:top w:val="none" w:sz="0" w:space="0" w:color="auto"/>
            <w:left w:val="none" w:sz="0" w:space="0" w:color="auto"/>
            <w:bottom w:val="none" w:sz="0" w:space="0" w:color="auto"/>
            <w:right w:val="none" w:sz="0" w:space="0" w:color="auto"/>
          </w:divBdr>
        </w:div>
      </w:divsChild>
    </w:div>
    <w:div w:id="1272132292">
      <w:bodyDiv w:val="1"/>
      <w:marLeft w:val="0"/>
      <w:marRight w:val="0"/>
      <w:marTop w:val="0"/>
      <w:marBottom w:val="0"/>
      <w:divBdr>
        <w:top w:val="none" w:sz="0" w:space="0" w:color="auto"/>
        <w:left w:val="none" w:sz="0" w:space="0" w:color="auto"/>
        <w:bottom w:val="none" w:sz="0" w:space="0" w:color="auto"/>
        <w:right w:val="none" w:sz="0" w:space="0" w:color="auto"/>
      </w:divBdr>
    </w:div>
    <w:div w:id="1460685141">
      <w:bodyDiv w:val="1"/>
      <w:marLeft w:val="0"/>
      <w:marRight w:val="0"/>
      <w:marTop w:val="0"/>
      <w:marBottom w:val="0"/>
      <w:divBdr>
        <w:top w:val="none" w:sz="0" w:space="0" w:color="auto"/>
        <w:left w:val="none" w:sz="0" w:space="0" w:color="auto"/>
        <w:bottom w:val="none" w:sz="0" w:space="0" w:color="auto"/>
        <w:right w:val="none" w:sz="0" w:space="0" w:color="auto"/>
      </w:divBdr>
    </w:div>
    <w:div w:id="1915815155">
      <w:bodyDiv w:val="1"/>
      <w:marLeft w:val="0"/>
      <w:marRight w:val="0"/>
      <w:marTop w:val="0"/>
      <w:marBottom w:val="0"/>
      <w:divBdr>
        <w:top w:val="none" w:sz="0" w:space="0" w:color="auto"/>
        <w:left w:val="none" w:sz="0" w:space="0" w:color="auto"/>
        <w:bottom w:val="none" w:sz="0" w:space="0" w:color="auto"/>
        <w:right w:val="none" w:sz="0" w:space="0" w:color="auto"/>
      </w:divBdr>
    </w:div>
    <w:div w:id="2025210123">
      <w:bodyDiv w:val="1"/>
      <w:marLeft w:val="0"/>
      <w:marRight w:val="0"/>
      <w:marTop w:val="0"/>
      <w:marBottom w:val="0"/>
      <w:divBdr>
        <w:top w:val="none" w:sz="0" w:space="0" w:color="auto"/>
        <w:left w:val="none" w:sz="0" w:space="0" w:color="auto"/>
        <w:bottom w:val="none" w:sz="0" w:space="0" w:color="auto"/>
        <w:right w:val="none" w:sz="0" w:space="0" w:color="auto"/>
      </w:divBdr>
    </w:div>
    <w:div w:id="2077626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ckinsey.com/~/media/mckinsey/business%20functions/mckinsey%20digital/our%20insights/getting%20the%20most%20out%20of%20industry%204%200/mckinsey_industry_40_2016.ashx"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DC940401B443446950E83787B62815D" ma:contentTypeVersion="13" ma:contentTypeDescription="Create a new document." ma:contentTypeScope="" ma:versionID="b81e485a119b3b99a07941983071fbe6">
  <xsd:schema xmlns:xsd="http://www.w3.org/2001/XMLSchema" xmlns:xs="http://www.w3.org/2001/XMLSchema" xmlns:p="http://schemas.microsoft.com/office/2006/metadata/properties" xmlns:ns3="6b494f05-939f-47b7-827f-de1e15f7b078" xmlns:ns4="dd5d29e2-e009-49d8-a581-e6c7b528f0f3" targetNamespace="http://schemas.microsoft.com/office/2006/metadata/properties" ma:root="true" ma:fieldsID="82fb0ed9a8bfb3df7ae2c10bedbb1a63" ns3:_="" ns4:_="">
    <xsd:import namespace="6b494f05-939f-47b7-827f-de1e15f7b078"/>
    <xsd:import namespace="dd5d29e2-e009-49d8-a581-e6c7b528f0f3"/>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94f05-939f-47b7-827f-de1e15f7b0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5d29e2-e009-49d8-a581-e6c7b528f0f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4C922F-A1B5-4915-8464-22E62672342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501F03E-413A-4E05-9738-F629937BB3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94f05-939f-47b7-827f-de1e15f7b078"/>
    <ds:schemaRef ds:uri="dd5d29e2-e009-49d8-a581-e6c7b528f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CE63C7-6572-4AD1-9EAF-4CC23D67E4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3953</Words>
  <Characters>22534</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Ivory, Chris</dc:creator>
  <cp:keywords/>
  <dc:description/>
  <cp:lastModifiedBy>Blanshard, Lisa</cp:lastModifiedBy>
  <cp:revision>3</cp:revision>
  <dcterms:created xsi:type="dcterms:W3CDTF">2022-05-05T15:24:00Z</dcterms:created>
  <dcterms:modified xsi:type="dcterms:W3CDTF">2022-05-06T10:46:00Z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0x0101002DC940401B443446950E83787B62815D</vt:lpwstr>
  </property>
</Properties>
</file>