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22D9B" w14:textId="6BFE7F67" w:rsidR="00C935CA" w:rsidRPr="00346A37" w:rsidRDefault="00C13CE5" w:rsidP="00346A37">
      <w:pPr>
        <w:pStyle w:val="Title"/>
      </w:pPr>
      <w:r w:rsidRPr="00346A37">
        <w:t>Se</w:t>
      </w:r>
      <w:r w:rsidR="00E00A7B" w:rsidRPr="00346A37">
        <w:t>x</w:t>
      </w:r>
      <w:r w:rsidRPr="00346A37">
        <w:t xml:space="preserve">-differential </w:t>
      </w:r>
      <w:r w:rsidR="00E00A7B" w:rsidRPr="00346A37">
        <w:t>association</w:t>
      </w:r>
      <w:r w:rsidR="00312E88" w:rsidRPr="00346A37">
        <w:t>s</w:t>
      </w:r>
      <w:r w:rsidR="00E00A7B" w:rsidRPr="00346A37">
        <w:t xml:space="preserve"> between body mass index and </w:t>
      </w:r>
      <w:r w:rsidR="001607B2" w:rsidRPr="00346A37">
        <w:t>the incidence of dementia</w:t>
      </w:r>
    </w:p>
    <w:p w14:paraId="631C81FA" w14:textId="77777777" w:rsidR="00F63F37" w:rsidRPr="00D43D44" w:rsidRDefault="00F63F37" w:rsidP="00F74F2E">
      <w:pPr>
        <w:spacing w:line="480" w:lineRule="auto"/>
        <w:jc w:val="both"/>
        <w:rPr>
          <w:rFonts w:ascii="Arial" w:hAnsi="Arial" w:cs="Arial"/>
          <w:b/>
          <w:bCs/>
          <w:sz w:val="24"/>
          <w:szCs w:val="24"/>
          <w:lang w:val="en-US"/>
        </w:rPr>
      </w:pPr>
    </w:p>
    <w:p w14:paraId="57B33899" w14:textId="5186C290" w:rsidR="00F63F37" w:rsidRPr="00D43D44" w:rsidRDefault="00F63F37" w:rsidP="00F74F2E">
      <w:pPr>
        <w:spacing w:line="480" w:lineRule="auto"/>
        <w:jc w:val="both"/>
        <w:rPr>
          <w:rFonts w:ascii="Arial" w:hAnsi="Arial" w:cs="Arial"/>
          <w:sz w:val="24"/>
          <w:szCs w:val="24"/>
          <w:lang w:val="en-US"/>
        </w:rPr>
      </w:pPr>
      <w:r w:rsidRPr="00D43D44">
        <w:rPr>
          <w:rFonts w:ascii="Arial" w:hAnsi="Arial" w:cs="Arial"/>
          <w:b/>
          <w:bCs/>
          <w:sz w:val="24"/>
          <w:szCs w:val="24"/>
          <w:lang w:val="en-US"/>
        </w:rPr>
        <w:t xml:space="preserve">Running title: </w:t>
      </w:r>
      <w:r w:rsidR="008D448D">
        <w:rPr>
          <w:rFonts w:ascii="Arial" w:hAnsi="Arial" w:cs="Arial"/>
          <w:sz w:val="24"/>
          <w:szCs w:val="24"/>
          <w:lang w:val="en-US"/>
        </w:rPr>
        <w:t xml:space="preserve">Sex, BMI and </w:t>
      </w:r>
      <w:r w:rsidR="00FE50C3">
        <w:rPr>
          <w:rFonts w:ascii="Arial" w:hAnsi="Arial" w:cs="Arial"/>
          <w:sz w:val="24"/>
          <w:szCs w:val="24"/>
          <w:lang w:val="en-US"/>
        </w:rPr>
        <w:t>dementia</w:t>
      </w:r>
    </w:p>
    <w:p w14:paraId="7B5E8B62" w14:textId="75161D58" w:rsidR="00895E32" w:rsidRPr="00D43D44" w:rsidRDefault="00895E32" w:rsidP="00F74F2E">
      <w:pPr>
        <w:spacing w:line="480" w:lineRule="auto"/>
        <w:jc w:val="both"/>
        <w:rPr>
          <w:rFonts w:ascii="Arial" w:hAnsi="Arial" w:cs="Arial"/>
          <w:sz w:val="24"/>
          <w:szCs w:val="24"/>
          <w:lang w:val="en-US"/>
        </w:rPr>
      </w:pPr>
    </w:p>
    <w:p w14:paraId="7FD0AC9B" w14:textId="1D7431B3" w:rsidR="00BB215E" w:rsidRPr="00CC1992" w:rsidRDefault="00BB215E" w:rsidP="00BB215E">
      <w:pPr>
        <w:spacing w:line="480" w:lineRule="auto"/>
        <w:jc w:val="both"/>
        <w:rPr>
          <w:rFonts w:ascii="Arial" w:hAnsi="Arial" w:cs="Arial"/>
          <w:sz w:val="24"/>
          <w:szCs w:val="24"/>
          <w:lang w:val="en-US"/>
        </w:rPr>
      </w:pPr>
      <w:r w:rsidRPr="00CC1992">
        <w:rPr>
          <w:rFonts w:ascii="Arial" w:hAnsi="Arial" w:cs="Arial"/>
          <w:sz w:val="24"/>
          <w:szCs w:val="24"/>
          <w:lang w:val="en-US"/>
        </w:rPr>
        <w:t xml:space="preserve">Louis </w:t>
      </w:r>
      <w:r w:rsidRPr="00ED0E21">
        <w:rPr>
          <w:rFonts w:ascii="Arial" w:hAnsi="Arial" w:cs="Arial"/>
          <w:b/>
          <w:bCs/>
          <w:sz w:val="24"/>
          <w:szCs w:val="24"/>
          <w:lang w:val="en-US"/>
        </w:rPr>
        <w:t>Jacob</w:t>
      </w:r>
      <w:r w:rsidRPr="00CC1992">
        <w:rPr>
          <w:rFonts w:ascii="Arial" w:hAnsi="Arial" w:cs="Arial"/>
          <w:sz w:val="24"/>
          <w:szCs w:val="24"/>
          <w:lang w:val="en-US"/>
        </w:rPr>
        <w:t>, MD-PhD (ORCID: 0000-0003-1071-</w:t>
      </w:r>
      <w:proofErr w:type="gramStart"/>
      <w:r w:rsidRPr="00CC1992">
        <w:rPr>
          <w:rFonts w:ascii="Arial" w:hAnsi="Arial" w:cs="Arial"/>
          <w:sz w:val="24"/>
          <w:szCs w:val="24"/>
          <w:lang w:val="en-US"/>
        </w:rPr>
        <w:t>1239)</w:t>
      </w:r>
      <w:proofErr w:type="spellStart"/>
      <w:r w:rsidR="00ED0E21">
        <w:rPr>
          <w:rFonts w:ascii="Arial" w:hAnsi="Arial" w:cs="Arial"/>
          <w:sz w:val="24"/>
          <w:szCs w:val="24"/>
          <w:vertAlign w:val="superscript"/>
          <w:lang w:val="en-US"/>
        </w:rPr>
        <w:t>a</w:t>
      </w:r>
      <w:proofErr w:type="gramEnd"/>
      <w:r w:rsidR="00ED0E21">
        <w:rPr>
          <w:rFonts w:ascii="Arial" w:hAnsi="Arial" w:cs="Arial"/>
          <w:sz w:val="24"/>
          <w:szCs w:val="24"/>
          <w:vertAlign w:val="superscript"/>
          <w:lang w:val="en-US"/>
        </w:rPr>
        <w:t>,b</w:t>
      </w:r>
      <w:proofErr w:type="spellEnd"/>
      <w:r w:rsidRPr="00CC1992">
        <w:rPr>
          <w:rFonts w:ascii="Arial" w:hAnsi="Arial" w:cs="Arial"/>
          <w:sz w:val="24"/>
          <w:szCs w:val="24"/>
          <w:lang w:val="en-US"/>
        </w:rPr>
        <w:t xml:space="preserve">; </w:t>
      </w:r>
      <w:r>
        <w:rPr>
          <w:rFonts w:ascii="Arial" w:hAnsi="Arial" w:cs="Arial"/>
          <w:sz w:val="24"/>
          <w:szCs w:val="24"/>
          <w:lang w:val="en-US"/>
        </w:rPr>
        <w:t xml:space="preserve">Lee </w:t>
      </w:r>
      <w:r w:rsidRPr="00ED0E21">
        <w:rPr>
          <w:rFonts w:ascii="Arial" w:hAnsi="Arial" w:cs="Arial"/>
          <w:b/>
          <w:bCs/>
          <w:sz w:val="24"/>
          <w:szCs w:val="24"/>
          <w:lang w:val="en-US"/>
        </w:rPr>
        <w:t>Smith</w:t>
      </w:r>
      <w:r>
        <w:rPr>
          <w:rFonts w:ascii="Arial" w:hAnsi="Arial" w:cs="Arial"/>
          <w:sz w:val="24"/>
          <w:szCs w:val="24"/>
          <w:lang w:val="en-US"/>
        </w:rPr>
        <w:t xml:space="preserve">, PhD (ORCID: </w:t>
      </w:r>
      <w:r w:rsidRPr="009E1E73">
        <w:rPr>
          <w:rFonts w:ascii="Arial" w:hAnsi="Arial" w:cs="Arial"/>
          <w:sz w:val="24"/>
          <w:szCs w:val="24"/>
          <w:lang w:val="en-US"/>
        </w:rPr>
        <w:t>0000-0002-5340-9833</w:t>
      </w:r>
      <w:r>
        <w:rPr>
          <w:rFonts w:ascii="Arial" w:hAnsi="Arial" w:cs="Arial"/>
          <w:sz w:val="24"/>
          <w:szCs w:val="24"/>
          <w:lang w:val="en-US"/>
        </w:rPr>
        <w:t>)</w:t>
      </w:r>
      <w:r w:rsidR="00ED0E21">
        <w:rPr>
          <w:rFonts w:ascii="Arial" w:hAnsi="Arial" w:cs="Arial"/>
          <w:sz w:val="24"/>
          <w:szCs w:val="24"/>
          <w:vertAlign w:val="superscript"/>
          <w:lang w:val="en-US"/>
        </w:rPr>
        <w:t>c</w:t>
      </w:r>
      <w:r>
        <w:rPr>
          <w:rFonts w:ascii="Arial" w:hAnsi="Arial" w:cs="Arial"/>
          <w:sz w:val="24"/>
          <w:szCs w:val="24"/>
          <w:lang w:val="en-US"/>
        </w:rPr>
        <w:t xml:space="preserve">; Ai </w:t>
      </w:r>
      <w:r w:rsidRPr="00ED0E21">
        <w:rPr>
          <w:rFonts w:ascii="Arial" w:hAnsi="Arial" w:cs="Arial"/>
          <w:b/>
          <w:bCs/>
          <w:sz w:val="24"/>
          <w:szCs w:val="24"/>
          <w:lang w:val="en-US"/>
        </w:rPr>
        <w:t>Koyanagi</w:t>
      </w:r>
      <w:r>
        <w:rPr>
          <w:rFonts w:ascii="Arial" w:hAnsi="Arial" w:cs="Arial"/>
          <w:sz w:val="24"/>
          <w:szCs w:val="24"/>
          <w:lang w:val="en-US"/>
        </w:rPr>
        <w:t xml:space="preserve">, MD-PhD (ORCID: </w:t>
      </w:r>
      <w:r w:rsidRPr="002F2A21">
        <w:rPr>
          <w:rFonts w:ascii="Arial" w:hAnsi="Arial" w:cs="Arial"/>
          <w:sz w:val="24"/>
          <w:szCs w:val="24"/>
          <w:lang w:val="en-US"/>
        </w:rPr>
        <w:t>0000-0002-9565-5004</w:t>
      </w:r>
      <w:r>
        <w:rPr>
          <w:rFonts w:ascii="Arial" w:hAnsi="Arial" w:cs="Arial"/>
          <w:sz w:val="24"/>
          <w:szCs w:val="24"/>
          <w:lang w:val="en-US"/>
        </w:rPr>
        <w:t>)</w:t>
      </w:r>
      <w:proofErr w:type="spellStart"/>
      <w:r w:rsidR="00ED0E21">
        <w:rPr>
          <w:rFonts w:ascii="Arial" w:hAnsi="Arial" w:cs="Arial"/>
          <w:sz w:val="24"/>
          <w:szCs w:val="24"/>
          <w:vertAlign w:val="superscript"/>
          <w:lang w:val="en-US"/>
        </w:rPr>
        <w:t>a,d</w:t>
      </w:r>
      <w:proofErr w:type="spellEnd"/>
      <w:r>
        <w:rPr>
          <w:rFonts w:ascii="Arial" w:hAnsi="Arial" w:cs="Arial"/>
          <w:sz w:val="24"/>
          <w:szCs w:val="24"/>
          <w:lang w:val="en-US"/>
        </w:rPr>
        <w:t xml:space="preserve">; Marcel </w:t>
      </w:r>
      <w:r w:rsidRPr="00940FAA">
        <w:rPr>
          <w:rFonts w:ascii="Arial" w:hAnsi="Arial" w:cs="Arial"/>
          <w:b/>
          <w:bCs/>
          <w:sz w:val="24"/>
          <w:szCs w:val="24"/>
          <w:lang w:val="en-US"/>
        </w:rPr>
        <w:t>Konrad</w:t>
      </w:r>
      <w:r>
        <w:rPr>
          <w:rFonts w:ascii="Arial" w:hAnsi="Arial" w:cs="Arial"/>
          <w:sz w:val="24"/>
          <w:szCs w:val="24"/>
          <w:lang w:val="en-US"/>
        </w:rPr>
        <w:t xml:space="preserve">, PhD (ORCID: </w:t>
      </w:r>
      <w:r w:rsidRPr="001A79C1">
        <w:rPr>
          <w:rFonts w:ascii="Arial" w:hAnsi="Arial" w:cs="Arial"/>
          <w:sz w:val="24"/>
          <w:szCs w:val="24"/>
          <w:lang w:val="en-US"/>
        </w:rPr>
        <w:t>0000-0001-6798-5092</w:t>
      </w:r>
      <w:r>
        <w:rPr>
          <w:rFonts w:ascii="Arial" w:hAnsi="Arial" w:cs="Arial"/>
          <w:sz w:val="24"/>
          <w:szCs w:val="24"/>
          <w:lang w:val="en-US"/>
        </w:rPr>
        <w:t>)</w:t>
      </w:r>
      <w:r w:rsidR="00940FAA">
        <w:rPr>
          <w:rFonts w:ascii="Arial" w:hAnsi="Arial" w:cs="Arial"/>
          <w:sz w:val="24"/>
          <w:szCs w:val="24"/>
          <w:vertAlign w:val="superscript"/>
          <w:lang w:val="en-US"/>
        </w:rPr>
        <w:t>e</w:t>
      </w:r>
      <w:r>
        <w:rPr>
          <w:rFonts w:ascii="Arial" w:hAnsi="Arial" w:cs="Arial"/>
          <w:sz w:val="24"/>
          <w:szCs w:val="24"/>
          <w:lang w:val="en-US"/>
        </w:rPr>
        <w:t xml:space="preserve">; </w:t>
      </w:r>
      <w:r w:rsidR="00133C45">
        <w:rPr>
          <w:rFonts w:ascii="Arial" w:hAnsi="Arial" w:cs="Arial"/>
          <w:sz w:val="24"/>
          <w:szCs w:val="24"/>
          <w:lang w:val="en-US"/>
        </w:rPr>
        <w:t xml:space="preserve">Josep Maria </w:t>
      </w:r>
      <w:r w:rsidR="00133C45" w:rsidRPr="00940FAA">
        <w:rPr>
          <w:rFonts w:ascii="Arial" w:hAnsi="Arial" w:cs="Arial"/>
          <w:b/>
          <w:bCs/>
          <w:sz w:val="24"/>
          <w:szCs w:val="24"/>
          <w:lang w:val="en-US"/>
        </w:rPr>
        <w:t>Haro</w:t>
      </w:r>
      <w:r w:rsidR="00133C45">
        <w:rPr>
          <w:rFonts w:ascii="Arial" w:hAnsi="Arial" w:cs="Arial"/>
          <w:sz w:val="24"/>
          <w:szCs w:val="24"/>
          <w:lang w:val="en-US"/>
        </w:rPr>
        <w:t xml:space="preserve">, MD-PhD (ORCID: </w:t>
      </w:r>
      <w:r w:rsidR="00133C45" w:rsidRPr="00CD7048">
        <w:rPr>
          <w:rFonts w:ascii="Arial" w:hAnsi="Arial" w:cs="Arial"/>
          <w:sz w:val="24"/>
          <w:szCs w:val="24"/>
          <w:lang w:val="en-US"/>
        </w:rPr>
        <w:t>0000-0002-3984-277X</w:t>
      </w:r>
      <w:r w:rsidR="00133C45">
        <w:rPr>
          <w:rFonts w:ascii="Arial" w:hAnsi="Arial" w:cs="Arial"/>
          <w:sz w:val="24"/>
          <w:szCs w:val="24"/>
          <w:lang w:val="en-US"/>
        </w:rPr>
        <w:t>)</w:t>
      </w:r>
      <w:r w:rsidR="00940FAA">
        <w:rPr>
          <w:rFonts w:ascii="Arial" w:hAnsi="Arial" w:cs="Arial"/>
          <w:sz w:val="24"/>
          <w:szCs w:val="24"/>
          <w:vertAlign w:val="superscript"/>
          <w:lang w:val="en-US"/>
        </w:rPr>
        <w:t>a</w:t>
      </w:r>
      <w:r w:rsidR="00133C45">
        <w:rPr>
          <w:rFonts w:ascii="Arial" w:hAnsi="Arial" w:cs="Arial"/>
          <w:sz w:val="24"/>
          <w:szCs w:val="24"/>
          <w:lang w:val="en-US"/>
        </w:rPr>
        <w:t xml:space="preserve">; </w:t>
      </w:r>
      <w:r w:rsidR="00133C45" w:rsidRPr="00B42A23">
        <w:rPr>
          <w:rFonts w:ascii="Arial" w:hAnsi="Arial" w:cs="Arial"/>
          <w:sz w:val="24"/>
          <w:szCs w:val="24"/>
          <w:lang w:val="en-US"/>
        </w:rPr>
        <w:t xml:space="preserve">Jae Il </w:t>
      </w:r>
      <w:r w:rsidR="00133C45" w:rsidRPr="00940FAA">
        <w:rPr>
          <w:rFonts w:ascii="Arial" w:hAnsi="Arial" w:cs="Arial"/>
          <w:b/>
          <w:bCs/>
          <w:sz w:val="24"/>
          <w:szCs w:val="24"/>
          <w:lang w:val="en-US"/>
        </w:rPr>
        <w:t>Shin</w:t>
      </w:r>
      <w:r w:rsidR="00133C45" w:rsidRPr="00B42A23">
        <w:rPr>
          <w:rFonts w:ascii="Arial" w:hAnsi="Arial" w:cs="Arial"/>
          <w:sz w:val="24"/>
          <w:szCs w:val="24"/>
          <w:lang w:val="en-US"/>
        </w:rPr>
        <w:t>, MD-PhD (ORCID: 0000-0003-2326-1820)</w:t>
      </w:r>
      <w:r w:rsidR="008737B8">
        <w:rPr>
          <w:rFonts w:ascii="Arial" w:hAnsi="Arial" w:cs="Arial"/>
          <w:sz w:val="24"/>
          <w:szCs w:val="24"/>
          <w:vertAlign w:val="superscript"/>
          <w:lang w:val="en-US"/>
        </w:rPr>
        <w:t>f</w:t>
      </w:r>
      <w:r w:rsidR="00133C45" w:rsidRPr="00B42A23">
        <w:rPr>
          <w:rFonts w:ascii="Arial" w:hAnsi="Arial" w:cs="Arial"/>
          <w:sz w:val="24"/>
          <w:szCs w:val="24"/>
          <w:lang w:val="en-US"/>
        </w:rPr>
        <w:t xml:space="preserve">; </w:t>
      </w:r>
      <w:r w:rsidRPr="00CC1992">
        <w:rPr>
          <w:rFonts w:ascii="Arial" w:hAnsi="Arial" w:cs="Arial"/>
          <w:sz w:val="24"/>
          <w:szCs w:val="24"/>
          <w:lang w:val="en-US"/>
        </w:rPr>
        <w:t xml:space="preserve">Karel </w:t>
      </w:r>
      <w:r w:rsidRPr="008737B8">
        <w:rPr>
          <w:rFonts w:ascii="Arial" w:hAnsi="Arial" w:cs="Arial"/>
          <w:b/>
          <w:bCs/>
          <w:sz w:val="24"/>
          <w:szCs w:val="24"/>
          <w:lang w:val="en-US"/>
        </w:rPr>
        <w:t>Kostev</w:t>
      </w:r>
      <w:r w:rsidRPr="00CC1992">
        <w:rPr>
          <w:rFonts w:ascii="Arial" w:hAnsi="Arial" w:cs="Arial"/>
          <w:sz w:val="24"/>
          <w:szCs w:val="24"/>
          <w:lang w:val="en-US"/>
        </w:rPr>
        <w:t>, PhD (ORCID: 0000-0002-2124-7227)</w:t>
      </w:r>
      <w:r w:rsidR="00AD6C56">
        <w:rPr>
          <w:rFonts w:ascii="Arial" w:hAnsi="Arial" w:cs="Arial"/>
          <w:sz w:val="24"/>
          <w:szCs w:val="24"/>
          <w:vertAlign w:val="superscript"/>
          <w:lang w:val="en-US"/>
        </w:rPr>
        <w:t>g</w:t>
      </w:r>
    </w:p>
    <w:p w14:paraId="037AB28B" w14:textId="77777777" w:rsidR="00BB215E" w:rsidRPr="00CC1992" w:rsidRDefault="00BB215E" w:rsidP="00BB215E">
      <w:pPr>
        <w:spacing w:line="480" w:lineRule="auto"/>
        <w:jc w:val="both"/>
        <w:rPr>
          <w:rFonts w:ascii="Arial" w:hAnsi="Arial" w:cs="Arial"/>
          <w:sz w:val="24"/>
          <w:szCs w:val="24"/>
          <w:lang w:val="en-US"/>
        </w:rPr>
      </w:pPr>
    </w:p>
    <w:p w14:paraId="15203845" w14:textId="3342AF22" w:rsidR="00BB215E" w:rsidRPr="00F942A2" w:rsidRDefault="00F31DAC" w:rsidP="00BB215E">
      <w:pPr>
        <w:spacing w:line="480" w:lineRule="auto"/>
        <w:jc w:val="both"/>
        <w:rPr>
          <w:rFonts w:ascii="Arial" w:hAnsi="Arial" w:cs="Arial"/>
          <w:sz w:val="24"/>
          <w:szCs w:val="24"/>
          <w:lang w:val="en-US"/>
        </w:rPr>
      </w:pPr>
      <w:r>
        <w:rPr>
          <w:rFonts w:ascii="Arial" w:hAnsi="Arial" w:cs="Arial"/>
          <w:sz w:val="24"/>
          <w:szCs w:val="24"/>
          <w:vertAlign w:val="superscript"/>
          <w:lang w:val="en-US"/>
        </w:rPr>
        <w:t>a</w:t>
      </w:r>
      <w:r w:rsidR="00BB215E" w:rsidRPr="00F942A2">
        <w:rPr>
          <w:rFonts w:ascii="Arial" w:hAnsi="Arial" w:cs="Arial"/>
          <w:sz w:val="24"/>
          <w:szCs w:val="24"/>
          <w:lang w:val="en-US"/>
        </w:rPr>
        <w:t xml:space="preserve"> Research and Development Unit, Parc </w:t>
      </w:r>
      <w:proofErr w:type="spellStart"/>
      <w:r w:rsidR="00BB215E" w:rsidRPr="00F942A2">
        <w:rPr>
          <w:rFonts w:ascii="Arial" w:hAnsi="Arial" w:cs="Arial"/>
          <w:sz w:val="24"/>
          <w:szCs w:val="24"/>
          <w:lang w:val="en-US"/>
        </w:rPr>
        <w:t>Sanitari</w:t>
      </w:r>
      <w:proofErr w:type="spellEnd"/>
      <w:r w:rsidR="00BB215E" w:rsidRPr="00F942A2">
        <w:rPr>
          <w:rFonts w:ascii="Arial" w:hAnsi="Arial" w:cs="Arial"/>
          <w:sz w:val="24"/>
          <w:szCs w:val="24"/>
          <w:lang w:val="en-US"/>
        </w:rPr>
        <w:t xml:space="preserve"> Sant Joan de </w:t>
      </w:r>
      <w:proofErr w:type="spellStart"/>
      <w:r w:rsidR="00BB215E" w:rsidRPr="00F942A2">
        <w:rPr>
          <w:rFonts w:ascii="Arial" w:hAnsi="Arial" w:cs="Arial"/>
          <w:sz w:val="24"/>
          <w:szCs w:val="24"/>
          <w:lang w:val="en-US"/>
        </w:rPr>
        <w:t>Déu</w:t>
      </w:r>
      <w:proofErr w:type="spellEnd"/>
      <w:r w:rsidR="00BB215E" w:rsidRPr="00F942A2">
        <w:rPr>
          <w:rFonts w:ascii="Arial" w:hAnsi="Arial" w:cs="Arial"/>
          <w:sz w:val="24"/>
          <w:szCs w:val="24"/>
          <w:lang w:val="en-US"/>
        </w:rPr>
        <w:t xml:space="preserve">, </w:t>
      </w:r>
      <w:r w:rsidR="00334B15" w:rsidRPr="00F942A2">
        <w:rPr>
          <w:rFonts w:ascii="Arial" w:hAnsi="Arial" w:cs="Arial"/>
          <w:sz w:val="24"/>
          <w:szCs w:val="24"/>
          <w:lang w:val="en-US"/>
        </w:rPr>
        <w:t xml:space="preserve">CIBERSAM, </w:t>
      </w:r>
      <w:r w:rsidR="00BB215E" w:rsidRPr="00F942A2">
        <w:rPr>
          <w:rFonts w:ascii="Arial" w:hAnsi="Arial" w:cs="Arial"/>
          <w:sz w:val="24"/>
          <w:szCs w:val="24"/>
          <w:lang w:val="en-US"/>
        </w:rPr>
        <w:t xml:space="preserve">Dr. Antoni Pujadas, 42, Sant </w:t>
      </w:r>
      <w:proofErr w:type="spellStart"/>
      <w:r w:rsidR="00BB215E" w:rsidRPr="00F942A2">
        <w:rPr>
          <w:rFonts w:ascii="Arial" w:hAnsi="Arial" w:cs="Arial"/>
          <w:sz w:val="24"/>
          <w:szCs w:val="24"/>
          <w:lang w:val="en-US"/>
        </w:rPr>
        <w:t>Boi</w:t>
      </w:r>
      <w:proofErr w:type="spellEnd"/>
      <w:r w:rsidR="00BB215E" w:rsidRPr="00F942A2">
        <w:rPr>
          <w:rFonts w:ascii="Arial" w:hAnsi="Arial" w:cs="Arial"/>
          <w:sz w:val="24"/>
          <w:szCs w:val="24"/>
          <w:lang w:val="en-US"/>
        </w:rPr>
        <w:t xml:space="preserve"> de </w:t>
      </w:r>
      <w:proofErr w:type="spellStart"/>
      <w:r w:rsidR="00BB215E" w:rsidRPr="00F942A2">
        <w:rPr>
          <w:rFonts w:ascii="Arial" w:hAnsi="Arial" w:cs="Arial"/>
          <w:sz w:val="24"/>
          <w:szCs w:val="24"/>
          <w:lang w:val="en-US"/>
        </w:rPr>
        <w:t>Llobregat</w:t>
      </w:r>
      <w:proofErr w:type="spellEnd"/>
      <w:r w:rsidR="00BB215E" w:rsidRPr="00F942A2">
        <w:rPr>
          <w:rFonts w:ascii="Arial" w:hAnsi="Arial" w:cs="Arial"/>
          <w:sz w:val="24"/>
          <w:szCs w:val="24"/>
          <w:lang w:val="en-US"/>
        </w:rPr>
        <w:t>, Barcelona, Spain</w:t>
      </w:r>
    </w:p>
    <w:p w14:paraId="05E25D33" w14:textId="4EB5D71B" w:rsidR="00BB215E" w:rsidRPr="00F942A2" w:rsidRDefault="00F31DAC" w:rsidP="00BB215E">
      <w:pPr>
        <w:spacing w:line="480" w:lineRule="auto"/>
        <w:jc w:val="both"/>
        <w:rPr>
          <w:rFonts w:ascii="Arial" w:hAnsi="Arial" w:cs="Arial"/>
          <w:sz w:val="24"/>
          <w:szCs w:val="24"/>
          <w:lang w:val="en-US"/>
        </w:rPr>
      </w:pPr>
      <w:r>
        <w:rPr>
          <w:rFonts w:ascii="Arial" w:hAnsi="Arial" w:cs="Arial"/>
          <w:sz w:val="24"/>
          <w:szCs w:val="24"/>
          <w:vertAlign w:val="superscript"/>
          <w:lang w:val="en-US"/>
        </w:rPr>
        <w:t>b</w:t>
      </w:r>
      <w:r w:rsidR="00BB215E" w:rsidRPr="00F942A2">
        <w:rPr>
          <w:rFonts w:ascii="Arial" w:hAnsi="Arial" w:cs="Arial"/>
          <w:sz w:val="24"/>
          <w:szCs w:val="24"/>
          <w:lang w:val="en-US"/>
        </w:rPr>
        <w:t xml:space="preserve"> Faculty of Medicine, University of Versailles Saint-Quentin-</w:t>
      </w:r>
      <w:proofErr w:type="spellStart"/>
      <w:r w:rsidR="00BB215E" w:rsidRPr="00F942A2">
        <w:rPr>
          <w:rFonts w:ascii="Arial" w:hAnsi="Arial" w:cs="Arial"/>
          <w:sz w:val="24"/>
          <w:szCs w:val="24"/>
          <w:lang w:val="en-US"/>
        </w:rPr>
        <w:t>en</w:t>
      </w:r>
      <w:proofErr w:type="spellEnd"/>
      <w:r w:rsidR="00BB215E" w:rsidRPr="00F942A2">
        <w:rPr>
          <w:rFonts w:ascii="Arial" w:hAnsi="Arial" w:cs="Arial"/>
          <w:sz w:val="24"/>
          <w:szCs w:val="24"/>
          <w:lang w:val="en-US"/>
        </w:rPr>
        <w:t>-Yvelines,</w:t>
      </w:r>
      <w:r w:rsidR="009E1BB7">
        <w:rPr>
          <w:rFonts w:ascii="Arial" w:hAnsi="Arial" w:cs="Arial"/>
          <w:sz w:val="24"/>
          <w:szCs w:val="24"/>
          <w:lang w:val="en-US"/>
        </w:rPr>
        <w:t xml:space="preserve"> </w:t>
      </w:r>
      <w:proofErr w:type="spellStart"/>
      <w:r w:rsidR="00BB215E" w:rsidRPr="00F942A2">
        <w:rPr>
          <w:rFonts w:ascii="Arial" w:hAnsi="Arial" w:cs="Arial"/>
          <w:sz w:val="24"/>
          <w:szCs w:val="24"/>
          <w:lang w:val="en-US"/>
        </w:rPr>
        <w:t>Montigny</w:t>
      </w:r>
      <w:proofErr w:type="spellEnd"/>
      <w:r w:rsidR="00BB215E" w:rsidRPr="00F942A2">
        <w:rPr>
          <w:rFonts w:ascii="Arial" w:hAnsi="Arial" w:cs="Arial"/>
          <w:sz w:val="24"/>
          <w:szCs w:val="24"/>
          <w:lang w:val="en-US"/>
        </w:rPr>
        <w:t>-le-Bretonneux, France</w:t>
      </w:r>
    </w:p>
    <w:p w14:paraId="581E0E7F" w14:textId="7C20783F" w:rsidR="00BB215E" w:rsidRPr="004561D7" w:rsidRDefault="00F31DAC" w:rsidP="00BB215E">
      <w:pPr>
        <w:spacing w:line="480" w:lineRule="auto"/>
        <w:jc w:val="both"/>
        <w:rPr>
          <w:rFonts w:ascii="Arial" w:hAnsi="Arial" w:cs="Arial"/>
          <w:sz w:val="24"/>
          <w:szCs w:val="24"/>
          <w:lang w:val="en-US"/>
        </w:rPr>
      </w:pPr>
      <w:r>
        <w:rPr>
          <w:rFonts w:ascii="Arial" w:hAnsi="Arial" w:cs="Arial"/>
          <w:sz w:val="24"/>
          <w:szCs w:val="24"/>
          <w:vertAlign w:val="superscript"/>
          <w:lang w:val="en-US"/>
        </w:rPr>
        <w:t>c</w:t>
      </w:r>
      <w:r w:rsidR="00BB215E" w:rsidRPr="004561D7">
        <w:rPr>
          <w:rFonts w:ascii="Arial" w:hAnsi="Arial" w:cs="Arial"/>
          <w:sz w:val="24"/>
          <w:szCs w:val="24"/>
          <w:lang w:val="en-US"/>
        </w:rPr>
        <w:t xml:space="preserve"> Centre for Health, Performance and Wellbeing, Anglia Ruskin University, Cambridge, UK</w:t>
      </w:r>
    </w:p>
    <w:p w14:paraId="141EF4FB" w14:textId="3A5628A9" w:rsidR="00BB215E" w:rsidRPr="00F942A2" w:rsidRDefault="00F31DAC" w:rsidP="00BB215E">
      <w:pPr>
        <w:spacing w:line="480" w:lineRule="auto"/>
        <w:jc w:val="both"/>
        <w:rPr>
          <w:rFonts w:ascii="Arial" w:hAnsi="Arial" w:cs="Arial"/>
          <w:sz w:val="24"/>
          <w:szCs w:val="24"/>
          <w:lang w:val="es-ES"/>
        </w:rPr>
      </w:pPr>
      <w:proofErr w:type="gramStart"/>
      <w:r>
        <w:rPr>
          <w:rFonts w:ascii="Arial" w:hAnsi="Arial" w:cs="Arial"/>
          <w:sz w:val="24"/>
          <w:szCs w:val="24"/>
          <w:vertAlign w:val="superscript"/>
        </w:rPr>
        <w:t>d</w:t>
      </w:r>
      <w:proofErr w:type="gramEnd"/>
      <w:r w:rsidR="00BB215E">
        <w:rPr>
          <w:rFonts w:ascii="Arial" w:hAnsi="Arial" w:cs="Arial"/>
          <w:sz w:val="24"/>
          <w:szCs w:val="24"/>
        </w:rPr>
        <w:t xml:space="preserve"> </w:t>
      </w:r>
      <w:proofErr w:type="spellStart"/>
      <w:r w:rsidR="00BB215E" w:rsidRPr="001B586B">
        <w:rPr>
          <w:rFonts w:ascii="Arial" w:hAnsi="Arial" w:cs="Arial"/>
          <w:sz w:val="24"/>
          <w:szCs w:val="24"/>
        </w:rPr>
        <w:t>Institució</w:t>
      </w:r>
      <w:proofErr w:type="spellEnd"/>
      <w:r w:rsidR="00BB215E" w:rsidRPr="001B586B">
        <w:rPr>
          <w:rFonts w:ascii="Arial" w:hAnsi="Arial" w:cs="Arial"/>
          <w:sz w:val="24"/>
          <w:szCs w:val="24"/>
        </w:rPr>
        <w:t xml:space="preserve"> </w:t>
      </w:r>
      <w:proofErr w:type="spellStart"/>
      <w:r w:rsidR="00BB215E" w:rsidRPr="001B586B">
        <w:rPr>
          <w:rFonts w:ascii="Arial" w:hAnsi="Arial" w:cs="Arial"/>
          <w:sz w:val="24"/>
          <w:szCs w:val="24"/>
        </w:rPr>
        <w:t>Catalana</w:t>
      </w:r>
      <w:proofErr w:type="spellEnd"/>
      <w:r w:rsidR="00BB215E" w:rsidRPr="001B586B">
        <w:rPr>
          <w:rFonts w:ascii="Arial" w:hAnsi="Arial" w:cs="Arial"/>
          <w:sz w:val="24"/>
          <w:szCs w:val="24"/>
        </w:rPr>
        <w:t xml:space="preserve"> de </w:t>
      </w:r>
      <w:proofErr w:type="spellStart"/>
      <w:r w:rsidR="00BB215E" w:rsidRPr="001B586B">
        <w:rPr>
          <w:rFonts w:ascii="Arial" w:hAnsi="Arial" w:cs="Arial"/>
          <w:sz w:val="24"/>
          <w:szCs w:val="24"/>
        </w:rPr>
        <w:t>Recerca</w:t>
      </w:r>
      <w:proofErr w:type="spellEnd"/>
      <w:r w:rsidR="00BB215E" w:rsidRPr="001B586B">
        <w:rPr>
          <w:rFonts w:ascii="Arial" w:hAnsi="Arial" w:cs="Arial"/>
          <w:sz w:val="24"/>
          <w:szCs w:val="24"/>
        </w:rPr>
        <w:t xml:space="preserve"> i </w:t>
      </w:r>
      <w:proofErr w:type="spellStart"/>
      <w:r w:rsidR="00BB215E" w:rsidRPr="001B586B">
        <w:rPr>
          <w:rFonts w:ascii="Arial" w:hAnsi="Arial" w:cs="Arial"/>
          <w:sz w:val="24"/>
          <w:szCs w:val="24"/>
        </w:rPr>
        <w:t>Estudis</w:t>
      </w:r>
      <w:proofErr w:type="spellEnd"/>
      <w:r w:rsidR="00BB215E" w:rsidRPr="001B586B">
        <w:rPr>
          <w:rFonts w:ascii="Arial" w:hAnsi="Arial" w:cs="Arial"/>
          <w:sz w:val="24"/>
          <w:szCs w:val="24"/>
        </w:rPr>
        <w:t xml:space="preserve"> </w:t>
      </w:r>
      <w:proofErr w:type="spellStart"/>
      <w:r w:rsidR="00BB215E" w:rsidRPr="001B586B">
        <w:rPr>
          <w:rFonts w:ascii="Arial" w:hAnsi="Arial" w:cs="Arial"/>
          <w:sz w:val="24"/>
          <w:szCs w:val="24"/>
        </w:rPr>
        <w:t>Avançats</w:t>
      </w:r>
      <w:proofErr w:type="spellEnd"/>
      <w:r w:rsidR="00BB215E" w:rsidRPr="001B586B">
        <w:rPr>
          <w:rFonts w:ascii="Arial" w:hAnsi="Arial" w:cs="Arial"/>
          <w:sz w:val="24"/>
          <w:szCs w:val="24"/>
        </w:rPr>
        <w:t xml:space="preserve"> (ICREA), </w:t>
      </w:r>
      <w:proofErr w:type="spellStart"/>
      <w:r w:rsidR="00BB215E" w:rsidRPr="001B586B">
        <w:rPr>
          <w:rFonts w:ascii="Arial" w:hAnsi="Arial" w:cs="Arial"/>
          <w:sz w:val="24"/>
          <w:szCs w:val="24"/>
        </w:rPr>
        <w:t>Pg</w:t>
      </w:r>
      <w:proofErr w:type="spellEnd"/>
      <w:r w:rsidR="00BB215E" w:rsidRPr="001B586B">
        <w:rPr>
          <w:rFonts w:ascii="Arial" w:hAnsi="Arial" w:cs="Arial"/>
          <w:sz w:val="24"/>
          <w:szCs w:val="24"/>
        </w:rPr>
        <w:t xml:space="preserve">. </w:t>
      </w:r>
      <w:proofErr w:type="spellStart"/>
      <w:r w:rsidR="00BB215E" w:rsidRPr="00F942A2">
        <w:rPr>
          <w:rFonts w:ascii="Arial" w:hAnsi="Arial" w:cs="Arial"/>
          <w:sz w:val="24"/>
          <w:szCs w:val="24"/>
          <w:lang w:val="es-ES"/>
        </w:rPr>
        <w:t>Lluis</w:t>
      </w:r>
      <w:proofErr w:type="spellEnd"/>
      <w:r w:rsidR="00BB215E" w:rsidRPr="00F942A2">
        <w:rPr>
          <w:rFonts w:ascii="Arial" w:hAnsi="Arial" w:cs="Arial"/>
          <w:sz w:val="24"/>
          <w:szCs w:val="24"/>
          <w:lang w:val="es-ES"/>
        </w:rPr>
        <w:t xml:space="preserve"> Companys 23, Barcelona, </w:t>
      </w:r>
      <w:proofErr w:type="spellStart"/>
      <w:r w:rsidR="00BB215E" w:rsidRPr="00F942A2">
        <w:rPr>
          <w:rFonts w:ascii="Arial" w:hAnsi="Arial" w:cs="Arial"/>
          <w:sz w:val="24"/>
          <w:szCs w:val="24"/>
          <w:lang w:val="es-ES"/>
        </w:rPr>
        <w:t>Spain</w:t>
      </w:r>
      <w:proofErr w:type="spellEnd"/>
    </w:p>
    <w:p w14:paraId="64E90CD6" w14:textId="60405977" w:rsidR="008F7B80" w:rsidRPr="00F942A2" w:rsidRDefault="00F31DAC" w:rsidP="00BB215E">
      <w:pPr>
        <w:spacing w:line="480" w:lineRule="auto"/>
        <w:jc w:val="both"/>
        <w:rPr>
          <w:rFonts w:ascii="Arial" w:eastAsia="Times New Roman" w:hAnsi="Arial" w:cs="Arial"/>
          <w:color w:val="000000" w:themeColor="text1"/>
          <w:sz w:val="24"/>
          <w:szCs w:val="24"/>
          <w:lang w:val="en-US" w:eastAsia="de-DE"/>
        </w:rPr>
      </w:pPr>
      <w:r>
        <w:rPr>
          <w:rFonts w:ascii="Arial" w:eastAsia="Times New Roman" w:hAnsi="Arial" w:cs="Arial"/>
          <w:color w:val="000000" w:themeColor="text1"/>
          <w:sz w:val="24"/>
          <w:szCs w:val="24"/>
          <w:vertAlign w:val="superscript"/>
          <w:lang w:val="en-US" w:eastAsia="de-DE"/>
        </w:rPr>
        <w:t>e</w:t>
      </w:r>
      <w:r w:rsidR="008F7B80">
        <w:rPr>
          <w:rFonts w:ascii="Arial" w:eastAsia="Times New Roman" w:hAnsi="Arial" w:cs="Arial"/>
          <w:color w:val="000000" w:themeColor="text1"/>
          <w:sz w:val="24"/>
          <w:szCs w:val="24"/>
          <w:vertAlign w:val="superscript"/>
          <w:lang w:val="en-US" w:eastAsia="de-DE"/>
        </w:rPr>
        <w:t xml:space="preserve"> </w:t>
      </w:r>
      <w:r w:rsidR="008F7B80" w:rsidRPr="00ED45B1">
        <w:rPr>
          <w:rFonts w:ascii="Arial" w:eastAsia="Times New Roman" w:hAnsi="Arial" w:cs="Arial"/>
          <w:color w:val="000000" w:themeColor="text1"/>
          <w:sz w:val="24"/>
          <w:szCs w:val="24"/>
          <w:lang w:val="en-US" w:eastAsia="de-DE"/>
        </w:rPr>
        <w:t>Health</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&amp;</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Social,</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FOM</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University</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of</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Applied</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Sciences</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for</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Economics</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and</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Management,</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Frankfurt</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am</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Main,</w:t>
      </w:r>
      <w:r w:rsidR="008F7B80">
        <w:rPr>
          <w:rFonts w:ascii="Arial" w:eastAsia="Times New Roman" w:hAnsi="Arial" w:cs="Arial"/>
          <w:color w:val="000000" w:themeColor="text1"/>
          <w:sz w:val="24"/>
          <w:szCs w:val="24"/>
          <w:lang w:val="en-US" w:eastAsia="de-DE"/>
        </w:rPr>
        <w:t xml:space="preserve"> </w:t>
      </w:r>
      <w:r w:rsidR="008F7B80" w:rsidRPr="00ED45B1">
        <w:rPr>
          <w:rFonts w:ascii="Arial" w:eastAsia="Times New Roman" w:hAnsi="Arial" w:cs="Arial"/>
          <w:color w:val="000000" w:themeColor="text1"/>
          <w:sz w:val="24"/>
          <w:szCs w:val="24"/>
          <w:lang w:val="en-US" w:eastAsia="de-DE"/>
        </w:rPr>
        <w:t>Germany</w:t>
      </w:r>
    </w:p>
    <w:p w14:paraId="394DA437" w14:textId="7EA6557E" w:rsidR="00133C45" w:rsidRPr="004561D7" w:rsidRDefault="00F31DAC" w:rsidP="00BB215E">
      <w:pPr>
        <w:spacing w:line="480" w:lineRule="auto"/>
        <w:jc w:val="both"/>
        <w:rPr>
          <w:rFonts w:ascii="Arial" w:hAnsi="Arial" w:cs="Arial"/>
          <w:sz w:val="24"/>
          <w:szCs w:val="24"/>
          <w:lang w:val="en-US"/>
        </w:rPr>
      </w:pPr>
      <w:r>
        <w:rPr>
          <w:rFonts w:ascii="Arial" w:hAnsi="Arial" w:cs="Arial"/>
          <w:sz w:val="24"/>
          <w:szCs w:val="24"/>
          <w:vertAlign w:val="superscript"/>
          <w:lang w:val="en-US"/>
        </w:rPr>
        <w:t>f</w:t>
      </w:r>
      <w:r w:rsidR="00133C45" w:rsidRPr="00B42A23">
        <w:rPr>
          <w:rFonts w:ascii="Arial" w:hAnsi="Arial" w:cs="Arial"/>
          <w:sz w:val="24"/>
          <w:szCs w:val="24"/>
          <w:lang w:val="en-US"/>
        </w:rPr>
        <w:t xml:space="preserve"> Department of Pediatrics, Yonsei University College of Medicine, Seoul, Republic of Korea</w:t>
      </w:r>
    </w:p>
    <w:p w14:paraId="03A4DB61" w14:textId="57FCF45C" w:rsidR="00BB215E" w:rsidRDefault="00F31DAC" w:rsidP="00BB215E">
      <w:pPr>
        <w:spacing w:line="480" w:lineRule="auto"/>
        <w:jc w:val="both"/>
        <w:rPr>
          <w:rFonts w:ascii="Arial" w:eastAsia="Times New Roman" w:hAnsi="Arial" w:cs="Arial"/>
          <w:color w:val="000000" w:themeColor="text1"/>
          <w:sz w:val="24"/>
          <w:szCs w:val="24"/>
          <w:lang w:val="en-US" w:eastAsia="de-DE"/>
        </w:rPr>
      </w:pPr>
      <w:r>
        <w:rPr>
          <w:rFonts w:ascii="Arial" w:eastAsia="Times New Roman" w:hAnsi="Arial" w:cs="Arial"/>
          <w:color w:val="000000" w:themeColor="text1"/>
          <w:sz w:val="24"/>
          <w:szCs w:val="24"/>
          <w:vertAlign w:val="superscript"/>
          <w:lang w:val="en-US" w:eastAsia="de-DE"/>
        </w:rPr>
        <w:t>g</w:t>
      </w:r>
      <w:r w:rsidR="00BB215E" w:rsidRPr="00CC1992">
        <w:rPr>
          <w:rFonts w:ascii="Arial" w:eastAsia="Times New Roman" w:hAnsi="Arial" w:cs="Arial"/>
          <w:color w:val="000000" w:themeColor="text1"/>
          <w:sz w:val="24"/>
          <w:szCs w:val="24"/>
          <w:lang w:val="en-US" w:eastAsia="de-DE"/>
        </w:rPr>
        <w:t xml:space="preserve"> Epidemiology, IQVIA, Frankfurt, Germany</w:t>
      </w:r>
    </w:p>
    <w:p w14:paraId="662DD9F8" w14:textId="77777777" w:rsidR="00895E32" w:rsidRPr="00D43D44" w:rsidRDefault="00895E32" w:rsidP="00895E32">
      <w:pPr>
        <w:spacing w:line="480" w:lineRule="auto"/>
        <w:jc w:val="both"/>
        <w:rPr>
          <w:rFonts w:ascii="Arial" w:hAnsi="Arial" w:cs="Arial"/>
          <w:sz w:val="24"/>
          <w:szCs w:val="24"/>
          <w:lang w:val="en-US"/>
        </w:rPr>
      </w:pPr>
    </w:p>
    <w:p w14:paraId="080FE0A7" w14:textId="77777777" w:rsidR="00895E32" w:rsidRPr="00D43D44" w:rsidRDefault="00895E32" w:rsidP="00895E32">
      <w:pPr>
        <w:spacing w:line="480" w:lineRule="auto"/>
        <w:jc w:val="both"/>
        <w:rPr>
          <w:rFonts w:ascii="Arial" w:eastAsia="Cambria" w:hAnsi="Arial" w:cs="Arial"/>
          <w:color w:val="000000" w:themeColor="text1"/>
          <w:sz w:val="24"/>
          <w:szCs w:val="24"/>
          <w:lang w:val="en-US"/>
        </w:rPr>
      </w:pPr>
      <w:r w:rsidRPr="00D43D44">
        <w:rPr>
          <w:rFonts w:ascii="Arial" w:hAnsi="Arial" w:cs="Arial"/>
          <w:b/>
          <w:iCs/>
          <w:color w:val="000000" w:themeColor="text1"/>
          <w:sz w:val="24"/>
          <w:szCs w:val="24"/>
          <w:lang w:val="en-US"/>
        </w:rPr>
        <w:lastRenderedPageBreak/>
        <w:t>Correspondence</w:t>
      </w:r>
      <w:r w:rsidRPr="00D43D44">
        <w:rPr>
          <w:rFonts w:ascii="Arial" w:hAnsi="Arial" w:cs="Arial"/>
          <w:color w:val="000000" w:themeColor="text1"/>
          <w:sz w:val="24"/>
          <w:szCs w:val="24"/>
          <w:lang w:val="en-US"/>
        </w:rPr>
        <w:t>:</w:t>
      </w:r>
    </w:p>
    <w:p w14:paraId="642A2D2C" w14:textId="77777777" w:rsidR="00895E32" w:rsidRPr="00BB215E" w:rsidRDefault="00895E32" w:rsidP="00895E32">
      <w:pPr>
        <w:spacing w:line="480" w:lineRule="auto"/>
        <w:jc w:val="both"/>
        <w:rPr>
          <w:rFonts w:ascii="Arial" w:hAnsi="Arial" w:cs="Arial"/>
          <w:bCs/>
          <w:noProof/>
          <w:color w:val="000000" w:themeColor="text1"/>
          <w:sz w:val="24"/>
          <w:szCs w:val="24"/>
          <w:lang w:val="de-DE"/>
        </w:rPr>
      </w:pPr>
      <w:r w:rsidRPr="00DD4EE8">
        <w:rPr>
          <w:rFonts w:ascii="Arial" w:hAnsi="Arial" w:cs="Arial"/>
          <w:bCs/>
          <w:noProof/>
          <w:color w:val="000000" w:themeColor="text1"/>
          <w:sz w:val="24"/>
          <w:szCs w:val="24"/>
          <w:lang w:val="de-DE"/>
        </w:rPr>
        <w:t xml:space="preserve">Prof. Dr. rer. med. </w:t>
      </w:r>
      <w:r w:rsidRPr="00BB215E">
        <w:rPr>
          <w:rFonts w:ascii="Arial" w:hAnsi="Arial" w:cs="Arial"/>
          <w:bCs/>
          <w:noProof/>
          <w:color w:val="000000" w:themeColor="text1"/>
          <w:sz w:val="24"/>
          <w:szCs w:val="24"/>
          <w:lang w:val="de-DE"/>
        </w:rPr>
        <w:t>Karel Kostev</w:t>
      </w:r>
    </w:p>
    <w:p w14:paraId="4113EE44" w14:textId="77777777" w:rsidR="00895E32" w:rsidRPr="00BB215E" w:rsidRDefault="00895E32" w:rsidP="00895E32">
      <w:pPr>
        <w:spacing w:line="480" w:lineRule="auto"/>
        <w:jc w:val="both"/>
        <w:rPr>
          <w:rFonts w:ascii="Arial" w:hAnsi="Arial" w:cs="Arial"/>
          <w:noProof/>
          <w:color w:val="000000" w:themeColor="text1"/>
          <w:sz w:val="24"/>
          <w:szCs w:val="24"/>
          <w:lang w:val="de-DE"/>
        </w:rPr>
      </w:pPr>
      <w:r w:rsidRPr="00BB215E">
        <w:rPr>
          <w:rFonts w:ascii="Arial" w:hAnsi="Arial" w:cs="Arial"/>
          <w:noProof/>
          <w:color w:val="000000" w:themeColor="text1"/>
          <w:sz w:val="24"/>
          <w:szCs w:val="24"/>
          <w:lang w:val="de-DE"/>
        </w:rPr>
        <w:t xml:space="preserve">Epidemiology </w:t>
      </w:r>
      <w:r w:rsidRPr="00BB215E">
        <w:rPr>
          <w:rFonts w:ascii="Arial" w:hAnsi="Arial" w:cs="Arial"/>
          <w:bCs/>
          <w:noProof/>
          <w:color w:val="000000" w:themeColor="text1"/>
          <w:sz w:val="24"/>
          <w:szCs w:val="24"/>
          <w:lang w:val="de-DE"/>
        </w:rPr>
        <w:br/>
      </w:r>
      <w:r w:rsidRPr="00BB215E">
        <w:rPr>
          <w:rFonts w:ascii="Arial" w:hAnsi="Arial" w:cs="Arial"/>
          <w:noProof/>
          <w:color w:val="000000" w:themeColor="text1"/>
          <w:sz w:val="24"/>
          <w:szCs w:val="24"/>
          <w:lang w:val="de-DE"/>
        </w:rPr>
        <w:t>IQVIA</w:t>
      </w:r>
    </w:p>
    <w:p w14:paraId="34A87527" w14:textId="77777777" w:rsidR="00895E32" w:rsidRPr="00BB215E" w:rsidRDefault="00895E32" w:rsidP="00895E32">
      <w:pPr>
        <w:spacing w:line="480" w:lineRule="auto"/>
        <w:jc w:val="both"/>
        <w:rPr>
          <w:rFonts w:ascii="Arial" w:hAnsi="Arial" w:cs="Arial"/>
          <w:noProof/>
          <w:color w:val="000000" w:themeColor="text1"/>
          <w:sz w:val="24"/>
          <w:szCs w:val="24"/>
          <w:lang w:val="de-DE"/>
        </w:rPr>
      </w:pPr>
      <w:r w:rsidRPr="00BB215E">
        <w:rPr>
          <w:rFonts w:ascii="Arial" w:hAnsi="Arial" w:cs="Arial"/>
          <w:noProof/>
          <w:color w:val="000000" w:themeColor="text1"/>
          <w:sz w:val="24"/>
          <w:szCs w:val="24"/>
          <w:lang w:val="de-DE"/>
        </w:rPr>
        <w:t>Unterschweinstiege 2-14</w:t>
      </w:r>
    </w:p>
    <w:p w14:paraId="3DA339D3" w14:textId="77777777" w:rsidR="00895E32" w:rsidRPr="00BB215E" w:rsidRDefault="00895E32" w:rsidP="00895E32">
      <w:pPr>
        <w:spacing w:line="480" w:lineRule="auto"/>
        <w:jc w:val="both"/>
        <w:rPr>
          <w:rFonts w:ascii="Arial" w:hAnsi="Arial" w:cs="Arial"/>
          <w:noProof/>
          <w:color w:val="000000" w:themeColor="text1"/>
          <w:sz w:val="24"/>
          <w:szCs w:val="24"/>
          <w:lang w:val="de-DE"/>
        </w:rPr>
      </w:pPr>
      <w:r w:rsidRPr="00BB215E">
        <w:rPr>
          <w:rFonts w:ascii="Arial" w:hAnsi="Arial" w:cs="Arial"/>
          <w:noProof/>
          <w:color w:val="000000" w:themeColor="text1"/>
          <w:sz w:val="24"/>
          <w:szCs w:val="24"/>
          <w:lang w:val="de-DE"/>
        </w:rPr>
        <w:t>60549 Frankfurt am Main</w:t>
      </w:r>
    </w:p>
    <w:p w14:paraId="39EE39A1" w14:textId="77777777" w:rsidR="00895E32" w:rsidRPr="00D43D44" w:rsidRDefault="00895E32" w:rsidP="00895E32">
      <w:pPr>
        <w:spacing w:line="480" w:lineRule="auto"/>
        <w:jc w:val="both"/>
        <w:rPr>
          <w:rFonts w:ascii="Arial" w:hAnsi="Arial" w:cs="Arial"/>
          <w:noProof/>
          <w:color w:val="000000" w:themeColor="text1"/>
          <w:sz w:val="24"/>
          <w:szCs w:val="24"/>
          <w:lang w:val="en-US"/>
        </w:rPr>
      </w:pPr>
      <w:r w:rsidRPr="00D43D44">
        <w:rPr>
          <w:rFonts w:ascii="Arial" w:hAnsi="Arial" w:cs="Arial"/>
          <w:noProof/>
          <w:color w:val="000000" w:themeColor="text1"/>
          <w:sz w:val="24"/>
          <w:szCs w:val="24"/>
          <w:lang w:val="en-US"/>
        </w:rPr>
        <w:t>Germany</w:t>
      </w:r>
      <w:r w:rsidRPr="00D43D44">
        <w:rPr>
          <w:rFonts w:ascii="Arial" w:hAnsi="Arial" w:cs="Arial"/>
          <w:noProof/>
          <w:color w:val="000000" w:themeColor="text1"/>
          <w:sz w:val="24"/>
          <w:szCs w:val="24"/>
          <w:lang w:val="en-US"/>
        </w:rPr>
        <w:br/>
        <w:t>Tel.: +49-(0)69-66 04-4878</w:t>
      </w:r>
    </w:p>
    <w:p w14:paraId="0325B780" w14:textId="77777777" w:rsidR="00895E32" w:rsidRPr="00D43D44" w:rsidRDefault="001523CF" w:rsidP="00895E32">
      <w:pPr>
        <w:spacing w:line="480" w:lineRule="auto"/>
        <w:jc w:val="both"/>
        <w:rPr>
          <w:rFonts w:ascii="Arial" w:hAnsi="Arial" w:cs="Arial"/>
          <w:color w:val="000000" w:themeColor="text1"/>
          <w:sz w:val="24"/>
          <w:szCs w:val="24"/>
          <w:lang w:val="en-US"/>
        </w:rPr>
      </w:pPr>
      <w:hyperlink r:id="rId6" w:history="1">
        <w:r w:rsidR="00895E32" w:rsidRPr="00D43D44">
          <w:rPr>
            <w:rStyle w:val="Hyperlink"/>
            <w:rFonts w:ascii="Arial" w:hAnsi="Arial" w:cs="Arial"/>
            <w:noProof/>
            <w:sz w:val="24"/>
            <w:szCs w:val="24"/>
            <w:lang w:val="en-US"/>
          </w:rPr>
          <w:t>karel.kostev@iqvia.com</w:t>
        </w:r>
      </w:hyperlink>
    </w:p>
    <w:p w14:paraId="07125589" w14:textId="77777777" w:rsidR="00EF3D14" w:rsidRPr="00D43D44" w:rsidRDefault="00EF3D14" w:rsidP="00895E32">
      <w:pPr>
        <w:spacing w:line="480" w:lineRule="auto"/>
        <w:jc w:val="both"/>
        <w:rPr>
          <w:rFonts w:ascii="Arial" w:hAnsi="Arial" w:cs="Arial"/>
          <w:sz w:val="24"/>
          <w:szCs w:val="24"/>
          <w:lang w:val="en-US"/>
        </w:rPr>
      </w:pPr>
    </w:p>
    <w:p w14:paraId="08834FEA" w14:textId="38D42CA9" w:rsidR="00895E32" w:rsidRPr="00F7327A" w:rsidRDefault="00895E32" w:rsidP="00895E32">
      <w:pPr>
        <w:spacing w:line="480" w:lineRule="auto"/>
        <w:jc w:val="both"/>
        <w:rPr>
          <w:rFonts w:ascii="Arial" w:hAnsi="Arial" w:cs="Arial"/>
          <w:color w:val="000000" w:themeColor="text1"/>
          <w:sz w:val="24"/>
          <w:szCs w:val="24"/>
          <w:lang w:val="en-US"/>
        </w:rPr>
      </w:pPr>
      <w:r w:rsidRPr="00D43D44">
        <w:rPr>
          <w:rFonts w:ascii="Arial" w:hAnsi="Arial" w:cs="Arial"/>
          <w:b/>
          <w:bCs/>
          <w:sz w:val="24"/>
          <w:szCs w:val="24"/>
          <w:lang w:val="en-US"/>
        </w:rPr>
        <w:t xml:space="preserve">Number of characters in the title (spaces included): </w:t>
      </w:r>
      <w:r w:rsidR="00F7327A">
        <w:rPr>
          <w:rFonts w:ascii="Arial" w:hAnsi="Arial" w:cs="Arial"/>
          <w:sz w:val="24"/>
          <w:szCs w:val="24"/>
          <w:lang w:val="en-US"/>
        </w:rPr>
        <w:t>8</w:t>
      </w:r>
      <w:r w:rsidR="00D315FB">
        <w:rPr>
          <w:rFonts w:ascii="Arial" w:hAnsi="Arial" w:cs="Arial"/>
          <w:sz w:val="24"/>
          <w:szCs w:val="24"/>
          <w:lang w:val="en-US"/>
        </w:rPr>
        <w:t>3</w:t>
      </w:r>
    </w:p>
    <w:p w14:paraId="3E9BB480" w14:textId="57B510F0" w:rsidR="00336922" w:rsidRPr="00F7327A" w:rsidRDefault="00895E32" w:rsidP="00895E32">
      <w:pPr>
        <w:spacing w:line="480" w:lineRule="auto"/>
        <w:jc w:val="both"/>
        <w:rPr>
          <w:rFonts w:ascii="Arial" w:hAnsi="Arial" w:cs="Arial"/>
          <w:sz w:val="24"/>
          <w:szCs w:val="24"/>
          <w:lang w:val="en-US"/>
        </w:rPr>
      </w:pPr>
      <w:r w:rsidRPr="00D43D44">
        <w:rPr>
          <w:rFonts w:ascii="Arial" w:hAnsi="Arial" w:cs="Arial"/>
          <w:b/>
          <w:bCs/>
          <w:sz w:val="24"/>
          <w:szCs w:val="24"/>
          <w:lang w:val="en-US"/>
        </w:rPr>
        <w:t xml:space="preserve">Number of characters in the running title (spaces included): </w:t>
      </w:r>
      <w:r w:rsidR="00D315FB">
        <w:rPr>
          <w:rFonts w:ascii="Arial" w:hAnsi="Arial" w:cs="Arial"/>
          <w:sz w:val="24"/>
          <w:szCs w:val="24"/>
          <w:lang w:val="en-US"/>
        </w:rPr>
        <w:t>2</w:t>
      </w:r>
      <w:r w:rsidR="00F7327A">
        <w:rPr>
          <w:rFonts w:ascii="Arial" w:hAnsi="Arial" w:cs="Arial"/>
          <w:sz w:val="24"/>
          <w:szCs w:val="24"/>
          <w:lang w:val="en-US"/>
        </w:rPr>
        <w:t>1</w:t>
      </w:r>
    </w:p>
    <w:p w14:paraId="261169CC" w14:textId="25B80FE3" w:rsidR="00895E32" w:rsidRPr="00D43D44" w:rsidRDefault="00895E32" w:rsidP="00895E32">
      <w:pPr>
        <w:spacing w:line="480" w:lineRule="auto"/>
        <w:jc w:val="both"/>
        <w:rPr>
          <w:rFonts w:ascii="Arial" w:hAnsi="Arial" w:cs="Arial"/>
          <w:b/>
          <w:bCs/>
          <w:sz w:val="24"/>
          <w:szCs w:val="24"/>
          <w:lang w:val="en-US"/>
        </w:rPr>
      </w:pPr>
      <w:r w:rsidRPr="00D43D44">
        <w:rPr>
          <w:rFonts w:ascii="Arial" w:hAnsi="Arial" w:cs="Arial"/>
          <w:b/>
          <w:bCs/>
          <w:sz w:val="24"/>
          <w:szCs w:val="24"/>
          <w:lang w:val="en-US"/>
        </w:rPr>
        <w:t>Number of words in the abstract:</w:t>
      </w:r>
      <w:r w:rsidRPr="00D43D44">
        <w:rPr>
          <w:rFonts w:ascii="Arial" w:hAnsi="Arial" w:cs="Arial"/>
          <w:sz w:val="24"/>
          <w:szCs w:val="24"/>
          <w:lang w:val="en-US"/>
        </w:rPr>
        <w:t xml:space="preserve"> </w:t>
      </w:r>
      <w:r w:rsidR="005F3AC9">
        <w:rPr>
          <w:rFonts w:ascii="Arial" w:hAnsi="Arial" w:cs="Arial"/>
          <w:sz w:val="24"/>
          <w:szCs w:val="24"/>
          <w:lang w:val="en-US"/>
        </w:rPr>
        <w:t>2</w:t>
      </w:r>
      <w:r w:rsidR="005D5AE1">
        <w:rPr>
          <w:rFonts w:ascii="Arial" w:hAnsi="Arial" w:cs="Arial"/>
          <w:sz w:val="24"/>
          <w:szCs w:val="24"/>
          <w:lang w:val="en-US"/>
        </w:rPr>
        <w:t>48</w:t>
      </w:r>
    </w:p>
    <w:p w14:paraId="05146F03" w14:textId="79D9D1F8" w:rsidR="00895E32" w:rsidRPr="00D43D44" w:rsidRDefault="00895E32" w:rsidP="00895E32">
      <w:pPr>
        <w:spacing w:line="480" w:lineRule="auto"/>
        <w:jc w:val="both"/>
        <w:rPr>
          <w:rFonts w:ascii="Arial" w:hAnsi="Arial" w:cs="Arial"/>
          <w:sz w:val="24"/>
          <w:szCs w:val="24"/>
          <w:lang w:val="en-US"/>
        </w:rPr>
      </w:pPr>
      <w:r w:rsidRPr="00D43D44">
        <w:rPr>
          <w:rFonts w:ascii="Arial" w:hAnsi="Arial" w:cs="Arial"/>
          <w:b/>
          <w:bCs/>
          <w:sz w:val="24"/>
          <w:szCs w:val="24"/>
          <w:lang w:val="en-US"/>
        </w:rPr>
        <w:t xml:space="preserve">Number of words in the main body: </w:t>
      </w:r>
      <w:r w:rsidR="005F3AC9" w:rsidRPr="00B24C9D">
        <w:rPr>
          <w:rFonts w:ascii="Arial" w:hAnsi="Arial" w:cs="Arial"/>
          <w:color w:val="FF0000"/>
          <w:sz w:val="24"/>
          <w:szCs w:val="24"/>
          <w:lang w:val="en-US"/>
        </w:rPr>
        <w:t>2,</w:t>
      </w:r>
      <w:r w:rsidR="00B24C9D" w:rsidRPr="00B24C9D">
        <w:rPr>
          <w:rFonts w:ascii="Arial" w:hAnsi="Arial" w:cs="Arial"/>
          <w:color w:val="FF0000"/>
          <w:sz w:val="24"/>
          <w:szCs w:val="24"/>
          <w:lang w:val="en-US"/>
        </w:rPr>
        <w:t>498</w:t>
      </w:r>
    </w:p>
    <w:p w14:paraId="7BF36688" w14:textId="74250F2E" w:rsidR="00895E32" w:rsidRPr="00D43D44" w:rsidRDefault="00895E32" w:rsidP="00895E32">
      <w:pPr>
        <w:spacing w:line="480" w:lineRule="auto"/>
        <w:jc w:val="both"/>
        <w:rPr>
          <w:rFonts w:ascii="Arial" w:hAnsi="Arial" w:cs="Arial"/>
          <w:color w:val="FF0000"/>
          <w:sz w:val="24"/>
          <w:szCs w:val="24"/>
          <w:lang w:val="en-US"/>
        </w:rPr>
      </w:pPr>
      <w:r w:rsidRPr="00D43D44">
        <w:rPr>
          <w:rFonts w:ascii="Arial" w:hAnsi="Arial" w:cs="Arial"/>
          <w:b/>
          <w:bCs/>
          <w:sz w:val="24"/>
          <w:szCs w:val="24"/>
          <w:lang w:val="en-US"/>
        </w:rPr>
        <w:t xml:space="preserve">Number of references: </w:t>
      </w:r>
      <w:r w:rsidR="009B384A" w:rsidRPr="00172D86">
        <w:rPr>
          <w:rFonts w:ascii="Arial" w:hAnsi="Arial" w:cs="Arial"/>
          <w:color w:val="FF0000"/>
          <w:sz w:val="24"/>
          <w:szCs w:val="24"/>
          <w:lang w:val="en-US"/>
        </w:rPr>
        <w:t>4</w:t>
      </w:r>
      <w:r w:rsidR="00D33DD7">
        <w:rPr>
          <w:rFonts w:ascii="Arial" w:hAnsi="Arial" w:cs="Arial"/>
          <w:color w:val="FF0000"/>
          <w:sz w:val="24"/>
          <w:szCs w:val="24"/>
          <w:lang w:val="en-US"/>
        </w:rPr>
        <w:t>8</w:t>
      </w:r>
    </w:p>
    <w:p w14:paraId="2606EFCB" w14:textId="5A31DA0A" w:rsidR="0064475A" w:rsidRPr="00D43D44" w:rsidRDefault="0064475A" w:rsidP="00895E32">
      <w:pPr>
        <w:spacing w:line="480" w:lineRule="auto"/>
        <w:jc w:val="both"/>
        <w:rPr>
          <w:rFonts w:ascii="Arial" w:hAnsi="Arial" w:cs="Arial"/>
          <w:color w:val="000000" w:themeColor="text1"/>
          <w:sz w:val="24"/>
          <w:szCs w:val="24"/>
          <w:lang w:val="en-US"/>
        </w:rPr>
      </w:pPr>
      <w:r w:rsidRPr="00D43D44">
        <w:rPr>
          <w:rFonts w:ascii="Arial" w:hAnsi="Arial" w:cs="Arial"/>
          <w:b/>
          <w:bCs/>
          <w:color w:val="000000" w:themeColor="text1"/>
          <w:sz w:val="24"/>
          <w:szCs w:val="24"/>
          <w:lang w:val="en-US"/>
        </w:rPr>
        <w:t>Number of figures:</w:t>
      </w:r>
      <w:r w:rsidRPr="00D43D44">
        <w:rPr>
          <w:rFonts w:ascii="Arial" w:hAnsi="Arial" w:cs="Arial"/>
          <w:color w:val="000000" w:themeColor="text1"/>
          <w:sz w:val="24"/>
          <w:szCs w:val="24"/>
          <w:lang w:val="en-US"/>
        </w:rPr>
        <w:t xml:space="preserve"> </w:t>
      </w:r>
      <w:r w:rsidR="00A9194A">
        <w:rPr>
          <w:rFonts w:ascii="Arial" w:hAnsi="Arial" w:cs="Arial"/>
          <w:color w:val="000000" w:themeColor="text1"/>
          <w:sz w:val="24"/>
          <w:szCs w:val="24"/>
          <w:lang w:val="en-US"/>
        </w:rPr>
        <w:t>3</w:t>
      </w:r>
    </w:p>
    <w:p w14:paraId="1F5ECA8C" w14:textId="656150F2" w:rsidR="00405C72" w:rsidRPr="0036402F" w:rsidRDefault="00895E32" w:rsidP="00895E32">
      <w:pPr>
        <w:spacing w:line="480" w:lineRule="auto"/>
        <w:jc w:val="both"/>
        <w:rPr>
          <w:rFonts w:ascii="Arial" w:hAnsi="Arial" w:cs="Arial"/>
          <w:sz w:val="24"/>
          <w:szCs w:val="24"/>
          <w:lang w:val="en-US"/>
        </w:rPr>
      </w:pPr>
      <w:r w:rsidRPr="0036402F">
        <w:rPr>
          <w:rFonts w:ascii="Arial" w:hAnsi="Arial" w:cs="Arial"/>
          <w:b/>
          <w:bCs/>
          <w:sz w:val="24"/>
          <w:szCs w:val="24"/>
          <w:lang w:val="en-US"/>
        </w:rPr>
        <w:t xml:space="preserve">Number of tables: </w:t>
      </w:r>
      <w:r w:rsidR="00A9194A" w:rsidRPr="0036402F">
        <w:rPr>
          <w:rFonts w:ascii="Arial" w:hAnsi="Arial" w:cs="Arial"/>
          <w:sz w:val="24"/>
          <w:szCs w:val="24"/>
          <w:lang w:val="en-US"/>
        </w:rPr>
        <w:t>2</w:t>
      </w:r>
    </w:p>
    <w:p w14:paraId="616B4940" w14:textId="5A9B7DAC" w:rsidR="00B93412" w:rsidRPr="0036402F" w:rsidRDefault="00B93412" w:rsidP="00895E32">
      <w:pPr>
        <w:spacing w:line="480" w:lineRule="auto"/>
        <w:jc w:val="both"/>
        <w:rPr>
          <w:rFonts w:ascii="Arial" w:hAnsi="Arial" w:cs="Arial"/>
          <w:sz w:val="24"/>
          <w:szCs w:val="24"/>
          <w:lang w:val="en-US"/>
        </w:rPr>
      </w:pPr>
      <w:r w:rsidRPr="0036402F">
        <w:rPr>
          <w:rFonts w:ascii="Arial" w:hAnsi="Arial" w:cs="Arial"/>
          <w:b/>
          <w:bCs/>
          <w:sz w:val="24"/>
          <w:szCs w:val="24"/>
          <w:lang w:val="en-US"/>
        </w:rPr>
        <w:t>Number of supplementary tables:</w:t>
      </w:r>
      <w:r w:rsidRPr="0036402F">
        <w:rPr>
          <w:rFonts w:ascii="Arial" w:hAnsi="Arial" w:cs="Arial"/>
          <w:sz w:val="24"/>
          <w:szCs w:val="24"/>
          <w:lang w:val="en-US"/>
        </w:rPr>
        <w:t xml:space="preserve"> </w:t>
      </w:r>
      <w:r w:rsidR="00816257" w:rsidRPr="0036402F">
        <w:rPr>
          <w:rFonts w:ascii="Arial" w:hAnsi="Arial" w:cs="Arial"/>
          <w:sz w:val="24"/>
          <w:szCs w:val="24"/>
          <w:lang w:val="en-US"/>
        </w:rPr>
        <w:t>2</w:t>
      </w:r>
    </w:p>
    <w:p w14:paraId="118F2B30" w14:textId="77777777" w:rsidR="0018396E" w:rsidRPr="0036402F" w:rsidRDefault="0018396E" w:rsidP="00F74F2E">
      <w:pPr>
        <w:spacing w:line="480" w:lineRule="auto"/>
        <w:jc w:val="both"/>
        <w:rPr>
          <w:rFonts w:ascii="Arial" w:hAnsi="Arial" w:cs="Arial"/>
          <w:sz w:val="24"/>
          <w:szCs w:val="24"/>
          <w:lang w:val="en-US"/>
        </w:rPr>
      </w:pPr>
    </w:p>
    <w:p w14:paraId="42EF3B84" w14:textId="77777777" w:rsidR="00F561BF" w:rsidRPr="0036402F" w:rsidRDefault="00F561BF">
      <w:pPr>
        <w:rPr>
          <w:rFonts w:ascii="Arial" w:hAnsi="Arial" w:cs="Arial"/>
          <w:b/>
          <w:bCs/>
          <w:sz w:val="24"/>
          <w:szCs w:val="24"/>
          <w:lang w:val="en-US"/>
        </w:rPr>
      </w:pPr>
      <w:r w:rsidRPr="0036402F">
        <w:rPr>
          <w:rFonts w:ascii="Arial" w:hAnsi="Arial" w:cs="Arial"/>
          <w:b/>
          <w:bCs/>
          <w:sz w:val="24"/>
          <w:szCs w:val="24"/>
          <w:lang w:val="en-US"/>
        </w:rPr>
        <w:br w:type="page"/>
      </w:r>
    </w:p>
    <w:p w14:paraId="3C788F9A" w14:textId="16C5F25B" w:rsidR="0018396E" w:rsidRPr="00346A37" w:rsidRDefault="0018396E" w:rsidP="00346A37">
      <w:pPr>
        <w:pStyle w:val="Heading1"/>
      </w:pPr>
      <w:r w:rsidRPr="00346A37">
        <w:lastRenderedPageBreak/>
        <w:t xml:space="preserve">Abstract </w:t>
      </w:r>
    </w:p>
    <w:p w14:paraId="4BD92D33" w14:textId="691FD4A9" w:rsidR="008C7A9D" w:rsidRPr="0036402F" w:rsidRDefault="008C7A9D" w:rsidP="00EF3D14">
      <w:pPr>
        <w:spacing w:line="480" w:lineRule="auto"/>
        <w:jc w:val="both"/>
        <w:rPr>
          <w:rFonts w:ascii="Arial" w:hAnsi="Arial" w:cs="Arial"/>
          <w:sz w:val="24"/>
          <w:szCs w:val="24"/>
          <w:lang w:val="en-US"/>
        </w:rPr>
      </w:pPr>
    </w:p>
    <w:p w14:paraId="6D51A8EE" w14:textId="77777777" w:rsidR="00FF03B1" w:rsidRPr="0036402F" w:rsidRDefault="00F52214" w:rsidP="00EF3D14">
      <w:pPr>
        <w:spacing w:line="480" w:lineRule="auto"/>
        <w:jc w:val="both"/>
        <w:rPr>
          <w:rFonts w:ascii="Arial" w:hAnsi="Arial" w:cs="Arial"/>
          <w:sz w:val="24"/>
          <w:szCs w:val="24"/>
          <w:lang w:val="en-US"/>
        </w:rPr>
      </w:pPr>
      <w:r w:rsidRPr="0036402F">
        <w:rPr>
          <w:rFonts w:ascii="Arial" w:hAnsi="Arial" w:cs="Arial"/>
          <w:i/>
          <w:iCs/>
          <w:sz w:val="24"/>
          <w:szCs w:val="24"/>
          <w:lang w:val="en-US"/>
        </w:rPr>
        <w:t>Background:</w:t>
      </w:r>
      <w:r w:rsidRPr="0036402F">
        <w:rPr>
          <w:rFonts w:ascii="Arial" w:hAnsi="Arial" w:cs="Arial"/>
          <w:sz w:val="24"/>
          <w:szCs w:val="24"/>
          <w:lang w:val="en-US"/>
        </w:rPr>
        <w:t xml:space="preserve"> Little is known </w:t>
      </w:r>
      <w:r w:rsidR="0091195E" w:rsidRPr="0036402F">
        <w:rPr>
          <w:rFonts w:ascii="Arial" w:hAnsi="Arial" w:cs="Arial"/>
          <w:sz w:val="24"/>
          <w:szCs w:val="24"/>
          <w:lang w:val="en-US"/>
        </w:rPr>
        <w:t>about</w:t>
      </w:r>
      <w:r w:rsidRPr="0036402F">
        <w:rPr>
          <w:rFonts w:ascii="Arial" w:hAnsi="Arial" w:cs="Arial"/>
          <w:sz w:val="24"/>
          <w:szCs w:val="24"/>
          <w:lang w:val="en-US"/>
        </w:rPr>
        <w:t xml:space="preserve"> the sex differences in the association between body mass index (BMI) and dementia in late life. </w:t>
      </w:r>
    </w:p>
    <w:p w14:paraId="052E3F40" w14:textId="2C006E15" w:rsidR="00F52214" w:rsidRPr="0036402F" w:rsidRDefault="00FF03B1" w:rsidP="00EF3D14">
      <w:pPr>
        <w:spacing w:line="480" w:lineRule="auto"/>
        <w:jc w:val="both"/>
        <w:rPr>
          <w:rFonts w:ascii="Arial" w:hAnsi="Arial" w:cs="Arial"/>
          <w:sz w:val="24"/>
          <w:szCs w:val="24"/>
          <w:lang w:val="en-US"/>
        </w:rPr>
      </w:pPr>
      <w:r w:rsidRPr="0036402F">
        <w:rPr>
          <w:rFonts w:ascii="Arial" w:hAnsi="Arial" w:cs="Arial"/>
          <w:i/>
          <w:iCs/>
          <w:sz w:val="24"/>
          <w:szCs w:val="24"/>
          <w:lang w:val="en-US"/>
        </w:rPr>
        <w:t>Objective:</w:t>
      </w:r>
      <w:r w:rsidRPr="0036402F">
        <w:rPr>
          <w:rFonts w:ascii="Arial" w:hAnsi="Arial" w:cs="Arial"/>
          <w:sz w:val="24"/>
          <w:szCs w:val="24"/>
          <w:lang w:val="en-US"/>
        </w:rPr>
        <w:t xml:space="preserve"> </w:t>
      </w:r>
      <w:r w:rsidR="00F52214" w:rsidRPr="0036402F">
        <w:rPr>
          <w:rFonts w:ascii="Arial" w:hAnsi="Arial" w:cs="Arial"/>
          <w:sz w:val="24"/>
          <w:szCs w:val="24"/>
          <w:lang w:val="en-US"/>
        </w:rPr>
        <w:t xml:space="preserve">Therefore, this retrospective cohort study </w:t>
      </w:r>
      <w:r w:rsidR="00C40D0C" w:rsidRPr="0036402F">
        <w:rPr>
          <w:rFonts w:ascii="Arial" w:hAnsi="Arial" w:cs="Arial"/>
          <w:sz w:val="24"/>
          <w:szCs w:val="24"/>
          <w:lang w:val="en-US"/>
        </w:rPr>
        <w:t>aimed</w:t>
      </w:r>
      <w:r w:rsidR="00F52214" w:rsidRPr="0036402F">
        <w:rPr>
          <w:rFonts w:ascii="Arial" w:hAnsi="Arial" w:cs="Arial"/>
          <w:sz w:val="24"/>
          <w:szCs w:val="24"/>
          <w:lang w:val="en-US"/>
        </w:rPr>
        <w:t xml:space="preserve"> to analyze association</w:t>
      </w:r>
      <w:r w:rsidR="00312E88" w:rsidRPr="0036402F">
        <w:rPr>
          <w:rFonts w:ascii="Arial" w:hAnsi="Arial" w:cs="Arial"/>
          <w:sz w:val="24"/>
          <w:szCs w:val="24"/>
          <w:lang w:val="en-US"/>
        </w:rPr>
        <w:t>s</w:t>
      </w:r>
      <w:r w:rsidR="00F52214" w:rsidRPr="0036402F">
        <w:rPr>
          <w:rFonts w:ascii="Arial" w:hAnsi="Arial" w:cs="Arial"/>
          <w:sz w:val="24"/>
          <w:szCs w:val="24"/>
          <w:lang w:val="en-US"/>
        </w:rPr>
        <w:t xml:space="preserve"> between BMI and dementia in older women and men separately in general practices in Germany.</w:t>
      </w:r>
    </w:p>
    <w:p w14:paraId="2A7972FC" w14:textId="3607751F" w:rsidR="00F52214" w:rsidRPr="0036402F" w:rsidRDefault="00F52214" w:rsidP="00EF3D14">
      <w:pPr>
        <w:spacing w:line="480" w:lineRule="auto"/>
        <w:jc w:val="both"/>
        <w:rPr>
          <w:rFonts w:ascii="Arial" w:hAnsi="Arial" w:cs="Arial"/>
          <w:sz w:val="24"/>
          <w:szCs w:val="24"/>
          <w:lang w:val="en-US"/>
        </w:rPr>
      </w:pPr>
      <w:r w:rsidRPr="0036402F">
        <w:rPr>
          <w:rFonts w:ascii="Arial" w:hAnsi="Arial" w:cs="Arial"/>
          <w:i/>
          <w:iCs/>
          <w:sz w:val="24"/>
          <w:szCs w:val="24"/>
          <w:lang w:val="en-US"/>
        </w:rPr>
        <w:t>Methods:</w:t>
      </w:r>
      <w:r w:rsidRPr="0036402F">
        <w:rPr>
          <w:rFonts w:ascii="Arial" w:hAnsi="Arial" w:cs="Arial"/>
          <w:sz w:val="24"/>
          <w:szCs w:val="24"/>
          <w:lang w:val="en-US"/>
        </w:rPr>
        <w:t xml:space="preserve"> </w:t>
      </w:r>
      <w:r w:rsidR="00F5666B" w:rsidRPr="0036402F">
        <w:rPr>
          <w:rFonts w:ascii="Arial" w:hAnsi="Arial" w:cs="Arial"/>
          <w:sz w:val="24"/>
          <w:szCs w:val="24"/>
          <w:lang w:val="en-US"/>
        </w:rPr>
        <w:t xml:space="preserve">This study included patients followed in one of 832 general practices in Germany between 2006 </w:t>
      </w:r>
      <w:r w:rsidR="00312E88" w:rsidRPr="0036402F">
        <w:rPr>
          <w:rFonts w:ascii="Arial" w:hAnsi="Arial" w:cs="Arial"/>
          <w:sz w:val="24"/>
          <w:szCs w:val="24"/>
          <w:lang w:val="en-US"/>
        </w:rPr>
        <w:t xml:space="preserve">and </w:t>
      </w:r>
      <w:r w:rsidR="00F5666B" w:rsidRPr="0036402F">
        <w:rPr>
          <w:rFonts w:ascii="Arial" w:hAnsi="Arial" w:cs="Arial"/>
          <w:sz w:val="24"/>
          <w:szCs w:val="24"/>
          <w:lang w:val="en-US"/>
        </w:rPr>
        <w:t xml:space="preserve">2019 (index date: </w:t>
      </w:r>
      <w:r w:rsidR="001E3C14" w:rsidRPr="0036402F">
        <w:rPr>
          <w:rFonts w:ascii="Arial" w:hAnsi="Arial" w:cs="Arial"/>
          <w:sz w:val="24"/>
          <w:szCs w:val="24"/>
          <w:lang w:val="en-US"/>
        </w:rPr>
        <w:t>first</w:t>
      </w:r>
      <w:r w:rsidR="00F5666B" w:rsidRPr="0036402F">
        <w:rPr>
          <w:rFonts w:ascii="Arial" w:hAnsi="Arial" w:cs="Arial"/>
          <w:sz w:val="24"/>
          <w:szCs w:val="24"/>
          <w:lang w:val="en-US"/>
        </w:rPr>
        <w:t xml:space="preserve"> visit date).</w:t>
      </w:r>
      <w:r w:rsidR="000C520B" w:rsidRPr="0036402F">
        <w:rPr>
          <w:rFonts w:ascii="Arial" w:hAnsi="Arial" w:cs="Arial"/>
          <w:sz w:val="24"/>
          <w:szCs w:val="24"/>
          <w:lang w:val="en-US"/>
        </w:rPr>
        <w:t xml:space="preserve"> Study variables included dementia (dependent variable), BMI (independent variable), age, sex, and comorbidities (control variables). Kaplan-Meier curves and adjusted Cox regression analyses were conducted to analyze association</w:t>
      </w:r>
      <w:r w:rsidR="00312E88" w:rsidRPr="0036402F">
        <w:rPr>
          <w:rFonts w:ascii="Arial" w:hAnsi="Arial" w:cs="Arial"/>
          <w:sz w:val="24"/>
          <w:szCs w:val="24"/>
          <w:lang w:val="en-US"/>
        </w:rPr>
        <w:t>s</w:t>
      </w:r>
      <w:r w:rsidR="000C520B" w:rsidRPr="0036402F">
        <w:rPr>
          <w:rFonts w:ascii="Arial" w:hAnsi="Arial" w:cs="Arial"/>
          <w:sz w:val="24"/>
          <w:szCs w:val="24"/>
          <w:lang w:val="en-US"/>
        </w:rPr>
        <w:t xml:space="preserve"> between BMI and </w:t>
      </w:r>
      <w:r w:rsidR="003757F2" w:rsidRPr="0036402F">
        <w:rPr>
          <w:rFonts w:ascii="Arial" w:hAnsi="Arial" w:cs="Arial"/>
          <w:sz w:val="24"/>
          <w:szCs w:val="24"/>
          <w:lang w:val="en-US"/>
        </w:rPr>
        <w:t xml:space="preserve">the 10-year incidence of </w:t>
      </w:r>
      <w:r w:rsidR="000C520B" w:rsidRPr="0036402F">
        <w:rPr>
          <w:rFonts w:ascii="Arial" w:hAnsi="Arial" w:cs="Arial"/>
          <w:sz w:val="24"/>
          <w:szCs w:val="24"/>
          <w:lang w:val="en-US"/>
        </w:rPr>
        <w:t xml:space="preserve">dementia in women and men, separately. </w:t>
      </w:r>
    </w:p>
    <w:p w14:paraId="08F6D0EB" w14:textId="11A5D646" w:rsidR="0091195E" w:rsidRPr="0036402F" w:rsidRDefault="0091195E" w:rsidP="00EF3D14">
      <w:pPr>
        <w:spacing w:line="480" w:lineRule="auto"/>
        <w:jc w:val="both"/>
        <w:rPr>
          <w:rFonts w:ascii="Arial" w:hAnsi="Arial" w:cs="Arial"/>
          <w:sz w:val="24"/>
          <w:szCs w:val="24"/>
          <w:lang w:val="en-US"/>
        </w:rPr>
      </w:pPr>
      <w:r w:rsidRPr="0036402F">
        <w:rPr>
          <w:rFonts w:ascii="Arial" w:hAnsi="Arial" w:cs="Arial"/>
          <w:i/>
          <w:iCs/>
          <w:sz w:val="24"/>
          <w:szCs w:val="24"/>
          <w:lang w:val="en-US"/>
        </w:rPr>
        <w:t>Results:</w:t>
      </w:r>
      <w:r w:rsidRPr="0036402F">
        <w:rPr>
          <w:rFonts w:ascii="Arial" w:hAnsi="Arial" w:cs="Arial"/>
          <w:sz w:val="24"/>
          <w:szCs w:val="24"/>
          <w:lang w:val="en-US"/>
        </w:rPr>
        <w:t xml:space="preserve"> There were 296,767 patients included in this study (mean [standard deviation] age 70.2 [5.9] years; 54.3% women).</w:t>
      </w:r>
      <w:r w:rsidR="00C52BD5" w:rsidRPr="0036402F">
        <w:rPr>
          <w:rFonts w:ascii="Arial" w:hAnsi="Arial" w:cs="Arial"/>
          <w:sz w:val="24"/>
          <w:szCs w:val="24"/>
          <w:lang w:val="en-US"/>
        </w:rPr>
        <w:t xml:space="preserve"> The proportion of underweight, normal weight, overweight, and obesity was 0.9%, 25.5%, 41.5%, and 32.1%, respectively. The 10-year incidence of dementia significantly decreased </w:t>
      </w:r>
      <w:r w:rsidR="001026CD" w:rsidRPr="0036402F">
        <w:rPr>
          <w:rFonts w:ascii="Arial" w:hAnsi="Arial" w:cs="Arial"/>
          <w:sz w:val="24"/>
          <w:szCs w:val="24"/>
          <w:lang w:val="en-US"/>
        </w:rPr>
        <w:t xml:space="preserve">with increasing BMI, </w:t>
      </w:r>
      <w:r w:rsidR="00C52BD5" w:rsidRPr="0036402F">
        <w:rPr>
          <w:rFonts w:ascii="Arial" w:hAnsi="Arial" w:cs="Arial"/>
          <w:sz w:val="24"/>
          <w:szCs w:val="24"/>
          <w:lang w:val="en-US"/>
        </w:rPr>
        <w:t>from 11.5% in women with underweight to 9.1% in those with obesity (log-rank p-value&lt;0.001).</w:t>
      </w:r>
      <w:r w:rsidR="003757F2" w:rsidRPr="0036402F">
        <w:rPr>
          <w:rFonts w:ascii="Arial" w:hAnsi="Arial" w:cs="Arial"/>
          <w:sz w:val="24"/>
          <w:szCs w:val="24"/>
          <w:lang w:val="en-US"/>
        </w:rPr>
        <w:t xml:space="preserve"> Respective figures in men were 12.0% and 8.2% (log-rank p-value&lt;0.001). In women, only overweight </w:t>
      </w:r>
      <w:r w:rsidR="00427091" w:rsidRPr="0036402F">
        <w:rPr>
          <w:rFonts w:ascii="Arial" w:hAnsi="Arial" w:cs="Arial"/>
          <w:sz w:val="24"/>
          <w:szCs w:val="24"/>
          <w:lang w:val="en-US"/>
        </w:rPr>
        <w:t>(v</w:t>
      </w:r>
      <w:r w:rsidR="001026CD" w:rsidRPr="0036402F">
        <w:rPr>
          <w:rFonts w:ascii="Arial" w:hAnsi="Arial" w:cs="Arial"/>
          <w:sz w:val="24"/>
          <w:szCs w:val="24"/>
          <w:lang w:val="en-US"/>
        </w:rPr>
        <w:t>ersus</w:t>
      </w:r>
      <w:r w:rsidR="00427091" w:rsidRPr="0036402F">
        <w:rPr>
          <w:rFonts w:ascii="Arial" w:hAnsi="Arial" w:cs="Arial"/>
          <w:sz w:val="24"/>
          <w:szCs w:val="24"/>
          <w:lang w:val="en-US"/>
        </w:rPr>
        <w:t xml:space="preserve"> normal weight) </w:t>
      </w:r>
      <w:r w:rsidR="003757F2" w:rsidRPr="0036402F">
        <w:rPr>
          <w:rFonts w:ascii="Arial" w:hAnsi="Arial" w:cs="Arial"/>
          <w:sz w:val="24"/>
          <w:szCs w:val="24"/>
          <w:lang w:val="en-US"/>
        </w:rPr>
        <w:t>was significantly</w:t>
      </w:r>
      <w:r w:rsidR="00B67E56" w:rsidRPr="0036402F">
        <w:rPr>
          <w:rFonts w:ascii="Arial" w:hAnsi="Arial" w:cs="Arial"/>
          <w:sz w:val="24"/>
          <w:szCs w:val="24"/>
          <w:lang w:val="en-US"/>
        </w:rPr>
        <w:t xml:space="preserve"> </w:t>
      </w:r>
      <w:r w:rsidR="003757F2" w:rsidRPr="0036402F">
        <w:rPr>
          <w:rFonts w:ascii="Arial" w:hAnsi="Arial" w:cs="Arial"/>
          <w:sz w:val="24"/>
          <w:szCs w:val="24"/>
          <w:lang w:val="en-US"/>
        </w:rPr>
        <w:t>associated with dementia (HR=0.93, 95%CI=0.88-0.97). In contrast, in men, the only BMI category significantly</w:t>
      </w:r>
      <w:r w:rsidR="00C33610" w:rsidRPr="0036402F">
        <w:rPr>
          <w:rFonts w:ascii="Arial" w:hAnsi="Arial" w:cs="Arial"/>
          <w:sz w:val="24"/>
          <w:szCs w:val="24"/>
          <w:lang w:val="en-US"/>
        </w:rPr>
        <w:t xml:space="preserve"> </w:t>
      </w:r>
      <w:r w:rsidR="003757F2" w:rsidRPr="0036402F">
        <w:rPr>
          <w:rFonts w:ascii="Arial" w:hAnsi="Arial" w:cs="Arial"/>
          <w:sz w:val="24"/>
          <w:szCs w:val="24"/>
          <w:lang w:val="en-US"/>
        </w:rPr>
        <w:t>associated with the incidence of dementia was underweight (HR=1.58, 95% CI=1.11-2.25).</w:t>
      </w:r>
    </w:p>
    <w:p w14:paraId="378D6037" w14:textId="39FC7546" w:rsidR="003757F2" w:rsidRPr="0036402F" w:rsidRDefault="003757F2" w:rsidP="00EF3D14">
      <w:pPr>
        <w:spacing w:line="480" w:lineRule="auto"/>
        <w:jc w:val="both"/>
        <w:rPr>
          <w:rFonts w:ascii="Arial" w:hAnsi="Arial" w:cs="Arial"/>
          <w:sz w:val="24"/>
          <w:szCs w:val="24"/>
          <w:lang w:val="en-US"/>
        </w:rPr>
      </w:pPr>
      <w:r w:rsidRPr="0036402F">
        <w:rPr>
          <w:rFonts w:ascii="Arial" w:hAnsi="Arial" w:cs="Arial"/>
          <w:i/>
          <w:iCs/>
          <w:sz w:val="24"/>
          <w:szCs w:val="24"/>
          <w:lang w:val="en-US"/>
        </w:rPr>
        <w:t>Conclusion:</w:t>
      </w:r>
      <w:r w:rsidRPr="0036402F">
        <w:rPr>
          <w:rFonts w:ascii="Arial" w:hAnsi="Arial" w:cs="Arial"/>
          <w:sz w:val="24"/>
          <w:szCs w:val="24"/>
          <w:lang w:val="en-US"/>
        </w:rPr>
        <w:t xml:space="preserve"> </w:t>
      </w:r>
      <w:r w:rsidR="003036C7" w:rsidRPr="0036402F">
        <w:rPr>
          <w:rFonts w:ascii="Arial" w:hAnsi="Arial" w:cs="Arial"/>
          <w:sz w:val="24"/>
          <w:szCs w:val="24"/>
          <w:lang w:val="en-US"/>
        </w:rPr>
        <w:t>In this</w:t>
      </w:r>
      <w:r w:rsidRPr="0036402F">
        <w:rPr>
          <w:rFonts w:ascii="Arial" w:hAnsi="Arial" w:cs="Arial"/>
          <w:sz w:val="24"/>
          <w:szCs w:val="24"/>
          <w:lang w:val="en-US"/>
        </w:rPr>
        <w:t xml:space="preserve"> study </w:t>
      </w:r>
      <w:r w:rsidR="002F49F6" w:rsidRPr="0036402F">
        <w:rPr>
          <w:rFonts w:ascii="Arial" w:hAnsi="Arial" w:cs="Arial"/>
          <w:sz w:val="24"/>
          <w:szCs w:val="24"/>
          <w:lang w:val="en-US"/>
        </w:rPr>
        <w:t>c</w:t>
      </w:r>
      <w:r w:rsidR="00891421" w:rsidRPr="0036402F">
        <w:rPr>
          <w:rFonts w:ascii="Arial" w:hAnsi="Arial" w:cs="Arial"/>
          <w:sz w:val="24"/>
          <w:szCs w:val="24"/>
          <w:lang w:val="en-US"/>
        </w:rPr>
        <w:t>onducted in</w:t>
      </w:r>
      <w:r w:rsidRPr="0036402F">
        <w:rPr>
          <w:rFonts w:ascii="Arial" w:hAnsi="Arial" w:cs="Arial"/>
          <w:sz w:val="24"/>
          <w:szCs w:val="24"/>
          <w:lang w:val="en-US"/>
        </w:rPr>
        <w:t xml:space="preserve"> Germany</w:t>
      </w:r>
      <w:r w:rsidR="003036C7" w:rsidRPr="0036402F">
        <w:rPr>
          <w:rFonts w:ascii="Arial" w:hAnsi="Arial" w:cs="Arial"/>
          <w:sz w:val="24"/>
          <w:szCs w:val="24"/>
          <w:lang w:val="en-US"/>
        </w:rPr>
        <w:t xml:space="preserve">, overweight was negatively </w:t>
      </w:r>
      <w:r w:rsidR="0092653D" w:rsidRPr="0036402F">
        <w:rPr>
          <w:rFonts w:ascii="Arial" w:hAnsi="Arial" w:cs="Arial"/>
          <w:sz w:val="24"/>
          <w:szCs w:val="24"/>
          <w:lang w:val="en-US"/>
        </w:rPr>
        <w:t xml:space="preserve">associated with dementia in women, whereas </w:t>
      </w:r>
      <w:r w:rsidR="00B86290" w:rsidRPr="0036402F">
        <w:rPr>
          <w:rFonts w:ascii="Arial" w:hAnsi="Arial" w:cs="Arial"/>
          <w:sz w:val="24"/>
          <w:szCs w:val="24"/>
          <w:lang w:val="en-US"/>
        </w:rPr>
        <w:t xml:space="preserve">there was a positive underweight-dementia </w:t>
      </w:r>
      <w:r w:rsidR="001B0C7E" w:rsidRPr="0036402F">
        <w:rPr>
          <w:rFonts w:ascii="Arial" w:hAnsi="Arial" w:cs="Arial"/>
          <w:sz w:val="24"/>
          <w:szCs w:val="24"/>
          <w:lang w:val="en-US"/>
        </w:rPr>
        <w:lastRenderedPageBreak/>
        <w:t xml:space="preserve">relationship in men. </w:t>
      </w:r>
      <w:r w:rsidRPr="0036402F">
        <w:rPr>
          <w:rFonts w:ascii="Arial" w:hAnsi="Arial" w:cs="Arial"/>
          <w:sz w:val="24"/>
          <w:szCs w:val="24"/>
          <w:lang w:val="en-US"/>
        </w:rPr>
        <w:t xml:space="preserve">More data are needed to </w:t>
      </w:r>
      <w:r w:rsidR="00312E88" w:rsidRPr="0036402F">
        <w:rPr>
          <w:rFonts w:ascii="Arial" w:hAnsi="Arial" w:cs="Arial"/>
          <w:sz w:val="24"/>
          <w:szCs w:val="24"/>
          <w:lang w:val="en-US"/>
        </w:rPr>
        <w:t xml:space="preserve">confirm or refute </w:t>
      </w:r>
      <w:r w:rsidRPr="0036402F">
        <w:rPr>
          <w:rFonts w:ascii="Arial" w:hAnsi="Arial" w:cs="Arial"/>
          <w:sz w:val="24"/>
          <w:szCs w:val="24"/>
          <w:lang w:val="en-US"/>
        </w:rPr>
        <w:t>these findings in other settings.</w:t>
      </w:r>
    </w:p>
    <w:p w14:paraId="3A60FB51" w14:textId="77777777" w:rsidR="0091195E" w:rsidRPr="0036402F" w:rsidRDefault="0091195E" w:rsidP="00EF3D14">
      <w:pPr>
        <w:spacing w:line="480" w:lineRule="auto"/>
        <w:jc w:val="both"/>
        <w:rPr>
          <w:rFonts w:ascii="Arial" w:hAnsi="Arial" w:cs="Arial"/>
          <w:sz w:val="24"/>
          <w:szCs w:val="24"/>
          <w:lang w:val="en-US"/>
        </w:rPr>
      </w:pPr>
    </w:p>
    <w:p w14:paraId="65A7D1F8" w14:textId="68A366C0" w:rsidR="008C7A9D" w:rsidRPr="0036402F" w:rsidRDefault="008C7A9D" w:rsidP="008C7A9D">
      <w:pPr>
        <w:spacing w:line="480" w:lineRule="auto"/>
        <w:jc w:val="both"/>
        <w:rPr>
          <w:rFonts w:ascii="Arial" w:hAnsi="Arial" w:cs="Arial"/>
          <w:sz w:val="24"/>
          <w:szCs w:val="24"/>
          <w:lang w:val="en-US"/>
        </w:rPr>
      </w:pPr>
      <w:r w:rsidRPr="0036402F">
        <w:rPr>
          <w:rFonts w:ascii="Arial" w:hAnsi="Arial" w:cs="Arial"/>
          <w:b/>
          <w:bCs/>
          <w:sz w:val="24"/>
          <w:szCs w:val="24"/>
          <w:lang w:val="en-US"/>
        </w:rPr>
        <w:t>Keywords:</w:t>
      </w:r>
      <w:r w:rsidRPr="0036402F">
        <w:rPr>
          <w:rFonts w:ascii="Arial" w:hAnsi="Arial" w:cs="Arial"/>
          <w:sz w:val="24"/>
          <w:szCs w:val="24"/>
          <w:lang w:val="en-US"/>
        </w:rPr>
        <w:t xml:space="preserve"> </w:t>
      </w:r>
      <w:r w:rsidR="00374365" w:rsidRPr="0036402F">
        <w:rPr>
          <w:rFonts w:ascii="Arial" w:hAnsi="Arial" w:cs="Arial"/>
          <w:sz w:val="24"/>
          <w:szCs w:val="24"/>
          <w:lang w:val="en-US"/>
        </w:rPr>
        <w:t xml:space="preserve">sex differences; body </w:t>
      </w:r>
      <w:r w:rsidR="00927F5A" w:rsidRPr="0036402F">
        <w:rPr>
          <w:rFonts w:ascii="Arial" w:hAnsi="Arial" w:cs="Arial"/>
          <w:sz w:val="24"/>
          <w:szCs w:val="24"/>
          <w:lang w:val="en-US"/>
        </w:rPr>
        <w:t xml:space="preserve">mass index; dementia; retrospective cohort study; Germany </w:t>
      </w:r>
    </w:p>
    <w:p w14:paraId="603F243B" w14:textId="19221700" w:rsidR="002B0C06" w:rsidRPr="0036402F" w:rsidRDefault="002B0C06" w:rsidP="00EF3D14">
      <w:pPr>
        <w:spacing w:line="480" w:lineRule="auto"/>
        <w:jc w:val="both"/>
        <w:rPr>
          <w:rFonts w:ascii="Arial" w:hAnsi="Arial" w:cs="Arial"/>
          <w:sz w:val="24"/>
          <w:szCs w:val="24"/>
          <w:lang w:val="en-US"/>
        </w:rPr>
      </w:pPr>
      <w:r w:rsidRPr="0036402F">
        <w:rPr>
          <w:rFonts w:ascii="Arial" w:hAnsi="Arial" w:cs="Arial"/>
          <w:sz w:val="24"/>
          <w:szCs w:val="24"/>
          <w:lang w:val="en-US"/>
        </w:rPr>
        <w:br w:type="page"/>
      </w:r>
    </w:p>
    <w:p w14:paraId="6811443E" w14:textId="7486611D" w:rsidR="00C957B3" w:rsidRPr="0036402F" w:rsidRDefault="00C957B3" w:rsidP="00346A37">
      <w:pPr>
        <w:pStyle w:val="Heading1"/>
      </w:pPr>
      <w:r w:rsidRPr="0036402F">
        <w:lastRenderedPageBreak/>
        <w:t xml:space="preserve">Introduction </w:t>
      </w:r>
    </w:p>
    <w:p w14:paraId="5B9978F6" w14:textId="29C24CA9" w:rsidR="00CD7918" w:rsidRPr="0036402F" w:rsidRDefault="00CD7918" w:rsidP="003C41AC">
      <w:pPr>
        <w:spacing w:line="480" w:lineRule="auto"/>
        <w:jc w:val="both"/>
        <w:rPr>
          <w:rFonts w:ascii="Arial" w:hAnsi="Arial" w:cs="Arial"/>
          <w:b/>
          <w:bCs/>
          <w:sz w:val="24"/>
          <w:szCs w:val="24"/>
          <w:lang w:val="en-US"/>
        </w:rPr>
      </w:pPr>
    </w:p>
    <w:p w14:paraId="1E03BA53" w14:textId="4FF4E014" w:rsidR="00CD7918" w:rsidRPr="0036402F" w:rsidRDefault="006C75F0" w:rsidP="003C41AC">
      <w:pPr>
        <w:spacing w:line="480" w:lineRule="auto"/>
        <w:jc w:val="both"/>
        <w:rPr>
          <w:rFonts w:ascii="Arial" w:hAnsi="Arial" w:cs="Arial"/>
          <w:sz w:val="24"/>
          <w:szCs w:val="24"/>
          <w:lang w:val="en-US"/>
        </w:rPr>
      </w:pPr>
      <w:r w:rsidRPr="0036402F">
        <w:rPr>
          <w:rFonts w:ascii="Arial" w:hAnsi="Arial" w:cs="Arial"/>
          <w:sz w:val="24"/>
          <w:szCs w:val="24"/>
          <w:lang w:val="en-US"/>
        </w:rPr>
        <w:t xml:space="preserve">Dementia refers to a syndrome of progressive nature characterized by the </w:t>
      </w:r>
      <w:r w:rsidR="00A65E42" w:rsidRPr="0036402F">
        <w:rPr>
          <w:rFonts w:ascii="Arial" w:hAnsi="Arial" w:cs="Arial"/>
          <w:sz w:val="24"/>
          <w:szCs w:val="24"/>
          <w:lang w:val="en-US"/>
        </w:rPr>
        <w:t>alteration</w:t>
      </w:r>
      <w:r w:rsidRPr="0036402F">
        <w:rPr>
          <w:rFonts w:ascii="Arial" w:hAnsi="Arial" w:cs="Arial"/>
          <w:sz w:val="24"/>
          <w:szCs w:val="24"/>
          <w:lang w:val="en-US"/>
        </w:rPr>
        <w:t xml:space="preserve"> of several higher cognitive functions </w:t>
      </w:r>
      <w:r w:rsidR="00C26FD2" w:rsidRPr="0036402F">
        <w:rPr>
          <w:rFonts w:ascii="Arial" w:hAnsi="Arial" w:cs="Arial"/>
          <w:sz w:val="24"/>
          <w:szCs w:val="24"/>
          <w:lang w:val="en-US"/>
        </w:rPr>
        <w:t xml:space="preserve">(e.g., </w:t>
      </w:r>
      <w:r w:rsidRPr="0036402F">
        <w:rPr>
          <w:rFonts w:ascii="Arial" w:hAnsi="Arial" w:cs="Arial"/>
          <w:sz w:val="24"/>
          <w:szCs w:val="24"/>
          <w:lang w:val="en-US"/>
        </w:rPr>
        <w:t>memory, comprehension</w:t>
      </w:r>
      <w:r w:rsidR="00C26FD2" w:rsidRPr="0036402F">
        <w:rPr>
          <w:rFonts w:ascii="Arial" w:hAnsi="Arial" w:cs="Arial"/>
          <w:sz w:val="24"/>
          <w:szCs w:val="24"/>
          <w:lang w:val="en-US"/>
        </w:rPr>
        <w:t xml:space="preserve"> </w:t>
      </w:r>
      <w:r w:rsidRPr="0036402F">
        <w:rPr>
          <w:rFonts w:ascii="Arial" w:hAnsi="Arial" w:cs="Arial"/>
          <w:sz w:val="24"/>
          <w:szCs w:val="24"/>
          <w:lang w:val="en-US"/>
        </w:rPr>
        <w:t>and judgment</w:t>
      </w:r>
      <w:r w:rsidR="00C26FD2" w:rsidRPr="0036402F">
        <w:rPr>
          <w:rFonts w:ascii="Arial" w:hAnsi="Arial" w:cs="Arial"/>
          <w:sz w:val="24"/>
          <w:szCs w:val="24"/>
          <w:lang w:val="en-US"/>
        </w:rPr>
        <w:t>)</w:t>
      </w:r>
      <w:r w:rsidR="00647813" w:rsidRPr="0036402F">
        <w:rPr>
          <w:rFonts w:ascii="Arial" w:hAnsi="Arial" w:cs="Arial"/>
          <w:sz w:val="24"/>
          <w:szCs w:val="24"/>
          <w:lang w:val="en-US"/>
        </w:rPr>
        <w:t xml:space="preserve"> </w:t>
      </w:r>
      <w:r w:rsidR="00DD05A6" w:rsidRPr="0036402F">
        <w:rPr>
          <w:rFonts w:ascii="Arial" w:hAnsi="Arial" w:cs="Arial"/>
          <w:sz w:val="24"/>
          <w:szCs w:val="24"/>
          <w:lang w:val="en-US"/>
        </w:rPr>
        <w:t xml:space="preserve">severe </w:t>
      </w:r>
      <w:r w:rsidR="00647813" w:rsidRPr="0036402F">
        <w:rPr>
          <w:rFonts w:ascii="Arial" w:hAnsi="Arial" w:cs="Arial"/>
          <w:sz w:val="24"/>
          <w:szCs w:val="24"/>
          <w:lang w:val="en-US"/>
        </w:rPr>
        <w:t>enough to impair</w:t>
      </w:r>
      <w:r w:rsidR="00F80E27" w:rsidRPr="0036402F">
        <w:rPr>
          <w:rFonts w:ascii="Arial" w:hAnsi="Arial" w:cs="Arial"/>
          <w:sz w:val="24"/>
          <w:szCs w:val="24"/>
          <w:lang w:val="en-US"/>
        </w:rPr>
        <w:t xml:space="preserve"> independent functioning and daily living</w:t>
      </w:r>
      <w:r w:rsidR="001B79D6" w:rsidRPr="0036402F">
        <w:rPr>
          <w:rFonts w:ascii="Arial" w:hAnsi="Arial" w:cs="Arial"/>
          <w:sz w:val="24"/>
          <w:szCs w:val="24"/>
          <w:lang w:val="en-US"/>
        </w:rPr>
        <w:t xml:space="preserve"> </w:t>
      </w:r>
      <w:r w:rsidR="001B79D6"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{"citationID":"kfB4TNJV","properties":{"formattedCitation":"[1]","plainCitation":"[1]","noteIndex":0},"citationItems":[{"id":22838,"uris":["http://zotero.org/users/local/hhPVnw6l/items/RTS8BG9I"],"itemData":{"id":22838,"type":"article-journal","abstract":"This article is the first in a series of articles on dementia and is intended as an introduction to the condition, discussing how it is defined and the different types of disease. Subsequent articles will discuss how dementia affects the brain, the clinical features of dementia, its assessment and diagnosis, and the medical management and treatment of dementia. The series will then look in depth at how nursing care can maximise the quality of life of those affected by dementia and their families.","container-title":"Nursing Standard (Royal College of Nursing (Great Britain): 1987)","DOI":"10.7748/ns.29.37.37.e9405","ISSN":"2047-9018","issue":"37","journalAbbreviation":"Nurs Stand","language":"eng","note":"PMID: 25967445","page":"37-42","source":"PubMed","title":"Dementia: definitions and types","title-short":"Dementia","volume":"29","author":[{"family":"Dening","given":"Tom"},{"family":"Sandilyan","given":"Malarvizhi Babu"}],"issued":{"date-parts":[["2015",5,13]]}}}],"schema":"https://github.com/citation-style-language/schema/raw/master/csl-citation.json"} </w:instrText>
      </w:r>
      <w:r w:rsidR="001B79D6" w:rsidRPr="0036402F">
        <w:rPr>
          <w:rFonts w:ascii="Arial" w:hAnsi="Arial" w:cs="Arial"/>
          <w:sz w:val="24"/>
          <w:szCs w:val="24"/>
          <w:lang w:val="en-US"/>
        </w:rPr>
        <w:fldChar w:fldCharType="separate"/>
      </w:r>
      <w:r w:rsidR="00281A73" w:rsidRPr="0036402F">
        <w:rPr>
          <w:rFonts w:ascii="Arial" w:hAnsi="Arial" w:cs="Arial"/>
          <w:noProof/>
          <w:sz w:val="24"/>
          <w:szCs w:val="24"/>
          <w:lang w:val="en-US"/>
        </w:rPr>
        <w:t>[1]</w:t>
      </w:r>
      <w:r w:rsidR="001B79D6" w:rsidRPr="0036402F">
        <w:rPr>
          <w:rFonts w:ascii="Arial" w:hAnsi="Arial" w:cs="Arial"/>
          <w:sz w:val="24"/>
          <w:szCs w:val="24"/>
          <w:lang w:val="en-US"/>
        </w:rPr>
        <w:fldChar w:fldCharType="end"/>
      </w:r>
      <w:r w:rsidR="001911BF" w:rsidRPr="0036402F">
        <w:rPr>
          <w:rFonts w:ascii="Arial" w:hAnsi="Arial" w:cs="Arial"/>
          <w:sz w:val="24"/>
          <w:szCs w:val="24"/>
          <w:lang w:val="en-US"/>
        </w:rPr>
        <w:t>.</w:t>
      </w:r>
      <w:r w:rsidR="007E3D2C" w:rsidRPr="0036402F">
        <w:rPr>
          <w:rFonts w:ascii="Arial" w:hAnsi="Arial" w:cs="Arial"/>
          <w:sz w:val="24"/>
          <w:szCs w:val="24"/>
          <w:lang w:val="en-US"/>
        </w:rPr>
        <w:t xml:space="preserve"> The prevalence of dementia </w:t>
      </w:r>
      <w:r w:rsidR="00ED6D79" w:rsidRPr="0036402F">
        <w:rPr>
          <w:rFonts w:ascii="Arial" w:hAnsi="Arial" w:cs="Arial"/>
          <w:sz w:val="24"/>
          <w:szCs w:val="24"/>
          <w:lang w:val="en-US"/>
        </w:rPr>
        <w:t xml:space="preserve">in the community </w:t>
      </w:r>
      <w:r w:rsidR="00131DF0" w:rsidRPr="0036402F">
        <w:rPr>
          <w:rFonts w:ascii="Arial" w:hAnsi="Arial" w:cs="Arial"/>
          <w:sz w:val="24"/>
          <w:szCs w:val="24"/>
          <w:lang w:val="en-US"/>
        </w:rPr>
        <w:t xml:space="preserve">is around </w:t>
      </w:r>
      <w:r w:rsidR="000D0952" w:rsidRPr="0036402F">
        <w:rPr>
          <w:rFonts w:ascii="Arial" w:hAnsi="Arial" w:cs="Arial"/>
          <w:sz w:val="24"/>
          <w:szCs w:val="24"/>
          <w:lang w:val="en-US"/>
        </w:rPr>
        <w:t xml:space="preserve">697 cases per </w:t>
      </w:r>
      <w:r w:rsidR="000E74AE" w:rsidRPr="0036402F">
        <w:rPr>
          <w:rFonts w:ascii="Arial" w:hAnsi="Arial" w:cs="Arial"/>
          <w:sz w:val="24"/>
          <w:szCs w:val="24"/>
          <w:lang w:val="en-US"/>
        </w:rPr>
        <w:t>10</w:t>
      </w:r>
      <w:r w:rsidR="000D0952" w:rsidRPr="0036402F">
        <w:rPr>
          <w:rFonts w:ascii="Arial" w:hAnsi="Arial" w:cs="Arial"/>
          <w:sz w:val="24"/>
          <w:szCs w:val="24"/>
          <w:lang w:val="en-US"/>
        </w:rPr>
        <w:t xml:space="preserve">,000 people aged </w:t>
      </w:r>
      <w:r w:rsidR="00D84AAA" w:rsidRPr="0036402F">
        <w:rPr>
          <w:rFonts w:ascii="Arial" w:hAnsi="Arial" w:cs="Arial"/>
          <w:sz w:val="24"/>
          <w:szCs w:val="24"/>
          <w:lang w:val="en-US"/>
        </w:rPr>
        <w:t>≥50</w:t>
      </w:r>
      <w:r w:rsidR="003F0484" w:rsidRPr="0036402F">
        <w:rPr>
          <w:rFonts w:ascii="Arial" w:hAnsi="Arial" w:cs="Arial"/>
          <w:sz w:val="24"/>
          <w:szCs w:val="24"/>
          <w:lang w:val="en-US"/>
        </w:rPr>
        <w:t xml:space="preserve"> years </w:t>
      </w:r>
      <w:r w:rsidR="009B2EC3"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{"citationID":"UpFHDEng","properties":{"formattedCitation":"[2]","plainCitation":"[2]","noteIndex":0},"citationItems":[{"id":22840,"uris":["http://zotero.org/users/local/hhPVnw6l/items/VHT9V6XH"],"itemData":{"id":22840,"type":"article-journal","abstract":"Dementia is a severe neurodegenerative disorder and it can be categorized into several subtypes by different pathogenic causes. We sought to comprehensively analyzed the prevalence of dementia from perspectives of geographic region (Asia, Africa, South America, and Europe/North America), age, and gender. We searched PubMed and EMBASE for relevant articles on dementia published from January 1985 to August 2019. In these studies, analyses were stratified by geographic region, age, and gender. Meta-regression was conducted to identify if there were significant differences between groups. We included forty-seven studies. Among the individuals aged 50 and over in the community, the pooled prevalence for all-cause dementia, Alzheimer's disease, and vascular dementia were 697 (CI95%: 546-864) per 10,000 persons, 324 (CI95%: 228-460) per 10,000 persons, and 116 (CI95%: 86-157) per 10,000 persons, respectively. In our study, the prevalence of all-type dementia in individuals aged 100 years and older (6,592 per 10,000 cases) is 244 times higher than in those aged 50-59 (27 per 10,000 cases). The number of people living with dementia approximately doubles every five years. The prevalence was greater in women than in men (788 cases versus 561 cases per 10,000 persons) in overall analysis. In individuals aged 60 to 69 years, AD prevalence in females was 1.9 times greater than that in males (108 cases versus 56 cases per 10,000 persons), while the prevalence of VaD was 1.8 times greater in males than in females (56 cases versus 32 cases per 10,000 persons). Prevalence rate was higher in Europe and North America than in Asia, Africa, and South America.","container-title":"Journal of Alzheimer's disease: JAD","DOI":"10.3233/JAD-191092","ISSN":"1875-8908","issue":"3","journalAbbreviation":"J Alzheimers Dis","language":"eng","note":"PMID: 31884487","page":"1157-1166","source":"PubMed","title":"The Prevalence of Dementia: A Systematic Review and Meta-Analysis","title-short":"The Prevalence of Dementia","volume":"73","author":[{"family":"Cao","given":"Qing"},{"family":"Tan","given":"Chen-Chen"},{"family":"Xu","given":"Wei"},{"family":"Hu","given":"Hao"},{"family":"Cao","given":"Xi-Peng"},{"family":"Dong","given":"Qiang"},{"family":"Tan","given":"Lan"},{"family":"Yu","given":"Jin-Tai"}],"issued":{"date-parts":[["2020"]]}}}],"schema":"https://github.com/citation-style-language/schema/raw/master/csl-citation.json"} </w:instrText>
      </w:r>
      <w:r w:rsidR="009B2EC3" w:rsidRPr="0036402F">
        <w:rPr>
          <w:rFonts w:ascii="Arial" w:hAnsi="Arial" w:cs="Arial"/>
          <w:sz w:val="24"/>
          <w:szCs w:val="24"/>
          <w:lang w:val="en-US"/>
        </w:rPr>
        <w:fldChar w:fldCharType="separate"/>
      </w:r>
      <w:r w:rsidR="00281A73" w:rsidRPr="0036402F">
        <w:rPr>
          <w:rFonts w:ascii="Arial" w:hAnsi="Arial" w:cs="Arial"/>
          <w:noProof/>
          <w:sz w:val="24"/>
          <w:szCs w:val="24"/>
          <w:lang w:val="en-US"/>
        </w:rPr>
        <w:t>[2]</w:t>
      </w:r>
      <w:r w:rsidR="009B2EC3" w:rsidRPr="0036402F">
        <w:rPr>
          <w:rFonts w:ascii="Arial" w:hAnsi="Arial" w:cs="Arial"/>
          <w:sz w:val="24"/>
          <w:szCs w:val="24"/>
          <w:lang w:val="en-US"/>
        </w:rPr>
        <w:fldChar w:fldCharType="end"/>
      </w:r>
      <w:r w:rsidR="009B2EC3" w:rsidRPr="0036402F">
        <w:rPr>
          <w:rFonts w:ascii="Arial" w:hAnsi="Arial" w:cs="Arial"/>
          <w:sz w:val="24"/>
          <w:szCs w:val="24"/>
          <w:lang w:val="en-US"/>
        </w:rPr>
        <w:t xml:space="preserve"> </w:t>
      </w:r>
      <w:r w:rsidR="005977FE" w:rsidRPr="0036402F">
        <w:rPr>
          <w:rFonts w:ascii="Arial" w:hAnsi="Arial" w:cs="Arial"/>
          <w:sz w:val="24"/>
          <w:szCs w:val="24"/>
          <w:lang w:val="en-US"/>
        </w:rPr>
        <w:t xml:space="preserve">and, because of </w:t>
      </w:r>
      <w:r w:rsidR="00E96366" w:rsidRPr="0036402F">
        <w:rPr>
          <w:rFonts w:ascii="Arial" w:hAnsi="Arial" w:cs="Arial"/>
          <w:sz w:val="24"/>
          <w:szCs w:val="24"/>
          <w:lang w:val="en-US"/>
        </w:rPr>
        <w:t>aging</w:t>
      </w:r>
      <w:r w:rsidR="00A565C9" w:rsidRPr="0036402F">
        <w:rPr>
          <w:rFonts w:ascii="Arial" w:hAnsi="Arial" w:cs="Arial"/>
          <w:sz w:val="24"/>
          <w:szCs w:val="24"/>
          <w:lang w:val="en-US"/>
        </w:rPr>
        <w:t xml:space="preserve"> of the population, </w:t>
      </w:r>
      <w:r w:rsidR="005C6B60" w:rsidRPr="0036402F">
        <w:rPr>
          <w:rFonts w:ascii="Arial" w:hAnsi="Arial" w:cs="Arial"/>
          <w:sz w:val="24"/>
          <w:szCs w:val="24"/>
          <w:lang w:val="en-US"/>
        </w:rPr>
        <w:t xml:space="preserve">the number of individuals with dementia is likely to increase in the </w:t>
      </w:r>
      <w:r w:rsidR="00E96366" w:rsidRPr="0036402F">
        <w:rPr>
          <w:rFonts w:ascii="Arial" w:hAnsi="Arial" w:cs="Arial"/>
          <w:sz w:val="24"/>
          <w:szCs w:val="24"/>
          <w:lang w:val="en-US"/>
        </w:rPr>
        <w:t>following</w:t>
      </w:r>
      <w:r w:rsidR="005C6B60" w:rsidRPr="0036402F">
        <w:rPr>
          <w:rFonts w:ascii="Arial" w:hAnsi="Arial" w:cs="Arial"/>
          <w:sz w:val="24"/>
          <w:szCs w:val="24"/>
          <w:lang w:val="en-US"/>
        </w:rPr>
        <w:t xml:space="preserve"> decades</w:t>
      </w:r>
      <w:r w:rsidR="00023C46" w:rsidRPr="0036402F">
        <w:rPr>
          <w:rFonts w:ascii="Arial" w:hAnsi="Arial" w:cs="Arial"/>
          <w:sz w:val="24"/>
          <w:szCs w:val="24"/>
          <w:lang w:val="en-US"/>
        </w:rPr>
        <w:t xml:space="preserve"> </w:t>
      </w:r>
      <w:r w:rsidR="00023C46"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{"citationID":"pLC0Zl49","properties":{"formattedCitation":"[3]","plainCitation":"[3]","noteIndex":0},"citationItems":[{"id":18998,"uris":["http://zotero.org/users/local/hhPVnw6l/items/NPNFFBH3"],"itemData":{"id":18998,"type":"article-journal","abstract":"BACKGROUND: The number of individuals living with dementia is increasing, negatively affecting families, communities, and health-care systems around the world. A successful response to these challenges requires an accurate understanding of the dementia disease burden. We aimed to present the first detailed analysis of the global prevalence, mortality, and overall burden of dementia as captured by the Global Burden of Diseases, Injuries, and Risk Factors (GBD) Study 2016, and highlight the most important messages for clinicians and neurologists.\nMETHODS: GBD 2016 obtained data on dementia from vital registration systems, published scientific literature and surveys, and data from health-service encounters on deaths, excess mortality, prevalence, and incidence from 195 countries and territories from 1990 to 2016, through systematic review and additional data-seeking efforts. To correct for differences in cause of death coding across time and locations, we modelled mortality due to dementia using prevalence data and estimates of excess mortality derived from countries that were most likely to code deaths to dementia relative to prevalence. Data were analysed by standardised methods to estimate deaths, prevalence, years of life lost (YLLs), years of life lived with disability (YLDs), and disability-adjusted life-years (DALYs; computed as the sum of YLLs and YLDs), and the fractions of these metrics that were attributable to four risk factors that met GBD criteria for assessment (high body-mass index [BMI], high fasting plasma glucose, smoking, and a diet high in sugar-sweetened beverages).\nFINDINGS: In 2016, the global number of individuals who lived with dementia was 43·8 million (95% uncertainty interval [UI] 37·8-51·0), increased from 20.2 million (17·4-23·5) in 1990. This increase of 117% (95% UI 114-121) contrasted with a minor increase in age-standardised prevalence of 1·7% (1·0-2·4), from 701 cases (95% UI 602-815) per 100 000 population in 1990 to 712 cases (614-828) per 100 000 population in 2016. More women than men had dementia in 2016 (27·0 million, 95% UI 23·3-31·4, vs 16.8 million, 14.4-19.6), and dementia was the fifth leading cause of death globally, accounting for 2·4 million (95% UI 2·1-2·8) deaths. Overall, 28·8 million (95% UI 24·5-34·0) DALYs were attributed to dementia; 6·4 million (95% UI 3·4-10·5) of these could be attributed to the modifiable GBD risk factors of high BMI, high fasting plasma glucose, smoking, and a high intake of sugar-sweetened beverages.\nINTERPRETATION: The global number of people living with dementia more than doubled from 1990 to 2016, mainly due to increases in population ageing and growth. Although differences in coding for causes of death and the heterogeneity in case-ascertainment methods constitute major challenges to the estimation of the burden of dementia, future analyses should improve on the methods for the correction of these biases. Until breakthroughs are made in prevention or curative treatment, dementia will constitute an increasing challenge to health-care systems worldwide.\nFUNDING: Bill &amp; Melinda Gates Foundation.","container-title":"The Lancet. Neurology","DOI":"10.1016/S1474-4422(18)30403-4","ISSN":"1474-4465","issue":"1","journalAbbreviation":"Lancet Neurol","language":"eng","note":"PMID: 30497964\nPMCID: PMC6291454","page":"88-106","source":"PubMed","title":"Global, regional, and national burden of Alzheimer's disease and other dementias, 1990-2016: a systematic analysis for the Global Burden of Disease Study 2016","title-short":"Global, regional, and national burden of Alzheimer's disease and other dementias, 1990-2016","volume":"18","author":[{"literal":"GBD 2016 Dementia Collaborators"}],"issued":{"date-parts":[["2019"]]}}}],"schema":"https://github.com/citation-style-language/schema/raw/master/csl-citation.json"} </w:instrText>
      </w:r>
      <w:r w:rsidR="00023C46" w:rsidRPr="0036402F">
        <w:rPr>
          <w:rFonts w:ascii="Arial" w:hAnsi="Arial" w:cs="Arial"/>
          <w:sz w:val="24"/>
          <w:szCs w:val="24"/>
          <w:lang w:val="en-US"/>
        </w:rPr>
        <w:fldChar w:fldCharType="separate"/>
      </w:r>
      <w:r w:rsidR="00281A73" w:rsidRPr="0036402F">
        <w:rPr>
          <w:rFonts w:ascii="Arial" w:hAnsi="Arial" w:cs="Arial"/>
          <w:noProof/>
          <w:sz w:val="24"/>
          <w:szCs w:val="24"/>
          <w:lang w:val="en-US"/>
        </w:rPr>
        <w:t>[3]</w:t>
      </w:r>
      <w:r w:rsidR="00023C46" w:rsidRPr="0036402F">
        <w:rPr>
          <w:rFonts w:ascii="Arial" w:hAnsi="Arial" w:cs="Arial"/>
          <w:sz w:val="24"/>
          <w:szCs w:val="24"/>
          <w:lang w:val="en-US"/>
        </w:rPr>
        <w:fldChar w:fldCharType="end"/>
      </w:r>
      <w:r w:rsidR="005C6B60" w:rsidRPr="0036402F">
        <w:rPr>
          <w:rFonts w:ascii="Arial" w:hAnsi="Arial" w:cs="Arial"/>
          <w:sz w:val="24"/>
          <w:szCs w:val="24"/>
          <w:lang w:val="en-US"/>
        </w:rPr>
        <w:t>.</w:t>
      </w:r>
      <w:r w:rsidR="005E11AB" w:rsidRPr="0036402F">
        <w:rPr>
          <w:rFonts w:ascii="Arial" w:hAnsi="Arial" w:cs="Arial"/>
          <w:sz w:val="24"/>
          <w:szCs w:val="24"/>
          <w:lang w:val="en-US"/>
        </w:rPr>
        <w:t xml:space="preserve"> </w:t>
      </w:r>
      <w:r w:rsidR="00016810" w:rsidRPr="0036402F">
        <w:rPr>
          <w:rFonts w:ascii="Arial" w:hAnsi="Arial" w:cs="Arial"/>
          <w:sz w:val="24"/>
          <w:szCs w:val="24"/>
          <w:lang w:val="en-US"/>
        </w:rPr>
        <w:t>D</w:t>
      </w:r>
      <w:r w:rsidR="00115F3C" w:rsidRPr="0036402F">
        <w:rPr>
          <w:rFonts w:ascii="Arial" w:hAnsi="Arial" w:cs="Arial"/>
          <w:sz w:val="24"/>
          <w:szCs w:val="24"/>
          <w:lang w:val="en-US"/>
        </w:rPr>
        <w:t>ementia</w:t>
      </w:r>
      <w:r w:rsidR="005E11AB" w:rsidRPr="0036402F">
        <w:rPr>
          <w:rFonts w:ascii="Arial" w:hAnsi="Arial" w:cs="Arial"/>
          <w:sz w:val="24"/>
          <w:szCs w:val="24"/>
          <w:lang w:val="en-US"/>
        </w:rPr>
        <w:t xml:space="preserve"> i</w:t>
      </w:r>
      <w:r w:rsidR="006A1EC1" w:rsidRPr="0036402F">
        <w:rPr>
          <w:rFonts w:ascii="Arial" w:hAnsi="Arial" w:cs="Arial"/>
          <w:sz w:val="24"/>
          <w:szCs w:val="24"/>
          <w:lang w:val="en-US"/>
        </w:rPr>
        <w:t xml:space="preserve">s associated with multiple </w:t>
      </w:r>
      <w:r w:rsidR="00455DF3" w:rsidRPr="0036402F">
        <w:rPr>
          <w:rFonts w:ascii="Arial" w:hAnsi="Arial" w:cs="Arial"/>
          <w:sz w:val="24"/>
          <w:szCs w:val="24"/>
          <w:lang w:val="en-US"/>
        </w:rPr>
        <w:t>deleterious health outcomes such as impaired</w:t>
      </w:r>
      <w:r w:rsidR="00F10F78" w:rsidRPr="0036402F">
        <w:rPr>
          <w:rFonts w:ascii="Arial" w:hAnsi="Arial" w:cs="Arial"/>
          <w:sz w:val="24"/>
          <w:szCs w:val="24"/>
          <w:lang w:val="en-US"/>
        </w:rPr>
        <w:t xml:space="preserve"> mental health</w:t>
      </w:r>
      <w:r w:rsidR="00993AA7" w:rsidRPr="0036402F">
        <w:rPr>
          <w:rFonts w:ascii="Arial" w:hAnsi="Arial" w:cs="Arial"/>
          <w:sz w:val="24"/>
          <w:szCs w:val="24"/>
          <w:lang w:val="en-US"/>
        </w:rPr>
        <w:t xml:space="preserve"> </w:t>
      </w:r>
      <w:r w:rsidR="00993AA7"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{"citationID":"i15PfYmp","properties":{"formattedCitation":"[4,5]","plainCitation":"[4,5]","noteIndex":0},"citationItems":[{"id":22845,"uris":["http://zotero.org/users/local/hhPVnw6l/items/UKE46T33"],"itemData":{"id":22845,"type":"article-journal","abstract":"There appears to be a link between depression/anxiety/PTSD and dementia, although the evidence is incomplete and the reason is unclear. Mental illness may cause dementia or may be prodromal or comorbid with dementia, or dementia may trigger a relapse of symptoms in individuals with a history of mental illness. This study examined the link between depression/anxiety/PTSD and dementia by evaluating the prevalence of these disorders in people with dementia, relative to their healthy peers. Existing meta-analyses have examined the prevalence of clinically-significant depression and anxiety in Alzheimer's disease (AD), and depression in frontotemporal dementia (FTD), but have not considered vascular dementia (VaD), dementia with Lewy bodies (DLB), PTSD, or anxiety in FTD. The current meta-analysis compared the prevalence of clinically-significant depression, anxiety and PTSD in the four most common types of dementia (AD, VaD, DLB, FTD) and in unspecified dementia to that of healthy controls (PROSPERO number: CRD42017082086). PubMed, EMBASE, PsycINFO and CINAHL database searches identified 120 eligible studies. Prevalence rates were calculated for depression and anxiety in AD, VaD, DLB, FTD, unspecified dementia, and controls. PTSD data were only available for unspecified dementia. Subgroup analyses indicated that depression, but not anxiety, was more prevalent in people with dementia compared to controls; however, the anxiety analyses were probably under-powered. The results support a link between depression and dementia; however, the link between anxiety or PTSD and dementia remains unclear due to insufficient data. Longitudinal data is now needed to clarify whether depression/anxiety/PTSD may be risk factors for dementia.","container-title":"Neuropsychology Review","DOI":"10.1007/s11065-018-9396-2","ISSN":"1573-6660","issue":"4","journalAbbreviation":"Neuropsychol Rev","language":"eng","note":"PMID: 30536144","page":"393-416","source":"PubMed","title":"Prevalence of Depression, Anxiety and PTSD in People with Dementia: a Systematic Review and Meta-Analysis","title-short":"Prevalence of Depression, Anxiety and PTSD in People with Dementia","volume":"28","author":[{"family":"Kuring","given":"J. K."},{"family":"Mathias","given":"J. L."},{"family":"Ward","given":"L."}],"issued":{"date-parts":[["2018",12]]}}},{"id":22847,"uris":["http://zotero.org/users/local/hhPVnw6l/items/5SMFTZ3N"],"itemData":{"id":22847,"type":"article-journal","abstract":"We examine the relationship between dementia and psychiatric disorder diagnoses among long-term care residents in nursing homes across the state of Rhode Island (RI), USA.Observational clinical study.Two hundred fifty-five residents with and without the diagnosis of dementia were included in this study.Prevalence analysis was used to elucidate information on psychiatric disorders in the overall cohort, and among residents with dementia. Questions from the quality of life questionnaire (EQ-5D-3L) that provides information on self-care, anxiety/depression, and resident's view of how healthy they are, were used to evaluate their association with dementia and psychiatric disorders. A logistic regression analysis was conducted to understand the relationship between dementia and mental illness diagnoses in long-term care facilities. Finally, a subgroup logistic regression analysis was performed for residents with Alzheimer disease.65.1% of all residents suffered from at least 1 psychiatric disorder. Anxiety was the most common diagnosis (36.5%), followed by depression (28.6%), and insomnia (14.9%). There was a positive and statistically significant association between any mental illness diagnosis and dementia (adjusted OR: 3.73; 95% CI: 1.34-10.41). Bipolar disorder and insomnia were negatively and statistically significantly associated with dementia (adjusted OR: 0.17; 95% CI: 0.03-0.89 AND adjusted OR: 0.39; 95% CI: 0.16-0.96 respectively). Age and COPD were also statistically associated with dementia (adjusted OR: 1.07; 95% CI: 1.03-1.11 AND adjusted OR: 0.28, 95% CI: 0.12-0.66). Alzheimer disease was positively and significantly associated with the diagnosis of any mental illness (adjusted OR: 3.77; 95% CI: 1.17-12.20).We studied the relationship between dementia and diagnoses of psychiatric disorders present in long-term care residents. We found that residents with a diagnosis of dementia were more likely to suffer from at least 1 psychiatric disorder. Further work is needed to establish the neuropathophysiological relationship between psychiatric disorders and dementia.","container-title":"Medicine","DOI":"10.1097/MD.0000000000021412","ISSN":"1536-5964","issue":"31","journalAbbreviation":"Medicine (Baltimore)","language":"eng","note":"PMID: 32756140\nPMCID: PMC7402876","page":"e21412","source":"PubMed","title":"Association between dementia and psychiatric disorders in long-term care residents: An observational clinical study","title-short":"Association between dementia and psychiatric disorders in long-term care residents","volume":"99","author":[{"family":"Tori","given":"Katerina"},{"family":"Kalligeros","given":"Markos"},{"family":"Nanda","given":"Aman"},{"family":"Shehadeh","given":"Fadi"},{"family":"Aalst","given":"Robertus","non-dropping-particle":"van"},{"family":"Chit","given":"Ayman"},{"family":"Mylonakis","given":"Eleftherios"}],"issued":{"date-parts":[["2020",7,31]]}}}],"schema":"https://github.com/citation-style-language/schema/raw/master/csl-citation.json"} </w:instrText>
      </w:r>
      <w:r w:rsidR="00993AA7" w:rsidRPr="0036402F">
        <w:rPr>
          <w:rFonts w:ascii="Arial" w:hAnsi="Arial" w:cs="Arial"/>
          <w:sz w:val="24"/>
          <w:szCs w:val="24"/>
          <w:lang w:val="en-US"/>
        </w:rPr>
        <w:fldChar w:fldCharType="separate"/>
      </w:r>
      <w:r w:rsidR="00281A73" w:rsidRPr="0036402F">
        <w:rPr>
          <w:rFonts w:ascii="Arial" w:hAnsi="Arial" w:cs="Arial"/>
          <w:noProof/>
          <w:sz w:val="24"/>
          <w:szCs w:val="24"/>
          <w:lang w:val="en-US"/>
        </w:rPr>
        <w:t>[4,5]</w:t>
      </w:r>
      <w:r w:rsidR="00993AA7" w:rsidRPr="0036402F">
        <w:rPr>
          <w:rFonts w:ascii="Arial" w:hAnsi="Arial" w:cs="Arial"/>
          <w:sz w:val="24"/>
          <w:szCs w:val="24"/>
          <w:lang w:val="en-US"/>
        </w:rPr>
        <w:fldChar w:fldCharType="end"/>
      </w:r>
      <w:r w:rsidR="00F10F78" w:rsidRPr="0036402F">
        <w:rPr>
          <w:rFonts w:ascii="Arial" w:hAnsi="Arial" w:cs="Arial"/>
          <w:sz w:val="24"/>
          <w:szCs w:val="24"/>
          <w:lang w:val="en-US"/>
        </w:rPr>
        <w:t xml:space="preserve">, </w:t>
      </w:r>
      <w:r w:rsidR="00C807BA" w:rsidRPr="0036402F">
        <w:rPr>
          <w:rFonts w:ascii="Arial" w:hAnsi="Arial" w:cs="Arial"/>
          <w:sz w:val="24"/>
          <w:szCs w:val="24"/>
          <w:lang w:val="en-US"/>
        </w:rPr>
        <w:t>higher</w:t>
      </w:r>
      <w:r w:rsidR="00E40D87" w:rsidRPr="0036402F">
        <w:rPr>
          <w:rFonts w:ascii="Arial" w:hAnsi="Arial" w:cs="Arial"/>
          <w:sz w:val="24"/>
          <w:szCs w:val="24"/>
          <w:lang w:val="en-US"/>
        </w:rPr>
        <w:t xml:space="preserve"> functional disability</w:t>
      </w:r>
      <w:r w:rsidR="003C39B8" w:rsidRPr="0036402F">
        <w:rPr>
          <w:rFonts w:ascii="Arial" w:hAnsi="Arial" w:cs="Arial"/>
          <w:sz w:val="24"/>
          <w:szCs w:val="24"/>
          <w:lang w:val="en-US"/>
        </w:rPr>
        <w:t xml:space="preserve"> </w:t>
      </w:r>
      <w:r w:rsidR="003C39B8"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{"citationID":"VLwb00JW","properties":{"formattedCitation":"[6]","plainCitation":"[6]","noteIndex":0},"citationItems":[{"id":22850,"uris":["http://zotero.org/users/local/hhPVnw6l/items/8R8K5AZ3"],"itemData":{"id":22850,"type":"article-journal","abstract":"BACKGROUND: Prospective studies have shown that cognitive impairment is a strong and consistent risk factor of physical disability. However, cognitive impairment has been based on the result of a single screening tool.\nOBJECTIVE: To investigate the role of cognition in the subsequent incidence and decline of functional disability in basic activities of daily living (ADL) and instrumental activities of daily living (IADL) after a full assessment of dementia.\nMETHODS: A group of 1,358 Japanese atomic bomb survivors aged 61 years or older who lived in the community or in institutions in Hiroshima City were followed for 4 years. During the baseline survey (1993-1995), subjects were administered a screening test for cognitive impairment. Those suspected of dementia underwent a series of cognitive tests (Hasegawa's dementia scale, Clinical Dementia Rating) and a neurological examination. The diagnosis of dementia was made according to DSM-III-R criteria. Study subjects were questioned about their reported ADL and their IADL. During the follow-up period, deaths were recorded and a follow-up survey (1997-1999) used to assess ADL and IADL performance.\nRESULTS: Dementia, even after adjustment for age, sex and history of stroke, was a strong predictor of functional disability, as indicated by ADL (odds ratio, OR = 14.0; confidence interval, CI = 5.4-36.3), IADL (OR = 10.1, CI = 2.2-46.4), and also by assessment of decline in ADL (OR = 9.8, CI = 4.2-22.8) or IADL status (OR = 3.9, CI = 1.8-8.3).\nCONCLUSION: Dementia is an important determinant of functional status. Deterioration in ADL is more significant than deterioration in IADL, suggesting that factors other than cognition, such as motivation or perceptual, sensory and motor abilities, may be important in IADL performance. This study confirms previous findings on risk factors that affect functional ability and extends our knowledge by examining several criteria of function that are important in the daily lives of elderly people.","container-title":"Gerontology","DOI":"10.1159/000058355","ISSN":"0304-324X","issue":"4","journalAbbreviation":"Gerontology","language":"eng","note":"PMID: 12053112","page":"226-233","source":"PubMed","title":"Dementia as a predictor of functional disability: a four-year follow-up study","title-short":"Dementia as a predictor of functional disability","volume":"48","author":[{"family":"Sauvaget","given":"C."},{"family":"Yamada","given":"M."},{"family":"Fujiwara","given":"S."},{"family":"Sasaki","given":"H."},{"family":"Mimori","given":"Y."}],"issued":{"date-parts":[["2002",8]]}}}],"schema":"https://github.com/citation-style-language/schema/raw/master/csl-citation.json"} </w:instrText>
      </w:r>
      <w:r w:rsidR="003C39B8" w:rsidRPr="0036402F">
        <w:rPr>
          <w:rFonts w:ascii="Arial" w:hAnsi="Arial" w:cs="Arial"/>
          <w:sz w:val="24"/>
          <w:szCs w:val="24"/>
          <w:lang w:val="en-US"/>
        </w:rPr>
        <w:fldChar w:fldCharType="separate"/>
      </w:r>
      <w:r w:rsidR="00281A73" w:rsidRPr="0036402F">
        <w:rPr>
          <w:rFonts w:ascii="Arial" w:hAnsi="Arial" w:cs="Arial"/>
          <w:noProof/>
          <w:sz w:val="24"/>
          <w:szCs w:val="24"/>
          <w:lang w:val="en-US"/>
        </w:rPr>
        <w:t>[6]</w:t>
      </w:r>
      <w:r w:rsidR="003C39B8" w:rsidRPr="0036402F">
        <w:rPr>
          <w:rFonts w:ascii="Arial" w:hAnsi="Arial" w:cs="Arial"/>
          <w:sz w:val="24"/>
          <w:szCs w:val="24"/>
          <w:lang w:val="en-US"/>
        </w:rPr>
        <w:fldChar w:fldCharType="end"/>
      </w:r>
      <w:r w:rsidR="00E40D87" w:rsidRPr="0036402F">
        <w:rPr>
          <w:rFonts w:ascii="Arial" w:hAnsi="Arial" w:cs="Arial"/>
          <w:sz w:val="24"/>
          <w:szCs w:val="24"/>
          <w:lang w:val="en-US"/>
        </w:rPr>
        <w:t xml:space="preserve"> </w:t>
      </w:r>
      <w:r w:rsidR="00155B1C" w:rsidRPr="0036402F">
        <w:rPr>
          <w:rFonts w:ascii="Arial" w:hAnsi="Arial" w:cs="Arial"/>
          <w:sz w:val="24"/>
          <w:szCs w:val="24"/>
          <w:lang w:val="en-US"/>
        </w:rPr>
        <w:t>and increased mortality</w:t>
      </w:r>
      <w:r w:rsidR="00AC6D15" w:rsidRPr="0036402F">
        <w:rPr>
          <w:rFonts w:ascii="Arial" w:hAnsi="Arial" w:cs="Arial"/>
          <w:sz w:val="24"/>
          <w:szCs w:val="24"/>
          <w:lang w:val="en-US"/>
        </w:rPr>
        <w:t xml:space="preserve"> </w:t>
      </w:r>
      <w:r w:rsidR="00AC6D15"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{"citationID":"XhkMFfuF","properties":{"formattedCitation":"[7]","plainCitation":"[7]","noteIndex":0},"citationItems":[{"id":22852,"uris":["http://zotero.org/users/local/hhPVnw6l/items/BZB8W4FR"],"itemData":{"id":22852,"type":"article-journal","abstract":"OBJECTIVE: Dementia is an important cause of mortality and, with the ageing population and increasing prevalence of dementia, reliable data on prognosis and survival will be of interest to patients and caregivers as well as providers and commissioners of health and social care. A review of the literature was undertaken to determine the rates of survival in dementia and Alzheimer's disease (AD) and to identify factors that are or are not predictive of mortality in dementia and AD.\nMETHODS: Relevant articles on mortality in dementia were identified following a search of several electronic databases from 1990 to September 2012. Inclusion criteria were reports on prospective community or clinic based cohorts published in English since 1990, to reflect more recent recognition of possible predictors.\nRESULTS: Median survival time from age of onset of dementia ranges from 3.3 to 11.7 years, with most studies in the 7 to 10-year period. Median survival time from age of disease diagnosis ranges from 3.2 to 6.6 years for dementia or AD cohorts as a whole. Age was consistently reported as a predictor of mortality, with male gender a less consistent predictor. Increased disease severity and functional impairment were often associated with mortality.\nCONCLUSIONS: Substantial heterogeneity in the design of included studies limits the ability to prognosticate for individual patients. However, it is clear that dementia and AD are associated with significant mortality. Reasons for the increased mortality are not established.","container-title":"International Journal of Geriatric Psychiatry","DOI":"10.1002/gps.3946","ISSN":"1099-1166","issue":"11","journalAbbreviation":"Int J Geriatr Psychiatry","language":"eng","note":"PMID: 23526458","page":"1109-1124","source":"PubMed","title":"Survival in dementia and predictors of mortality: a review","title-short":"Survival in dementia and predictors of mortality","volume":"28","author":[{"family":"Todd","given":"Stephen"},{"family":"Barr","given":"Stephen"},{"family":"Roberts","given":"Mark"},{"family":"Passmore","given":"A. Peter"}],"issued":{"date-parts":[["2013",11]]}}}],"schema":"https://github.com/citation-style-language/schema/raw/master/csl-citation.json"} </w:instrText>
      </w:r>
      <w:r w:rsidR="00AC6D15" w:rsidRPr="0036402F">
        <w:rPr>
          <w:rFonts w:ascii="Arial" w:hAnsi="Arial" w:cs="Arial"/>
          <w:sz w:val="24"/>
          <w:szCs w:val="24"/>
          <w:lang w:val="en-US"/>
        </w:rPr>
        <w:fldChar w:fldCharType="separate"/>
      </w:r>
      <w:r w:rsidR="00281A73" w:rsidRPr="0036402F">
        <w:rPr>
          <w:rFonts w:ascii="Arial" w:hAnsi="Arial" w:cs="Arial"/>
          <w:noProof/>
          <w:sz w:val="24"/>
          <w:szCs w:val="24"/>
          <w:lang w:val="en-US"/>
        </w:rPr>
        <w:t>[7]</w:t>
      </w:r>
      <w:r w:rsidR="00AC6D15" w:rsidRPr="0036402F">
        <w:rPr>
          <w:rFonts w:ascii="Arial" w:hAnsi="Arial" w:cs="Arial"/>
          <w:sz w:val="24"/>
          <w:szCs w:val="24"/>
          <w:lang w:val="en-US"/>
        </w:rPr>
        <w:fldChar w:fldCharType="end"/>
      </w:r>
      <w:r w:rsidR="00155B1C" w:rsidRPr="0036402F">
        <w:rPr>
          <w:rFonts w:ascii="Arial" w:hAnsi="Arial" w:cs="Arial"/>
          <w:sz w:val="24"/>
          <w:szCs w:val="24"/>
          <w:lang w:val="en-US"/>
        </w:rPr>
        <w:t>.</w:t>
      </w:r>
      <w:r w:rsidR="00DE7FD3" w:rsidRPr="0036402F">
        <w:rPr>
          <w:rFonts w:ascii="Arial" w:hAnsi="Arial" w:cs="Arial"/>
          <w:sz w:val="24"/>
          <w:szCs w:val="24"/>
          <w:lang w:val="en-US"/>
        </w:rPr>
        <w:t xml:space="preserve"> Moreover, </w:t>
      </w:r>
      <w:r w:rsidR="00016810" w:rsidRPr="0036402F">
        <w:rPr>
          <w:rFonts w:ascii="Arial" w:hAnsi="Arial" w:cs="Arial"/>
          <w:sz w:val="24"/>
          <w:szCs w:val="24"/>
          <w:lang w:val="en-US"/>
        </w:rPr>
        <w:t xml:space="preserve">the efficacy of available dementia treatments is only modest </w:t>
      </w:r>
      <w:r w:rsidR="00016810"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{"citationID":"6gtwOzaP","properties":{"formattedCitation":"[8]","plainCitation":"[8]","noteIndex":0},"citationItems":[{"id":22842,"uris":["http://zotero.org/users/local/hhPVnw6l/items/YHJWND9H"],"itemData":{"id":22842,"type":"article-journal","abstract":"Importance: Worldwide, 47 million people live with dementia and, by 2050, the number is expected to increase to 131 million.\nObservations: Dementia is an acquired loss of cognition in multiple cognitive domains sufficiently severe to affect social or occupational function. In the United States, Alzheimer disease, one cause of dementia, affects 5.8 million people. Dementia is commonly associated with more than 1 neuropathology, usually Alzheimer disease with cerebrovascular pathology. Diagnosing dementia requires a history evaluating for cognitive decline and impairment in daily activities, with corroboration from a close friend or family member, in addition to a thorough mental status examination by a clinician to delineate impairments in memory, language, attention, visuospatial cognition such as spatial orientation, executive function, and mood. Brief cognitive impairment screening questionnaires can assist in initiating and organizing the cognitive assessment. However, if the assessment is inconclusive (eg, symptoms present, but normal examination findings), neuropsychological testing can help determine whether dementia is present. Physical examination may help identify the etiology of dementia. For example, focal neurologic abnormalities suggest stroke. Brain neuroimaging may demonstrate structural changes including, but not limited to, focal atrophy, infarcts, and tumor, that may not be identified on physical examination. Additional evaluation with cerebrospinal fluid assays or genetic testing may be considered in atypical dementia cases, such as age of onset younger than 65 years, rapid symptom onset, and/or impairment in multiple cognitive domains but not episodic memory. For treatment, patients may benefit from nonpharmacologic approaches, including cognitively engaging activities such as reading, physical exercise such as walking, and socialization such as family gatherings. Pharmacologic approaches can provide modest symptomatic relief. For Alzheimer disease, this includes an acetylcholinesterase inhibitor such as donepezil for mild to severe dementia, and memantine (used alone or as an add-on therapy) for moderate to severe dementia. Rivastigmine can be used to treat symptomatic Parkinson disease dementia.\nConclusions and Relevance: Alzheimer disease currently affects 5.8 million persons in the United States and is a common cause of dementia, which is usually accompanied by other neuropathology, often cerebrovascular disease such as brain infarcts. Causes of dementia can be diagnosed by medical history, cognitive and physical examination, laboratory testing, and brain imaging. Management should include both nonpharmacologic and pharmacologic approaches, although efficacy of available treatments remains limited.","container-title":"JAMA","DOI":"10.1001/jama.2019.4782","ISSN":"1538-3598","issue":"16","journalAbbreviation":"JAMA","language":"eng","note":"PMID: 31638686\nPMCID: PMC7462122","page":"1589-1599","source":"PubMed","title":"Diagnosis and Management of Dementia: Review","title-short":"Diagnosis and Management of Dementia","volume":"322","author":[{"family":"Arvanitakis","given":"Zoe"},{"family":"Shah","given":"Raj C."},{"family":"Bennett","given":"David A."}],"issued":{"date-parts":[["2019",10,22]]}}}],"schema":"https://github.com/citation-style-language/schema/raw/master/csl-citation.json"} </w:instrText>
      </w:r>
      <w:r w:rsidR="00016810" w:rsidRPr="0036402F">
        <w:rPr>
          <w:rFonts w:ascii="Arial" w:hAnsi="Arial" w:cs="Arial"/>
          <w:sz w:val="24"/>
          <w:szCs w:val="24"/>
          <w:lang w:val="en-US"/>
        </w:rPr>
        <w:fldChar w:fldCharType="separate"/>
      </w:r>
      <w:r w:rsidR="00281A73" w:rsidRPr="0036402F">
        <w:rPr>
          <w:rFonts w:ascii="Arial" w:hAnsi="Arial" w:cs="Arial"/>
          <w:noProof/>
          <w:sz w:val="24"/>
          <w:szCs w:val="24"/>
          <w:lang w:val="en-US"/>
        </w:rPr>
        <w:t>[8]</w:t>
      </w:r>
      <w:r w:rsidR="00016810" w:rsidRPr="0036402F">
        <w:rPr>
          <w:rFonts w:ascii="Arial" w:hAnsi="Arial" w:cs="Arial"/>
          <w:sz w:val="24"/>
          <w:szCs w:val="24"/>
          <w:lang w:val="en-US"/>
        </w:rPr>
        <w:fldChar w:fldCharType="end"/>
      </w:r>
      <w:r w:rsidR="00016810" w:rsidRPr="0036402F">
        <w:rPr>
          <w:rFonts w:ascii="Arial" w:hAnsi="Arial" w:cs="Arial"/>
          <w:sz w:val="24"/>
          <w:szCs w:val="24"/>
          <w:lang w:val="en-US"/>
        </w:rPr>
        <w:t xml:space="preserve">, and </w:t>
      </w:r>
      <w:r w:rsidR="00DE7FD3" w:rsidRPr="0036402F">
        <w:rPr>
          <w:rFonts w:ascii="Arial" w:hAnsi="Arial" w:cs="Arial"/>
          <w:sz w:val="24"/>
          <w:szCs w:val="24"/>
          <w:lang w:val="en-US"/>
        </w:rPr>
        <w:t xml:space="preserve">the management of dementia </w:t>
      </w:r>
      <w:r w:rsidR="0097430F" w:rsidRPr="0036402F">
        <w:rPr>
          <w:rFonts w:ascii="Arial" w:hAnsi="Arial" w:cs="Arial"/>
          <w:sz w:val="24"/>
          <w:szCs w:val="24"/>
          <w:lang w:val="en-US"/>
        </w:rPr>
        <w:t xml:space="preserve">imposes </w:t>
      </w:r>
      <w:r w:rsidR="0024597D" w:rsidRPr="0036402F">
        <w:rPr>
          <w:rFonts w:ascii="Arial" w:hAnsi="Arial" w:cs="Arial"/>
          <w:sz w:val="24"/>
          <w:szCs w:val="24"/>
          <w:lang w:val="en-US"/>
        </w:rPr>
        <w:t xml:space="preserve">a substantial economic burden </w:t>
      </w:r>
      <w:r w:rsidR="00647195" w:rsidRPr="0036402F">
        <w:rPr>
          <w:rFonts w:ascii="Arial" w:hAnsi="Arial" w:cs="Arial"/>
          <w:sz w:val="24"/>
          <w:szCs w:val="24"/>
          <w:lang w:val="en-US"/>
        </w:rPr>
        <w:t>on patients and their families as well as healthcare systems</w:t>
      </w:r>
      <w:r w:rsidR="00D76A55" w:rsidRPr="0036402F">
        <w:rPr>
          <w:rFonts w:ascii="Arial" w:hAnsi="Arial" w:cs="Arial"/>
          <w:sz w:val="24"/>
          <w:szCs w:val="24"/>
          <w:lang w:val="en-US"/>
        </w:rPr>
        <w:t xml:space="preserve"> </w:t>
      </w:r>
      <w:r w:rsidR="00D76A55"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{"citationID":"L7Y1f4jc","properties":{"formattedCitation":"[9]","plainCitation":"[9]","noteIndex":0},"citationItems":[{"id":22854,"uris":["http://zotero.org/users/local/hhPVnw6l/items/N6FSQT42"],"itemData":{"id":22854,"type":"article-journal","abstract":"The purpose of this article is to analyse the available literature describing the economic burden of dementia and to compare costs between studies examining cost drivers. To shed light on this field, a systematic review is performed using PubMed, the Cochrane Library and Web of Science. An eight-year retrospective horizon was considered until 25 May 2018. Several papers were obtained from the database search (n = 23), being others (n = 3) identified through other sources (hand-searching) because we did not detect it through the three databases. The cost estimates were compared between three perspectives: state/publicly funded health services, third-party/private sector/not-for-profit organisations and patient and family and/or societal. The estimated total annual cost per person with dementia in Europe is on average €32,506.73 (n = 10), whereas for the United States, it gets €42,898.65 (n = 2). Furthermore, differences are appreciated by type of costs. Besides, differences by severity groups are also considered. Overall, the higher the severity the higher the associated costs. Dementia imposes a huge economic burden. The figures here presented provide a good framework to quantify these costs for both, economic experts and researchers, and policy decision makers.","container-title":"Dementia (London, England)","DOI":"10.1177/1471301219837776","ISSN":"1741-2684","issue":"8","journalAbbreviation":"Dementia (London)","language":"eng","note":"PMID: 30909718","page":"2637-2657","source":"PubMed","title":"The economic cost of dementia: A systematic review","title-short":"The economic cost of dementia","volume":"19","author":[{"family":"Cantarero-Prieto","given":"David"},{"family":"Leon","given":"Paloma Lanza"},{"family":"Blazquez-Fernandez","given":"Carla"},{"family":"Juan","given":"Pascual Sanchez"},{"family":"Cobo","given":"Carmen Sarabia"}],"issued":{"date-parts":[["2020",11]]}}}],"schema":"https://github.com/citation-style-language/schema/raw/master/csl-citation.json"} </w:instrText>
      </w:r>
      <w:r w:rsidR="00D76A55" w:rsidRPr="0036402F">
        <w:rPr>
          <w:rFonts w:ascii="Arial" w:hAnsi="Arial" w:cs="Arial"/>
          <w:sz w:val="24"/>
          <w:szCs w:val="24"/>
          <w:lang w:val="en-US"/>
        </w:rPr>
        <w:fldChar w:fldCharType="separate"/>
      </w:r>
      <w:r w:rsidR="00281A73" w:rsidRPr="0036402F">
        <w:rPr>
          <w:rFonts w:ascii="Arial" w:hAnsi="Arial" w:cs="Arial"/>
          <w:noProof/>
          <w:sz w:val="24"/>
          <w:szCs w:val="24"/>
          <w:lang w:val="en-US"/>
        </w:rPr>
        <w:t>[9]</w:t>
      </w:r>
      <w:r w:rsidR="00D76A55" w:rsidRPr="0036402F">
        <w:rPr>
          <w:rFonts w:ascii="Arial" w:hAnsi="Arial" w:cs="Arial"/>
          <w:sz w:val="24"/>
          <w:szCs w:val="24"/>
          <w:lang w:val="en-US"/>
        </w:rPr>
        <w:fldChar w:fldCharType="end"/>
      </w:r>
      <w:r w:rsidR="00647195" w:rsidRPr="0036402F">
        <w:rPr>
          <w:rFonts w:ascii="Arial" w:hAnsi="Arial" w:cs="Arial"/>
          <w:sz w:val="24"/>
          <w:szCs w:val="24"/>
          <w:lang w:val="en-US"/>
        </w:rPr>
        <w:t>.</w:t>
      </w:r>
      <w:r w:rsidR="00C3538B" w:rsidRPr="0036402F">
        <w:rPr>
          <w:rFonts w:ascii="Arial" w:hAnsi="Arial" w:cs="Arial"/>
          <w:sz w:val="24"/>
          <w:szCs w:val="24"/>
          <w:lang w:val="en-US"/>
        </w:rPr>
        <w:t xml:space="preserve"> Thus, it is of utmost importance </w:t>
      </w:r>
      <w:r w:rsidR="00621BED" w:rsidRPr="0036402F">
        <w:rPr>
          <w:rFonts w:ascii="Arial" w:hAnsi="Arial" w:cs="Arial"/>
          <w:sz w:val="24"/>
          <w:szCs w:val="24"/>
          <w:lang w:val="en-US"/>
        </w:rPr>
        <w:t>to better characterize risk factors for and protective factors against dementia.</w:t>
      </w:r>
    </w:p>
    <w:p w14:paraId="728B8B87" w14:textId="6E74A02B" w:rsidR="00621BED" w:rsidRPr="0036402F" w:rsidRDefault="00621BED" w:rsidP="003C41AC">
      <w:pPr>
        <w:spacing w:line="480" w:lineRule="auto"/>
        <w:jc w:val="both"/>
        <w:rPr>
          <w:rFonts w:ascii="Arial" w:hAnsi="Arial" w:cs="Arial"/>
          <w:sz w:val="24"/>
          <w:szCs w:val="24"/>
          <w:lang w:val="en-US"/>
        </w:rPr>
      </w:pPr>
    </w:p>
    <w:p w14:paraId="0B3181A4" w14:textId="0807B388" w:rsidR="00621BED" w:rsidRPr="0036402F" w:rsidRDefault="0005217E" w:rsidP="003C41AC">
      <w:pPr>
        <w:spacing w:line="480" w:lineRule="auto"/>
        <w:jc w:val="both"/>
        <w:rPr>
          <w:rFonts w:ascii="Arial" w:hAnsi="Arial" w:cs="Arial"/>
          <w:sz w:val="24"/>
          <w:szCs w:val="24"/>
          <w:lang w:val="en-US"/>
        </w:rPr>
      </w:pPr>
      <w:r w:rsidRPr="0036402F">
        <w:rPr>
          <w:rFonts w:ascii="Arial" w:hAnsi="Arial" w:cs="Arial"/>
          <w:sz w:val="24"/>
          <w:szCs w:val="24"/>
          <w:lang w:val="en-US"/>
        </w:rPr>
        <w:t xml:space="preserve">A </w:t>
      </w:r>
      <w:r w:rsidR="007C1DF3" w:rsidRPr="0036402F">
        <w:rPr>
          <w:rFonts w:ascii="Arial" w:hAnsi="Arial" w:cs="Arial"/>
          <w:sz w:val="24"/>
          <w:szCs w:val="24"/>
          <w:lang w:val="en-US"/>
        </w:rPr>
        <w:t>substantial</w:t>
      </w:r>
      <w:r w:rsidRPr="0036402F">
        <w:rPr>
          <w:rFonts w:ascii="Arial" w:hAnsi="Arial" w:cs="Arial"/>
          <w:sz w:val="24"/>
          <w:szCs w:val="24"/>
          <w:lang w:val="en-US"/>
        </w:rPr>
        <w:t xml:space="preserve"> body of literature has analyzed the potential </w:t>
      </w:r>
      <w:r w:rsidR="00503E59" w:rsidRPr="0036402F">
        <w:rPr>
          <w:rFonts w:ascii="Arial" w:hAnsi="Arial" w:cs="Arial"/>
          <w:sz w:val="24"/>
          <w:szCs w:val="24"/>
          <w:lang w:val="en-US"/>
        </w:rPr>
        <w:t xml:space="preserve">association between </w:t>
      </w:r>
      <w:r w:rsidR="007E540C" w:rsidRPr="0036402F">
        <w:rPr>
          <w:rFonts w:ascii="Arial" w:hAnsi="Arial" w:cs="Arial"/>
          <w:sz w:val="24"/>
          <w:szCs w:val="24"/>
          <w:lang w:val="en-US"/>
        </w:rPr>
        <w:t>late</w:t>
      </w:r>
      <w:r w:rsidR="00E9078E" w:rsidRPr="0036402F">
        <w:rPr>
          <w:rFonts w:ascii="Arial" w:hAnsi="Arial" w:cs="Arial"/>
          <w:sz w:val="24"/>
          <w:szCs w:val="24"/>
          <w:lang w:val="en-US"/>
        </w:rPr>
        <w:t xml:space="preserve">-life </w:t>
      </w:r>
      <w:r w:rsidR="00503E59" w:rsidRPr="0036402F">
        <w:rPr>
          <w:rFonts w:ascii="Arial" w:hAnsi="Arial" w:cs="Arial"/>
          <w:sz w:val="24"/>
          <w:szCs w:val="24"/>
          <w:lang w:val="en-US"/>
        </w:rPr>
        <w:t xml:space="preserve">body mass index </w:t>
      </w:r>
      <w:r w:rsidR="00590259" w:rsidRPr="0036402F">
        <w:rPr>
          <w:rFonts w:ascii="Arial" w:hAnsi="Arial" w:cs="Arial"/>
          <w:sz w:val="24"/>
          <w:szCs w:val="24"/>
          <w:lang w:val="en-US"/>
        </w:rPr>
        <w:t xml:space="preserve">(BMI) </w:t>
      </w:r>
      <w:r w:rsidR="00503E59" w:rsidRPr="0036402F">
        <w:rPr>
          <w:rFonts w:ascii="Arial" w:hAnsi="Arial" w:cs="Arial"/>
          <w:sz w:val="24"/>
          <w:szCs w:val="24"/>
          <w:lang w:val="en-US"/>
        </w:rPr>
        <w:t>and dementia</w:t>
      </w:r>
      <w:r w:rsidR="00AB4CD8" w:rsidRPr="0036402F">
        <w:rPr>
          <w:rFonts w:ascii="Arial" w:hAnsi="Arial" w:cs="Arial"/>
          <w:sz w:val="24"/>
          <w:szCs w:val="24"/>
          <w:lang w:val="en-US"/>
        </w:rPr>
        <w:t xml:space="preserve"> </w:t>
      </w:r>
      <w:r w:rsidR="00AB4CD8"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ZP1nZHPf","properties":{"formattedCitation":"[10\\uc0\\u8211{}15]","plainCitation":"[10–15]","noteIndex":0},"citationItems":[{"id":22864,"uris":["http://zotero.org/users/local/hhPVnw6l/items/MZJW46KM"],"itemData":{"id":22864,"type":"article-journal","abstract":"OBJECTIVES: To examine the effect of late-life body mass index (BMI) and rapid weight loss on incident mild cognitive impairment (MCI) and Alzheimer's disease (AD).\nDESIGN: Prospective longitudinal cohort study.\nSETTING: National Alzheimer's Coordinating Center (NACC) Uniform Data Set, including 34 past and current National Institute on Aging-funded AD Centers across the United States.\nPARTICIPANTS: 6940 older adults (n=5061 normal cognition [NC]; n=1879 MCI).\nMEASUREMENTS: BMI (kg/m2) and modified Framingham Stroke Risk Profile (FSRP) score (sex, age, systolic blood pressure, anti-hypertension medication, diabetes mellitus, cigarette smoking, prevalent cardiovascular disease, atrial fibrillation) were assessed at baseline. Cognition and weight were assessed annually.\nRESULTS: Multivariable binary logistic regression, adjusting for age, sex, race, education, length of follow-up, and modified FSRP related late-life BMI to risk of diagnostic conversion from NC to MCI or AD and from MCI to AD. Secondary analyses related late-life BMI to diagnostic conversion in the presence of rapid weight loss (&gt;5% decrease in 12 months) and apolipoprotein E (APOE) ε4. During a mean 3.8-year follow-up period, 12% of NC participants converted to MCI or AD and 49% of MCI participants converted to AD. Higher baseline BMI was associated with a reduced probability of diagnostic conversion, such that for each one-unit increase in baseline BMI there was a reduction in diagnostic conversion for both NC (OR=0.977, 95%CI 0.958-0.996, p=0.015) and MCI participants (OR=0.962, 95%CI 0.942-0.983, p&lt;0.001). The protective effect of higher baseline BMI did not persist in the setting of rapid weight loss but did persist when adjusting for APOE ε4.\nCONCLUSIONS: Higher late-life BMI is associated with a lower risk of incident MCI and AD but is not protective in the presence of rapid weight loss.","container-title":"The Journal of Nutrition, Health &amp; Aging","DOI":"10.1007/s12603-017-0906-3","ISSN":"1760-4788","issue":"10","journalAbbreviation":"J Nutr Health Aging","language":"eng","note":"PMID: 29188888\nPMCID: PMC5736008","page":"1259-1267","source":"PubMed","title":"Late-Life Body Mass Index, Rapid Weight Loss, Apolipoprotein E ε4 and the Risk of Cognitive Decline and Incident Dementia","volume":"21","author":[{"family":"Bell","given":"S. P."},{"family":"Liu","given":"D."},{"family":"Samuels","given":"L. R."},{"family":"Shah","given":"A. S."},{"family":"Gifford","given":"K. A."},{"family":"Hohman","given":"T. J."},{"family":"Jefferson","given":"A. L."}],"issued":{"date-parts":[["2017"]]}}},{"id":22870,"uris":["http://zotero.org/users/local/hhPVnw6l/items/IWLMMBLW"],"itemData":{"id":22870,"type":"article-journal","abstract":"BACKGROUND: Improving cardiovascular health possibly decreases the risk of dementia. Primary care practices offer a suitable setting for monitoring and controlling cardiovascular risk factors in the older population. The purpose of the study is to examine the association of a cardiovascular health metric including six behaviors and blood parameters with the risk of dementia in primary care patients.\nMETHODS: Participants (N = 3547) were insurants aged ≥55 of the largest German statutory health insurance company, who were enrolled in a six-year prospective population-based study. Smoking, physical activity, body mass index, blood pressure, total cholesterol, and fasting glucose were assessed by general practitioners at routine examinations. Using recommended cut-offs for each factor, the patients' cardiovascular health was classified as ideal, moderate, or poor. Behaviors and blood parameters sub-scores, as well as a total score, were calculated. Dementia diagnoses were retrieved from health insurance claims data. Results are presented as hazard ratios (HRs) and 95% confidence intervals (95% CIs).\nRESULTS: Over the course of the study 296 new cases of dementia occurred. Adjusted for age, sex, and education, current smoking (HR = 1.77, 95% CI 1.09-2.85), moderate (1.38, 1.05-1.81) or poor (1.81, 1.32-2.47) levels of physical activity, and poor fasting glucose levels (1.43, 1.02-2.02) were associated with an increased risk of dementia. Body mass index, blood pressure, and cholesterol were not associated with dementia. Separate summary scores for behaviors and blood values, as well as a total score showed no association with dementia. Sensitivity analyses with differently defined endpoints led to similar results.\nCONCLUSIONS: Due to complex relationships of body-mass index and blood pressure with dementia individual components cancelled each other out and rendered the sum-scores meaningless for the prediction of dementia.","container-title":"BMC neurology","DOI":"10.1186/s12883-016-0646-8","ISSN":"1471-2377","journalAbbreviation":"BMC Neurol","language":"eng","note":"PMID: 27459854\nPMCID: PMC4962452","page":"116","source":"PubMed","title":"Predicting dementia in primary care patients with a cardiovascular health metric: a prospective population-based study","title-short":"Predicting dementia in primary care patients with a cardiovascular health metric","volume":"16","author":[{"family":"Hessler","given":"Johannes Baltasar"},{"family":"Ander","given":"Karl-Heinz"},{"family":"Brönner","given":"Monika"},{"family":"Etgen","given":"Thorleif"},{"family":"Förstl","given":"Hans"},{"family":"Poppert","given":"Holger"},{"family":"Sander","given":"Dirk"},{"family":"Bickel","given":"Horst"}],"issued":{"date-parts":[["2016",7,26]]}}},{"id":22861,"uris":["http://zotero.org/users/local/hhPVnw6l/items/IADHLJHR"],"itemData":{"id":22861,"type":"article-journal","abstract":"OBJECTIVE: To examine the association between body mass index (BMI), waist circumference (WC), and waist-to-hip ratio (WHR) and risk of dementia and its subtypes in late life.\nMETHODS: Participants were members of the Kame Project, a population-based prospective cohort study of 1,836 Japanese Americans living in King County, WA, who had a mean age of 71.8 years and were dementia-free at baseline (1992-1994), and were followed for incident dementia through 2001. Cox proportional hazards models were used to estimate the risk of dementia, Alzheimer disease (AD), and vascular dementia (VaD) controlling for demographic and lifestyle characteristics and vascular comorbidities as a function of baseline BMI, WC, and WHR and change in BMI over time.\nRESULTS: Higher baseline BMI was significantly associated with a reduced risk of AD (hazard ratio [HR] = 0.56, 95% confidence interval [CI] = 0.33-0.97) in the fully adjusted model. Slower rate of decline in BMI was associated with a reduced risk of dementia (HR = 0.37, 95% CI = 0.14-0.98), with the association stronger for those who were overweight or obese (HR = 0.18, 95% CI = 0.05-0.58) compared to normal or underweight (HR = 1.00, 95% CI = 0.18-5.66) at baseline.\nCONCLUSION: Higher baseline body mass index (BMI) and slower declining BMI in late life are associated with a reduced risk of dementia, suggesting that low BMI or a faster decline in BMI in late life may be preclinical indicators of an underlying dementing illness, especially for those who were initially overweight or obese.","container-title":"Neurology","DOI":"10.1212/WNL.0b013e3181a60a58","ISSN":"1526-632X","issue":"20","journalAbbreviation":"Neurology","language":"eng","note":"PMID: 19451529\nPMCID: PMC2683740","page":"1741-1746","source":"PubMed","title":"Association between late-life body mass index and dementia: The Kame Project","title-short":"Association between late-life body mass index and dementia","volume":"72","author":[{"family":"Hughes","given":"T. F."},{"family":"Borenstein","given":"A. R."},{"family":"Schofield","given":"E."},{"family":"Wu","given":"Y."},{"family":"Larson","given":"E. B."}],"issued":{"date-parts":[["2009",5,19]]}}},{"id":22858,"uris":["http://zotero.org/users/local/hhPVnw6l/items/HWDAZWSA"],"itemData":{"id":22858,"type":"article-journal","abstract":"INTRODUCTION: Higher midlife body mass index (BMI) is suggested to increase the risk of dementia, but weight loss during the preclinical dementia phase may mask such effects.\nMETHODS: We examined this hypothesis in 1,349,857 dementia-free participants from 39 cohort studies. BMI was assessed at baseline. Dementia was ascertained at follow-up using linkage to electronic health records (N = 6894). We assumed BMI is little affected by preclinical dementia when assessed decades before dementia onset and much affected when assessed nearer diagnosis.\nRESULTS: Hazard ratios per 5-kg/m2 increase in BMI for dementia were 0.71 (95% confidence interval = 0.66-0.77), 0.94 (0.89-0.99), and 1.16 (1.05-1.27) when BMI was assessed 10 years, 10-20 years, and &gt;20 years before dementia diagnosis.\nCONCLUSIONS: The association between BMI and dementia is likely to be attributable to two different processes: a harmful effect of higher BMI, which is observable in long follow-up, and a reverse-causation effect that makes a higher BMI to appear protective when the follow-up is short.","container-title":"Alzheimer's &amp; Dementia: The Journal of the Alzheimer's Association","DOI":"10.1016/j.jalz.2017.09.016","ISSN":"1552-5279","issue":"5","journalAbbreviation":"Alzheimers Dement","language":"eng","note":"PMID: 29169013\nPMCID: PMC5948099","page":"601-609","source":"PubMed","title":"Body mass index and risk of dementia: Analysis of individual-level data from 1.3 million individuals","title-short":"Body mass index and risk of dementia","volume":"14","author":[{"family":"Kivimäki","given":"Mika"},{"family":"Luukkonen","given":"Ritva"},{"family":"Batty","given":"G. David"},{"family":"Ferrie","given":"Jane E."},{"family":"Pentti","given":"Jaana"},{"family":"Nyberg","given":"Solja T."},{"family":"Shipley","given":"Martin J."},{"family":"Alfredsson","given":"Lars"},{"family":"Fransson","given":"Eleonor I."},{"family":"Goldberg","given":"Marcel"},{"family":"Knutsson","given":"Anders"},{"family":"Koskenvuo","given":"Markku"},{"family":"Kuosma","given":"Eeva"},{"family":"Nordin","given":"Maria"},{"family":"Suominen","given":"Sakari B."},{"family":"Theorell","given":"Töres"},{"family":"Vuoksimaa","given":"Eero"},{"family":"Westerholm","given":"Peter"},{"family":"Westerlund","given":"Hugo"},{"family":"Zins","given":"Marie"},{"family":"Kivipelto","given":"Miia"},{"family":"Vahtera","given":"Jussi"},{"family":"Kaprio","given":"Jaakko"},{"family":"Singh-Manoux","given":"Archana"},{"family":"Jokela","given":"Markus"}],"issued":{"date-parts":[["2018",5]]}}},{"id":22873,"uris":["http://zotero.org/users/local/hhPVnw6l/items/FWR4RL2J"],"itemData":{"id":22873,"type":"article-journal","abstract":"Since the first evidence of a decline in dementia incidence was reported in 2011, the focus on modifiable risk factors has increased. The possibility of risk factor intervention as a prevention strategy has been widely discussed; however, further evidence in relation to risk factors is still needed. The Prospective Epidemiologic Risk Factor (PERF I) study was an observational prospective study of postmenopausal Danish women who were initially examined between 1999 and 2001 (n = 5855). Follow-up data on diagnosis and survival as of December 31, 2014 was retrieved from the National Danish Patient Registry and the National Danish Causes of Death Registry. Cox proportional hazards regression model was applied to calculate adjusted hazard ratios (HR) for selected risk factors for dementia. Of 5512 eligible subjects, 592 developed dementia within the follow-up period of maximum 15 years. The independent factors associated with increased risk of all-cause dementia were depression (HR = 1.75 [95% CI 1.32-2.34]) and impaired fasting glucose levels. A dose-response relationship was observed between fasting glucose level and risk of dementia with HRs of 1.25 [1.05-1.49] and 1.45 [1.03-2.06] for impaired (5.6-6.9 mmol/L) and hyperglycemic (≥7.0 mmol/L) glucose levels, respectively. The factors associated with a decreased risk of dementia were overweight in late-life (HR = 0.75 [0. 62-0.89]) and physical activity at least once weekly (HR = 0.77 [0.61-0.96]). The identified risk factors for dementia in women in late-life are all considered modifiable. This supports the notion that prevention strategies may improve the poor future prospects for dementias in the ageing population.","container-title":"Medicine","DOI":"10.1097/MD.0000000000003112","ISSN":"1536-5964","issue":"11","journalAbbreviation":"Medicine (Baltimore)","language":"eng","note":"PMID: 26986157\nPMCID: PMC4839938","page":"e3112","source":"PubMed","title":"Late-Life Risk Factors for All-Cause Dementia and Differential Dementia Diagnoses in Women: A Prospective Cohort Study","title-short":"Late-Life Risk Factors for All-Cause Dementia and Differential Dementia Diagnoses in Women","volume":"95","author":[{"family":"Neergaard","given":"Jesper Skov"},{"family":"Dragsbæk","given":"Katrine"},{"family":"Hansen","given":"Henrik Bo"},{"family":"Henriksen","given":"Kim"},{"family":"Christiansen","given":"Claus"},{"family":"Karsdal","given":"Morten Asser"}],"issued":{"date-parts":[["2016",3]]}}},{"id":22856,"uris":["http://zotero.org/users/local/hhPVnw6l/items/F34KPXT6"],"itemData":{"id":22856,"type":"article-journal","abstract":"Controversies persist about the associations of body mass index (BMI) with risk of cognitive impairment and dementia. This study aimed to evaluate these associations from various aspects, in which Embase, PubMed and Cochrane databases were searched to identify prospective studies up to May 2019. Random-effects meta-analyses and dose-response meta-analysis were conducted, involving twenty-nine of 20,083 identified literatures. Meta-analysis showed that midlife underweight, obesity and late-life underweight conferred 1.39-, 1.31- and 1.64-fold excess risk for cognitive impairment and dementia, while late-life overweight and obesity conferred 21% and 25% reduced risk. In dose-response meta-analysis, all cause dementia (ACD), Alzheimer's disease (AD) and vascular dementia (VaD) risk in midlife was significantly elevated when BMI surpassed 29, 30 and 32 kg/m2. AD risk in late-life was decreased when BMI was under 27 kg/m2, while this protection for VaD was absent when BMI surpassed 39 kg/m2. Higher BMI produced opposite exerted opposite effects on dementia in mid- and late-age population. Firstly reported, a dose-response relationship further supports the guideline from the standpoint of dementia prevention.","container-title":"Neuroscience and Biobehavioral Reviews","DOI":"10.1016/j.neubiorev.2020.05.012","ISSN":"1873-7528","journalAbbreviation":"Neurosci Biobehav Rev","language":"eng","note":"PMID: 32479774","page":"189-198","source":"PubMed","title":"Association of body mass index with risk of cognitive impairment and dementia: A systematic review and meta-analysis of prospective studies","title-short":"Association of body mass index with risk of cognitive impairment and dementia","volume":"115","author":[{"family":"Qu","given":"Yi"},{"family":"Hu","given":"He-Ying"},{"family":"Ou","given":"Ya-Nan"},{"family":"Shen","given":"Xue-Ning"},{"family":"Xu","given":"Wei"},{"family":"Wang","given":"Zuo-Teng"},{"family":"Dong","given":"Qiang"},{"family":"Tan","given":"Lan"},{"family":"Yu","given":"Jin-Tai"}],"issued":{"date-parts":[["2020",8]]}}}],"schema":"https://github.com/citation-style-language/schema/raw/master/csl-citation.json"} </w:instrText>
      </w:r>
      <w:r w:rsidR="00AB4CD8" w:rsidRPr="0036402F">
        <w:rPr>
          <w:rFonts w:ascii="Arial" w:hAnsi="Arial" w:cs="Arial"/>
          <w:sz w:val="24"/>
          <w:szCs w:val="24"/>
          <w:lang w:val="en-US"/>
        </w:rPr>
        <w:fldChar w:fldCharType="separate"/>
      </w:r>
      <w:r w:rsidR="00281A73" w:rsidRPr="0036402F">
        <w:rPr>
          <w:rFonts w:ascii="Arial" w:hAnsi="Arial" w:cs="Arial"/>
          <w:sz w:val="24"/>
          <w:lang w:val="en-US"/>
        </w:rPr>
        <w:t>[10–15]</w:t>
      </w:r>
      <w:r w:rsidR="00AB4CD8" w:rsidRPr="0036402F">
        <w:rPr>
          <w:rFonts w:ascii="Arial" w:hAnsi="Arial" w:cs="Arial"/>
          <w:sz w:val="24"/>
          <w:szCs w:val="24"/>
          <w:lang w:val="en-US"/>
        </w:rPr>
        <w:fldChar w:fldCharType="end"/>
      </w:r>
      <w:r w:rsidR="00644A6F" w:rsidRPr="0036402F">
        <w:rPr>
          <w:rFonts w:ascii="Arial" w:hAnsi="Arial" w:cs="Arial"/>
          <w:sz w:val="24"/>
          <w:szCs w:val="24"/>
          <w:lang w:val="en-US"/>
        </w:rPr>
        <w:t>. For example, a study of</w:t>
      </w:r>
      <w:r w:rsidR="001C46F7" w:rsidRPr="0036402F">
        <w:rPr>
          <w:rFonts w:ascii="Arial" w:hAnsi="Arial" w:cs="Arial"/>
          <w:sz w:val="24"/>
          <w:szCs w:val="24"/>
          <w:lang w:val="en-US"/>
        </w:rPr>
        <w:t xml:space="preserve"> 6,940 </w:t>
      </w:r>
      <w:r w:rsidR="008921E1" w:rsidRPr="0036402F">
        <w:rPr>
          <w:rFonts w:ascii="Arial" w:hAnsi="Arial" w:cs="Arial"/>
          <w:sz w:val="24"/>
          <w:szCs w:val="24"/>
          <w:lang w:val="en-US"/>
        </w:rPr>
        <w:t xml:space="preserve">older adults from the United States showed that </w:t>
      </w:r>
      <w:r w:rsidR="00985982" w:rsidRPr="0036402F">
        <w:rPr>
          <w:rFonts w:ascii="Arial" w:hAnsi="Arial" w:cs="Arial"/>
          <w:sz w:val="24"/>
          <w:szCs w:val="24"/>
          <w:lang w:val="en-US"/>
        </w:rPr>
        <w:t xml:space="preserve">an increase in </w:t>
      </w:r>
      <w:r w:rsidR="00FF40F2" w:rsidRPr="0036402F">
        <w:rPr>
          <w:rFonts w:ascii="Arial" w:hAnsi="Arial" w:cs="Arial"/>
          <w:sz w:val="24"/>
          <w:szCs w:val="24"/>
          <w:lang w:val="en-US"/>
        </w:rPr>
        <w:t xml:space="preserve">late-life </w:t>
      </w:r>
      <w:r w:rsidR="00590259" w:rsidRPr="0036402F">
        <w:rPr>
          <w:rFonts w:ascii="Arial" w:hAnsi="Arial" w:cs="Arial"/>
          <w:sz w:val="24"/>
          <w:szCs w:val="24"/>
          <w:lang w:val="en-US"/>
        </w:rPr>
        <w:t>BMI</w:t>
      </w:r>
      <w:r w:rsidR="00985982" w:rsidRPr="0036402F">
        <w:rPr>
          <w:rFonts w:ascii="Arial" w:hAnsi="Arial" w:cs="Arial"/>
          <w:sz w:val="24"/>
          <w:szCs w:val="24"/>
          <w:lang w:val="en-US"/>
        </w:rPr>
        <w:t xml:space="preserve"> was associated with a decrease</w:t>
      </w:r>
      <w:r w:rsidR="00696BA2" w:rsidRPr="0036402F">
        <w:rPr>
          <w:rFonts w:ascii="Arial" w:hAnsi="Arial" w:cs="Arial"/>
          <w:sz w:val="24"/>
          <w:szCs w:val="24"/>
          <w:lang w:val="en-US"/>
        </w:rPr>
        <w:t xml:space="preserve"> in the</w:t>
      </w:r>
      <w:r w:rsidR="00985982" w:rsidRPr="0036402F">
        <w:rPr>
          <w:rFonts w:ascii="Arial" w:hAnsi="Arial" w:cs="Arial"/>
          <w:sz w:val="24"/>
          <w:szCs w:val="24"/>
          <w:lang w:val="en-US"/>
        </w:rPr>
        <w:t xml:space="preserve"> risk of mild </w:t>
      </w:r>
      <w:r w:rsidR="00D51927" w:rsidRPr="0036402F">
        <w:rPr>
          <w:rFonts w:ascii="Arial" w:hAnsi="Arial" w:cs="Arial"/>
          <w:sz w:val="24"/>
          <w:szCs w:val="24"/>
          <w:lang w:val="en-US"/>
        </w:rPr>
        <w:t>cognitive impairment and dementia</w:t>
      </w:r>
      <w:r w:rsidR="00771878" w:rsidRPr="0036402F">
        <w:rPr>
          <w:rFonts w:ascii="Arial" w:hAnsi="Arial" w:cs="Arial"/>
          <w:sz w:val="24"/>
          <w:szCs w:val="24"/>
          <w:lang w:val="en-US"/>
        </w:rPr>
        <w:t xml:space="preserve"> </w:t>
      </w:r>
      <w:r w:rsidR="00771878"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{"citationID":"vAjlW5uI","properties":{"formattedCitation":"[10]","plainCitation":"[10]","noteIndex":0},"citationItems":[{"id":22864,"uris":["http://zotero.org/users/local/hhPVnw6l/items/MZJW46KM"],"itemData":{"id":22864,"type":"article-journal","abstract":"OBJECTIVES: To examine the effect of late-life body mass index (BMI) and rapid weight loss on incident mild cognitive impairment (MCI) and Alzheimer's disease (AD).\nDESIGN: Prospective longitudinal cohort study.\nSETTING: National Alzheimer's Coordinating Center (NACC) Uniform Data Set, including 34 past and current National Institute on Aging-funded AD Centers across the United States.\nPARTICIPANTS: 6940 older adults (n=5061 normal cognition [NC]; n=1879 MCI).\nMEASUREMENTS: BMI (kg/m2) and modified Framingham Stroke Risk Profile (FSRP) score (sex, age, systolic blood pressure, anti-hypertension medication, diabetes mellitus, cigarette smoking, prevalent cardiovascular disease, atrial fibrillation) were assessed at baseline. Cognition and weight were assessed annually.\nRESULTS: Multivariable binary logistic regression, adjusting for age, sex, race, education, length of follow-up, and modified FSRP related late-life BMI to risk of diagnostic conversion from NC to MCI or AD and from MCI to AD. Secondary analyses related late-life BMI to diagnostic conversion in the presence of rapid weight loss (&gt;5% decrease in 12 months) and apolipoprotein E (APOE) ε4. During a mean 3.8-year follow-up period, 12% of NC participants converted to MCI or AD and 49% of MCI participants converted to AD. Higher baseline BMI was associated with a reduced probability of diagnostic conversion, such that for each one-unit increase in baseline BMI there was a reduction in diagnostic conversion for both NC (OR=0.977, 95%CI 0.958-0.996, p=0.015) and MCI participants (OR=0.962, 95%CI 0.942-0.983, p&lt;0.001). The protective effect of higher baseline BMI did not persist in the setting of rapid weight loss but did persist when adjusting for APOE ε4.\nCONCLUSIONS: Higher late-life BMI is associated with a lower risk of incident MCI and AD but is not protective in the presence of rapid weight loss.","container-title":"The Journal of Nutrition, Health &amp; Aging","DOI":"10.1007/s12603-017-0906-3","ISSN":"1760-4788","issue":"10","journalAbbreviation":"J Nutr Health Aging","language":"eng","note":"PMID: 29188888\nPMCID: PMC5736008","page":"1259-1267","source":"PubMed","title":"Late-Life Body Mass Index, Rapid Weight Loss, Apolipoprotein E ε4 and the Risk of Cognitive Decline and Incident Dementia","volume":"21","author":[{"family":"Bell","given":"S. P."},{"family":"Liu","given":"D."},{"family":"Samuels","given":"L. R."},{"family":"Shah","given":"A. S."},{"family":"Gifford","given":"K. A."},{"family":"Hohman","given":"T. J."},{"family":"Jefferson","given":"A. L."}],"issued":{"date-parts":[["2017"]]}}}],"schema":"https://github.com/citation-style-language/schema/raw/master/csl-citation.json"} </w:instrText>
      </w:r>
      <w:r w:rsidR="00771878" w:rsidRPr="0036402F">
        <w:rPr>
          <w:rFonts w:ascii="Arial" w:hAnsi="Arial" w:cs="Arial"/>
          <w:sz w:val="24"/>
          <w:szCs w:val="24"/>
          <w:lang w:val="en-US"/>
        </w:rPr>
        <w:fldChar w:fldCharType="separate"/>
      </w:r>
      <w:r w:rsidR="00281A73" w:rsidRPr="0036402F">
        <w:rPr>
          <w:rFonts w:ascii="Arial" w:hAnsi="Arial" w:cs="Arial"/>
          <w:noProof/>
          <w:sz w:val="24"/>
          <w:szCs w:val="24"/>
          <w:lang w:val="en-US"/>
        </w:rPr>
        <w:t>[10]</w:t>
      </w:r>
      <w:r w:rsidR="00771878" w:rsidRPr="0036402F">
        <w:rPr>
          <w:rFonts w:ascii="Arial" w:hAnsi="Arial" w:cs="Arial"/>
          <w:sz w:val="24"/>
          <w:szCs w:val="24"/>
          <w:lang w:val="en-US"/>
        </w:rPr>
        <w:fldChar w:fldCharType="end"/>
      </w:r>
      <w:r w:rsidR="00740688" w:rsidRPr="0036402F">
        <w:rPr>
          <w:rFonts w:ascii="Arial" w:hAnsi="Arial" w:cs="Arial"/>
          <w:sz w:val="24"/>
          <w:szCs w:val="24"/>
          <w:lang w:val="en-US"/>
        </w:rPr>
        <w:t>.</w:t>
      </w:r>
      <w:r w:rsidR="00383FCA" w:rsidRPr="0036402F">
        <w:rPr>
          <w:rFonts w:ascii="Arial" w:hAnsi="Arial" w:cs="Arial"/>
          <w:sz w:val="24"/>
          <w:szCs w:val="24"/>
          <w:lang w:val="en-US"/>
        </w:rPr>
        <w:t xml:space="preserve"> A</w:t>
      </w:r>
      <w:r w:rsidR="0078709D" w:rsidRPr="0036402F">
        <w:rPr>
          <w:rFonts w:ascii="Arial" w:hAnsi="Arial" w:cs="Arial"/>
          <w:sz w:val="24"/>
          <w:szCs w:val="24"/>
          <w:lang w:val="en-US"/>
        </w:rPr>
        <w:t xml:space="preserve"> systematic review and meta-analysis of </w:t>
      </w:r>
      <w:r w:rsidR="0088175F" w:rsidRPr="0036402F">
        <w:rPr>
          <w:rFonts w:ascii="Arial" w:hAnsi="Arial" w:cs="Arial"/>
          <w:sz w:val="24"/>
          <w:szCs w:val="24"/>
          <w:lang w:val="en-US"/>
        </w:rPr>
        <w:t xml:space="preserve">29 </w:t>
      </w:r>
      <w:r w:rsidR="000D6D94" w:rsidRPr="0036402F">
        <w:rPr>
          <w:rFonts w:ascii="Arial" w:hAnsi="Arial" w:cs="Arial"/>
          <w:sz w:val="24"/>
          <w:szCs w:val="24"/>
          <w:lang w:val="en-US"/>
        </w:rPr>
        <w:t xml:space="preserve">prospective </w:t>
      </w:r>
      <w:r w:rsidR="0088175F" w:rsidRPr="0036402F">
        <w:rPr>
          <w:rFonts w:ascii="Arial" w:hAnsi="Arial" w:cs="Arial"/>
          <w:sz w:val="24"/>
          <w:szCs w:val="24"/>
          <w:lang w:val="en-US"/>
        </w:rPr>
        <w:t xml:space="preserve">studies </w:t>
      </w:r>
      <w:r w:rsidR="00383FCA" w:rsidRPr="0036402F">
        <w:rPr>
          <w:rFonts w:ascii="Arial" w:hAnsi="Arial" w:cs="Arial"/>
          <w:sz w:val="24"/>
          <w:szCs w:val="24"/>
          <w:lang w:val="en-US"/>
        </w:rPr>
        <w:t xml:space="preserve">further found a </w:t>
      </w:r>
      <w:r w:rsidR="006F2300" w:rsidRPr="0036402F">
        <w:rPr>
          <w:rFonts w:ascii="Arial" w:hAnsi="Arial" w:cs="Arial"/>
          <w:sz w:val="24"/>
          <w:szCs w:val="24"/>
          <w:lang w:val="en-US"/>
        </w:rPr>
        <w:t>negative</w:t>
      </w:r>
      <w:r w:rsidR="00383FCA" w:rsidRPr="0036402F">
        <w:rPr>
          <w:rFonts w:ascii="Arial" w:hAnsi="Arial" w:cs="Arial"/>
          <w:sz w:val="24"/>
          <w:szCs w:val="24"/>
          <w:lang w:val="en-US"/>
        </w:rPr>
        <w:t xml:space="preserve"> association </w:t>
      </w:r>
      <w:r w:rsidR="006F2300" w:rsidRPr="0036402F">
        <w:rPr>
          <w:rFonts w:ascii="Arial" w:hAnsi="Arial" w:cs="Arial"/>
          <w:sz w:val="24"/>
          <w:szCs w:val="24"/>
          <w:lang w:val="en-US"/>
        </w:rPr>
        <w:t xml:space="preserve">between </w:t>
      </w:r>
      <w:r w:rsidR="00446551" w:rsidRPr="0036402F">
        <w:rPr>
          <w:rFonts w:ascii="Arial" w:hAnsi="Arial" w:cs="Arial"/>
          <w:sz w:val="24"/>
          <w:szCs w:val="24"/>
          <w:lang w:val="en-US"/>
        </w:rPr>
        <w:t>overweight</w:t>
      </w:r>
      <w:r w:rsidR="003D194A" w:rsidRPr="0036402F">
        <w:rPr>
          <w:rFonts w:ascii="Arial" w:hAnsi="Arial" w:cs="Arial"/>
          <w:sz w:val="24"/>
          <w:szCs w:val="24"/>
          <w:lang w:val="en-US"/>
        </w:rPr>
        <w:t>/</w:t>
      </w:r>
      <w:r w:rsidR="00446551" w:rsidRPr="0036402F">
        <w:rPr>
          <w:rFonts w:ascii="Arial" w:hAnsi="Arial" w:cs="Arial"/>
          <w:sz w:val="24"/>
          <w:szCs w:val="24"/>
          <w:lang w:val="en-US"/>
        </w:rPr>
        <w:t xml:space="preserve">obesity and </w:t>
      </w:r>
      <w:r w:rsidR="003D194A" w:rsidRPr="0036402F">
        <w:rPr>
          <w:rFonts w:ascii="Arial" w:hAnsi="Arial" w:cs="Arial"/>
          <w:sz w:val="24"/>
          <w:szCs w:val="24"/>
          <w:lang w:val="en-US"/>
        </w:rPr>
        <w:t xml:space="preserve">cognitive impairment/dementia, while there was a positive association </w:t>
      </w:r>
      <w:r w:rsidR="003177F2" w:rsidRPr="0036402F">
        <w:rPr>
          <w:rFonts w:ascii="Arial" w:hAnsi="Arial" w:cs="Arial"/>
          <w:sz w:val="24"/>
          <w:szCs w:val="24"/>
          <w:lang w:val="en-US"/>
        </w:rPr>
        <w:t xml:space="preserve">with </w:t>
      </w:r>
      <w:r w:rsidR="00E36C6A" w:rsidRPr="0036402F">
        <w:rPr>
          <w:rFonts w:ascii="Arial" w:hAnsi="Arial" w:cs="Arial"/>
          <w:sz w:val="24"/>
          <w:szCs w:val="24"/>
          <w:lang w:val="en-US"/>
        </w:rPr>
        <w:t xml:space="preserve">midlife </w:t>
      </w:r>
      <w:r w:rsidR="003177F2" w:rsidRPr="0036402F">
        <w:rPr>
          <w:rFonts w:ascii="Arial" w:hAnsi="Arial" w:cs="Arial"/>
          <w:sz w:val="24"/>
          <w:szCs w:val="24"/>
          <w:lang w:val="en-US"/>
        </w:rPr>
        <w:t>underweight</w:t>
      </w:r>
      <w:r w:rsidR="00771878" w:rsidRPr="0036402F">
        <w:rPr>
          <w:rFonts w:ascii="Arial" w:hAnsi="Arial" w:cs="Arial"/>
          <w:sz w:val="24"/>
          <w:szCs w:val="24"/>
          <w:lang w:val="en-US"/>
        </w:rPr>
        <w:t xml:space="preserve"> </w:t>
      </w:r>
      <w:r w:rsidR="00771878"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{"citationID":"BHTTJVXt","properties":{"formattedCitation":"[15]","plainCitation":"[15]","noteIndex":0},"citationItems":[{"id":22856,"uris":["http://zotero.org/users/local/hhPVnw6l/items/F34KPXT6"],"itemData":{"id":22856,"type":"article-journal","abstract":"Controversies persist about the associations of body mass index (BMI) with risk of cognitive impairment and dementia. This study aimed to evaluate these associations from various aspects, in which Embase, PubMed and Cochrane databases were searched to identify prospective studies up to May 2019. Random-effects meta-analyses and dose-response meta-analysis were conducted, involving twenty-nine of 20,083 identified literatures. Meta-analysis showed that midlife underweight, obesity and late-life underweight conferred 1.39-, 1.31- and 1.64-fold excess risk for cognitive impairment and dementia, while late-life overweight and obesity conferred 21% and 25% reduced risk. In dose-response meta-analysis, all cause dementia (ACD), Alzheimer's disease (AD) and vascular dementia (VaD) risk in midlife was significantly elevated when BMI surpassed 29, 30 and 32 kg/m2. AD risk in late-life was decreased when BMI was under 27 kg/m2, while this protection for VaD was absent when BMI surpassed 39 kg/m2. Higher BMI produced opposite exerted opposite effects on dementia in mid- and late-age population. Firstly reported, a dose-response relationship further supports the guideline from the standpoint of dementia prevention.","container-title":"Neuroscience and Biobehavioral Reviews","DOI":"10.1016/j.neubiorev.2020.05.012","ISSN":"1873-7528","journalAbbreviation":"Neurosci Biobehav Rev","language":"eng","note":"PMID: 32479774","page":"189-198","source":"PubMed","title":"Association of body mass index with risk of cognitive impairment and dementia: A systematic review and meta-analysis of prospective studies","title-short":"Association of body mass index with risk of cognitive impairment and dementia","volume":"115","author":[{"family":"Qu","given":"Yi"},{"family":"Hu","given":"He-Ying"},{"family":"Ou","given":"Ya-Nan"},{"family":"Shen","given":"Xue-Ning"},{"family":"Xu","given":"Wei"},{"family":"Wang","given":"Zuo-Teng"},{"family":"Dong","given":"Qiang"},{"family":"Tan","given":"Lan"},{"family":"Yu","given":"Jin-Tai"}],"issued":{"date-parts":[["2020",8]]}}}],"schema":"https://github.com/citation-style-language/schema/raw/master/csl-citation.json"} </w:instrText>
      </w:r>
      <w:r w:rsidR="00771878" w:rsidRPr="0036402F">
        <w:rPr>
          <w:rFonts w:ascii="Arial" w:hAnsi="Arial" w:cs="Arial"/>
          <w:sz w:val="24"/>
          <w:szCs w:val="24"/>
          <w:lang w:val="en-US"/>
        </w:rPr>
        <w:fldChar w:fldCharType="separate"/>
      </w:r>
      <w:r w:rsidR="00281A73" w:rsidRPr="0036402F">
        <w:rPr>
          <w:rFonts w:ascii="Arial" w:hAnsi="Arial" w:cs="Arial"/>
          <w:noProof/>
          <w:sz w:val="24"/>
          <w:szCs w:val="24"/>
          <w:lang w:val="en-US"/>
        </w:rPr>
        <w:t>[15]</w:t>
      </w:r>
      <w:r w:rsidR="00771878" w:rsidRPr="0036402F">
        <w:rPr>
          <w:rFonts w:ascii="Arial" w:hAnsi="Arial" w:cs="Arial"/>
          <w:sz w:val="24"/>
          <w:szCs w:val="24"/>
          <w:lang w:val="en-US"/>
        </w:rPr>
        <w:fldChar w:fldCharType="end"/>
      </w:r>
      <w:r w:rsidR="00A67EC5" w:rsidRPr="0036402F">
        <w:rPr>
          <w:rFonts w:ascii="Arial" w:hAnsi="Arial" w:cs="Arial"/>
          <w:sz w:val="24"/>
          <w:szCs w:val="24"/>
          <w:lang w:val="en-US"/>
        </w:rPr>
        <w:t xml:space="preserve">. </w:t>
      </w:r>
      <w:r w:rsidR="00D84E3D" w:rsidRPr="0036402F">
        <w:rPr>
          <w:rFonts w:ascii="Arial" w:hAnsi="Arial" w:cs="Arial"/>
          <w:sz w:val="24"/>
          <w:szCs w:val="24"/>
          <w:lang w:val="en-US"/>
        </w:rPr>
        <w:t>Several factors may</w:t>
      </w:r>
      <w:r w:rsidR="006A650A" w:rsidRPr="0036402F">
        <w:rPr>
          <w:rFonts w:ascii="Arial" w:hAnsi="Arial" w:cs="Arial"/>
          <w:sz w:val="24"/>
          <w:szCs w:val="24"/>
          <w:lang w:val="en-US"/>
        </w:rPr>
        <w:t xml:space="preserve"> explain the inverse relationship between </w:t>
      </w:r>
      <w:r w:rsidR="00225DE9" w:rsidRPr="0036402F">
        <w:rPr>
          <w:rFonts w:ascii="Arial" w:hAnsi="Arial" w:cs="Arial"/>
          <w:sz w:val="24"/>
          <w:szCs w:val="24"/>
          <w:lang w:val="en-US"/>
        </w:rPr>
        <w:t>BMI</w:t>
      </w:r>
      <w:r w:rsidR="006A650A" w:rsidRPr="0036402F">
        <w:rPr>
          <w:rFonts w:ascii="Arial" w:hAnsi="Arial" w:cs="Arial"/>
          <w:sz w:val="24"/>
          <w:szCs w:val="24"/>
          <w:lang w:val="en-US"/>
        </w:rPr>
        <w:t xml:space="preserve"> and </w:t>
      </w:r>
      <w:r w:rsidR="00153CF5" w:rsidRPr="0036402F">
        <w:rPr>
          <w:rFonts w:ascii="Arial" w:hAnsi="Arial" w:cs="Arial"/>
          <w:sz w:val="24"/>
          <w:szCs w:val="24"/>
          <w:lang w:val="en-US"/>
        </w:rPr>
        <w:t xml:space="preserve">dementia. First, </w:t>
      </w:r>
      <w:r w:rsidR="00C221EA" w:rsidRPr="0036402F">
        <w:rPr>
          <w:rFonts w:ascii="Arial" w:hAnsi="Arial" w:cs="Arial"/>
          <w:sz w:val="24"/>
          <w:szCs w:val="24"/>
          <w:lang w:val="en-US"/>
        </w:rPr>
        <w:t>weight loss may be one of the first symptoms of dementia</w:t>
      </w:r>
      <w:r w:rsidR="006E0E3B" w:rsidRPr="0036402F">
        <w:rPr>
          <w:rFonts w:ascii="Arial" w:hAnsi="Arial" w:cs="Arial"/>
          <w:sz w:val="24"/>
          <w:szCs w:val="24"/>
          <w:lang w:val="en-US"/>
        </w:rPr>
        <w:t>, resulting from apathy</w:t>
      </w:r>
      <w:r w:rsidR="00771878" w:rsidRPr="0036402F">
        <w:rPr>
          <w:rFonts w:ascii="Arial" w:hAnsi="Arial" w:cs="Arial"/>
          <w:sz w:val="24"/>
          <w:szCs w:val="24"/>
          <w:lang w:val="en-US"/>
        </w:rPr>
        <w:t xml:space="preserve"> </w:t>
      </w:r>
      <w:r w:rsidR="00771878"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{"citationID":"FOq5eomk","properties":{"formattedCitation":"[16]","plainCitation":"[16]","noteIndex":0},"citationItems":[{"id":22876,"uris":["http://zotero.org/users/local/hhPVnw6l/items/XIB4J3AY"],"itemData":{"id":22876,"type":"article-journal","abstract":"In this study, we investigated associations between neuropsychiatric symptoms (i.e., apathy, anxiety, and depression) and cerebral atrophy, white matter lesions (WML), beta-amyloid (Aβ) deposition, and cognitive decline in a nondemented sample. 104 cognitively unimpaired and 53 subjects with mild cognitive impairment were followed for up to 4 years within the Swedish BioFINDER study. Neuropsychiatric assessments included the Hospital Anxiety and Depression Scale and the Apathy Evaluation Scale. Magnetic resonance imaging and 18F-flutemetamol-positron emission tomography quantified brain atrophy, WML, and Aβ deposition. Mini-Mental State Examination assessed longitudinal global cognition. Regression analyses were used to test for associations. Apathy and anxiety were shown related to Aβ deposition and predicted cognitive decline. Anxiety also interacted with amyloid status to predict faster cognitive deterioration. Apathy was further related to frontotemporal and subcortical atrophy, as well as WML. To conclude, the associations between apathy and anxiety with Aβ deposition and cognitive decline point to these symptoms as early clinical manifestations of Alzheimer's disease.","container-title":"Neurobiology of Aging","DOI":"10.1016/j.neurobiolaging.2019.10.008","ISSN":"1558-1497","journalAbbreviation":"Neurobiol Aging","language":"eng","note":"PMID: 31735378","page":"74-82","source":"PubMed","title":"Apathy and anxiety are early markers of Alzheimer's disease","volume":"85","author":[{"family":"Johansson","given":"Maurits"},{"family":"Stomrud","given":"Erik"},{"family":"Lindberg","given":"Olof"},{"family":"Westman","given":"Eric"},{"family":"Johansson","given":"Per Mårten"},{"family":"Westen","given":"Danielle","non-dropping-particle":"van"},{"family":"Mattsson","given":"Niklas"},{"family":"Hansson","given":"Oskar"}],"issued":{"date-parts":[["2020",1]]}}}],"schema":"https://github.com/citation-style-language/schema/raw/master/csl-citation.json"} </w:instrText>
      </w:r>
      <w:r w:rsidR="00771878" w:rsidRPr="0036402F">
        <w:rPr>
          <w:rFonts w:ascii="Arial" w:hAnsi="Arial" w:cs="Arial"/>
          <w:sz w:val="24"/>
          <w:szCs w:val="24"/>
          <w:lang w:val="en-US"/>
        </w:rPr>
        <w:fldChar w:fldCharType="separate"/>
      </w:r>
      <w:r w:rsidR="00281A73" w:rsidRPr="0036402F">
        <w:rPr>
          <w:rFonts w:ascii="Arial" w:hAnsi="Arial" w:cs="Arial"/>
          <w:noProof/>
          <w:sz w:val="24"/>
          <w:szCs w:val="24"/>
          <w:lang w:val="en-US"/>
        </w:rPr>
        <w:t>[16]</w:t>
      </w:r>
      <w:r w:rsidR="00771878" w:rsidRPr="0036402F">
        <w:rPr>
          <w:rFonts w:ascii="Arial" w:hAnsi="Arial" w:cs="Arial"/>
          <w:sz w:val="24"/>
          <w:szCs w:val="24"/>
          <w:lang w:val="en-US"/>
        </w:rPr>
        <w:fldChar w:fldCharType="end"/>
      </w:r>
      <w:r w:rsidR="00A17235" w:rsidRPr="0036402F">
        <w:rPr>
          <w:rFonts w:ascii="Arial" w:hAnsi="Arial" w:cs="Arial"/>
          <w:sz w:val="24"/>
          <w:szCs w:val="24"/>
          <w:lang w:val="en-US"/>
        </w:rPr>
        <w:t>, difficulty in eating</w:t>
      </w:r>
      <w:r w:rsidR="00106DDC" w:rsidRPr="0036402F">
        <w:rPr>
          <w:rFonts w:ascii="Arial" w:hAnsi="Arial" w:cs="Arial"/>
          <w:sz w:val="24"/>
          <w:szCs w:val="24"/>
          <w:lang w:val="en-US"/>
        </w:rPr>
        <w:t xml:space="preserve"> </w:t>
      </w:r>
      <w:r w:rsidR="00106DDC"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{"citationID":"2LhKd05y","properties":{"formattedCitation":"[17]","plainCitation":"[17]","noteIndex":0},"citationItems":[{"id":22882,"uris":["http://zotero.org/users/local/hhPVnw6l/items/L2CXYJ5A"],"itemData":{"id":22882,"type":"article-journal","abstract":"Introduction: Older adults with dementia often develop aspiration pneumonia as a complication due to deterioration of swallowing function. Herein, we report our findings of eating and swallowing-related functions in elderly local residents. Methods: The subjects were 229 elderly residents in Kurihara City, including 97 healthy (Clinical Dementia Rating (CDR): 0), 108 with mild cognitive impairment (MCI) (CDR: 0.5), and 24 with dementia (CDR: 1 or higher: CDR 1+). We analyzed the relationships between the findings, eating, and swallowing, based on the database of the Kurihara Project performed from 2008 to 2010. Results: In the CDR 0.5 group, some deterioration in oral condition, oral function and swallowing function was confirmed. In the CDR 0.5 group, tooth staining, decrease in oral diadochokinesis (oral motion velocity), increased number of points below the cut-off value in a repetitive saliva swallowing test and the questionnaire, and prolonged water swallowing time were confirmed. In the CDR 1+ group, bad breath, elimination of the pharyngeal reflex, increase in disturbed soft palate elevation, and prolonged jelly swallowing time were confirmed. Conclusions: Deterioration of swallowing function was confirmed, even in subjects with mild dementia, in addition to development of problems related to food intake.","container-title":"International Journal of Environmental Research and Public Health","DOI":"10.3390/ijerph16204040","ISSN":"1660-4601","issue":"20","journalAbbreviation":"Int J Environ Res Public Health","language":"eng","note":"PMID: 31652511\nPMCID: PMC6843942","page":"E4040","source":"PubMed","title":"Impaired Eating and Swallowing Function in Older Adults in the Community: The Kurihara Project","title-short":"Impaired Eating and Swallowing Function in Older Adults in the Community","volume":"16","author":[{"family":"Takahashi","given":"Kyoko"},{"family":"Amemiya","given":"Katsuaki"},{"family":"Nakatsuka","given":"Masahiro"},{"family":"Nakamura","given":"Kei"},{"family":"Kasai","given":"Mari"},{"family":"Meguro","given":"Kenichi"}],"issued":{"date-parts":[["2019",10,22]]}}}],"schema":"https://github.com/citation-style-language/schema/raw/master/csl-citation.json"} </w:instrText>
      </w:r>
      <w:r w:rsidR="00106DDC" w:rsidRPr="0036402F">
        <w:rPr>
          <w:rFonts w:ascii="Arial" w:hAnsi="Arial" w:cs="Arial"/>
          <w:sz w:val="24"/>
          <w:szCs w:val="24"/>
          <w:lang w:val="en-US"/>
        </w:rPr>
        <w:fldChar w:fldCharType="separate"/>
      </w:r>
      <w:r w:rsidR="00281A73" w:rsidRPr="0036402F">
        <w:rPr>
          <w:rFonts w:ascii="Arial" w:hAnsi="Arial" w:cs="Arial"/>
          <w:noProof/>
          <w:sz w:val="24"/>
          <w:szCs w:val="24"/>
          <w:lang w:val="en-US"/>
        </w:rPr>
        <w:t>[17]</w:t>
      </w:r>
      <w:r w:rsidR="00106DDC" w:rsidRPr="0036402F">
        <w:rPr>
          <w:rFonts w:ascii="Arial" w:hAnsi="Arial" w:cs="Arial"/>
          <w:sz w:val="24"/>
          <w:szCs w:val="24"/>
          <w:lang w:val="en-US"/>
        </w:rPr>
        <w:fldChar w:fldCharType="end"/>
      </w:r>
      <w:r w:rsidR="00A17235" w:rsidRPr="0036402F">
        <w:rPr>
          <w:rFonts w:ascii="Arial" w:hAnsi="Arial" w:cs="Arial"/>
          <w:sz w:val="24"/>
          <w:szCs w:val="24"/>
          <w:lang w:val="en-US"/>
        </w:rPr>
        <w:t xml:space="preserve"> and disrupted olfaction</w:t>
      </w:r>
      <w:r w:rsidR="006D7767" w:rsidRPr="0036402F">
        <w:rPr>
          <w:rFonts w:ascii="Arial" w:hAnsi="Arial" w:cs="Arial"/>
          <w:sz w:val="24"/>
          <w:szCs w:val="24"/>
          <w:lang w:val="en-US"/>
        </w:rPr>
        <w:t xml:space="preserve"> </w:t>
      </w:r>
      <w:r w:rsidR="006D7767"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{"citationID":"cMRVwxbl","properties":{"formattedCitation":"[18]","plainCitation":"[18]","noteIndex":0},"citationItems":[{"id":22885,"uris":["http://zotero.org/users/local/hhPVnw6l/items/VH9EW7RV"],"itemData":{"id":22885,"type":"article-journal","abstract":"Understanding of olfactory dysfunction in Alzheimer's disease (AD) remains limited. In particular, it is not known how early in the course of the disease olfactory deficits occur, and whether they are restricted to identification or involve other aspects of olfaction. We studied olfactory (odor detection thresholds, quality discrimination, and identification) and cognitive (attention, reasoning, memory, naming and fluency) functioning in patients with AD, with mild cognitive impairment (MCI), and in normal elderly control (NEC) participants. MCI patients were impaired in olfactory sensitivity and identification, while a discrimination deficit was accounted for by abnormal thresholds. AD patients were impaired in all three domains, and were worse than the MCI group. Odor discrimination (OD) and identification performance correlated more prominently than detection thresholds with performance on neuropsychological tests. We concluded that deficits in olfactory detection thresholds and identification occur early in AD, before clinical symptoms are fully developed, and decline further over the course of the disease. High detection thresholds, together with impaired identification, may be useful as an early indicator of AD.","container-title":"Neurobiology of Aging","DOI":"10.1016/j.neurobiolaging.2006.11.014","ISSN":"1558-1497","issue":"5","journalAbbreviation":"Neurobiol Aging","language":"eng","note":"PMID: 17207898","page":"693-706","source":"PubMed","title":"Olfaction in patients with mild cognitive impairment and Alzheimer's disease","volume":"29","author":[{"family":"Djordjevic","given":"Jelena"},{"family":"Jones-Gotman","given":"Marilyn"},{"family":"De Sousa","given":"Kathy"},{"family":"Chertkow","given":"Howard"}],"issued":{"date-parts":[["2008",5]]}}}],"schema":"https://github.com/citation-style-language/schema/raw/master/csl-citation.json"} </w:instrText>
      </w:r>
      <w:r w:rsidR="006D7767" w:rsidRPr="0036402F">
        <w:rPr>
          <w:rFonts w:ascii="Arial" w:hAnsi="Arial" w:cs="Arial"/>
          <w:sz w:val="24"/>
          <w:szCs w:val="24"/>
          <w:lang w:val="en-US"/>
        </w:rPr>
        <w:fldChar w:fldCharType="separate"/>
      </w:r>
      <w:r w:rsidR="00281A73" w:rsidRPr="0036402F">
        <w:rPr>
          <w:rFonts w:ascii="Arial" w:hAnsi="Arial" w:cs="Arial"/>
          <w:noProof/>
          <w:sz w:val="24"/>
          <w:szCs w:val="24"/>
          <w:lang w:val="en-US"/>
        </w:rPr>
        <w:t>[18]</w:t>
      </w:r>
      <w:r w:rsidR="006D7767" w:rsidRPr="0036402F">
        <w:rPr>
          <w:rFonts w:ascii="Arial" w:hAnsi="Arial" w:cs="Arial"/>
          <w:sz w:val="24"/>
          <w:szCs w:val="24"/>
          <w:lang w:val="en-US"/>
        </w:rPr>
        <w:fldChar w:fldCharType="end"/>
      </w:r>
      <w:r w:rsidR="007B0C14" w:rsidRPr="0036402F">
        <w:rPr>
          <w:rFonts w:ascii="Arial" w:hAnsi="Arial" w:cs="Arial"/>
          <w:sz w:val="24"/>
          <w:szCs w:val="24"/>
          <w:lang w:val="en-US"/>
        </w:rPr>
        <w:t xml:space="preserve">. Second, </w:t>
      </w:r>
      <w:r w:rsidR="005C0AB6" w:rsidRPr="0036402F">
        <w:rPr>
          <w:rFonts w:ascii="Arial" w:hAnsi="Arial" w:cs="Arial"/>
          <w:sz w:val="24"/>
          <w:szCs w:val="24"/>
          <w:lang w:val="en-US"/>
        </w:rPr>
        <w:t>a</w:t>
      </w:r>
      <w:r w:rsidR="00037A8F" w:rsidRPr="0036402F">
        <w:rPr>
          <w:rFonts w:ascii="Arial" w:hAnsi="Arial" w:cs="Arial"/>
          <w:sz w:val="24"/>
          <w:szCs w:val="24"/>
          <w:lang w:val="en-US"/>
        </w:rPr>
        <w:t xml:space="preserve"> </w:t>
      </w:r>
      <w:r w:rsidR="00E311C3" w:rsidRPr="0036402F">
        <w:rPr>
          <w:rFonts w:ascii="Arial" w:hAnsi="Arial" w:cs="Arial"/>
          <w:sz w:val="24"/>
          <w:szCs w:val="24"/>
          <w:lang w:val="en-US"/>
        </w:rPr>
        <w:t xml:space="preserve">higher </w:t>
      </w:r>
      <w:r w:rsidR="00863E16" w:rsidRPr="0036402F">
        <w:rPr>
          <w:rFonts w:ascii="Arial" w:hAnsi="Arial" w:cs="Arial"/>
          <w:sz w:val="24"/>
          <w:szCs w:val="24"/>
          <w:lang w:val="en-US"/>
        </w:rPr>
        <w:t xml:space="preserve">BMI </w:t>
      </w:r>
      <w:r w:rsidR="00611A36" w:rsidRPr="0036402F">
        <w:rPr>
          <w:rFonts w:ascii="Arial" w:hAnsi="Arial" w:cs="Arial"/>
          <w:sz w:val="24"/>
          <w:szCs w:val="24"/>
          <w:lang w:val="en-US"/>
        </w:rPr>
        <w:t xml:space="preserve">in late life may </w:t>
      </w:r>
      <w:r w:rsidR="00E86A30" w:rsidRPr="0036402F">
        <w:rPr>
          <w:rFonts w:ascii="Arial" w:hAnsi="Arial" w:cs="Arial"/>
          <w:sz w:val="24"/>
          <w:szCs w:val="24"/>
          <w:lang w:val="en-US"/>
        </w:rPr>
        <w:t xml:space="preserve">promote synaptic </w:t>
      </w:r>
      <w:r w:rsidR="00E86A30" w:rsidRPr="0036402F">
        <w:rPr>
          <w:rFonts w:ascii="Arial" w:hAnsi="Arial" w:cs="Arial"/>
          <w:sz w:val="24"/>
          <w:szCs w:val="24"/>
          <w:lang w:val="en-US"/>
        </w:rPr>
        <w:lastRenderedPageBreak/>
        <w:t xml:space="preserve">plasticity and </w:t>
      </w:r>
      <w:r w:rsidR="000858EE" w:rsidRPr="0036402F">
        <w:rPr>
          <w:rFonts w:ascii="Arial" w:hAnsi="Arial" w:cs="Arial"/>
          <w:sz w:val="24"/>
          <w:szCs w:val="24"/>
          <w:lang w:val="en-US"/>
        </w:rPr>
        <w:t>better</w:t>
      </w:r>
      <w:r w:rsidR="00951C5E" w:rsidRPr="0036402F">
        <w:rPr>
          <w:rFonts w:ascii="Arial" w:hAnsi="Arial" w:cs="Arial"/>
          <w:sz w:val="24"/>
          <w:szCs w:val="24"/>
          <w:lang w:val="en-US"/>
        </w:rPr>
        <w:t xml:space="preserve"> cognitive performance</w:t>
      </w:r>
      <w:r w:rsidR="00621F2F" w:rsidRPr="0036402F">
        <w:rPr>
          <w:rFonts w:ascii="Arial" w:hAnsi="Arial" w:cs="Arial"/>
          <w:sz w:val="24"/>
          <w:szCs w:val="24"/>
          <w:lang w:val="en-US"/>
        </w:rPr>
        <w:t xml:space="preserve"> </w:t>
      </w:r>
      <w:r w:rsidR="00621F2F"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{"citationID":"Zl9Mhv81","properties":{"formattedCitation":"[12]","plainCitation":"[12]","noteIndex":0},"citationItems":[{"id":22861,"uris":["http://zotero.org/users/local/hhPVnw6l/items/IADHLJHR"],"itemData":{"id":22861,"type":"article-journal","abstract":"OBJECTIVE: To examine the association between body mass index (BMI), waist circumference (WC), and waist-to-hip ratio (WHR) and risk of dementia and its subtypes in late life.\nMETHODS: Participants were members of the Kame Project, a population-based prospective cohort study of 1,836 Japanese Americans living in King County, WA, who had a mean age of 71.8 years and were dementia-free at baseline (1992-1994), and were followed for incident dementia through 2001. Cox proportional hazards models were used to estimate the risk of dementia, Alzheimer disease (AD), and vascular dementia (VaD) controlling for demographic and lifestyle characteristics and vascular comorbidities as a function of baseline BMI, WC, and WHR and change in BMI over time.\nRESULTS: Higher baseline BMI was significantly associated with a reduced risk of AD (hazard ratio [HR] = 0.56, 95% confidence interval [CI] = 0.33-0.97) in the fully adjusted model. Slower rate of decline in BMI was associated with a reduced risk of dementia (HR = 0.37, 95% CI = 0.14-0.98), with the association stronger for those who were overweight or obese (HR = 0.18, 95% CI = 0.05-0.58) compared to normal or underweight (HR = 1.00, 95% CI = 0.18-5.66) at baseline.\nCONCLUSION: Higher baseline body mass index (BMI) and slower declining BMI in late life are associated with a reduced risk of dementia, suggesting that low BMI or a faster decline in BMI in late life may be preclinical indicators of an underlying dementing illness, especially for those who were initially overweight or obese.","container-title":"Neurology","DOI":"10.1212/WNL.0b013e3181a60a58","ISSN":"1526-632X","issue":"20","journalAbbreviation":"Neurology","language":"eng","note":"PMID: 19451529\nPMCID: PMC2683740","page":"1741-1746","source":"PubMed","title":"Association between late-life body mass index and dementia: The Kame Project","title-short":"Association between late-life body mass index and dementia","volume":"72","author":[{"family":"Hughes","given":"T. F."},{"family":"Borenstein","given":"A. R."},{"family":"Schofield","given":"E."},{"family":"Wu","given":"Y."},{"family":"Larson","given":"E. B."}],"issued":{"date-parts":[["2009",5,19]]}}}],"schema":"https://github.com/citation-style-language/schema/raw/master/csl-citation.json"} </w:instrText>
      </w:r>
      <w:r w:rsidR="00621F2F" w:rsidRPr="0036402F">
        <w:rPr>
          <w:rFonts w:ascii="Arial" w:hAnsi="Arial" w:cs="Arial"/>
          <w:sz w:val="24"/>
          <w:szCs w:val="24"/>
          <w:lang w:val="en-US"/>
        </w:rPr>
        <w:fldChar w:fldCharType="separate"/>
      </w:r>
      <w:r w:rsidR="00281A73" w:rsidRPr="0036402F">
        <w:rPr>
          <w:rFonts w:ascii="Arial" w:hAnsi="Arial" w:cs="Arial"/>
          <w:noProof/>
          <w:sz w:val="24"/>
          <w:szCs w:val="24"/>
          <w:lang w:val="en-US"/>
        </w:rPr>
        <w:t>[12]</w:t>
      </w:r>
      <w:r w:rsidR="00621F2F" w:rsidRPr="0036402F">
        <w:rPr>
          <w:rFonts w:ascii="Arial" w:hAnsi="Arial" w:cs="Arial"/>
          <w:sz w:val="24"/>
          <w:szCs w:val="24"/>
          <w:lang w:val="en-US"/>
        </w:rPr>
        <w:fldChar w:fldCharType="end"/>
      </w:r>
      <w:r w:rsidR="00FA3FA5" w:rsidRPr="0036402F">
        <w:rPr>
          <w:rFonts w:ascii="Arial" w:hAnsi="Arial" w:cs="Arial"/>
          <w:sz w:val="24"/>
          <w:szCs w:val="24"/>
          <w:lang w:val="en-US"/>
        </w:rPr>
        <w:t>.</w:t>
      </w:r>
      <w:r w:rsidR="00E673A9" w:rsidRPr="0036402F">
        <w:rPr>
          <w:rFonts w:ascii="Arial" w:hAnsi="Arial" w:cs="Arial"/>
          <w:sz w:val="24"/>
          <w:szCs w:val="24"/>
          <w:lang w:val="en-US"/>
        </w:rPr>
        <w:t xml:space="preserve"> Given that </w:t>
      </w:r>
      <w:r w:rsidR="008A5DAB" w:rsidRPr="0036402F">
        <w:rPr>
          <w:rFonts w:ascii="Arial" w:hAnsi="Arial" w:cs="Arial"/>
          <w:sz w:val="24"/>
          <w:szCs w:val="24"/>
          <w:lang w:val="en-US"/>
        </w:rPr>
        <w:t>there are some data suggesting</w:t>
      </w:r>
      <w:r w:rsidR="00B3452A" w:rsidRPr="0036402F">
        <w:rPr>
          <w:rFonts w:ascii="Arial" w:hAnsi="Arial" w:cs="Arial"/>
          <w:sz w:val="24"/>
          <w:szCs w:val="24"/>
          <w:lang w:val="en-US"/>
        </w:rPr>
        <w:t xml:space="preserve"> that </w:t>
      </w:r>
      <w:r w:rsidR="00CA70FB" w:rsidRPr="0036402F">
        <w:rPr>
          <w:rFonts w:ascii="Arial" w:hAnsi="Arial" w:cs="Arial"/>
          <w:sz w:val="24"/>
          <w:szCs w:val="24"/>
          <w:lang w:val="en-US"/>
        </w:rPr>
        <w:t>estrogen</w:t>
      </w:r>
      <w:r w:rsidR="00B3452A" w:rsidRPr="0036402F">
        <w:rPr>
          <w:rFonts w:ascii="Arial" w:hAnsi="Arial" w:cs="Arial"/>
          <w:sz w:val="24"/>
          <w:szCs w:val="24"/>
          <w:lang w:val="en-US"/>
        </w:rPr>
        <w:t xml:space="preserve"> ha</w:t>
      </w:r>
      <w:r w:rsidR="00941B2C" w:rsidRPr="0036402F">
        <w:rPr>
          <w:rFonts w:ascii="Arial" w:hAnsi="Arial" w:cs="Arial"/>
          <w:sz w:val="24"/>
          <w:szCs w:val="24"/>
          <w:lang w:val="en-US"/>
        </w:rPr>
        <w:t>s</w:t>
      </w:r>
      <w:r w:rsidR="00B3452A" w:rsidRPr="0036402F">
        <w:rPr>
          <w:rFonts w:ascii="Arial" w:hAnsi="Arial" w:cs="Arial"/>
          <w:sz w:val="24"/>
          <w:szCs w:val="24"/>
          <w:lang w:val="en-US"/>
        </w:rPr>
        <w:t xml:space="preserve"> neuroprotective effects </w:t>
      </w:r>
      <w:r w:rsidR="00B3452A"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{"citationID":"IPF5cLzD","properties":{"formattedCitation":"[19]","plainCitation":"[19]","noteIndex":0},"citationItems":[{"id":22887,"uris":["http://zotero.org/users/local/hhPVnw6l/items/QBXSS2GJ"],"itemData":{"id":22887,"type":"article-journal","abstract":"Within the last few years, there has been a growing interest in the neuroprotective effects of estrogen and the possible beneficial effects of estrogen in neurodegenerative diseases such as stroke, Alzheimer's disease, and Parkinson's disease. The concept of neuroprotective effects of estrogen in women remains controversial because these effects may vary with the timing of treatment. Research increasingly suggests that changes in estrogen levels during aging may increase risk for Alzheimer's disease, the most common type of dementia. This update reviews the newest information about estrogen and cognitive aging, including information regarding the role of bioavailable estrogen in older women and men.","container-title":"Journal of Physiology and Biochemistry","DOI":"10.1007/s13105-012-0159-x","ISSN":"1877-8755","issue":"3","journalAbbreviation":"J Physiol Biochem","language":"eng","note":"PMID: 22371015","page":"455-460","source":"PubMed","title":"Estrogens: mechanisms of neuroprotective effects","title-short":"Estrogens","volume":"68","author":[{"family":"Petrovska","given":"Suncica"},{"family":"Dejanova","given":"Beti"},{"family":"Jurisic","given":"Vladimir"}],"issued":{"date-parts":[["2012",9]]}}}],"schema":"https://github.com/citation-style-language/schema/raw/master/csl-citation.json"} </w:instrText>
      </w:r>
      <w:r w:rsidR="00B3452A" w:rsidRPr="0036402F">
        <w:rPr>
          <w:rFonts w:ascii="Arial" w:hAnsi="Arial" w:cs="Arial"/>
          <w:sz w:val="24"/>
          <w:szCs w:val="24"/>
          <w:lang w:val="en-US"/>
        </w:rPr>
        <w:fldChar w:fldCharType="separate"/>
      </w:r>
      <w:r w:rsidR="00281A73" w:rsidRPr="0036402F">
        <w:rPr>
          <w:rFonts w:ascii="Arial" w:hAnsi="Arial" w:cs="Arial"/>
          <w:noProof/>
          <w:sz w:val="24"/>
          <w:szCs w:val="24"/>
          <w:lang w:val="en-US"/>
        </w:rPr>
        <w:t>[19]</w:t>
      </w:r>
      <w:r w:rsidR="00B3452A" w:rsidRPr="0036402F">
        <w:rPr>
          <w:rFonts w:ascii="Arial" w:hAnsi="Arial" w:cs="Arial"/>
          <w:sz w:val="24"/>
          <w:szCs w:val="24"/>
          <w:lang w:val="en-US"/>
        </w:rPr>
        <w:fldChar w:fldCharType="end"/>
      </w:r>
      <w:r w:rsidR="00443286" w:rsidRPr="0036402F">
        <w:rPr>
          <w:rFonts w:ascii="Arial" w:hAnsi="Arial" w:cs="Arial"/>
          <w:sz w:val="24"/>
          <w:szCs w:val="24"/>
          <w:lang w:val="en-US"/>
        </w:rPr>
        <w:t xml:space="preserve">, </w:t>
      </w:r>
      <w:r w:rsidR="00D84E3D" w:rsidRPr="0036402F">
        <w:rPr>
          <w:rFonts w:ascii="Arial" w:hAnsi="Arial" w:cs="Arial"/>
          <w:sz w:val="24"/>
          <w:szCs w:val="24"/>
          <w:lang w:val="en-US"/>
        </w:rPr>
        <w:t xml:space="preserve">it is possible that </w:t>
      </w:r>
      <w:r w:rsidR="008A5DAB" w:rsidRPr="0036402F">
        <w:rPr>
          <w:rFonts w:ascii="Arial" w:hAnsi="Arial" w:cs="Arial"/>
          <w:sz w:val="24"/>
          <w:szCs w:val="24"/>
          <w:lang w:val="en-US"/>
        </w:rPr>
        <w:t xml:space="preserve">the </w:t>
      </w:r>
      <w:r w:rsidR="00D3255A" w:rsidRPr="0036402F">
        <w:rPr>
          <w:rFonts w:ascii="Arial" w:hAnsi="Arial" w:cs="Arial"/>
          <w:sz w:val="24"/>
          <w:szCs w:val="24"/>
          <w:lang w:val="en-US"/>
        </w:rPr>
        <w:t>BMI</w:t>
      </w:r>
      <w:r w:rsidR="008A5DAB" w:rsidRPr="0036402F">
        <w:rPr>
          <w:rFonts w:ascii="Arial" w:hAnsi="Arial" w:cs="Arial"/>
          <w:sz w:val="24"/>
          <w:szCs w:val="24"/>
          <w:lang w:val="en-US"/>
        </w:rPr>
        <w:t>-dementia</w:t>
      </w:r>
      <w:r w:rsidR="00443286" w:rsidRPr="0036402F">
        <w:rPr>
          <w:rFonts w:ascii="Arial" w:hAnsi="Arial" w:cs="Arial"/>
          <w:sz w:val="24"/>
          <w:szCs w:val="24"/>
          <w:lang w:val="en-US"/>
        </w:rPr>
        <w:t xml:space="preserve"> relationship differ</w:t>
      </w:r>
      <w:r w:rsidR="00D84E3D" w:rsidRPr="0036402F">
        <w:rPr>
          <w:rFonts w:ascii="Arial" w:hAnsi="Arial" w:cs="Arial"/>
          <w:sz w:val="24"/>
          <w:szCs w:val="24"/>
          <w:lang w:val="en-US"/>
        </w:rPr>
        <w:t>s</w:t>
      </w:r>
      <w:r w:rsidR="00443286" w:rsidRPr="0036402F">
        <w:rPr>
          <w:rFonts w:ascii="Arial" w:hAnsi="Arial" w:cs="Arial"/>
          <w:sz w:val="24"/>
          <w:szCs w:val="24"/>
          <w:lang w:val="en-US"/>
        </w:rPr>
        <w:t xml:space="preserve"> between women and men. However, </w:t>
      </w:r>
      <w:r w:rsidR="00F73FD9" w:rsidRPr="0036402F">
        <w:rPr>
          <w:rFonts w:ascii="Arial" w:hAnsi="Arial" w:cs="Arial"/>
          <w:sz w:val="24"/>
          <w:szCs w:val="24"/>
          <w:lang w:val="en-US"/>
        </w:rPr>
        <w:t xml:space="preserve">to date, </w:t>
      </w:r>
      <w:r w:rsidR="00443286" w:rsidRPr="0036402F">
        <w:rPr>
          <w:rFonts w:ascii="Arial" w:hAnsi="Arial" w:cs="Arial"/>
          <w:sz w:val="24"/>
          <w:szCs w:val="24"/>
          <w:lang w:val="en-US"/>
        </w:rPr>
        <w:t xml:space="preserve">no research has yet </w:t>
      </w:r>
      <w:r w:rsidR="00D84E3D" w:rsidRPr="0036402F">
        <w:rPr>
          <w:rFonts w:ascii="Arial" w:hAnsi="Arial" w:cs="Arial"/>
          <w:sz w:val="24"/>
          <w:szCs w:val="24"/>
          <w:lang w:val="en-US"/>
        </w:rPr>
        <w:t>investigated this hypothesis</w:t>
      </w:r>
      <w:r w:rsidR="001D244B" w:rsidRPr="0036402F">
        <w:rPr>
          <w:rFonts w:ascii="Arial" w:hAnsi="Arial" w:cs="Arial"/>
          <w:sz w:val="24"/>
          <w:szCs w:val="24"/>
          <w:lang w:val="en-US"/>
        </w:rPr>
        <w:t>.</w:t>
      </w:r>
    </w:p>
    <w:p w14:paraId="21E3FF09" w14:textId="42BBBC55" w:rsidR="00D84E3D" w:rsidRPr="0036402F" w:rsidRDefault="00D84E3D" w:rsidP="003C41AC">
      <w:pPr>
        <w:spacing w:line="480" w:lineRule="auto"/>
        <w:jc w:val="both"/>
        <w:rPr>
          <w:rFonts w:ascii="Arial" w:hAnsi="Arial" w:cs="Arial"/>
          <w:sz w:val="24"/>
          <w:szCs w:val="24"/>
          <w:lang w:val="en-US"/>
        </w:rPr>
      </w:pPr>
    </w:p>
    <w:p w14:paraId="3734EE55" w14:textId="6063A9E6" w:rsidR="00D84E3D" w:rsidRPr="0036402F" w:rsidRDefault="00D84E3D" w:rsidP="003C41AC">
      <w:pPr>
        <w:spacing w:line="480" w:lineRule="auto"/>
        <w:jc w:val="both"/>
        <w:rPr>
          <w:rFonts w:ascii="Arial" w:hAnsi="Arial" w:cs="Arial"/>
          <w:sz w:val="24"/>
          <w:szCs w:val="24"/>
          <w:lang w:val="en-US"/>
        </w:rPr>
      </w:pPr>
      <w:r w:rsidRPr="0036402F">
        <w:rPr>
          <w:rFonts w:ascii="Arial" w:hAnsi="Arial" w:cs="Arial"/>
          <w:sz w:val="24"/>
          <w:szCs w:val="24"/>
          <w:lang w:val="en-US"/>
        </w:rPr>
        <w:t xml:space="preserve">Therefore, the </w:t>
      </w:r>
      <w:r w:rsidR="007C1DF3" w:rsidRPr="0036402F">
        <w:rPr>
          <w:rFonts w:ascii="Arial" w:hAnsi="Arial" w:cs="Arial"/>
          <w:sz w:val="24"/>
          <w:szCs w:val="24"/>
          <w:lang w:val="en-US"/>
        </w:rPr>
        <w:t>aim</w:t>
      </w:r>
      <w:r w:rsidRPr="0036402F">
        <w:rPr>
          <w:rFonts w:ascii="Arial" w:hAnsi="Arial" w:cs="Arial"/>
          <w:sz w:val="24"/>
          <w:szCs w:val="24"/>
          <w:lang w:val="en-US"/>
        </w:rPr>
        <w:t xml:space="preserve"> of this retrospective </w:t>
      </w:r>
      <w:r w:rsidR="003F76F2" w:rsidRPr="0036402F">
        <w:rPr>
          <w:rFonts w:ascii="Arial" w:hAnsi="Arial" w:cs="Arial"/>
          <w:sz w:val="24"/>
          <w:szCs w:val="24"/>
          <w:lang w:val="en-US"/>
        </w:rPr>
        <w:t xml:space="preserve">cohort study </w:t>
      </w:r>
      <w:r w:rsidRPr="0036402F">
        <w:rPr>
          <w:rFonts w:ascii="Arial" w:hAnsi="Arial" w:cs="Arial"/>
          <w:sz w:val="24"/>
          <w:szCs w:val="24"/>
          <w:lang w:val="en-US"/>
        </w:rPr>
        <w:t xml:space="preserve">was to </w:t>
      </w:r>
      <w:r w:rsidR="007C1DF3" w:rsidRPr="0036402F">
        <w:rPr>
          <w:rFonts w:ascii="Arial" w:hAnsi="Arial" w:cs="Arial"/>
          <w:sz w:val="24"/>
          <w:szCs w:val="24"/>
          <w:lang w:val="en-US"/>
        </w:rPr>
        <w:t>inves</w:t>
      </w:r>
      <w:r w:rsidR="005642CC" w:rsidRPr="0036402F">
        <w:rPr>
          <w:rFonts w:ascii="Arial" w:hAnsi="Arial" w:cs="Arial"/>
          <w:sz w:val="24"/>
          <w:szCs w:val="24"/>
          <w:lang w:val="en-US"/>
        </w:rPr>
        <w:t>t</w:t>
      </w:r>
      <w:r w:rsidR="007C1DF3" w:rsidRPr="0036402F">
        <w:rPr>
          <w:rFonts w:ascii="Arial" w:hAnsi="Arial" w:cs="Arial"/>
          <w:sz w:val="24"/>
          <w:szCs w:val="24"/>
          <w:lang w:val="en-US"/>
        </w:rPr>
        <w:t>igate</w:t>
      </w:r>
      <w:r w:rsidRPr="0036402F">
        <w:rPr>
          <w:rFonts w:ascii="Arial" w:hAnsi="Arial" w:cs="Arial"/>
          <w:sz w:val="24"/>
          <w:szCs w:val="24"/>
          <w:lang w:val="en-US"/>
        </w:rPr>
        <w:t xml:space="preserve"> association</w:t>
      </w:r>
      <w:r w:rsidR="007C1DF3" w:rsidRPr="0036402F">
        <w:rPr>
          <w:rFonts w:ascii="Arial" w:hAnsi="Arial" w:cs="Arial"/>
          <w:sz w:val="24"/>
          <w:szCs w:val="24"/>
          <w:lang w:val="en-US"/>
        </w:rPr>
        <w:t>s</w:t>
      </w:r>
      <w:r w:rsidRPr="0036402F">
        <w:rPr>
          <w:rFonts w:ascii="Arial" w:hAnsi="Arial" w:cs="Arial"/>
          <w:sz w:val="24"/>
          <w:szCs w:val="24"/>
          <w:lang w:val="en-US"/>
        </w:rPr>
        <w:t xml:space="preserve"> between </w:t>
      </w:r>
      <w:r w:rsidR="00D3255A" w:rsidRPr="0036402F">
        <w:rPr>
          <w:rFonts w:ascii="Arial" w:hAnsi="Arial" w:cs="Arial"/>
          <w:sz w:val="24"/>
          <w:szCs w:val="24"/>
          <w:lang w:val="en-US"/>
        </w:rPr>
        <w:t xml:space="preserve">BMI </w:t>
      </w:r>
      <w:r w:rsidRPr="0036402F">
        <w:rPr>
          <w:rFonts w:ascii="Arial" w:hAnsi="Arial" w:cs="Arial"/>
          <w:sz w:val="24"/>
          <w:szCs w:val="24"/>
          <w:lang w:val="en-US"/>
        </w:rPr>
        <w:t xml:space="preserve">and dementia in </w:t>
      </w:r>
      <w:r w:rsidR="00F52214" w:rsidRPr="0036402F">
        <w:rPr>
          <w:rFonts w:ascii="Arial" w:hAnsi="Arial" w:cs="Arial"/>
          <w:sz w:val="24"/>
          <w:szCs w:val="24"/>
          <w:lang w:val="en-US"/>
        </w:rPr>
        <w:t xml:space="preserve">older </w:t>
      </w:r>
      <w:r w:rsidRPr="0036402F">
        <w:rPr>
          <w:rFonts w:ascii="Arial" w:hAnsi="Arial" w:cs="Arial"/>
          <w:sz w:val="24"/>
          <w:szCs w:val="24"/>
          <w:lang w:val="en-US"/>
        </w:rPr>
        <w:t>women and men separately in general practices in Germany.</w:t>
      </w:r>
    </w:p>
    <w:p w14:paraId="0A8D70A5" w14:textId="6F272BA7" w:rsidR="00C66A31" w:rsidRPr="0036402F" w:rsidRDefault="00C66A31" w:rsidP="003C41AC">
      <w:pPr>
        <w:spacing w:line="480" w:lineRule="auto"/>
        <w:jc w:val="both"/>
        <w:rPr>
          <w:rFonts w:ascii="Arial" w:hAnsi="Arial" w:cs="Arial"/>
          <w:sz w:val="24"/>
          <w:szCs w:val="24"/>
          <w:lang w:val="en-US"/>
        </w:rPr>
      </w:pPr>
    </w:p>
    <w:p w14:paraId="4CC28AF8" w14:textId="6B5CF1EE" w:rsidR="00C66A31" w:rsidRPr="0036402F" w:rsidRDefault="00C66A31" w:rsidP="00346A37">
      <w:pPr>
        <w:pStyle w:val="Heading1"/>
      </w:pPr>
      <w:r w:rsidRPr="0036402F">
        <w:t>M</w:t>
      </w:r>
      <w:r w:rsidR="00FA0197" w:rsidRPr="0036402F">
        <w:t>aterials and m</w:t>
      </w:r>
      <w:r w:rsidRPr="0036402F">
        <w:t>ethods</w:t>
      </w:r>
    </w:p>
    <w:p w14:paraId="48094A1E" w14:textId="276D32CC" w:rsidR="00301658" w:rsidRPr="0036402F" w:rsidRDefault="00301658" w:rsidP="003C41AC">
      <w:pPr>
        <w:spacing w:line="480" w:lineRule="auto"/>
        <w:jc w:val="both"/>
        <w:rPr>
          <w:rFonts w:ascii="Arial" w:hAnsi="Arial" w:cs="Arial"/>
          <w:sz w:val="24"/>
          <w:szCs w:val="24"/>
          <w:lang w:val="en-US"/>
        </w:rPr>
      </w:pPr>
    </w:p>
    <w:p w14:paraId="2342840B" w14:textId="53B3C27C" w:rsidR="00301658" w:rsidRPr="00346A37" w:rsidRDefault="00301658" w:rsidP="00346A37">
      <w:pPr>
        <w:pStyle w:val="Heading2"/>
      </w:pPr>
      <w:r w:rsidRPr="00346A37">
        <w:t>Database</w:t>
      </w:r>
    </w:p>
    <w:p w14:paraId="3238FC71" w14:textId="6938FD75" w:rsidR="00301658" w:rsidRPr="0036402F" w:rsidRDefault="00CC6996" w:rsidP="003C41AC">
      <w:pPr>
        <w:spacing w:line="480" w:lineRule="auto"/>
        <w:jc w:val="both"/>
        <w:rPr>
          <w:rFonts w:ascii="Arial" w:hAnsi="Arial" w:cs="Arial"/>
          <w:sz w:val="24"/>
          <w:szCs w:val="24"/>
          <w:lang w:val="en-US"/>
        </w:rPr>
      </w:pPr>
      <w:r w:rsidRPr="0036402F">
        <w:rPr>
          <w:rFonts w:ascii="Arial" w:hAnsi="Arial" w:cs="Arial"/>
          <w:sz w:val="24"/>
          <w:szCs w:val="24"/>
          <w:lang w:val="en-US"/>
        </w:rPr>
        <w:t>This study used data from the Disease Analyzer database (IQVIA)</w:t>
      </w:r>
      <w:r w:rsidR="002B353B" w:rsidRPr="0036402F">
        <w:rPr>
          <w:rFonts w:ascii="Arial" w:hAnsi="Arial" w:cs="Arial"/>
          <w:sz w:val="24"/>
          <w:szCs w:val="24"/>
          <w:lang w:val="en-US"/>
        </w:rPr>
        <w:t xml:space="preserve">. This database </w:t>
      </w:r>
      <w:r w:rsidR="00CD06C5" w:rsidRPr="0036402F">
        <w:rPr>
          <w:rFonts w:ascii="Arial" w:hAnsi="Arial" w:cs="Arial"/>
          <w:sz w:val="24"/>
          <w:szCs w:val="24"/>
          <w:lang w:val="en-US"/>
        </w:rPr>
        <w:t>ha</w:t>
      </w:r>
      <w:r w:rsidR="00742B80" w:rsidRPr="0036402F">
        <w:rPr>
          <w:rFonts w:ascii="Arial" w:hAnsi="Arial" w:cs="Arial"/>
          <w:sz w:val="24"/>
          <w:szCs w:val="24"/>
          <w:lang w:val="en-US"/>
        </w:rPr>
        <w:t>s</w:t>
      </w:r>
      <w:r w:rsidR="00CD06C5" w:rsidRPr="0036402F">
        <w:rPr>
          <w:rFonts w:ascii="Arial" w:hAnsi="Arial" w:cs="Arial"/>
          <w:sz w:val="24"/>
          <w:szCs w:val="24"/>
          <w:lang w:val="en-US"/>
        </w:rPr>
        <w:t xml:space="preserve"> already been </w:t>
      </w:r>
      <w:r w:rsidR="009A7C7D" w:rsidRPr="0036402F">
        <w:rPr>
          <w:rFonts w:ascii="Arial" w:hAnsi="Arial" w:cs="Arial"/>
          <w:sz w:val="24"/>
          <w:szCs w:val="24"/>
          <w:lang w:val="en-US"/>
        </w:rPr>
        <w:t xml:space="preserve">extensively </w:t>
      </w:r>
      <w:r w:rsidR="00CD06C5" w:rsidRPr="0036402F">
        <w:rPr>
          <w:rFonts w:ascii="Arial" w:hAnsi="Arial" w:cs="Arial"/>
          <w:sz w:val="24"/>
          <w:szCs w:val="24"/>
          <w:lang w:val="en-US"/>
        </w:rPr>
        <w:t>described in the literature</w:t>
      </w:r>
      <w:r w:rsidR="004466D9" w:rsidRPr="0036402F">
        <w:rPr>
          <w:rFonts w:ascii="Arial" w:hAnsi="Arial" w:cs="Arial"/>
          <w:sz w:val="24"/>
          <w:szCs w:val="24"/>
          <w:lang w:val="en-US"/>
        </w:rPr>
        <w:t xml:space="preserve"> </w:t>
      </w:r>
      <w:r w:rsidR="003018E5"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{"citationID":"Iq8TKVxj","properties":{"formattedCitation":"[20]","plainCitation":"[20]","noteIndex":0},"citationItems":[{"id":840,"uris":["http://zotero.org/users/local/hhPVnw6l/items/92ST9TT3"],"itemData":{"id":840,"type":"article-journal","abstract":"PURPOSE: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236F70" w:rsidRPr="0036402F">
        <w:rPr>
          <w:rFonts w:ascii="MS Gothic" w:eastAsia="MS Gothic" w:hAnsi="MS Gothic" w:cs="MS Gothic" w:hint="eastAsia"/>
          <w:sz w:val="24"/>
          <w:szCs w:val="24"/>
          <w:lang w:val="en-US"/>
        </w:rPr>
        <w:instrText> </w:instrText>
      </w:r>
      <w:r w:rsidR="00236F70" w:rsidRPr="0036402F">
        <w:rPr>
          <w:rFonts w:ascii="Arial" w:hAnsi="Arial" w:cs="Arial"/>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3018E5" w:rsidRPr="0036402F">
        <w:rPr>
          <w:rFonts w:ascii="Arial" w:hAnsi="Arial" w:cs="Arial"/>
          <w:sz w:val="24"/>
          <w:szCs w:val="24"/>
          <w:lang w:val="en-US"/>
        </w:rPr>
        <w:fldChar w:fldCharType="separate"/>
      </w:r>
      <w:r w:rsidR="00281A73" w:rsidRPr="0036402F">
        <w:rPr>
          <w:rFonts w:ascii="Arial" w:hAnsi="Arial" w:cs="Arial"/>
          <w:noProof/>
          <w:sz w:val="24"/>
          <w:szCs w:val="24"/>
          <w:lang w:val="en-US"/>
        </w:rPr>
        <w:t>[20]</w:t>
      </w:r>
      <w:r w:rsidR="003018E5" w:rsidRPr="0036402F">
        <w:rPr>
          <w:rFonts w:ascii="Arial" w:hAnsi="Arial" w:cs="Arial"/>
          <w:sz w:val="24"/>
          <w:szCs w:val="24"/>
          <w:lang w:val="en-US"/>
        </w:rPr>
        <w:fldChar w:fldCharType="end"/>
      </w:r>
      <w:r w:rsidR="00D04EE2" w:rsidRPr="0036402F">
        <w:rPr>
          <w:rFonts w:ascii="Arial" w:hAnsi="Arial" w:cs="Arial"/>
          <w:sz w:val="24"/>
          <w:szCs w:val="24"/>
          <w:lang w:val="en-US"/>
        </w:rPr>
        <w:t>.</w:t>
      </w:r>
      <w:r w:rsidR="0095299C" w:rsidRPr="0036402F">
        <w:rPr>
          <w:rFonts w:ascii="Arial" w:hAnsi="Arial" w:cs="Arial"/>
          <w:sz w:val="24"/>
          <w:szCs w:val="24"/>
          <w:lang w:val="en-US"/>
        </w:rPr>
        <w:t xml:space="preserve"> To summarize, the Disease Analyzer database </w:t>
      </w:r>
      <w:r w:rsidR="005D032F" w:rsidRPr="0036402F">
        <w:rPr>
          <w:rFonts w:ascii="Arial" w:hAnsi="Arial" w:cs="Arial"/>
          <w:sz w:val="24"/>
          <w:szCs w:val="24"/>
          <w:lang w:val="en-US"/>
        </w:rPr>
        <w:t xml:space="preserve">contains demographic, diagnosis and prescription data from patients followed in general </w:t>
      </w:r>
      <w:r w:rsidR="0035198C" w:rsidRPr="0036402F">
        <w:rPr>
          <w:rFonts w:ascii="Arial" w:hAnsi="Arial" w:cs="Arial"/>
          <w:sz w:val="24"/>
          <w:szCs w:val="24"/>
          <w:lang w:val="en-US"/>
        </w:rPr>
        <w:t xml:space="preserve">and specialized </w:t>
      </w:r>
      <w:r w:rsidR="005D032F" w:rsidRPr="0036402F">
        <w:rPr>
          <w:rFonts w:ascii="Arial" w:hAnsi="Arial" w:cs="Arial"/>
          <w:sz w:val="24"/>
          <w:szCs w:val="24"/>
          <w:lang w:val="en-US"/>
        </w:rPr>
        <w:t>practices</w:t>
      </w:r>
      <w:r w:rsidR="001B139D" w:rsidRPr="0036402F">
        <w:rPr>
          <w:rFonts w:ascii="Arial" w:hAnsi="Arial" w:cs="Arial"/>
          <w:sz w:val="24"/>
          <w:szCs w:val="24"/>
          <w:lang w:val="en-US"/>
        </w:rPr>
        <w:t xml:space="preserve"> in Germany</w:t>
      </w:r>
      <w:r w:rsidR="005D032F" w:rsidRPr="0036402F">
        <w:rPr>
          <w:rFonts w:ascii="Arial" w:hAnsi="Arial" w:cs="Arial"/>
          <w:sz w:val="24"/>
          <w:szCs w:val="24"/>
          <w:lang w:val="en-US"/>
        </w:rPr>
        <w:t xml:space="preserve">. </w:t>
      </w:r>
      <w:r w:rsidR="0035198C" w:rsidRPr="0036402F">
        <w:rPr>
          <w:rFonts w:ascii="Arial" w:hAnsi="Arial" w:cs="Arial"/>
          <w:sz w:val="24"/>
          <w:szCs w:val="24"/>
          <w:lang w:val="en-US"/>
        </w:rPr>
        <w:t>Practices</w:t>
      </w:r>
      <w:r w:rsidR="00584B5E" w:rsidRPr="0036402F">
        <w:rPr>
          <w:rFonts w:ascii="Arial" w:hAnsi="Arial" w:cs="Arial"/>
          <w:sz w:val="24"/>
          <w:szCs w:val="24"/>
          <w:lang w:val="en-US"/>
        </w:rPr>
        <w:t xml:space="preserve"> to include in the database are selected </w:t>
      </w:r>
      <w:r w:rsidR="007608C6" w:rsidRPr="0036402F">
        <w:rPr>
          <w:rFonts w:ascii="Arial" w:hAnsi="Arial" w:cs="Arial"/>
          <w:sz w:val="24"/>
          <w:szCs w:val="24"/>
          <w:lang w:val="en-US"/>
        </w:rPr>
        <w:t xml:space="preserve">based on </w:t>
      </w:r>
      <w:r w:rsidR="0035198C" w:rsidRPr="0036402F">
        <w:rPr>
          <w:rFonts w:ascii="Arial" w:hAnsi="Arial" w:cs="Arial"/>
          <w:sz w:val="24"/>
          <w:szCs w:val="24"/>
          <w:lang w:val="en-US"/>
        </w:rPr>
        <w:t>multiple</w:t>
      </w:r>
      <w:r w:rsidR="007608C6" w:rsidRPr="0036402F">
        <w:rPr>
          <w:rFonts w:ascii="Arial" w:hAnsi="Arial" w:cs="Arial"/>
          <w:sz w:val="24"/>
          <w:szCs w:val="24"/>
          <w:lang w:val="en-US"/>
        </w:rPr>
        <w:t xml:space="preserve"> </w:t>
      </w:r>
      <w:r w:rsidR="00621491" w:rsidRPr="0036402F">
        <w:rPr>
          <w:rFonts w:ascii="Arial" w:hAnsi="Arial" w:cs="Arial"/>
          <w:sz w:val="24"/>
          <w:szCs w:val="24"/>
          <w:lang w:val="en-US"/>
        </w:rPr>
        <w:t>factors</w:t>
      </w:r>
      <w:r w:rsidR="007608C6" w:rsidRPr="0036402F">
        <w:rPr>
          <w:rFonts w:ascii="Arial" w:hAnsi="Arial" w:cs="Arial"/>
          <w:sz w:val="24"/>
          <w:szCs w:val="24"/>
          <w:lang w:val="en-US"/>
        </w:rPr>
        <w:t xml:space="preserve"> </w:t>
      </w:r>
      <w:r w:rsidR="0042017D" w:rsidRPr="0036402F">
        <w:rPr>
          <w:rFonts w:ascii="Arial" w:hAnsi="Arial" w:cs="Arial"/>
          <w:sz w:val="24"/>
          <w:szCs w:val="24"/>
          <w:lang w:val="en-US"/>
        </w:rPr>
        <w:t xml:space="preserve">(i.e., </w:t>
      </w:r>
      <w:r w:rsidR="0035198C" w:rsidRPr="0036402F">
        <w:rPr>
          <w:rFonts w:ascii="Arial" w:hAnsi="Arial" w:cs="Arial"/>
          <w:sz w:val="24"/>
          <w:szCs w:val="24"/>
          <w:lang w:val="en-US"/>
        </w:rPr>
        <w:t>physician’s age, specialty group, community size category, and German federal state</w:t>
      </w:r>
      <w:r w:rsidR="0042017D" w:rsidRPr="0036402F">
        <w:rPr>
          <w:rFonts w:ascii="Arial" w:hAnsi="Arial" w:cs="Arial"/>
          <w:sz w:val="24"/>
          <w:szCs w:val="24"/>
          <w:lang w:val="en-US"/>
        </w:rPr>
        <w:t xml:space="preserve">), and the database </w:t>
      </w:r>
      <w:r w:rsidR="00CE5435" w:rsidRPr="0036402F">
        <w:rPr>
          <w:rFonts w:ascii="Arial" w:hAnsi="Arial" w:cs="Arial"/>
          <w:sz w:val="24"/>
          <w:szCs w:val="24"/>
          <w:lang w:val="en-US"/>
        </w:rPr>
        <w:t>is composed</w:t>
      </w:r>
      <w:r w:rsidR="0042017D" w:rsidRPr="0036402F">
        <w:rPr>
          <w:rFonts w:ascii="Arial" w:hAnsi="Arial" w:cs="Arial"/>
          <w:sz w:val="24"/>
          <w:szCs w:val="24"/>
          <w:lang w:val="en-US"/>
        </w:rPr>
        <w:t xml:space="preserve"> of </w:t>
      </w:r>
      <w:r w:rsidR="006307AF" w:rsidRPr="0036402F">
        <w:rPr>
          <w:rFonts w:ascii="Arial" w:hAnsi="Arial" w:cs="Arial"/>
          <w:sz w:val="24"/>
          <w:szCs w:val="24"/>
          <w:lang w:val="en-US"/>
        </w:rPr>
        <w:t xml:space="preserve">around 3% of </w:t>
      </w:r>
      <w:r w:rsidR="0042017D" w:rsidRPr="0036402F">
        <w:rPr>
          <w:rFonts w:ascii="Arial" w:hAnsi="Arial" w:cs="Arial"/>
          <w:sz w:val="24"/>
          <w:szCs w:val="24"/>
          <w:lang w:val="en-US"/>
        </w:rPr>
        <w:t xml:space="preserve">all practices </w:t>
      </w:r>
      <w:r w:rsidR="0023120D" w:rsidRPr="0036402F">
        <w:rPr>
          <w:rFonts w:ascii="Arial" w:hAnsi="Arial" w:cs="Arial"/>
          <w:sz w:val="24"/>
          <w:szCs w:val="24"/>
          <w:lang w:val="en-US"/>
        </w:rPr>
        <w:t>in Germany</w:t>
      </w:r>
      <w:r w:rsidR="0035198C" w:rsidRPr="0036402F">
        <w:rPr>
          <w:rFonts w:ascii="Arial" w:hAnsi="Arial" w:cs="Arial"/>
          <w:sz w:val="24"/>
          <w:szCs w:val="24"/>
          <w:lang w:val="en-US"/>
        </w:rPr>
        <w:t xml:space="preserve">. </w:t>
      </w:r>
      <w:r w:rsidR="004C608A" w:rsidRPr="0036402F">
        <w:rPr>
          <w:rFonts w:ascii="Arial" w:hAnsi="Arial" w:cs="Arial"/>
          <w:sz w:val="24"/>
          <w:szCs w:val="24"/>
          <w:lang w:val="en-US"/>
        </w:rPr>
        <w:t xml:space="preserve">Diagnosis and prescription data are coded </w:t>
      </w:r>
      <w:r w:rsidR="00F8792A" w:rsidRPr="0036402F">
        <w:rPr>
          <w:rFonts w:ascii="Arial" w:hAnsi="Arial" w:cs="Arial"/>
          <w:sz w:val="24"/>
          <w:szCs w:val="24"/>
          <w:lang w:val="en-US"/>
        </w:rPr>
        <w:t>using</w:t>
      </w:r>
      <w:r w:rsidR="004C608A" w:rsidRPr="0036402F">
        <w:rPr>
          <w:rFonts w:ascii="Arial" w:hAnsi="Arial" w:cs="Arial"/>
          <w:sz w:val="24"/>
          <w:szCs w:val="24"/>
          <w:lang w:val="en-US"/>
        </w:rPr>
        <w:t xml:space="preserve"> the International Classification of Diseases, 10th revision (ICD-10), and the Anatomical Classification of Pharmaceutical Products of the European Pharmaceutical Marketing Research Association (</w:t>
      </w:r>
      <w:proofErr w:type="spellStart"/>
      <w:r w:rsidR="004C608A" w:rsidRPr="0036402F">
        <w:rPr>
          <w:rFonts w:ascii="Arial" w:hAnsi="Arial" w:cs="Arial"/>
          <w:sz w:val="24"/>
          <w:szCs w:val="24"/>
          <w:lang w:val="en-US"/>
        </w:rPr>
        <w:t>EphMRA</w:t>
      </w:r>
      <w:proofErr w:type="spellEnd"/>
      <w:r w:rsidR="004C608A" w:rsidRPr="0036402F">
        <w:rPr>
          <w:rFonts w:ascii="Arial" w:hAnsi="Arial" w:cs="Arial"/>
          <w:sz w:val="24"/>
          <w:szCs w:val="24"/>
          <w:lang w:val="en-US"/>
        </w:rPr>
        <w:t xml:space="preserve">), respectively. </w:t>
      </w:r>
      <w:r w:rsidR="00DD31C5" w:rsidRPr="0036402F">
        <w:rPr>
          <w:rFonts w:ascii="Arial" w:hAnsi="Arial" w:cs="Arial"/>
          <w:sz w:val="24"/>
          <w:szCs w:val="24"/>
          <w:lang w:val="en-US"/>
        </w:rPr>
        <w:t>Data</w:t>
      </w:r>
      <w:r w:rsidR="009462C4" w:rsidRPr="0036402F">
        <w:rPr>
          <w:rFonts w:ascii="Arial" w:hAnsi="Arial" w:cs="Arial"/>
          <w:sz w:val="24"/>
          <w:szCs w:val="24"/>
          <w:lang w:val="en-US"/>
        </w:rPr>
        <w:t xml:space="preserve"> </w:t>
      </w:r>
      <w:r w:rsidR="00516631" w:rsidRPr="0036402F">
        <w:rPr>
          <w:rFonts w:ascii="Arial" w:hAnsi="Arial" w:cs="Arial"/>
          <w:sz w:val="24"/>
          <w:szCs w:val="24"/>
          <w:lang w:val="en-US"/>
        </w:rPr>
        <w:t xml:space="preserve">are anonymously sent to IQVIA on a regular basis, and the quality of these data is assessed </w:t>
      </w:r>
      <w:r w:rsidR="00B3716C" w:rsidRPr="0036402F">
        <w:rPr>
          <w:rFonts w:ascii="Arial" w:hAnsi="Arial" w:cs="Arial"/>
          <w:sz w:val="24"/>
          <w:szCs w:val="24"/>
          <w:lang w:val="en-US"/>
        </w:rPr>
        <w:t xml:space="preserve">using several criteria such as </w:t>
      </w:r>
      <w:r w:rsidR="00F8657A" w:rsidRPr="0036402F">
        <w:rPr>
          <w:rFonts w:ascii="Arial" w:hAnsi="Arial" w:cs="Arial"/>
          <w:sz w:val="24"/>
          <w:szCs w:val="24"/>
          <w:lang w:val="en-US"/>
        </w:rPr>
        <w:t xml:space="preserve">completeness of documentation and linkage </w:t>
      </w:r>
      <w:r w:rsidR="00F8657A" w:rsidRPr="0036402F">
        <w:rPr>
          <w:rFonts w:ascii="Arial" w:hAnsi="Arial" w:cs="Arial"/>
          <w:sz w:val="24"/>
          <w:szCs w:val="24"/>
          <w:lang w:val="en-US"/>
        </w:rPr>
        <w:lastRenderedPageBreak/>
        <w:t>between diagnoses and prescriptions.</w:t>
      </w:r>
      <w:r w:rsidR="00DD31C5" w:rsidRPr="0036402F">
        <w:rPr>
          <w:rFonts w:ascii="Arial" w:hAnsi="Arial" w:cs="Arial"/>
          <w:sz w:val="24"/>
          <w:szCs w:val="24"/>
          <w:lang w:val="en-US"/>
        </w:rPr>
        <w:t xml:space="preserve"> Finally, </w:t>
      </w:r>
      <w:r w:rsidR="00854978" w:rsidRPr="0036402F">
        <w:rPr>
          <w:rFonts w:ascii="Arial" w:hAnsi="Arial" w:cs="Arial"/>
          <w:sz w:val="24"/>
          <w:szCs w:val="24"/>
          <w:lang w:val="en-US"/>
        </w:rPr>
        <w:t>previous research has shown that the Disease Analyzer database is representative of private practices in Germany</w:t>
      </w:r>
      <w:r w:rsidR="008A2F7E" w:rsidRPr="0036402F">
        <w:rPr>
          <w:rFonts w:ascii="Arial" w:hAnsi="Arial" w:cs="Arial"/>
          <w:sz w:val="24"/>
          <w:szCs w:val="24"/>
          <w:lang w:val="en-US"/>
        </w:rPr>
        <w:t xml:space="preserve"> </w:t>
      </w:r>
      <w:r w:rsidR="008A2F7E"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{"citationID":"sXV0GqEk","properties":{"formattedCitation":"[20]","plainCitation":"[20]","noteIndex":0},"citationItems":[{"id":840,"uris":["http://zotero.org/users/local/hhPVnw6l/items/92ST9TT3"],"itemData":{"id":840,"type":"article-journal","abstract":"PURPOSE: The aim of this study was to evaluate the representativeness of diagnoses in the Disease Analyzer (DA) database for major chronic diseases (cancer, dementia, diabetes).\nMATERIALS AND METHODS: DA contains anonymized longitudinal data on drug prescriptions, diagnoses as well as medical and demographic data directly obtained from the computer system of a representative sample of practices throughout Germany. DA contains data from 2,498 practices with 7.8 million patients (2017). The distribution and sex-specific incidence of various cancer subsites among new cancer cases, the age- and sex-specific prevalence of dementia, and the prevalence of diabetes were assessed. National reference data were obtained from official sources.\nRESULTS: Mean age (43 years) and sex distribution (47% men) of primary care patients in DA were similar to the German population. Among incident cancer cases, there was good agreement between DA data and national data with respect to the various cancer subsites (e.g., breast cancer: DA 17%; reference: 15%). Furthermore, sex distribution was largely similar. The age distribution of prevalent dementia was similar to national reference data, both in men (80 - 84 years: DA: 26.8%; reference: 27.0%) and in women (80 - 84 years: DA: 24.6%; reference: 24.1%). Diabetes prevalence in the DA (10.7%) was higher than in claims data from physicians (9.8%) or patients from statutory health insurances (9.9%).\nCONCLUSION: There was a good agreement of the incidence or prevalence of major chronic diseases in the outpatient DA with German reference data. The higher diabetes prevalence in the DA is due to the increased number of outpatient visits of diabetes patients.</w:instrText>
      </w:r>
      <w:r w:rsidR="00236F70" w:rsidRPr="0036402F">
        <w:rPr>
          <w:rFonts w:ascii="MS Gothic" w:eastAsia="MS Gothic" w:hAnsi="MS Gothic" w:cs="MS Gothic" w:hint="eastAsia"/>
          <w:sz w:val="24"/>
          <w:szCs w:val="24"/>
          <w:lang w:val="en-US"/>
        </w:rPr>
        <w:instrText> </w:instrText>
      </w:r>
      <w:r w:rsidR="00236F70" w:rsidRPr="0036402F">
        <w:rPr>
          <w:rFonts w:ascii="Arial" w:hAnsi="Arial" w:cs="Arial"/>
          <w:sz w:val="24"/>
          <w:szCs w:val="24"/>
          <w:lang w:val="en-US"/>
        </w:rPr>
        <w:instrText xml:space="preserve">.","container-title":"International Journal of Clinical Pharmacology and Therapeutics","DOI":"10.5414/CP203320","ISSN":"0946-1965","issue":"10","journalAbbreviation":"Int J Clin Pharmacol Ther","language":"eng","note":"PMID: 30168417","page":"459-466","source":"PubMed","title":"Basic characteristics and representativeness of the German Disease Analyzer database","volume":"56","author":[{"family":"Rathmann","given":"Wolfgang"},{"family":"Bongaerts","given":"Brenda"},{"family":"Carius","given":"Hans-Joachim"},{"family":"Kruppert","given":"Silvia"},{"family":"Kostev","given":"Karel"}],"issued":{"date-parts":[["2018",10]]}}}],"schema":"https://github.com/citation-style-language/schema/raw/master/csl-citation.json"} </w:instrText>
      </w:r>
      <w:r w:rsidR="008A2F7E" w:rsidRPr="0036402F">
        <w:rPr>
          <w:rFonts w:ascii="Arial" w:hAnsi="Arial" w:cs="Arial"/>
          <w:sz w:val="24"/>
          <w:szCs w:val="24"/>
          <w:lang w:val="en-US"/>
        </w:rPr>
        <w:fldChar w:fldCharType="separate"/>
      </w:r>
      <w:r w:rsidR="008A2F7E" w:rsidRPr="0036402F">
        <w:rPr>
          <w:rFonts w:ascii="Arial" w:hAnsi="Arial" w:cs="Arial"/>
          <w:noProof/>
          <w:sz w:val="24"/>
          <w:szCs w:val="24"/>
          <w:lang w:val="en-US"/>
        </w:rPr>
        <w:t>[20]</w:t>
      </w:r>
      <w:r w:rsidR="008A2F7E" w:rsidRPr="0036402F">
        <w:rPr>
          <w:rFonts w:ascii="Arial" w:hAnsi="Arial" w:cs="Arial"/>
          <w:sz w:val="24"/>
          <w:szCs w:val="24"/>
          <w:lang w:val="en-US"/>
        </w:rPr>
        <w:fldChar w:fldCharType="end"/>
      </w:r>
      <w:r w:rsidR="008A2F7E" w:rsidRPr="0036402F">
        <w:rPr>
          <w:rFonts w:ascii="Arial" w:hAnsi="Arial" w:cs="Arial"/>
          <w:sz w:val="24"/>
          <w:szCs w:val="24"/>
          <w:lang w:val="en-US"/>
        </w:rPr>
        <w:t>.</w:t>
      </w:r>
    </w:p>
    <w:p w14:paraId="014F1884" w14:textId="77777777" w:rsidR="00A93585" w:rsidRPr="0036402F" w:rsidRDefault="00A93585" w:rsidP="003C41AC">
      <w:pPr>
        <w:spacing w:line="480" w:lineRule="auto"/>
        <w:jc w:val="both"/>
        <w:rPr>
          <w:rFonts w:ascii="Arial" w:hAnsi="Arial" w:cs="Arial"/>
          <w:sz w:val="24"/>
          <w:szCs w:val="24"/>
          <w:lang w:val="en-US"/>
        </w:rPr>
      </w:pPr>
    </w:p>
    <w:p w14:paraId="2BDB5F29" w14:textId="00B53227" w:rsidR="00872302" w:rsidRPr="0036402F" w:rsidRDefault="00210BC1" w:rsidP="00346A37">
      <w:pPr>
        <w:pStyle w:val="Heading2"/>
      </w:pPr>
      <w:r w:rsidRPr="0036402F">
        <w:t xml:space="preserve">Study population </w:t>
      </w:r>
    </w:p>
    <w:p w14:paraId="4251B904" w14:textId="16887FAF" w:rsidR="00210BC1" w:rsidRPr="0036402F" w:rsidRDefault="007E76D8" w:rsidP="003C41AC">
      <w:pPr>
        <w:spacing w:line="480" w:lineRule="auto"/>
        <w:jc w:val="both"/>
        <w:rPr>
          <w:rFonts w:ascii="Arial" w:hAnsi="Arial" w:cs="Arial"/>
          <w:sz w:val="24"/>
          <w:szCs w:val="24"/>
          <w:lang w:val="en-US"/>
        </w:rPr>
      </w:pPr>
      <w:r w:rsidRPr="0036402F">
        <w:rPr>
          <w:rFonts w:ascii="Arial" w:hAnsi="Arial" w:cs="Arial"/>
          <w:sz w:val="24"/>
          <w:szCs w:val="24"/>
          <w:lang w:val="en-US"/>
        </w:rPr>
        <w:t xml:space="preserve">This retrospective cohort study included </w:t>
      </w:r>
      <w:r w:rsidR="000B7ADB" w:rsidRPr="0036402F">
        <w:rPr>
          <w:rFonts w:ascii="Arial" w:hAnsi="Arial" w:cs="Arial"/>
          <w:sz w:val="24"/>
          <w:szCs w:val="24"/>
          <w:lang w:val="en-US"/>
        </w:rPr>
        <w:t>patients followed</w:t>
      </w:r>
      <w:r w:rsidRPr="0036402F">
        <w:rPr>
          <w:rFonts w:ascii="Arial" w:hAnsi="Arial" w:cs="Arial"/>
          <w:sz w:val="24"/>
          <w:szCs w:val="24"/>
          <w:lang w:val="en-US"/>
        </w:rPr>
        <w:t xml:space="preserve"> in one of 832 general practices in Germany between </w:t>
      </w:r>
      <w:r w:rsidR="00644E82" w:rsidRPr="0036402F">
        <w:rPr>
          <w:rFonts w:ascii="Arial" w:hAnsi="Arial" w:cs="Arial"/>
          <w:sz w:val="24"/>
          <w:szCs w:val="24"/>
          <w:lang w:val="en-US"/>
        </w:rPr>
        <w:t>January 2006 and December 2019</w:t>
      </w:r>
      <w:r w:rsidR="00EB24AE" w:rsidRPr="0036402F">
        <w:rPr>
          <w:rFonts w:ascii="Arial" w:hAnsi="Arial" w:cs="Arial"/>
          <w:sz w:val="24"/>
          <w:szCs w:val="24"/>
          <w:lang w:val="en-US"/>
        </w:rPr>
        <w:t>. Index date corresponded</w:t>
      </w:r>
      <w:r w:rsidR="00AE3FCF" w:rsidRPr="0036402F">
        <w:rPr>
          <w:rFonts w:ascii="Arial" w:hAnsi="Arial" w:cs="Arial"/>
          <w:sz w:val="24"/>
          <w:szCs w:val="24"/>
          <w:lang w:val="en-US"/>
        </w:rPr>
        <w:t xml:space="preserve"> to</w:t>
      </w:r>
      <w:r w:rsidR="00EB24AE" w:rsidRPr="0036402F">
        <w:rPr>
          <w:rFonts w:ascii="Arial" w:hAnsi="Arial" w:cs="Arial"/>
          <w:sz w:val="24"/>
          <w:szCs w:val="24"/>
          <w:lang w:val="en-US"/>
        </w:rPr>
        <w:t xml:space="preserve"> </w:t>
      </w:r>
      <w:r w:rsidR="0078185F" w:rsidRPr="0036402F">
        <w:rPr>
          <w:rFonts w:ascii="Arial" w:hAnsi="Arial" w:cs="Arial"/>
          <w:sz w:val="24"/>
          <w:szCs w:val="24"/>
          <w:lang w:val="en-US"/>
        </w:rPr>
        <w:t>the first</w:t>
      </w:r>
      <w:r w:rsidR="00EB24AE" w:rsidRPr="0036402F">
        <w:rPr>
          <w:rFonts w:ascii="Arial" w:hAnsi="Arial" w:cs="Arial"/>
          <w:sz w:val="24"/>
          <w:szCs w:val="24"/>
          <w:lang w:val="en-US"/>
        </w:rPr>
        <w:t xml:space="preserve"> visit date</w:t>
      </w:r>
      <w:r w:rsidR="000B7ADB" w:rsidRPr="0036402F">
        <w:rPr>
          <w:rFonts w:ascii="Arial" w:hAnsi="Arial" w:cs="Arial"/>
          <w:sz w:val="24"/>
          <w:szCs w:val="24"/>
          <w:lang w:val="en-US"/>
        </w:rPr>
        <w:t xml:space="preserve"> between 2006 and 2019</w:t>
      </w:r>
      <w:r w:rsidR="00EB24AE" w:rsidRPr="0036402F">
        <w:rPr>
          <w:rFonts w:ascii="Arial" w:hAnsi="Arial" w:cs="Arial"/>
          <w:sz w:val="24"/>
          <w:szCs w:val="24"/>
          <w:lang w:val="en-US"/>
        </w:rPr>
        <w:t>.</w:t>
      </w:r>
      <w:r w:rsidR="00BB3FB8" w:rsidRPr="0036402F">
        <w:rPr>
          <w:rFonts w:ascii="Arial" w:hAnsi="Arial" w:cs="Arial"/>
          <w:sz w:val="24"/>
          <w:szCs w:val="24"/>
          <w:lang w:val="en-US"/>
        </w:rPr>
        <w:t xml:space="preserve"> Inclusion criteria </w:t>
      </w:r>
      <w:r w:rsidR="00FE695A" w:rsidRPr="0036402F">
        <w:rPr>
          <w:rFonts w:ascii="Arial" w:hAnsi="Arial" w:cs="Arial"/>
          <w:sz w:val="24"/>
          <w:szCs w:val="24"/>
          <w:lang w:val="en-US"/>
        </w:rPr>
        <w:t xml:space="preserve">were </w:t>
      </w:r>
      <w:r w:rsidR="007B1691" w:rsidRPr="0036402F">
        <w:rPr>
          <w:rFonts w:ascii="Arial" w:hAnsi="Arial" w:cs="Arial"/>
          <w:sz w:val="24"/>
          <w:szCs w:val="24"/>
          <w:lang w:val="en-US"/>
        </w:rPr>
        <w:t>the following</w:t>
      </w:r>
      <w:r w:rsidR="000B7ADB" w:rsidRPr="0036402F">
        <w:rPr>
          <w:rFonts w:ascii="Arial" w:hAnsi="Arial" w:cs="Arial"/>
          <w:sz w:val="24"/>
          <w:szCs w:val="24"/>
          <w:lang w:val="en-US"/>
        </w:rPr>
        <w:t>:</w:t>
      </w:r>
      <w:r w:rsidR="00BB3FB8" w:rsidRPr="0036402F">
        <w:rPr>
          <w:rFonts w:ascii="Arial" w:hAnsi="Arial" w:cs="Arial"/>
          <w:sz w:val="24"/>
          <w:szCs w:val="24"/>
          <w:lang w:val="en-US"/>
        </w:rPr>
        <w:t xml:space="preserve"> available data </w:t>
      </w:r>
      <w:r w:rsidR="00573E22" w:rsidRPr="0036402F">
        <w:rPr>
          <w:rFonts w:ascii="Arial" w:hAnsi="Arial" w:cs="Arial"/>
          <w:sz w:val="24"/>
          <w:szCs w:val="24"/>
          <w:lang w:val="en-US"/>
        </w:rPr>
        <w:t xml:space="preserve">on </w:t>
      </w:r>
      <w:r w:rsidR="003C49F5" w:rsidRPr="0036402F">
        <w:rPr>
          <w:rFonts w:ascii="Arial" w:hAnsi="Arial" w:cs="Arial"/>
          <w:sz w:val="24"/>
          <w:szCs w:val="24"/>
          <w:lang w:val="en-US"/>
        </w:rPr>
        <w:t>BMI</w:t>
      </w:r>
      <w:r w:rsidR="00573E22" w:rsidRPr="0036402F">
        <w:rPr>
          <w:rFonts w:ascii="Arial" w:hAnsi="Arial" w:cs="Arial"/>
          <w:sz w:val="24"/>
          <w:szCs w:val="24"/>
          <w:lang w:val="en-US"/>
        </w:rPr>
        <w:t xml:space="preserve"> for the period between one year prior to the index date and one year prior to the diagnosis of dementia or last follow-up; </w:t>
      </w:r>
      <w:r w:rsidR="00961EDB" w:rsidRPr="0036402F">
        <w:rPr>
          <w:rFonts w:ascii="Arial" w:hAnsi="Arial" w:cs="Arial"/>
          <w:sz w:val="24"/>
          <w:szCs w:val="24"/>
          <w:lang w:val="en-US"/>
        </w:rPr>
        <w:t xml:space="preserve">age ≥65 years at the index date; and no diagnosis of </w:t>
      </w:r>
      <w:r w:rsidR="007423FA" w:rsidRPr="0036402F">
        <w:rPr>
          <w:rFonts w:ascii="Arial" w:hAnsi="Arial" w:cs="Arial"/>
          <w:sz w:val="24"/>
          <w:szCs w:val="24"/>
          <w:lang w:val="en-US"/>
        </w:rPr>
        <w:t xml:space="preserve">dementia </w:t>
      </w:r>
      <w:r w:rsidR="007B1691" w:rsidRPr="0036402F">
        <w:rPr>
          <w:rFonts w:ascii="Arial" w:hAnsi="Arial" w:cs="Arial"/>
          <w:sz w:val="24"/>
          <w:szCs w:val="24"/>
          <w:lang w:val="en-US"/>
        </w:rPr>
        <w:t xml:space="preserve">(ICD-10: </w:t>
      </w:r>
      <w:r w:rsidR="00682A1B" w:rsidRPr="0036402F">
        <w:rPr>
          <w:rFonts w:ascii="Arial" w:hAnsi="Arial" w:cs="Arial"/>
          <w:sz w:val="24"/>
          <w:szCs w:val="24"/>
          <w:lang w:val="en-US"/>
        </w:rPr>
        <w:t>F00</w:t>
      </w:r>
      <w:r w:rsidR="001720B7" w:rsidRPr="0036402F">
        <w:rPr>
          <w:rFonts w:ascii="Arial" w:hAnsi="Arial" w:cs="Arial"/>
          <w:sz w:val="24"/>
          <w:szCs w:val="24"/>
          <w:lang w:val="en-US"/>
        </w:rPr>
        <w:t xml:space="preserve">-F03 and </w:t>
      </w:r>
      <w:r w:rsidR="004C32DF" w:rsidRPr="0036402F">
        <w:rPr>
          <w:rFonts w:ascii="Arial" w:hAnsi="Arial" w:cs="Arial"/>
          <w:sz w:val="24"/>
          <w:szCs w:val="24"/>
          <w:lang w:val="en-US"/>
        </w:rPr>
        <w:t xml:space="preserve">G30) </w:t>
      </w:r>
      <w:r w:rsidR="007423FA" w:rsidRPr="0036402F">
        <w:rPr>
          <w:rFonts w:ascii="Arial" w:hAnsi="Arial" w:cs="Arial"/>
          <w:sz w:val="24"/>
          <w:szCs w:val="24"/>
          <w:lang w:val="en-US"/>
        </w:rPr>
        <w:t>prior to or at the index date.</w:t>
      </w:r>
      <w:r w:rsidR="00613B68" w:rsidRPr="0036402F">
        <w:rPr>
          <w:rFonts w:ascii="Arial" w:hAnsi="Arial" w:cs="Arial"/>
          <w:sz w:val="24"/>
          <w:szCs w:val="24"/>
          <w:lang w:val="en-US"/>
        </w:rPr>
        <w:t xml:space="preserve"> Selection of study patients is displayed in </w:t>
      </w:r>
      <w:r w:rsidR="00613B68" w:rsidRPr="0036402F">
        <w:rPr>
          <w:rFonts w:ascii="Arial" w:hAnsi="Arial" w:cs="Arial"/>
          <w:b/>
          <w:bCs/>
          <w:sz w:val="24"/>
          <w:szCs w:val="24"/>
          <w:lang w:val="en-US"/>
        </w:rPr>
        <w:t>Figure 1</w:t>
      </w:r>
      <w:r w:rsidR="00613B68" w:rsidRPr="0036402F">
        <w:rPr>
          <w:rFonts w:ascii="Arial" w:hAnsi="Arial" w:cs="Arial"/>
          <w:sz w:val="24"/>
          <w:szCs w:val="24"/>
          <w:lang w:val="en-US"/>
        </w:rPr>
        <w:t>.</w:t>
      </w:r>
      <w:r w:rsidR="004659BB" w:rsidRPr="0036402F">
        <w:rPr>
          <w:rFonts w:ascii="Arial" w:hAnsi="Arial" w:cs="Arial"/>
          <w:sz w:val="24"/>
          <w:szCs w:val="24"/>
          <w:lang w:val="en-US"/>
        </w:rPr>
        <w:t xml:space="preserve"> Characteristics </w:t>
      </w:r>
      <w:r w:rsidR="00400F87" w:rsidRPr="0036402F">
        <w:rPr>
          <w:rFonts w:ascii="Arial" w:hAnsi="Arial" w:cs="Arial"/>
          <w:sz w:val="24"/>
          <w:szCs w:val="24"/>
          <w:lang w:val="en-US"/>
        </w:rPr>
        <w:t xml:space="preserve">of patients included and those not included in the study are </w:t>
      </w:r>
      <w:r w:rsidR="00A04477" w:rsidRPr="0036402F">
        <w:rPr>
          <w:rFonts w:ascii="Arial" w:hAnsi="Arial" w:cs="Arial"/>
          <w:sz w:val="24"/>
          <w:szCs w:val="24"/>
          <w:lang w:val="en-US"/>
        </w:rPr>
        <w:t xml:space="preserve">displayed in </w:t>
      </w:r>
      <w:r w:rsidR="00A04477" w:rsidRPr="0036402F">
        <w:rPr>
          <w:rFonts w:ascii="Arial" w:hAnsi="Arial" w:cs="Arial"/>
          <w:b/>
          <w:bCs/>
          <w:sz w:val="24"/>
          <w:szCs w:val="24"/>
          <w:lang w:val="en-US"/>
        </w:rPr>
        <w:t>Supplementary Table 1</w:t>
      </w:r>
      <w:r w:rsidR="00A04477" w:rsidRPr="0036402F">
        <w:rPr>
          <w:rFonts w:ascii="Arial" w:hAnsi="Arial" w:cs="Arial"/>
          <w:sz w:val="24"/>
          <w:szCs w:val="24"/>
          <w:lang w:val="en-US"/>
        </w:rPr>
        <w:t>.</w:t>
      </w:r>
    </w:p>
    <w:p w14:paraId="0F8F8E41" w14:textId="11511F5E" w:rsidR="00E0109B" w:rsidRPr="0036402F" w:rsidRDefault="00E0109B" w:rsidP="003C41AC">
      <w:pPr>
        <w:spacing w:line="480" w:lineRule="auto"/>
        <w:jc w:val="both"/>
        <w:rPr>
          <w:rFonts w:ascii="Arial" w:hAnsi="Arial" w:cs="Arial"/>
          <w:sz w:val="24"/>
          <w:szCs w:val="24"/>
          <w:lang w:val="en-US"/>
        </w:rPr>
      </w:pPr>
    </w:p>
    <w:p w14:paraId="702D2520" w14:textId="34A38FA2" w:rsidR="00E0109B" w:rsidRPr="0036402F" w:rsidRDefault="00656B1D" w:rsidP="00346A37">
      <w:pPr>
        <w:pStyle w:val="Heading2"/>
      </w:pPr>
      <w:r w:rsidRPr="0036402F">
        <w:t xml:space="preserve">Study variables </w:t>
      </w:r>
    </w:p>
    <w:p w14:paraId="01CA02FC" w14:textId="3F6191CC" w:rsidR="00656B1D" w:rsidRPr="0036402F" w:rsidRDefault="00656B1D" w:rsidP="008B0DBD">
      <w:pPr>
        <w:spacing w:line="480" w:lineRule="auto"/>
        <w:jc w:val="both"/>
        <w:rPr>
          <w:rFonts w:ascii="Arial" w:hAnsi="Arial" w:cs="Arial"/>
          <w:sz w:val="24"/>
          <w:szCs w:val="24"/>
          <w:lang w:val="en-US"/>
        </w:rPr>
      </w:pPr>
      <w:r w:rsidRPr="0036402F">
        <w:rPr>
          <w:rFonts w:ascii="Arial" w:hAnsi="Arial" w:cs="Arial"/>
          <w:sz w:val="24"/>
          <w:szCs w:val="24"/>
          <w:lang w:val="en-US"/>
        </w:rPr>
        <w:t xml:space="preserve">Dementia </w:t>
      </w:r>
      <w:r w:rsidR="006342C4" w:rsidRPr="0036402F">
        <w:rPr>
          <w:rFonts w:ascii="Arial" w:hAnsi="Arial" w:cs="Arial"/>
          <w:sz w:val="24"/>
          <w:szCs w:val="24"/>
          <w:lang w:val="en-US"/>
        </w:rPr>
        <w:t>(</w:t>
      </w:r>
      <w:r w:rsidR="00614837" w:rsidRPr="0036402F">
        <w:rPr>
          <w:rFonts w:ascii="Arial" w:hAnsi="Arial" w:cs="Arial"/>
          <w:sz w:val="24"/>
          <w:szCs w:val="24"/>
          <w:lang w:val="en-US"/>
        </w:rPr>
        <w:t>dependent variable</w:t>
      </w:r>
      <w:r w:rsidR="002C6C2D" w:rsidRPr="0036402F">
        <w:rPr>
          <w:rFonts w:ascii="Arial" w:hAnsi="Arial" w:cs="Arial"/>
          <w:sz w:val="24"/>
          <w:szCs w:val="24"/>
          <w:lang w:val="en-US"/>
        </w:rPr>
        <w:t xml:space="preserve">) </w:t>
      </w:r>
      <w:r w:rsidR="0000608A" w:rsidRPr="0036402F">
        <w:rPr>
          <w:rFonts w:ascii="Arial" w:hAnsi="Arial" w:cs="Arial"/>
          <w:sz w:val="24"/>
          <w:szCs w:val="24"/>
          <w:lang w:val="en-US"/>
        </w:rPr>
        <w:t xml:space="preserve">included </w:t>
      </w:r>
      <w:r w:rsidR="009A3E01" w:rsidRPr="0036402F">
        <w:rPr>
          <w:rFonts w:ascii="Arial" w:hAnsi="Arial" w:cs="Arial"/>
          <w:sz w:val="24"/>
          <w:szCs w:val="24"/>
          <w:lang w:val="en-US"/>
        </w:rPr>
        <w:t>Alzheimer’s disease</w:t>
      </w:r>
      <w:r w:rsidR="0000608A" w:rsidRPr="0036402F">
        <w:rPr>
          <w:rFonts w:ascii="Arial" w:hAnsi="Arial" w:cs="Arial"/>
          <w:sz w:val="24"/>
          <w:szCs w:val="24"/>
          <w:lang w:val="en-US"/>
        </w:rPr>
        <w:t xml:space="preserve"> </w:t>
      </w:r>
      <w:r w:rsidR="0096645F" w:rsidRPr="0036402F">
        <w:rPr>
          <w:rFonts w:ascii="Arial" w:hAnsi="Arial" w:cs="Arial"/>
          <w:sz w:val="24"/>
          <w:szCs w:val="24"/>
          <w:lang w:val="en-US"/>
        </w:rPr>
        <w:t>(ICD-10:</w:t>
      </w:r>
      <w:r w:rsidR="00AD0565" w:rsidRPr="0036402F">
        <w:rPr>
          <w:rFonts w:ascii="Arial" w:hAnsi="Arial" w:cs="Arial"/>
          <w:sz w:val="24"/>
          <w:szCs w:val="24"/>
          <w:lang w:val="en-US"/>
        </w:rPr>
        <w:t xml:space="preserve"> G30</w:t>
      </w:r>
      <w:r w:rsidR="0096645F" w:rsidRPr="0036402F">
        <w:rPr>
          <w:rFonts w:ascii="Arial" w:hAnsi="Arial" w:cs="Arial"/>
          <w:sz w:val="24"/>
          <w:szCs w:val="24"/>
          <w:lang w:val="en-US"/>
        </w:rPr>
        <w:t xml:space="preserve">), </w:t>
      </w:r>
      <w:r w:rsidR="008825BC" w:rsidRPr="0036402F">
        <w:rPr>
          <w:rFonts w:ascii="Arial" w:hAnsi="Arial" w:cs="Arial"/>
          <w:sz w:val="24"/>
          <w:szCs w:val="24"/>
          <w:lang w:val="en-US"/>
        </w:rPr>
        <w:t>vascular dementia</w:t>
      </w:r>
      <w:r w:rsidR="009A3E01" w:rsidRPr="0036402F">
        <w:rPr>
          <w:rFonts w:ascii="Arial" w:hAnsi="Arial" w:cs="Arial"/>
          <w:sz w:val="24"/>
          <w:szCs w:val="24"/>
          <w:lang w:val="en-US"/>
        </w:rPr>
        <w:t xml:space="preserve"> (ICD-10:</w:t>
      </w:r>
      <w:r w:rsidR="00CF4B90" w:rsidRPr="0036402F">
        <w:rPr>
          <w:rFonts w:ascii="Arial" w:hAnsi="Arial" w:cs="Arial"/>
          <w:sz w:val="24"/>
          <w:szCs w:val="24"/>
          <w:lang w:val="en-US"/>
        </w:rPr>
        <w:t xml:space="preserve"> F01</w:t>
      </w:r>
      <w:r w:rsidR="009A3E01" w:rsidRPr="0036402F">
        <w:rPr>
          <w:rFonts w:ascii="Arial" w:hAnsi="Arial" w:cs="Arial"/>
          <w:sz w:val="24"/>
          <w:szCs w:val="24"/>
          <w:lang w:val="en-US"/>
        </w:rPr>
        <w:t>)</w:t>
      </w:r>
      <w:r w:rsidR="0096645F" w:rsidRPr="0036402F">
        <w:rPr>
          <w:rFonts w:ascii="Arial" w:hAnsi="Arial" w:cs="Arial"/>
          <w:sz w:val="24"/>
          <w:szCs w:val="24"/>
          <w:lang w:val="en-US"/>
        </w:rPr>
        <w:t xml:space="preserve"> </w:t>
      </w:r>
      <w:r w:rsidR="009A3E01" w:rsidRPr="0036402F">
        <w:rPr>
          <w:rFonts w:ascii="Arial" w:hAnsi="Arial" w:cs="Arial"/>
          <w:sz w:val="24"/>
          <w:szCs w:val="24"/>
          <w:lang w:val="en-US"/>
        </w:rPr>
        <w:t>and undefined dementia (ICD-10:</w:t>
      </w:r>
      <w:r w:rsidR="00D1385F" w:rsidRPr="0036402F">
        <w:rPr>
          <w:rFonts w:ascii="Arial" w:hAnsi="Arial" w:cs="Arial"/>
          <w:sz w:val="24"/>
          <w:szCs w:val="24"/>
          <w:lang w:val="en-US"/>
        </w:rPr>
        <w:t xml:space="preserve"> F03</w:t>
      </w:r>
      <w:r w:rsidR="009A3E01" w:rsidRPr="0036402F">
        <w:rPr>
          <w:rFonts w:ascii="Arial" w:hAnsi="Arial" w:cs="Arial"/>
          <w:sz w:val="24"/>
          <w:szCs w:val="24"/>
          <w:lang w:val="en-US"/>
        </w:rPr>
        <w:t>).</w:t>
      </w:r>
      <w:r w:rsidR="00474DC1" w:rsidRPr="0036402F">
        <w:rPr>
          <w:rFonts w:ascii="Arial" w:hAnsi="Arial" w:cs="Arial"/>
          <w:sz w:val="24"/>
          <w:szCs w:val="24"/>
          <w:lang w:val="en-US"/>
        </w:rPr>
        <w:t xml:space="preserve"> </w:t>
      </w:r>
      <w:r w:rsidR="00A462BB" w:rsidRPr="0036402F">
        <w:rPr>
          <w:rFonts w:ascii="Arial" w:hAnsi="Arial" w:cs="Arial"/>
          <w:sz w:val="24"/>
          <w:szCs w:val="24"/>
          <w:lang w:val="en-US"/>
        </w:rPr>
        <w:t>Using the definition of the World Health Organization</w:t>
      </w:r>
      <w:r w:rsidR="00145F71" w:rsidRPr="0036402F">
        <w:rPr>
          <w:rFonts w:ascii="Arial" w:hAnsi="Arial" w:cs="Arial"/>
          <w:sz w:val="24"/>
          <w:szCs w:val="24"/>
          <w:lang w:val="en-US"/>
        </w:rPr>
        <w:t xml:space="preserve"> </w:t>
      </w:r>
      <w:r w:rsidR="00145F71" w:rsidRPr="0036402F">
        <w:rPr>
          <w:rFonts w:ascii="Arial" w:hAnsi="Arial" w:cs="Arial"/>
          <w:sz w:val="24"/>
          <w:szCs w:val="24"/>
          <w:lang w:val="en-US"/>
        </w:rPr>
        <w:fldChar w:fldCharType="begin"/>
      </w:r>
      <w:r w:rsidR="00143F1B" w:rsidRPr="0036402F">
        <w:rPr>
          <w:rFonts w:ascii="Arial" w:hAnsi="Arial" w:cs="Arial"/>
          <w:sz w:val="24"/>
          <w:szCs w:val="24"/>
          <w:lang w:val="en-US"/>
        </w:rPr>
        <w:instrText xml:space="preserve"> ADDIN ZOTERO_ITEM CSL_CITATION {"citationID":"NWlsGCUU","properties":{"formattedCitation":"[21]","plainCitation":"[21]","noteIndex":0},"citationItems":[{"id":22889,"uris":["http://zotero.org/users/local/hhPVnw6l/items/J4NSHDHZ"],"itemData":{"id":22889,"type":"webpage","language":"English","title":"Body mass index - BMI","URL":"https://www.euro.who.int/en/health-topics/disease-prevention/nutrition/a-healthy-lifestyle/body-mass-index-bmi","author":[{"family":"World Health Organization","given":""}],"accessed":{"date-parts":[["2022",1,30]]},"issued":{"date-parts":[["2022"]]}}}],"schema":"https://github.com/citation-style-language/schema/raw/master/csl-citation.json"} </w:instrText>
      </w:r>
      <w:r w:rsidR="00145F71" w:rsidRPr="0036402F">
        <w:rPr>
          <w:rFonts w:ascii="Arial" w:hAnsi="Arial" w:cs="Arial"/>
          <w:sz w:val="24"/>
          <w:szCs w:val="24"/>
          <w:lang w:val="en-US"/>
        </w:rPr>
        <w:fldChar w:fldCharType="separate"/>
      </w:r>
      <w:r w:rsidR="00143F1B" w:rsidRPr="0036402F">
        <w:rPr>
          <w:rFonts w:ascii="Arial" w:hAnsi="Arial" w:cs="Arial"/>
          <w:noProof/>
          <w:sz w:val="24"/>
          <w:szCs w:val="24"/>
          <w:lang w:val="en-US"/>
        </w:rPr>
        <w:t>[21]</w:t>
      </w:r>
      <w:r w:rsidR="00145F71" w:rsidRPr="0036402F">
        <w:rPr>
          <w:rFonts w:ascii="Arial" w:hAnsi="Arial" w:cs="Arial"/>
          <w:sz w:val="24"/>
          <w:szCs w:val="24"/>
          <w:lang w:val="en-US"/>
        </w:rPr>
        <w:fldChar w:fldCharType="end"/>
      </w:r>
      <w:r w:rsidR="00A462BB" w:rsidRPr="0036402F">
        <w:rPr>
          <w:rFonts w:ascii="Arial" w:hAnsi="Arial" w:cs="Arial"/>
          <w:sz w:val="24"/>
          <w:szCs w:val="24"/>
          <w:lang w:val="en-US"/>
        </w:rPr>
        <w:t xml:space="preserve">, </w:t>
      </w:r>
      <w:r w:rsidR="00751E30" w:rsidRPr="0036402F">
        <w:rPr>
          <w:rFonts w:ascii="Arial" w:hAnsi="Arial" w:cs="Arial"/>
          <w:sz w:val="24"/>
          <w:szCs w:val="24"/>
          <w:lang w:val="en-US"/>
        </w:rPr>
        <w:t xml:space="preserve">and using </w:t>
      </w:r>
      <w:r w:rsidR="005D6973" w:rsidRPr="0036402F">
        <w:rPr>
          <w:rFonts w:ascii="Arial" w:hAnsi="Arial" w:cs="Arial"/>
          <w:sz w:val="24"/>
          <w:szCs w:val="24"/>
          <w:lang w:val="en-US"/>
        </w:rPr>
        <w:t xml:space="preserve">the </w:t>
      </w:r>
      <w:r w:rsidR="00751E30" w:rsidRPr="0036402F">
        <w:rPr>
          <w:rFonts w:ascii="Arial" w:hAnsi="Arial" w:cs="Arial"/>
          <w:sz w:val="24"/>
          <w:szCs w:val="24"/>
          <w:lang w:val="en-US"/>
        </w:rPr>
        <w:t xml:space="preserve">mean </w:t>
      </w:r>
      <w:r w:rsidR="00C52121" w:rsidRPr="0036402F">
        <w:rPr>
          <w:rFonts w:ascii="Arial" w:hAnsi="Arial" w:cs="Arial"/>
          <w:sz w:val="24"/>
          <w:szCs w:val="24"/>
          <w:lang w:val="en-US"/>
        </w:rPr>
        <w:t xml:space="preserve">BMI </w:t>
      </w:r>
      <w:r w:rsidR="00F61F9D" w:rsidRPr="0036402F">
        <w:rPr>
          <w:rFonts w:ascii="Arial" w:hAnsi="Arial" w:cs="Arial"/>
          <w:sz w:val="24"/>
          <w:szCs w:val="24"/>
          <w:lang w:val="en-US"/>
        </w:rPr>
        <w:t xml:space="preserve">value </w:t>
      </w:r>
      <w:r w:rsidR="005D6973" w:rsidRPr="0036402F">
        <w:rPr>
          <w:rFonts w:ascii="Arial" w:hAnsi="Arial" w:cs="Arial"/>
          <w:sz w:val="24"/>
          <w:szCs w:val="24"/>
          <w:lang w:val="en-US"/>
        </w:rPr>
        <w:t>between one year prior to the index date and one year prior to the diagnosis of dementia or last follow-up</w:t>
      </w:r>
      <w:r w:rsidR="00C52121" w:rsidRPr="0036402F">
        <w:rPr>
          <w:rFonts w:ascii="Arial" w:hAnsi="Arial" w:cs="Arial"/>
          <w:sz w:val="24"/>
          <w:szCs w:val="24"/>
          <w:lang w:val="en-US"/>
        </w:rPr>
        <w:t xml:space="preserve">, </w:t>
      </w:r>
      <w:r w:rsidR="003C49F5" w:rsidRPr="0036402F">
        <w:rPr>
          <w:rFonts w:ascii="Arial" w:hAnsi="Arial" w:cs="Arial"/>
          <w:sz w:val="24"/>
          <w:szCs w:val="24"/>
          <w:lang w:val="en-US"/>
        </w:rPr>
        <w:t>B</w:t>
      </w:r>
      <w:r w:rsidR="00CD5EEA" w:rsidRPr="0036402F">
        <w:rPr>
          <w:rFonts w:ascii="Arial" w:hAnsi="Arial" w:cs="Arial"/>
          <w:sz w:val="24"/>
          <w:szCs w:val="24"/>
          <w:lang w:val="en-US"/>
        </w:rPr>
        <w:t>MI</w:t>
      </w:r>
      <w:r w:rsidR="001D509D" w:rsidRPr="0036402F">
        <w:rPr>
          <w:rFonts w:ascii="Arial" w:hAnsi="Arial" w:cs="Arial"/>
          <w:sz w:val="24"/>
          <w:szCs w:val="24"/>
          <w:lang w:val="en-US"/>
        </w:rPr>
        <w:t xml:space="preserve"> was included in this stud</w:t>
      </w:r>
      <w:r w:rsidR="00962D9F" w:rsidRPr="0036402F">
        <w:rPr>
          <w:rFonts w:ascii="Arial" w:hAnsi="Arial" w:cs="Arial"/>
          <w:sz w:val="24"/>
          <w:szCs w:val="24"/>
          <w:lang w:val="en-US"/>
        </w:rPr>
        <w:t>y as a four-category variable</w:t>
      </w:r>
      <w:r w:rsidR="005A3183" w:rsidRPr="0036402F">
        <w:rPr>
          <w:rFonts w:ascii="Arial" w:hAnsi="Arial" w:cs="Arial"/>
          <w:sz w:val="24"/>
          <w:szCs w:val="24"/>
          <w:lang w:val="en-US"/>
        </w:rPr>
        <w:t xml:space="preserve">: </w:t>
      </w:r>
      <w:r w:rsidR="00712328" w:rsidRPr="0036402F">
        <w:rPr>
          <w:rFonts w:ascii="Arial" w:hAnsi="Arial" w:cs="Arial"/>
          <w:sz w:val="24"/>
          <w:szCs w:val="24"/>
          <w:lang w:val="en-US"/>
        </w:rPr>
        <w:t>underweight</w:t>
      </w:r>
      <w:r w:rsidR="00764147" w:rsidRPr="0036402F">
        <w:rPr>
          <w:rFonts w:ascii="Arial" w:hAnsi="Arial" w:cs="Arial"/>
          <w:sz w:val="24"/>
          <w:szCs w:val="24"/>
          <w:lang w:val="en-US"/>
        </w:rPr>
        <w:t xml:space="preserve"> </w:t>
      </w:r>
      <w:r w:rsidR="005A3183" w:rsidRPr="0036402F">
        <w:rPr>
          <w:rFonts w:ascii="Arial" w:hAnsi="Arial" w:cs="Arial"/>
          <w:sz w:val="24"/>
          <w:szCs w:val="24"/>
          <w:lang w:val="en-US"/>
        </w:rPr>
        <w:t xml:space="preserve">(i.e., </w:t>
      </w:r>
      <w:r w:rsidR="00CD5EEA" w:rsidRPr="0036402F">
        <w:rPr>
          <w:rFonts w:ascii="Arial" w:hAnsi="Arial" w:cs="Arial"/>
          <w:sz w:val="24"/>
          <w:szCs w:val="24"/>
          <w:lang w:val="en-US"/>
        </w:rPr>
        <w:t>BMI</w:t>
      </w:r>
      <w:r w:rsidR="00A160D9" w:rsidRPr="0036402F">
        <w:rPr>
          <w:rFonts w:ascii="Arial" w:hAnsi="Arial" w:cs="Arial"/>
          <w:sz w:val="24"/>
          <w:szCs w:val="24"/>
          <w:lang w:val="en-US"/>
        </w:rPr>
        <w:t xml:space="preserve"> &lt;</w:t>
      </w:r>
      <w:r w:rsidR="001500CE" w:rsidRPr="0036402F">
        <w:rPr>
          <w:rFonts w:ascii="Arial" w:hAnsi="Arial" w:cs="Arial"/>
          <w:sz w:val="24"/>
          <w:szCs w:val="24"/>
          <w:lang w:val="en-US"/>
        </w:rPr>
        <w:t>18.5 kg/m</w:t>
      </w:r>
      <w:r w:rsidR="001500CE" w:rsidRPr="0036402F">
        <w:rPr>
          <w:rFonts w:ascii="Arial" w:hAnsi="Arial" w:cs="Arial"/>
          <w:sz w:val="24"/>
          <w:szCs w:val="24"/>
          <w:vertAlign w:val="superscript"/>
          <w:lang w:val="en-US"/>
        </w:rPr>
        <w:t>2</w:t>
      </w:r>
      <w:r w:rsidR="005A3183" w:rsidRPr="0036402F">
        <w:rPr>
          <w:rFonts w:ascii="Arial" w:hAnsi="Arial" w:cs="Arial"/>
          <w:sz w:val="24"/>
          <w:szCs w:val="24"/>
          <w:lang w:val="en-US"/>
        </w:rPr>
        <w:t>),</w:t>
      </w:r>
      <w:r w:rsidR="00712328" w:rsidRPr="0036402F">
        <w:rPr>
          <w:rFonts w:ascii="Arial" w:hAnsi="Arial" w:cs="Arial"/>
          <w:sz w:val="24"/>
          <w:szCs w:val="24"/>
          <w:lang w:val="en-US"/>
        </w:rPr>
        <w:t xml:space="preserve"> normal </w:t>
      </w:r>
      <w:r w:rsidR="00834558" w:rsidRPr="0036402F">
        <w:rPr>
          <w:rFonts w:ascii="Arial" w:hAnsi="Arial" w:cs="Arial"/>
          <w:sz w:val="24"/>
          <w:szCs w:val="24"/>
          <w:lang w:val="en-US"/>
        </w:rPr>
        <w:t>weight</w:t>
      </w:r>
      <w:r w:rsidR="005A3183" w:rsidRPr="0036402F">
        <w:rPr>
          <w:rFonts w:ascii="Arial" w:hAnsi="Arial" w:cs="Arial"/>
          <w:sz w:val="24"/>
          <w:szCs w:val="24"/>
          <w:lang w:val="en-US"/>
        </w:rPr>
        <w:t xml:space="preserve"> </w:t>
      </w:r>
      <w:r w:rsidR="00A96A14" w:rsidRPr="0036402F">
        <w:rPr>
          <w:rFonts w:ascii="Arial" w:hAnsi="Arial" w:cs="Arial"/>
          <w:sz w:val="24"/>
          <w:szCs w:val="24"/>
          <w:lang w:val="en-US"/>
        </w:rPr>
        <w:t>(i.</w:t>
      </w:r>
      <w:r w:rsidR="00FD1A17" w:rsidRPr="0036402F">
        <w:rPr>
          <w:rFonts w:ascii="Arial" w:hAnsi="Arial" w:cs="Arial"/>
          <w:sz w:val="24"/>
          <w:szCs w:val="24"/>
          <w:lang w:val="en-US"/>
        </w:rPr>
        <w:t xml:space="preserve">e., </w:t>
      </w:r>
      <w:r w:rsidR="001E38D9" w:rsidRPr="0036402F">
        <w:rPr>
          <w:rFonts w:ascii="Arial" w:hAnsi="Arial" w:cs="Arial"/>
          <w:sz w:val="24"/>
          <w:szCs w:val="24"/>
          <w:lang w:val="en-US"/>
        </w:rPr>
        <w:t>BMI</w:t>
      </w:r>
      <w:r w:rsidR="00F81ADE" w:rsidRPr="0036402F">
        <w:rPr>
          <w:rFonts w:ascii="Arial" w:hAnsi="Arial" w:cs="Arial"/>
          <w:sz w:val="24"/>
          <w:szCs w:val="24"/>
          <w:lang w:val="en-US"/>
        </w:rPr>
        <w:t xml:space="preserve"> 18</w:t>
      </w:r>
      <w:r w:rsidR="004F0E6B" w:rsidRPr="0036402F">
        <w:rPr>
          <w:rFonts w:ascii="Arial" w:hAnsi="Arial" w:cs="Arial"/>
          <w:sz w:val="24"/>
          <w:szCs w:val="24"/>
          <w:lang w:val="en-US"/>
        </w:rPr>
        <w:t>.5-&lt;</w:t>
      </w:r>
      <w:r w:rsidR="003C5914" w:rsidRPr="0036402F">
        <w:rPr>
          <w:rFonts w:ascii="Arial" w:hAnsi="Arial" w:cs="Arial"/>
          <w:sz w:val="24"/>
          <w:szCs w:val="24"/>
          <w:lang w:val="en-US"/>
        </w:rPr>
        <w:t>25 kg/m</w:t>
      </w:r>
      <w:r w:rsidR="003C5914" w:rsidRPr="0036402F">
        <w:rPr>
          <w:rFonts w:ascii="Arial" w:hAnsi="Arial" w:cs="Arial"/>
          <w:sz w:val="24"/>
          <w:szCs w:val="24"/>
          <w:vertAlign w:val="superscript"/>
          <w:lang w:val="en-US"/>
        </w:rPr>
        <w:t>2</w:t>
      </w:r>
      <w:r w:rsidR="003C5914" w:rsidRPr="0036402F">
        <w:rPr>
          <w:rFonts w:ascii="Arial" w:hAnsi="Arial" w:cs="Arial"/>
          <w:sz w:val="24"/>
          <w:szCs w:val="24"/>
          <w:lang w:val="en-US"/>
        </w:rPr>
        <w:t>)</w:t>
      </w:r>
      <w:r w:rsidR="003B5C1B" w:rsidRPr="0036402F">
        <w:rPr>
          <w:rFonts w:ascii="Arial" w:hAnsi="Arial" w:cs="Arial"/>
          <w:sz w:val="24"/>
          <w:szCs w:val="24"/>
          <w:lang w:val="en-US"/>
        </w:rPr>
        <w:t xml:space="preserve">, overweight (i.e., </w:t>
      </w:r>
      <w:r w:rsidR="00DD5A9A" w:rsidRPr="0036402F">
        <w:rPr>
          <w:rFonts w:ascii="Arial" w:hAnsi="Arial" w:cs="Arial"/>
          <w:sz w:val="24"/>
          <w:szCs w:val="24"/>
          <w:lang w:val="en-US"/>
        </w:rPr>
        <w:t>BMI</w:t>
      </w:r>
      <w:r w:rsidR="006A05B4" w:rsidRPr="0036402F">
        <w:rPr>
          <w:rFonts w:ascii="Arial" w:hAnsi="Arial" w:cs="Arial"/>
          <w:sz w:val="24"/>
          <w:szCs w:val="24"/>
          <w:lang w:val="en-US"/>
        </w:rPr>
        <w:t xml:space="preserve"> </w:t>
      </w:r>
      <w:r w:rsidR="00E0009D" w:rsidRPr="0036402F">
        <w:rPr>
          <w:rFonts w:ascii="Arial" w:hAnsi="Arial" w:cs="Arial"/>
          <w:sz w:val="24"/>
          <w:szCs w:val="24"/>
          <w:lang w:val="en-US"/>
        </w:rPr>
        <w:t xml:space="preserve">25-&lt;30 </w:t>
      </w:r>
      <w:r w:rsidR="001546E3" w:rsidRPr="0036402F">
        <w:rPr>
          <w:rFonts w:ascii="Arial" w:hAnsi="Arial" w:cs="Arial"/>
          <w:sz w:val="24"/>
          <w:szCs w:val="24"/>
          <w:lang w:val="en-US"/>
        </w:rPr>
        <w:t>kg/m</w:t>
      </w:r>
      <w:r w:rsidR="001546E3" w:rsidRPr="0036402F">
        <w:rPr>
          <w:rFonts w:ascii="Arial" w:hAnsi="Arial" w:cs="Arial"/>
          <w:sz w:val="24"/>
          <w:szCs w:val="24"/>
          <w:vertAlign w:val="superscript"/>
          <w:lang w:val="en-US"/>
        </w:rPr>
        <w:t>2</w:t>
      </w:r>
      <w:r w:rsidR="001546E3" w:rsidRPr="0036402F">
        <w:rPr>
          <w:rFonts w:ascii="Arial" w:hAnsi="Arial" w:cs="Arial"/>
          <w:sz w:val="24"/>
          <w:szCs w:val="24"/>
          <w:lang w:val="en-US"/>
        </w:rPr>
        <w:t xml:space="preserve">), and obesity (i.e., </w:t>
      </w:r>
      <w:r w:rsidR="00DD5A9A" w:rsidRPr="0036402F">
        <w:rPr>
          <w:rFonts w:ascii="Arial" w:hAnsi="Arial" w:cs="Arial"/>
          <w:sz w:val="24"/>
          <w:szCs w:val="24"/>
          <w:lang w:val="en-US"/>
        </w:rPr>
        <w:t>BMI</w:t>
      </w:r>
      <w:r w:rsidR="00555F89" w:rsidRPr="0036402F">
        <w:rPr>
          <w:rFonts w:ascii="Arial" w:hAnsi="Arial" w:cs="Arial"/>
          <w:sz w:val="24"/>
          <w:szCs w:val="24"/>
          <w:lang w:val="en-US"/>
        </w:rPr>
        <w:t xml:space="preserve"> ≥30 kg/m</w:t>
      </w:r>
      <w:r w:rsidR="00555F89" w:rsidRPr="0036402F">
        <w:rPr>
          <w:rFonts w:ascii="Arial" w:hAnsi="Arial" w:cs="Arial"/>
          <w:sz w:val="24"/>
          <w:szCs w:val="24"/>
          <w:vertAlign w:val="superscript"/>
          <w:lang w:val="en-US"/>
        </w:rPr>
        <w:t>2</w:t>
      </w:r>
      <w:r w:rsidR="00555F89" w:rsidRPr="0036402F">
        <w:rPr>
          <w:rFonts w:ascii="Arial" w:hAnsi="Arial" w:cs="Arial"/>
          <w:sz w:val="24"/>
          <w:szCs w:val="24"/>
          <w:lang w:val="en-US"/>
        </w:rPr>
        <w:t>).</w:t>
      </w:r>
      <w:r w:rsidR="00805E04" w:rsidRPr="0036402F">
        <w:rPr>
          <w:rFonts w:ascii="Arial" w:hAnsi="Arial" w:cs="Arial"/>
          <w:sz w:val="24"/>
          <w:szCs w:val="24"/>
          <w:lang w:val="en-US"/>
        </w:rPr>
        <w:t xml:space="preserve"> Control variables included </w:t>
      </w:r>
      <w:r w:rsidR="0094122C" w:rsidRPr="0036402F">
        <w:rPr>
          <w:rFonts w:ascii="Arial" w:hAnsi="Arial" w:cs="Arial"/>
          <w:sz w:val="24"/>
          <w:szCs w:val="24"/>
          <w:lang w:val="en-US"/>
        </w:rPr>
        <w:t xml:space="preserve">age, sex </w:t>
      </w:r>
      <w:r w:rsidR="00AF5E29" w:rsidRPr="0036402F">
        <w:rPr>
          <w:rFonts w:ascii="Arial" w:hAnsi="Arial" w:cs="Arial"/>
          <w:sz w:val="24"/>
          <w:szCs w:val="24"/>
          <w:lang w:val="en-US"/>
        </w:rPr>
        <w:t xml:space="preserve">and comorbidities </w:t>
      </w:r>
      <w:r w:rsidR="000E5B0B" w:rsidRPr="0036402F">
        <w:rPr>
          <w:rFonts w:ascii="Arial" w:hAnsi="Arial" w:cs="Arial"/>
          <w:sz w:val="24"/>
          <w:szCs w:val="24"/>
          <w:lang w:val="en-US"/>
        </w:rPr>
        <w:t>documen</w:t>
      </w:r>
      <w:r w:rsidR="00AE49F0" w:rsidRPr="0036402F">
        <w:rPr>
          <w:rFonts w:ascii="Arial" w:hAnsi="Arial" w:cs="Arial"/>
          <w:sz w:val="24"/>
          <w:szCs w:val="24"/>
          <w:lang w:val="en-US"/>
        </w:rPr>
        <w:t xml:space="preserve">ted in the five years prior to the diagnosis of </w:t>
      </w:r>
      <w:r w:rsidR="009E4533" w:rsidRPr="0036402F">
        <w:rPr>
          <w:rFonts w:ascii="Arial" w:hAnsi="Arial" w:cs="Arial"/>
          <w:sz w:val="24"/>
          <w:szCs w:val="24"/>
          <w:lang w:val="en-US"/>
        </w:rPr>
        <w:t>dementia or the end of follo</w:t>
      </w:r>
      <w:r w:rsidR="00A40A2F" w:rsidRPr="0036402F">
        <w:rPr>
          <w:rFonts w:ascii="Arial" w:hAnsi="Arial" w:cs="Arial"/>
          <w:sz w:val="24"/>
          <w:szCs w:val="24"/>
          <w:lang w:val="en-US"/>
        </w:rPr>
        <w:t xml:space="preserve">w-up. These </w:t>
      </w:r>
      <w:r w:rsidR="004D7B61" w:rsidRPr="0036402F">
        <w:rPr>
          <w:rFonts w:ascii="Arial" w:hAnsi="Arial" w:cs="Arial"/>
          <w:sz w:val="24"/>
          <w:szCs w:val="24"/>
          <w:lang w:val="en-US"/>
        </w:rPr>
        <w:t xml:space="preserve">comorbidities were </w:t>
      </w:r>
      <w:r w:rsidR="00B42617" w:rsidRPr="0036402F">
        <w:rPr>
          <w:rFonts w:ascii="Arial" w:hAnsi="Arial" w:cs="Arial"/>
          <w:sz w:val="24"/>
          <w:szCs w:val="24"/>
          <w:lang w:val="en-US"/>
        </w:rPr>
        <w:t>hypertension (ICD-10:</w:t>
      </w:r>
      <w:r w:rsidR="00311A77" w:rsidRPr="0036402F">
        <w:rPr>
          <w:rFonts w:ascii="Arial" w:hAnsi="Arial" w:cs="Arial"/>
          <w:sz w:val="24"/>
          <w:szCs w:val="24"/>
          <w:lang w:val="en-US"/>
        </w:rPr>
        <w:t xml:space="preserve"> I</w:t>
      </w:r>
      <w:r w:rsidR="00AF1D19" w:rsidRPr="0036402F">
        <w:rPr>
          <w:rFonts w:ascii="Arial" w:hAnsi="Arial" w:cs="Arial"/>
          <w:sz w:val="24"/>
          <w:szCs w:val="24"/>
          <w:lang w:val="en-US"/>
        </w:rPr>
        <w:t xml:space="preserve">10), </w:t>
      </w:r>
      <w:r w:rsidR="00CE6A6F" w:rsidRPr="0036402F">
        <w:rPr>
          <w:rFonts w:ascii="Arial" w:hAnsi="Arial" w:cs="Arial"/>
          <w:sz w:val="24"/>
          <w:szCs w:val="24"/>
          <w:lang w:val="en-US"/>
        </w:rPr>
        <w:t>lipid metabolism disorders (ICD-10:</w:t>
      </w:r>
      <w:r w:rsidR="00DB093E" w:rsidRPr="0036402F">
        <w:rPr>
          <w:rFonts w:ascii="Arial" w:hAnsi="Arial" w:cs="Arial"/>
          <w:sz w:val="24"/>
          <w:szCs w:val="24"/>
          <w:lang w:val="en-US"/>
        </w:rPr>
        <w:t xml:space="preserve"> E78),</w:t>
      </w:r>
      <w:r w:rsidR="00CE6A6F" w:rsidRPr="0036402F">
        <w:rPr>
          <w:rFonts w:ascii="Arial" w:hAnsi="Arial" w:cs="Arial"/>
          <w:sz w:val="24"/>
          <w:szCs w:val="24"/>
          <w:lang w:val="en-US"/>
        </w:rPr>
        <w:t xml:space="preserve"> </w:t>
      </w:r>
      <w:r w:rsidR="00825AF3" w:rsidRPr="0036402F">
        <w:rPr>
          <w:rFonts w:ascii="Arial" w:hAnsi="Arial" w:cs="Arial"/>
          <w:sz w:val="24"/>
          <w:szCs w:val="24"/>
          <w:lang w:val="en-US"/>
        </w:rPr>
        <w:t>diabetes mellitus (ICD-10:</w:t>
      </w:r>
      <w:r w:rsidR="00517F43" w:rsidRPr="0036402F">
        <w:rPr>
          <w:rFonts w:ascii="Arial" w:hAnsi="Arial" w:cs="Arial"/>
          <w:sz w:val="24"/>
          <w:szCs w:val="24"/>
          <w:lang w:val="en-US"/>
        </w:rPr>
        <w:t xml:space="preserve"> E</w:t>
      </w:r>
      <w:r w:rsidR="00BF6E21" w:rsidRPr="0036402F">
        <w:rPr>
          <w:rFonts w:ascii="Arial" w:hAnsi="Arial" w:cs="Arial"/>
          <w:sz w:val="24"/>
          <w:szCs w:val="24"/>
          <w:lang w:val="en-US"/>
        </w:rPr>
        <w:t>10-E14),</w:t>
      </w:r>
      <w:r w:rsidR="00825AF3" w:rsidRPr="0036402F">
        <w:rPr>
          <w:rFonts w:ascii="Arial" w:hAnsi="Arial" w:cs="Arial"/>
          <w:sz w:val="24"/>
          <w:szCs w:val="24"/>
          <w:lang w:val="en-US"/>
        </w:rPr>
        <w:t xml:space="preserve"> </w:t>
      </w:r>
      <w:r w:rsidR="00BC010C" w:rsidRPr="0036402F">
        <w:rPr>
          <w:rFonts w:ascii="Arial" w:hAnsi="Arial" w:cs="Arial"/>
          <w:sz w:val="24"/>
          <w:szCs w:val="24"/>
          <w:lang w:val="en-US"/>
        </w:rPr>
        <w:t xml:space="preserve">ischemic </w:t>
      </w:r>
      <w:r w:rsidR="00BC010C" w:rsidRPr="0036402F">
        <w:rPr>
          <w:rFonts w:ascii="Arial" w:hAnsi="Arial" w:cs="Arial"/>
          <w:sz w:val="24"/>
          <w:szCs w:val="24"/>
          <w:lang w:val="en-US"/>
        </w:rPr>
        <w:lastRenderedPageBreak/>
        <w:t xml:space="preserve">heart diseases </w:t>
      </w:r>
      <w:r w:rsidR="00F97909" w:rsidRPr="0036402F">
        <w:rPr>
          <w:rFonts w:ascii="Arial" w:hAnsi="Arial" w:cs="Arial"/>
          <w:sz w:val="24"/>
          <w:szCs w:val="24"/>
          <w:lang w:val="en-US"/>
        </w:rPr>
        <w:t>(ICD-10:</w:t>
      </w:r>
      <w:r w:rsidR="00CA2103" w:rsidRPr="0036402F">
        <w:rPr>
          <w:rFonts w:ascii="Arial" w:hAnsi="Arial" w:cs="Arial"/>
          <w:sz w:val="24"/>
          <w:szCs w:val="24"/>
          <w:lang w:val="en-US"/>
        </w:rPr>
        <w:t xml:space="preserve"> I20-I25), </w:t>
      </w:r>
      <w:r w:rsidR="0051303F" w:rsidRPr="0036402F">
        <w:rPr>
          <w:rFonts w:ascii="Arial" w:hAnsi="Arial" w:cs="Arial"/>
          <w:sz w:val="24"/>
          <w:szCs w:val="24"/>
          <w:lang w:val="en-US"/>
        </w:rPr>
        <w:t>depression (ICD-10:</w:t>
      </w:r>
      <w:r w:rsidR="00952ED2" w:rsidRPr="0036402F">
        <w:rPr>
          <w:rFonts w:ascii="Arial" w:hAnsi="Arial" w:cs="Arial"/>
          <w:sz w:val="24"/>
          <w:szCs w:val="24"/>
          <w:lang w:val="en-US"/>
        </w:rPr>
        <w:t xml:space="preserve"> F32 and F33),</w:t>
      </w:r>
      <w:r w:rsidR="0051303F" w:rsidRPr="0036402F">
        <w:rPr>
          <w:rFonts w:ascii="Arial" w:hAnsi="Arial" w:cs="Arial"/>
          <w:sz w:val="24"/>
          <w:szCs w:val="24"/>
          <w:lang w:val="en-US"/>
        </w:rPr>
        <w:t xml:space="preserve"> stroke </w:t>
      </w:r>
      <w:r w:rsidR="005864CD" w:rsidRPr="0036402F">
        <w:rPr>
          <w:rFonts w:ascii="Arial" w:hAnsi="Arial" w:cs="Arial"/>
          <w:sz w:val="24"/>
          <w:szCs w:val="24"/>
          <w:lang w:val="en-US"/>
        </w:rPr>
        <w:t xml:space="preserve">or transient ischemic attack </w:t>
      </w:r>
      <w:r w:rsidR="00F81C04" w:rsidRPr="0036402F">
        <w:rPr>
          <w:rFonts w:ascii="Arial" w:hAnsi="Arial" w:cs="Arial"/>
          <w:sz w:val="24"/>
          <w:szCs w:val="24"/>
          <w:lang w:val="en-US"/>
        </w:rPr>
        <w:t>(ICD-10:</w:t>
      </w:r>
      <w:r w:rsidR="00B60BBA" w:rsidRPr="0036402F">
        <w:rPr>
          <w:rFonts w:ascii="Arial" w:hAnsi="Arial" w:cs="Arial"/>
          <w:sz w:val="24"/>
          <w:szCs w:val="24"/>
          <w:lang w:val="en-US"/>
        </w:rPr>
        <w:t xml:space="preserve"> I63, I64 and G45),</w:t>
      </w:r>
      <w:r w:rsidR="00F81C04" w:rsidRPr="0036402F">
        <w:rPr>
          <w:rFonts w:ascii="Arial" w:hAnsi="Arial" w:cs="Arial"/>
          <w:sz w:val="24"/>
          <w:szCs w:val="24"/>
          <w:lang w:val="en-US"/>
        </w:rPr>
        <w:t xml:space="preserve"> </w:t>
      </w:r>
      <w:r w:rsidR="006E176C" w:rsidRPr="0036402F">
        <w:rPr>
          <w:rFonts w:ascii="Arial" w:hAnsi="Arial" w:cs="Arial"/>
          <w:sz w:val="24"/>
          <w:szCs w:val="24"/>
          <w:lang w:val="en-US"/>
        </w:rPr>
        <w:t xml:space="preserve">chronic obstructive </w:t>
      </w:r>
      <w:r w:rsidR="00126600" w:rsidRPr="0036402F">
        <w:rPr>
          <w:rFonts w:ascii="Arial" w:hAnsi="Arial" w:cs="Arial"/>
          <w:sz w:val="24"/>
          <w:szCs w:val="24"/>
          <w:lang w:val="en-US"/>
        </w:rPr>
        <w:t xml:space="preserve">bronchitis </w:t>
      </w:r>
      <w:r w:rsidR="00593026" w:rsidRPr="0036402F">
        <w:rPr>
          <w:rFonts w:ascii="Arial" w:hAnsi="Arial" w:cs="Arial"/>
          <w:sz w:val="24"/>
          <w:szCs w:val="24"/>
          <w:lang w:val="en-US"/>
        </w:rPr>
        <w:t>or lung disease (ICD-10:</w:t>
      </w:r>
      <w:r w:rsidR="00D4076A" w:rsidRPr="0036402F">
        <w:rPr>
          <w:rFonts w:ascii="Arial" w:hAnsi="Arial" w:cs="Arial"/>
          <w:sz w:val="24"/>
          <w:szCs w:val="24"/>
          <w:lang w:val="en-US"/>
        </w:rPr>
        <w:t xml:space="preserve"> J42-J44), </w:t>
      </w:r>
      <w:r w:rsidR="006A419B" w:rsidRPr="0036402F">
        <w:rPr>
          <w:rFonts w:ascii="Arial" w:hAnsi="Arial" w:cs="Arial"/>
          <w:sz w:val="24"/>
          <w:szCs w:val="24"/>
          <w:lang w:val="en-US"/>
        </w:rPr>
        <w:t>heart failure (ICD-10:</w:t>
      </w:r>
      <w:r w:rsidR="0008715E" w:rsidRPr="0036402F">
        <w:rPr>
          <w:rFonts w:ascii="Arial" w:hAnsi="Arial" w:cs="Arial"/>
          <w:sz w:val="24"/>
          <w:szCs w:val="24"/>
          <w:lang w:val="en-US"/>
        </w:rPr>
        <w:t xml:space="preserve"> I50),</w:t>
      </w:r>
      <w:r w:rsidR="006A419B" w:rsidRPr="0036402F">
        <w:rPr>
          <w:rFonts w:ascii="Arial" w:hAnsi="Arial" w:cs="Arial"/>
          <w:sz w:val="24"/>
          <w:szCs w:val="24"/>
          <w:lang w:val="en-US"/>
        </w:rPr>
        <w:t xml:space="preserve"> </w:t>
      </w:r>
      <w:r w:rsidR="001B30FE" w:rsidRPr="0036402F">
        <w:rPr>
          <w:rFonts w:ascii="Arial" w:hAnsi="Arial" w:cs="Arial"/>
          <w:sz w:val="24"/>
          <w:szCs w:val="24"/>
          <w:lang w:val="en-US"/>
        </w:rPr>
        <w:t>renal failure (ICD-1</w:t>
      </w:r>
      <w:r w:rsidR="0071176D" w:rsidRPr="0036402F">
        <w:rPr>
          <w:rFonts w:ascii="Arial" w:hAnsi="Arial" w:cs="Arial"/>
          <w:sz w:val="24"/>
          <w:szCs w:val="24"/>
          <w:lang w:val="en-US"/>
        </w:rPr>
        <w:t xml:space="preserve">0: </w:t>
      </w:r>
      <w:r w:rsidR="00D859DF" w:rsidRPr="0036402F">
        <w:rPr>
          <w:rFonts w:ascii="Arial" w:hAnsi="Arial" w:cs="Arial"/>
          <w:sz w:val="24"/>
          <w:szCs w:val="24"/>
          <w:lang w:val="en-US"/>
        </w:rPr>
        <w:t xml:space="preserve">N18 and N19), </w:t>
      </w:r>
      <w:r w:rsidR="008710DB" w:rsidRPr="0036402F">
        <w:rPr>
          <w:rFonts w:ascii="Arial" w:hAnsi="Arial" w:cs="Arial"/>
          <w:sz w:val="24"/>
          <w:szCs w:val="24"/>
          <w:lang w:val="en-US"/>
        </w:rPr>
        <w:t xml:space="preserve">chronic liver diseases (ICD-10: </w:t>
      </w:r>
      <w:r w:rsidR="00940936" w:rsidRPr="0036402F">
        <w:rPr>
          <w:rFonts w:ascii="Arial" w:hAnsi="Arial" w:cs="Arial"/>
          <w:sz w:val="24"/>
          <w:szCs w:val="24"/>
          <w:lang w:val="en-US"/>
        </w:rPr>
        <w:t xml:space="preserve">B18 and K70-K77), </w:t>
      </w:r>
      <w:r w:rsidR="0051180B" w:rsidRPr="0036402F">
        <w:rPr>
          <w:rFonts w:ascii="Arial" w:hAnsi="Arial" w:cs="Arial"/>
          <w:sz w:val="24"/>
          <w:szCs w:val="24"/>
          <w:lang w:val="en-US"/>
        </w:rPr>
        <w:t>neck</w:t>
      </w:r>
      <w:r w:rsidR="004644C0" w:rsidRPr="0036402F">
        <w:rPr>
          <w:rFonts w:ascii="Arial" w:hAnsi="Arial" w:cs="Arial"/>
          <w:sz w:val="24"/>
          <w:szCs w:val="24"/>
          <w:lang w:val="en-US"/>
        </w:rPr>
        <w:t xml:space="preserve"> o</w:t>
      </w:r>
      <w:r w:rsidR="00AB2B0F" w:rsidRPr="0036402F">
        <w:rPr>
          <w:rFonts w:ascii="Arial" w:hAnsi="Arial" w:cs="Arial"/>
          <w:sz w:val="24"/>
          <w:szCs w:val="24"/>
          <w:lang w:val="en-US"/>
        </w:rPr>
        <w:t>f</w:t>
      </w:r>
      <w:r w:rsidR="004644C0" w:rsidRPr="0036402F">
        <w:rPr>
          <w:rFonts w:ascii="Arial" w:hAnsi="Arial" w:cs="Arial"/>
          <w:sz w:val="24"/>
          <w:szCs w:val="24"/>
          <w:lang w:val="en-US"/>
        </w:rPr>
        <w:t xml:space="preserve"> femur fracture</w:t>
      </w:r>
      <w:r w:rsidR="0020589D" w:rsidRPr="0036402F">
        <w:rPr>
          <w:rFonts w:ascii="Arial" w:hAnsi="Arial" w:cs="Arial"/>
          <w:sz w:val="24"/>
          <w:szCs w:val="24"/>
          <w:lang w:val="en-US"/>
        </w:rPr>
        <w:t xml:space="preserve"> (</w:t>
      </w:r>
      <w:r w:rsidR="004644C0" w:rsidRPr="0036402F">
        <w:rPr>
          <w:rFonts w:ascii="Arial" w:hAnsi="Arial" w:cs="Arial"/>
          <w:sz w:val="24"/>
          <w:szCs w:val="24"/>
          <w:lang w:val="en-US"/>
        </w:rPr>
        <w:t xml:space="preserve">ICD-10: </w:t>
      </w:r>
      <w:r w:rsidR="000B29E7" w:rsidRPr="0036402F">
        <w:rPr>
          <w:rFonts w:ascii="Arial" w:hAnsi="Arial" w:cs="Arial"/>
          <w:sz w:val="24"/>
          <w:szCs w:val="24"/>
          <w:lang w:val="en-US"/>
        </w:rPr>
        <w:t>S72</w:t>
      </w:r>
      <w:r w:rsidR="0020589D" w:rsidRPr="0036402F">
        <w:rPr>
          <w:rFonts w:ascii="Arial" w:hAnsi="Arial" w:cs="Arial"/>
          <w:sz w:val="24"/>
          <w:szCs w:val="24"/>
          <w:lang w:val="en-US"/>
        </w:rPr>
        <w:t>.0</w:t>
      </w:r>
      <w:r w:rsidR="000B29E7" w:rsidRPr="0036402F">
        <w:rPr>
          <w:rFonts w:ascii="Arial" w:hAnsi="Arial" w:cs="Arial"/>
          <w:sz w:val="24"/>
          <w:szCs w:val="24"/>
          <w:lang w:val="en-US"/>
        </w:rPr>
        <w:t xml:space="preserve">), </w:t>
      </w:r>
      <w:r w:rsidR="006A419B" w:rsidRPr="0036402F">
        <w:rPr>
          <w:rFonts w:ascii="Arial" w:hAnsi="Arial" w:cs="Arial"/>
          <w:sz w:val="24"/>
          <w:szCs w:val="24"/>
          <w:lang w:val="en-US"/>
        </w:rPr>
        <w:t>epilepsy (ICD-10:</w:t>
      </w:r>
      <w:r w:rsidR="004D055B" w:rsidRPr="0036402F">
        <w:rPr>
          <w:rFonts w:ascii="Arial" w:hAnsi="Arial" w:cs="Arial"/>
          <w:sz w:val="24"/>
          <w:szCs w:val="24"/>
          <w:lang w:val="en-US"/>
        </w:rPr>
        <w:t xml:space="preserve"> G40 and G41), </w:t>
      </w:r>
      <w:r w:rsidR="00411CC8" w:rsidRPr="0036402F">
        <w:rPr>
          <w:rFonts w:ascii="Arial" w:hAnsi="Arial" w:cs="Arial"/>
          <w:sz w:val="24"/>
          <w:szCs w:val="24"/>
          <w:lang w:val="en-US"/>
        </w:rPr>
        <w:t xml:space="preserve">inflammatory bowel </w:t>
      </w:r>
      <w:r w:rsidR="00BB35DC" w:rsidRPr="0036402F">
        <w:rPr>
          <w:rFonts w:ascii="Arial" w:hAnsi="Arial" w:cs="Arial"/>
          <w:sz w:val="24"/>
          <w:szCs w:val="24"/>
          <w:lang w:val="en-US"/>
        </w:rPr>
        <w:t xml:space="preserve">disease (ICD-10: </w:t>
      </w:r>
      <w:r w:rsidR="008D44D9" w:rsidRPr="0036402F">
        <w:rPr>
          <w:rFonts w:ascii="Arial" w:hAnsi="Arial" w:cs="Arial"/>
          <w:sz w:val="24"/>
          <w:szCs w:val="24"/>
          <w:lang w:val="en-US"/>
        </w:rPr>
        <w:t xml:space="preserve">K50 and K51), </w:t>
      </w:r>
      <w:r w:rsidR="00C974F3" w:rsidRPr="0036402F">
        <w:rPr>
          <w:rFonts w:ascii="Arial" w:hAnsi="Arial" w:cs="Arial"/>
          <w:sz w:val="24"/>
          <w:szCs w:val="24"/>
          <w:lang w:val="en-US"/>
        </w:rPr>
        <w:t xml:space="preserve">and </w:t>
      </w:r>
      <w:r w:rsidR="005E1617" w:rsidRPr="0036402F">
        <w:rPr>
          <w:rFonts w:ascii="Arial" w:hAnsi="Arial" w:cs="Arial"/>
          <w:sz w:val="24"/>
          <w:szCs w:val="24"/>
          <w:lang w:val="en-US"/>
        </w:rPr>
        <w:t>mild cognitive impairment (ICD-10:</w:t>
      </w:r>
      <w:r w:rsidR="00166797" w:rsidRPr="0036402F">
        <w:rPr>
          <w:rFonts w:ascii="Arial" w:hAnsi="Arial" w:cs="Arial"/>
          <w:sz w:val="24"/>
          <w:szCs w:val="24"/>
          <w:lang w:val="en-US"/>
        </w:rPr>
        <w:t xml:space="preserve"> F06.7)</w:t>
      </w:r>
      <w:r w:rsidR="008B0DBD" w:rsidRPr="0036402F">
        <w:rPr>
          <w:rFonts w:ascii="Arial" w:hAnsi="Arial" w:cs="Arial"/>
          <w:sz w:val="24"/>
          <w:szCs w:val="24"/>
          <w:lang w:val="en-US"/>
        </w:rPr>
        <w:t>.</w:t>
      </w:r>
    </w:p>
    <w:p w14:paraId="43B154B0" w14:textId="050AAAE6" w:rsidR="00DF32F5" w:rsidRPr="0036402F" w:rsidRDefault="00DF32F5" w:rsidP="003C41AC">
      <w:pPr>
        <w:spacing w:line="480" w:lineRule="auto"/>
        <w:jc w:val="both"/>
        <w:rPr>
          <w:rFonts w:ascii="Arial" w:hAnsi="Arial" w:cs="Arial"/>
          <w:sz w:val="24"/>
          <w:szCs w:val="24"/>
          <w:lang w:val="en-US"/>
        </w:rPr>
      </w:pPr>
    </w:p>
    <w:p w14:paraId="054AED8F" w14:textId="6A551EB0" w:rsidR="00DF32F5" w:rsidRPr="0036402F" w:rsidRDefault="00774AD2" w:rsidP="00346A37">
      <w:pPr>
        <w:pStyle w:val="Heading2"/>
      </w:pPr>
      <w:r w:rsidRPr="0036402F">
        <w:t xml:space="preserve">Statistical </w:t>
      </w:r>
      <w:r w:rsidR="00186C4E" w:rsidRPr="0036402F">
        <w:t>analyses</w:t>
      </w:r>
    </w:p>
    <w:p w14:paraId="5E873AC0" w14:textId="1F379BBB" w:rsidR="00186C4E" w:rsidRPr="0036402F" w:rsidRDefault="00E340E3" w:rsidP="003C41AC">
      <w:pPr>
        <w:spacing w:line="480" w:lineRule="auto"/>
        <w:jc w:val="both"/>
        <w:rPr>
          <w:rFonts w:ascii="Arial" w:hAnsi="Arial" w:cs="Arial"/>
          <w:sz w:val="24"/>
          <w:szCs w:val="24"/>
          <w:lang w:val="en-US"/>
        </w:rPr>
      </w:pPr>
      <w:r w:rsidRPr="0036402F">
        <w:rPr>
          <w:rFonts w:ascii="Arial" w:hAnsi="Arial" w:cs="Arial"/>
          <w:sz w:val="24"/>
          <w:szCs w:val="24"/>
          <w:lang w:val="en-US"/>
        </w:rPr>
        <w:t>Age</w:t>
      </w:r>
      <w:r w:rsidR="00357065" w:rsidRPr="0036402F">
        <w:rPr>
          <w:rFonts w:ascii="Arial" w:hAnsi="Arial" w:cs="Arial"/>
          <w:sz w:val="24"/>
          <w:szCs w:val="24"/>
          <w:lang w:val="en-US"/>
        </w:rPr>
        <w:t xml:space="preserve"> at index date</w:t>
      </w:r>
      <w:r w:rsidRPr="0036402F">
        <w:rPr>
          <w:rFonts w:ascii="Arial" w:hAnsi="Arial" w:cs="Arial"/>
          <w:sz w:val="24"/>
          <w:szCs w:val="24"/>
          <w:lang w:val="en-US"/>
        </w:rPr>
        <w:t xml:space="preserve">, sex </w:t>
      </w:r>
      <w:r w:rsidR="00357065" w:rsidRPr="0036402F">
        <w:rPr>
          <w:rFonts w:ascii="Arial" w:hAnsi="Arial" w:cs="Arial"/>
          <w:sz w:val="24"/>
          <w:szCs w:val="24"/>
          <w:lang w:val="en-US"/>
        </w:rPr>
        <w:t xml:space="preserve">and comorbidities </w:t>
      </w:r>
      <w:r w:rsidR="00B62BE6" w:rsidRPr="0036402F">
        <w:rPr>
          <w:rFonts w:ascii="Arial" w:hAnsi="Arial" w:cs="Arial"/>
          <w:sz w:val="24"/>
          <w:szCs w:val="24"/>
          <w:lang w:val="en-US"/>
        </w:rPr>
        <w:t xml:space="preserve">were compared </w:t>
      </w:r>
      <w:r w:rsidR="00143C67" w:rsidRPr="0036402F">
        <w:rPr>
          <w:rFonts w:ascii="Arial" w:hAnsi="Arial" w:cs="Arial"/>
          <w:sz w:val="24"/>
          <w:szCs w:val="24"/>
          <w:lang w:val="en-US"/>
        </w:rPr>
        <w:t xml:space="preserve">between BMI categories (i.e., </w:t>
      </w:r>
      <w:r w:rsidR="00E262D9" w:rsidRPr="0036402F">
        <w:rPr>
          <w:rFonts w:ascii="Arial" w:hAnsi="Arial" w:cs="Arial"/>
          <w:sz w:val="24"/>
          <w:szCs w:val="24"/>
          <w:lang w:val="en-US"/>
        </w:rPr>
        <w:t xml:space="preserve">underweight, normal weight, overweight, and obesity) using </w:t>
      </w:r>
      <w:r w:rsidR="008E143C" w:rsidRPr="0036402F">
        <w:rPr>
          <w:rFonts w:ascii="Arial" w:hAnsi="Arial" w:cs="Arial"/>
          <w:sz w:val="24"/>
          <w:szCs w:val="24"/>
          <w:lang w:val="en-US"/>
        </w:rPr>
        <w:t>the</w:t>
      </w:r>
      <w:r w:rsidR="00DF2F0C" w:rsidRPr="0036402F">
        <w:rPr>
          <w:rFonts w:ascii="Arial" w:hAnsi="Arial" w:cs="Arial"/>
          <w:sz w:val="24"/>
          <w:szCs w:val="24"/>
          <w:lang w:val="en-US"/>
        </w:rPr>
        <w:t xml:space="preserve"> </w:t>
      </w:r>
      <w:r w:rsidR="00F468BB" w:rsidRPr="0036402F">
        <w:rPr>
          <w:rFonts w:ascii="Arial" w:hAnsi="Arial" w:cs="Arial"/>
          <w:sz w:val="24"/>
          <w:szCs w:val="24"/>
          <w:lang w:val="en-US"/>
        </w:rPr>
        <w:t>Kruskal-</w:t>
      </w:r>
      <w:proofErr w:type="gramStart"/>
      <w:r w:rsidR="00F468BB" w:rsidRPr="0036402F">
        <w:rPr>
          <w:rFonts w:ascii="Arial" w:hAnsi="Arial" w:cs="Arial"/>
          <w:sz w:val="24"/>
          <w:szCs w:val="24"/>
          <w:lang w:val="en-US"/>
        </w:rPr>
        <w:t>Wallis</w:t>
      </w:r>
      <w:proofErr w:type="gramEnd"/>
      <w:r w:rsidR="00B57228" w:rsidRPr="0036402F">
        <w:rPr>
          <w:rFonts w:ascii="Arial" w:hAnsi="Arial" w:cs="Arial"/>
          <w:sz w:val="24"/>
          <w:szCs w:val="24"/>
          <w:lang w:val="en-US"/>
        </w:rPr>
        <w:t xml:space="preserve"> test for </w:t>
      </w:r>
      <w:r w:rsidR="002345AD" w:rsidRPr="0036402F">
        <w:rPr>
          <w:rFonts w:ascii="Arial" w:hAnsi="Arial" w:cs="Arial"/>
          <w:sz w:val="24"/>
          <w:szCs w:val="24"/>
          <w:lang w:val="en-US"/>
        </w:rPr>
        <w:t>continuous</w:t>
      </w:r>
      <w:r w:rsidR="00B57228" w:rsidRPr="0036402F">
        <w:rPr>
          <w:rFonts w:ascii="Arial" w:hAnsi="Arial" w:cs="Arial"/>
          <w:sz w:val="24"/>
          <w:szCs w:val="24"/>
          <w:lang w:val="en-US"/>
        </w:rPr>
        <w:t xml:space="preserve"> age </w:t>
      </w:r>
      <w:r w:rsidR="002345AD" w:rsidRPr="0036402F">
        <w:rPr>
          <w:rFonts w:ascii="Arial" w:hAnsi="Arial" w:cs="Arial"/>
          <w:sz w:val="24"/>
          <w:szCs w:val="24"/>
          <w:lang w:val="en-US"/>
        </w:rPr>
        <w:t>and chi-square</w:t>
      </w:r>
      <w:r w:rsidR="00C53C71" w:rsidRPr="0036402F">
        <w:rPr>
          <w:rFonts w:ascii="Arial" w:hAnsi="Arial" w:cs="Arial"/>
          <w:sz w:val="24"/>
          <w:szCs w:val="24"/>
          <w:lang w:val="en-US"/>
        </w:rPr>
        <w:t xml:space="preserve"> </w:t>
      </w:r>
      <w:r w:rsidR="002345AD" w:rsidRPr="0036402F">
        <w:rPr>
          <w:rFonts w:ascii="Arial" w:hAnsi="Arial" w:cs="Arial"/>
          <w:sz w:val="24"/>
          <w:szCs w:val="24"/>
          <w:lang w:val="en-US"/>
        </w:rPr>
        <w:t xml:space="preserve">tests </w:t>
      </w:r>
      <w:r w:rsidR="009B5EE2" w:rsidRPr="0036402F">
        <w:rPr>
          <w:rFonts w:ascii="Arial" w:hAnsi="Arial" w:cs="Arial"/>
          <w:sz w:val="24"/>
          <w:szCs w:val="24"/>
          <w:lang w:val="en-US"/>
        </w:rPr>
        <w:t>for other variables.</w:t>
      </w:r>
      <w:r w:rsidR="009E306F" w:rsidRPr="0036402F">
        <w:rPr>
          <w:rFonts w:ascii="Arial" w:hAnsi="Arial" w:cs="Arial"/>
          <w:sz w:val="24"/>
          <w:szCs w:val="24"/>
          <w:lang w:val="en-US"/>
        </w:rPr>
        <w:t xml:space="preserve"> The 10-year incidence of dementia by </w:t>
      </w:r>
      <w:r w:rsidR="00B65282" w:rsidRPr="0036402F">
        <w:rPr>
          <w:rFonts w:ascii="Arial" w:hAnsi="Arial" w:cs="Arial"/>
          <w:sz w:val="24"/>
          <w:szCs w:val="24"/>
          <w:lang w:val="en-US"/>
        </w:rPr>
        <w:t xml:space="preserve">BMI </w:t>
      </w:r>
      <w:r w:rsidR="00413A38" w:rsidRPr="0036402F">
        <w:rPr>
          <w:rFonts w:ascii="Arial" w:hAnsi="Arial" w:cs="Arial"/>
          <w:sz w:val="24"/>
          <w:szCs w:val="24"/>
          <w:lang w:val="en-US"/>
        </w:rPr>
        <w:t xml:space="preserve">category </w:t>
      </w:r>
      <w:r w:rsidR="00B65282" w:rsidRPr="0036402F">
        <w:rPr>
          <w:rFonts w:ascii="Arial" w:hAnsi="Arial" w:cs="Arial"/>
          <w:sz w:val="24"/>
          <w:szCs w:val="24"/>
          <w:lang w:val="en-US"/>
        </w:rPr>
        <w:t xml:space="preserve">was further studied </w:t>
      </w:r>
      <w:r w:rsidR="00413A38" w:rsidRPr="0036402F">
        <w:rPr>
          <w:rFonts w:ascii="Arial" w:hAnsi="Arial" w:cs="Arial"/>
          <w:sz w:val="24"/>
          <w:szCs w:val="24"/>
          <w:lang w:val="en-US"/>
        </w:rPr>
        <w:t xml:space="preserve">in the whole sample, women and men </w:t>
      </w:r>
      <w:r w:rsidR="009625AE" w:rsidRPr="0036402F">
        <w:rPr>
          <w:rFonts w:ascii="Arial" w:hAnsi="Arial" w:cs="Arial"/>
          <w:sz w:val="24"/>
          <w:szCs w:val="24"/>
          <w:lang w:val="en-US"/>
        </w:rPr>
        <w:t>using Kaplan-Meier curves</w:t>
      </w:r>
      <w:r w:rsidR="00A27204" w:rsidRPr="0036402F">
        <w:rPr>
          <w:rFonts w:ascii="Arial" w:hAnsi="Arial" w:cs="Arial"/>
          <w:sz w:val="24"/>
          <w:szCs w:val="24"/>
          <w:lang w:val="en-US"/>
        </w:rPr>
        <w:t xml:space="preserve"> and log-rank tests</w:t>
      </w:r>
      <w:r w:rsidR="009625AE" w:rsidRPr="0036402F">
        <w:rPr>
          <w:rFonts w:ascii="Arial" w:hAnsi="Arial" w:cs="Arial"/>
          <w:sz w:val="24"/>
          <w:szCs w:val="24"/>
          <w:lang w:val="en-US"/>
        </w:rPr>
        <w:t xml:space="preserve">. </w:t>
      </w:r>
      <w:r w:rsidR="003F2083" w:rsidRPr="0036402F">
        <w:rPr>
          <w:rFonts w:ascii="Arial" w:hAnsi="Arial" w:cs="Arial"/>
          <w:sz w:val="24"/>
          <w:szCs w:val="24"/>
          <w:lang w:val="en-US"/>
        </w:rPr>
        <w:t xml:space="preserve">Finally, </w:t>
      </w:r>
      <w:r w:rsidR="00382640" w:rsidRPr="0036402F">
        <w:rPr>
          <w:rFonts w:ascii="Arial" w:hAnsi="Arial" w:cs="Arial"/>
          <w:sz w:val="24"/>
          <w:szCs w:val="24"/>
          <w:lang w:val="en-US"/>
        </w:rPr>
        <w:t>association</w:t>
      </w:r>
      <w:r w:rsidR="00A81E1E" w:rsidRPr="0036402F">
        <w:rPr>
          <w:rFonts w:ascii="Arial" w:hAnsi="Arial" w:cs="Arial"/>
          <w:sz w:val="24"/>
          <w:szCs w:val="24"/>
          <w:lang w:val="en-US"/>
        </w:rPr>
        <w:t>s</w:t>
      </w:r>
      <w:r w:rsidR="00382640" w:rsidRPr="0036402F">
        <w:rPr>
          <w:rFonts w:ascii="Arial" w:hAnsi="Arial" w:cs="Arial"/>
          <w:sz w:val="24"/>
          <w:szCs w:val="24"/>
          <w:lang w:val="en-US"/>
        </w:rPr>
        <w:t xml:space="preserve"> between BMI and dementia </w:t>
      </w:r>
      <w:r w:rsidR="0012743F" w:rsidRPr="0036402F">
        <w:rPr>
          <w:rFonts w:ascii="Arial" w:hAnsi="Arial" w:cs="Arial"/>
          <w:sz w:val="24"/>
          <w:szCs w:val="24"/>
          <w:lang w:val="en-US"/>
        </w:rPr>
        <w:t xml:space="preserve">in </w:t>
      </w:r>
      <w:r w:rsidR="00D57417" w:rsidRPr="0036402F">
        <w:rPr>
          <w:rFonts w:ascii="Arial" w:hAnsi="Arial" w:cs="Arial"/>
          <w:sz w:val="24"/>
          <w:szCs w:val="24"/>
          <w:lang w:val="en-US"/>
        </w:rPr>
        <w:t xml:space="preserve">all patients and by sex </w:t>
      </w:r>
      <w:r w:rsidR="00382640" w:rsidRPr="0036402F">
        <w:rPr>
          <w:rFonts w:ascii="Arial" w:hAnsi="Arial" w:cs="Arial"/>
          <w:sz w:val="24"/>
          <w:szCs w:val="24"/>
          <w:lang w:val="en-US"/>
        </w:rPr>
        <w:t>w</w:t>
      </w:r>
      <w:r w:rsidR="00A81E1E" w:rsidRPr="0036402F">
        <w:rPr>
          <w:rFonts w:ascii="Arial" w:hAnsi="Arial" w:cs="Arial"/>
          <w:sz w:val="24"/>
          <w:szCs w:val="24"/>
          <w:lang w:val="en-US"/>
        </w:rPr>
        <w:t>ere</w:t>
      </w:r>
      <w:r w:rsidR="00382640" w:rsidRPr="0036402F">
        <w:rPr>
          <w:rFonts w:ascii="Arial" w:hAnsi="Arial" w:cs="Arial"/>
          <w:sz w:val="24"/>
          <w:szCs w:val="24"/>
          <w:lang w:val="en-US"/>
        </w:rPr>
        <w:t xml:space="preserve"> analyzed </w:t>
      </w:r>
      <w:r w:rsidR="00FD6E72" w:rsidRPr="0036402F">
        <w:rPr>
          <w:rFonts w:ascii="Arial" w:hAnsi="Arial" w:cs="Arial"/>
          <w:sz w:val="24"/>
          <w:szCs w:val="24"/>
          <w:lang w:val="en-US"/>
        </w:rPr>
        <w:t xml:space="preserve">with Cox regression models </w:t>
      </w:r>
      <w:r w:rsidR="00323ECD" w:rsidRPr="0036402F">
        <w:rPr>
          <w:rFonts w:ascii="Arial" w:hAnsi="Arial" w:cs="Arial"/>
          <w:sz w:val="24"/>
          <w:szCs w:val="24"/>
          <w:lang w:val="en-US"/>
        </w:rPr>
        <w:t xml:space="preserve">adjusted for age, sex (except </w:t>
      </w:r>
      <w:r w:rsidR="005326F5" w:rsidRPr="0036402F">
        <w:rPr>
          <w:rFonts w:ascii="Arial" w:hAnsi="Arial" w:cs="Arial"/>
          <w:sz w:val="24"/>
          <w:szCs w:val="24"/>
          <w:lang w:val="en-US"/>
        </w:rPr>
        <w:t>the sex-stratified analyses) and comorbidities</w:t>
      </w:r>
      <w:r w:rsidR="005173C1" w:rsidRPr="0036402F">
        <w:rPr>
          <w:rFonts w:ascii="Arial" w:hAnsi="Arial" w:cs="Arial"/>
          <w:sz w:val="24"/>
          <w:szCs w:val="24"/>
          <w:lang w:val="en-US"/>
        </w:rPr>
        <w:t xml:space="preserve">. </w:t>
      </w:r>
      <w:r w:rsidR="0050766E" w:rsidRPr="0036402F">
        <w:rPr>
          <w:rFonts w:ascii="Arial" w:hAnsi="Arial" w:cs="Arial"/>
          <w:sz w:val="24"/>
          <w:szCs w:val="24"/>
          <w:lang w:val="en-US"/>
        </w:rPr>
        <w:t xml:space="preserve">Interaction by sex was </w:t>
      </w:r>
      <w:r w:rsidR="00BA36C6" w:rsidRPr="0036402F">
        <w:rPr>
          <w:rFonts w:ascii="Arial" w:hAnsi="Arial" w:cs="Arial"/>
          <w:sz w:val="24"/>
          <w:szCs w:val="24"/>
          <w:lang w:val="en-US"/>
        </w:rPr>
        <w:t xml:space="preserve">also assessed by including </w:t>
      </w:r>
      <w:r w:rsidR="00AA1EB2" w:rsidRPr="0036402F">
        <w:rPr>
          <w:rFonts w:ascii="Arial" w:hAnsi="Arial" w:cs="Arial"/>
          <w:sz w:val="24"/>
          <w:szCs w:val="24"/>
          <w:lang w:val="en-US"/>
        </w:rPr>
        <w:t xml:space="preserve">the interaction term </w:t>
      </w:r>
      <w:r w:rsidR="00176B2A" w:rsidRPr="0036402F">
        <w:rPr>
          <w:rFonts w:ascii="Arial" w:hAnsi="Arial" w:cs="Arial"/>
          <w:sz w:val="24"/>
          <w:szCs w:val="24"/>
          <w:lang w:val="en-US"/>
        </w:rPr>
        <w:t xml:space="preserve">continuous </w:t>
      </w:r>
      <w:r w:rsidR="00AA1EB2" w:rsidRPr="0036402F">
        <w:rPr>
          <w:rFonts w:ascii="Arial" w:hAnsi="Arial" w:cs="Arial"/>
          <w:sz w:val="24"/>
          <w:szCs w:val="24"/>
          <w:lang w:val="en-US"/>
        </w:rPr>
        <w:t xml:space="preserve">BMI * </w:t>
      </w:r>
      <w:r w:rsidR="00FC4F4A" w:rsidRPr="0036402F">
        <w:rPr>
          <w:rFonts w:ascii="Arial" w:hAnsi="Arial" w:cs="Arial"/>
          <w:sz w:val="24"/>
          <w:szCs w:val="24"/>
          <w:lang w:val="en-US"/>
        </w:rPr>
        <w:t>sex</w:t>
      </w:r>
      <w:r w:rsidR="00AA1EB2" w:rsidRPr="0036402F">
        <w:rPr>
          <w:rFonts w:ascii="Arial" w:hAnsi="Arial" w:cs="Arial"/>
          <w:sz w:val="24"/>
          <w:szCs w:val="24"/>
          <w:lang w:val="en-US"/>
        </w:rPr>
        <w:t xml:space="preserve"> in the Cox regression models. </w:t>
      </w:r>
      <w:r w:rsidR="00F067C0" w:rsidRPr="0036402F">
        <w:rPr>
          <w:rFonts w:ascii="Arial" w:hAnsi="Arial" w:cs="Arial"/>
          <w:sz w:val="24"/>
          <w:szCs w:val="24"/>
          <w:lang w:val="en-US"/>
        </w:rPr>
        <w:t xml:space="preserve">The results of the Cox regression analyses are displayed as </w:t>
      </w:r>
      <w:r w:rsidR="00095F0A" w:rsidRPr="0036402F">
        <w:rPr>
          <w:rFonts w:ascii="Arial" w:hAnsi="Arial" w:cs="Arial"/>
          <w:sz w:val="24"/>
          <w:szCs w:val="24"/>
          <w:lang w:val="en-US"/>
        </w:rPr>
        <w:t>hazard ratio</w:t>
      </w:r>
      <w:r w:rsidR="00796AA6" w:rsidRPr="0036402F">
        <w:rPr>
          <w:rFonts w:ascii="Arial" w:hAnsi="Arial" w:cs="Arial"/>
          <w:sz w:val="24"/>
          <w:szCs w:val="24"/>
          <w:lang w:val="en-US"/>
        </w:rPr>
        <w:t xml:space="preserve">s (HRs) and 95% confidence intervals (95% CI). </w:t>
      </w:r>
      <w:r w:rsidR="005173C1" w:rsidRPr="0036402F">
        <w:rPr>
          <w:rFonts w:ascii="Arial" w:hAnsi="Arial" w:cs="Arial"/>
          <w:sz w:val="24"/>
          <w:szCs w:val="24"/>
          <w:lang w:val="en-US"/>
        </w:rPr>
        <w:t xml:space="preserve">P-values lower than 0.05 were considered statistically significant. </w:t>
      </w:r>
      <w:r w:rsidR="0025329A" w:rsidRPr="0036402F">
        <w:rPr>
          <w:rFonts w:ascii="Arial" w:hAnsi="Arial" w:cs="Arial"/>
          <w:sz w:val="24"/>
          <w:szCs w:val="24"/>
          <w:lang w:val="en-US"/>
        </w:rPr>
        <w:t xml:space="preserve">Finally, analyses were conducted </w:t>
      </w:r>
      <w:r w:rsidR="00B139F7" w:rsidRPr="0036402F">
        <w:rPr>
          <w:rFonts w:ascii="Arial" w:hAnsi="Arial" w:cs="Arial"/>
          <w:sz w:val="24"/>
          <w:szCs w:val="24"/>
          <w:lang w:val="en-US"/>
        </w:rPr>
        <w:t>with SAS 9.4.</w:t>
      </w:r>
    </w:p>
    <w:p w14:paraId="56D16FF2" w14:textId="3BC06F68" w:rsidR="00B633F6" w:rsidRPr="0036402F" w:rsidRDefault="00B633F6" w:rsidP="003C41AC">
      <w:pPr>
        <w:spacing w:line="480" w:lineRule="auto"/>
        <w:jc w:val="both"/>
        <w:rPr>
          <w:rFonts w:ascii="Arial" w:hAnsi="Arial" w:cs="Arial"/>
          <w:sz w:val="24"/>
          <w:szCs w:val="24"/>
          <w:lang w:val="en-US"/>
        </w:rPr>
      </w:pPr>
    </w:p>
    <w:p w14:paraId="607EB01D" w14:textId="12098052" w:rsidR="00B633F6" w:rsidRPr="0036402F" w:rsidRDefault="00B633F6" w:rsidP="00346A37">
      <w:pPr>
        <w:pStyle w:val="Heading1"/>
      </w:pPr>
      <w:r w:rsidRPr="0036402F">
        <w:t>Results</w:t>
      </w:r>
    </w:p>
    <w:p w14:paraId="118C7DB8" w14:textId="55BFAA99" w:rsidR="00B633F6" w:rsidRPr="0036402F" w:rsidRDefault="00B633F6" w:rsidP="003C41AC">
      <w:pPr>
        <w:spacing w:line="480" w:lineRule="auto"/>
        <w:jc w:val="both"/>
        <w:rPr>
          <w:rFonts w:ascii="Arial" w:hAnsi="Arial" w:cs="Arial"/>
          <w:sz w:val="24"/>
          <w:szCs w:val="24"/>
          <w:lang w:val="en-US"/>
        </w:rPr>
      </w:pPr>
    </w:p>
    <w:p w14:paraId="3500969C" w14:textId="65B6B852" w:rsidR="00B633F6" w:rsidRPr="0036402F" w:rsidRDefault="00B633F6" w:rsidP="003C41AC">
      <w:pPr>
        <w:spacing w:line="480" w:lineRule="auto"/>
        <w:jc w:val="both"/>
        <w:rPr>
          <w:rFonts w:ascii="Arial" w:hAnsi="Arial" w:cs="Arial"/>
          <w:sz w:val="24"/>
          <w:szCs w:val="24"/>
          <w:lang w:val="en-US"/>
        </w:rPr>
      </w:pPr>
      <w:r w:rsidRPr="0036402F">
        <w:rPr>
          <w:rFonts w:ascii="Arial" w:hAnsi="Arial" w:cs="Arial"/>
          <w:sz w:val="24"/>
          <w:szCs w:val="24"/>
          <w:lang w:val="en-US"/>
        </w:rPr>
        <w:t>This study included</w:t>
      </w:r>
      <w:r w:rsidR="00C914CC" w:rsidRPr="0036402F">
        <w:rPr>
          <w:rFonts w:ascii="Arial" w:hAnsi="Arial" w:cs="Arial"/>
          <w:sz w:val="24"/>
          <w:szCs w:val="24"/>
          <w:lang w:val="en-US"/>
        </w:rPr>
        <w:t xml:space="preserve"> </w:t>
      </w:r>
      <w:r w:rsidR="005244AF" w:rsidRPr="0036402F">
        <w:rPr>
          <w:rFonts w:ascii="Arial" w:hAnsi="Arial" w:cs="Arial"/>
          <w:sz w:val="24"/>
          <w:szCs w:val="24"/>
          <w:lang w:val="en-US"/>
        </w:rPr>
        <w:t>296,767 patients (</w:t>
      </w:r>
      <w:r w:rsidR="00FB6F97" w:rsidRPr="0036402F">
        <w:rPr>
          <w:rFonts w:ascii="Arial" w:hAnsi="Arial" w:cs="Arial"/>
          <w:sz w:val="24"/>
          <w:szCs w:val="24"/>
          <w:lang w:val="en-US"/>
        </w:rPr>
        <w:t>mean [standard deviation]</w:t>
      </w:r>
      <w:r w:rsidR="007C41E3" w:rsidRPr="0036402F">
        <w:rPr>
          <w:rFonts w:ascii="Arial" w:hAnsi="Arial" w:cs="Arial"/>
          <w:sz w:val="24"/>
          <w:szCs w:val="24"/>
          <w:lang w:val="en-US"/>
        </w:rPr>
        <w:t xml:space="preserve"> age </w:t>
      </w:r>
      <w:r w:rsidR="007754EF" w:rsidRPr="0036402F">
        <w:rPr>
          <w:rFonts w:ascii="Arial" w:hAnsi="Arial" w:cs="Arial"/>
          <w:sz w:val="24"/>
          <w:szCs w:val="24"/>
          <w:lang w:val="en-US"/>
        </w:rPr>
        <w:t xml:space="preserve">70.2 [5.9] years; </w:t>
      </w:r>
      <w:r w:rsidR="0033331C" w:rsidRPr="0036402F">
        <w:rPr>
          <w:rFonts w:ascii="Arial" w:hAnsi="Arial" w:cs="Arial"/>
          <w:sz w:val="24"/>
          <w:szCs w:val="24"/>
          <w:lang w:val="en-US"/>
        </w:rPr>
        <w:t xml:space="preserve">54.3% women; </w:t>
      </w:r>
      <w:r w:rsidR="0033331C" w:rsidRPr="0036402F">
        <w:rPr>
          <w:rFonts w:ascii="Arial" w:hAnsi="Arial" w:cs="Arial"/>
          <w:b/>
          <w:bCs/>
          <w:sz w:val="24"/>
          <w:szCs w:val="24"/>
          <w:lang w:val="en-US"/>
        </w:rPr>
        <w:t>Table 1</w:t>
      </w:r>
      <w:r w:rsidR="0033331C" w:rsidRPr="0036402F">
        <w:rPr>
          <w:rFonts w:ascii="Arial" w:hAnsi="Arial" w:cs="Arial"/>
          <w:sz w:val="24"/>
          <w:szCs w:val="24"/>
          <w:lang w:val="en-US"/>
        </w:rPr>
        <w:t>).</w:t>
      </w:r>
      <w:r w:rsidR="00375E2D" w:rsidRPr="0036402F">
        <w:rPr>
          <w:rFonts w:ascii="Arial" w:hAnsi="Arial" w:cs="Arial"/>
          <w:sz w:val="24"/>
          <w:szCs w:val="24"/>
          <w:lang w:val="en-US"/>
        </w:rPr>
        <w:t xml:space="preserve"> </w:t>
      </w:r>
      <w:r w:rsidR="005A0584" w:rsidRPr="0036402F">
        <w:rPr>
          <w:rFonts w:ascii="Arial" w:hAnsi="Arial" w:cs="Arial"/>
          <w:sz w:val="24"/>
          <w:szCs w:val="24"/>
          <w:lang w:val="en-US"/>
        </w:rPr>
        <w:t xml:space="preserve">The proportion of underweight, normal weight, overweight, </w:t>
      </w:r>
      <w:r w:rsidR="00BA49D7" w:rsidRPr="0036402F">
        <w:rPr>
          <w:rFonts w:ascii="Arial" w:hAnsi="Arial" w:cs="Arial"/>
          <w:sz w:val="24"/>
          <w:szCs w:val="24"/>
          <w:lang w:val="en-US"/>
        </w:rPr>
        <w:t xml:space="preserve">and obesity </w:t>
      </w:r>
      <w:r w:rsidR="00C345AB" w:rsidRPr="0036402F">
        <w:rPr>
          <w:rFonts w:ascii="Arial" w:hAnsi="Arial" w:cs="Arial"/>
          <w:sz w:val="24"/>
          <w:szCs w:val="24"/>
          <w:lang w:val="en-US"/>
        </w:rPr>
        <w:t>was</w:t>
      </w:r>
      <w:r w:rsidR="00BA49D7" w:rsidRPr="0036402F">
        <w:rPr>
          <w:rFonts w:ascii="Arial" w:hAnsi="Arial" w:cs="Arial"/>
          <w:sz w:val="24"/>
          <w:szCs w:val="24"/>
          <w:lang w:val="en-US"/>
        </w:rPr>
        <w:t xml:space="preserve"> </w:t>
      </w:r>
      <w:r w:rsidR="00031D4A" w:rsidRPr="0036402F">
        <w:rPr>
          <w:rFonts w:ascii="Arial" w:hAnsi="Arial" w:cs="Arial"/>
          <w:sz w:val="24"/>
          <w:szCs w:val="24"/>
          <w:lang w:val="en-US"/>
        </w:rPr>
        <w:t xml:space="preserve">0.9%, </w:t>
      </w:r>
      <w:r w:rsidR="00772988" w:rsidRPr="0036402F">
        <w:rPr>
          <w:rFonts w:ascii="Arial" w:hAnsi="Arial" w:cs="Arial"/>
          <w:sz w:val="24"/>
          <w:szCs w:val="24"/>
          <w:lang w:val="en-US"/>
        </w:rPr>
        <w:t xml:space="preserve">25.5%, </w:t>
      </w:r>
      <w:r w:rsidR="0094187A" w:rsidRPr="0036402F">
        <w:rPr>
          <w:rFonts w:ascii="Arial" w:hAnsi="Arial" w:cs="Arial"/>
          <w:sz w:val="24"/>
          <w:szCs w:val="24"/>
          <w:lang w:val="en-US"/>
        </w:rPr>
        <w:t xml:space="preserve">41.5%, and </w:t>
      </w:r>
      <w:r w:rsidR="0095412C" w:rsidRPr="0036402F">
        <w:rPr>
          <w:rFonts w:ascii="Arial" w:hAnsi="Arial" w:cs="Arial"/>
          <w:sz w:val="24"/>
          <w:szCs w:val="24"/>
          <w:lang w:val="en-US"/>
        </w:rPr>
        <w:t>32.1%</w:t>
      </w:r>
      <w:r w:rsidR="0091195E" w:rsidRPr="0036402F">
        <w:rPr>
          <w:rFonts w:ascii="Arial" w:hAnsi="Arial" w:cs="Arial"/>
          <w:sz w:val="24"/>
          <w:szCs w:val="24"/>
          <w:lang w:val="en-US"/>
        </w:rPr>
        <w:t>, respectively</w:t>
      </w:r>
      <w:r w:rsidR="0095412C" w:rsidRPr="0036402F">
        <w:rPr>
          <w:rFonts w:ascii="Arial" w:hAnsi="Arial" w:cs="Arial"/>
          <w:sz w:val="24"/>
          <w:szCs w:val="24"/>
          <w:lang w:val="en-US"/>
        </w:rPr>
        <w:t>.</w:t>
      </w:r>
      <w:r w:rsidR="00375E2D" w:rsidRPr="0036402F">
        <w:rPr>
          <w:rFonts w:ascii="Arial" w:hAnsi="Arial" w:cs="Arial"/>
          <w:sz w:val="24"/>
          <w:szCs w:val="24"/>
          <w:lang w:val="en-US"/>
        </w:rPr>
        <w:t xml:space="preserve"> </w:t>
      </w:r>
      <w:r w:rsidR="00C345AB" w:rsidRPr="0036402F">
        <w:rPr>
          <w:rFonts w:ascii="Arial" w:hAnsi="Arial" w:cs="Arial"/>
          <w:sz w:val="24"/>
          <w:szCs w:val="24"/>
          <w:lang w:val="en-US"/>
        </w:rPr>
        <w:t xml:space="preserve">Most frequent </w:t>
      </w:r>
      <w:r w:rsidR="00C345AB" w:rsidRPr="0036402F">
        <w:rPr>
          <w:rFonts w:ascii="Arial" w:hAnsi="Arial" w:cs="Arial"/>
          <w:sz w:val="24"/>
          <w:szCs w:val="24"/>
          <w:lang w:val="en-US"/>
        </w:rPr>
        <w:lastRenderedPageBreak/>
        <w:t>comorbidities were hypertension (</w:t>
      </w:r>
      <w:r w:rsidR="008620A1" w:rsidRPr="0036402F">
        <w:rPr>
          <w:rFonts w:ascii="Arial" w:hAnsi="Arial" w:cs="Arial"/>
          <w:sz w:val="24"/>
          <w:szCs w:val="24"/>
          <w:lang w:val="en-US"/>
        </w:rPr>
        <w:t xml:space="preserve">76.9%), </w:t>
      </w:r>
      <w:r w:rsidR="0015470A" w:rsidRPr="0036402F">
        <w:rPr>
          <w:rFonts w:ascii="Arial" w:hAnsi="Arial" w:cs="Arial"/>
          <w:sz w:val="24"/>
          <w:szCs w:val="24"/>
          <w:lang w:val="en-US"/>
        </w:rPr>
        <w:t xml:space="preserve">lipid metabolism disorders (52.3%) and </w:t>
      </w:r>
      <w:r w:rsidR="00636303" w:rsidRPr="0036402F">
        <w:rPr>
          <w:rFonts w:ascii="Arial" w:hAnsi="Arial" w:cs="Arial"/>
          <w:sz w:val="24"/>
          <w:szCs w:val="24"/>
          <w:lang w:val="en-US"/>
        </w:rPr>
        <w:t>diabetes mellitus (39.7%).</w:t>
      </w:r>
      <w:r w:rsidR="00815408" w:rsidRPr="0036402F">
        <w:rPr>
          <w:rFonts w:ascii="Arial" w:hAnsi="Arial" w:cs="Arial"/>
          <w:sz w:val="24"/>
          <w:szCs w:val="24"/>
          <w:lang w:val="en-US"/>
        </w:rPr>
        <w:t xml:space="preserve"> </w:t>
      </w:r>
      <w:r w:rsidR="007010F9" w:rsidRPr="0036402F">
        <w:rPr>
          <w:rFonts w:ascii="Arial" w:hAnsi="Arial" w:cs="Arial"/>
          <w:sz w:val="24"/>
          <w:szCs w:val="24"/>
          <w:lang w:val="en-US"/>
        </w:rPr>
        <w:t xml:space="preserve">The 10-year incidence of dementia </w:t>
      </w:r>
      <w:r w:rsidR="00567290" w:rsidRPr="0036402F">
        <w:rPr>
          <w:rFonts w:ascii="Arial" w:hAnsi="Arial" w:cs="Arial"/>
          <w:sz w:val="24"/>
          <w:szCs w:val="24"/>
          <w:lang w:val="en-US"/>
        </w:rPr>
        <w:t xml:space="preserve">significantly </w:t>
      </w:r>
      <w:r w:rsidR="007370BD" w:rsidRPr="0036402F">
        <w:rPr>
          <w:rFonts w:ascii="Arial" w:hAnsi="Arial" w:cs="Arial"/>
          <w:sz w:val="24"/>
          <w:szCs w:val="24"/>
          <w:lang w:val="en-US"/>
        </w:rPr>
        <w:t xml:space="preserve">decreased from </w:t>
      </w:r>
      <w:r w:rsidR="001305EF" w:rsidRPr="0036402F">
        <w:rPr>
          <w:rFonts w:ascii="Arial" w:hAnsi="Arial" w:cs="Arial"/>
          <w:sz w:val="24"/>
          <w:szCs w:val="24"/>
          <w:lang w:val="en-US"/>
        </w:rPr>
        <w:t xml:space="preserve">11.6% in people with underweight to </w:t>
      </w:r>
      <w:r w:rsidR="00901955" w:rsidRPr="0036402F">
        <w:rPr>
          <w:rFonts w:ascii="Arial" w:hAnsi="Arial" w:cs="Arial"/>
          <w:sz w:val="24"/>
          <w:szCs w:val="24"/>
          <w:lang w:val="en-US"/>
        </w:rPr>
        <w:t xml:space="preserve">8.7% in those with obesity (log-rank </w:t>
      </w:r>
      <w:r w:rsidR="00E510AB" w:rsidRPr="0036402F">
        <w:rPr>
          <w:rFonts w:ascii="Arial" w:hAnsi="Arial" w:cs="Arial"/>
          <w:sz w:val="24"/>
          <w:szCs w:val="24"/>
          <w:lang w:val="en-US"/>
        </w:rPr>
        <w:t xml:space="preserve">p-value&lt;0.001; </w:t>
      </w:r>
      <w:r w:rsidR="00E510AB" w:rsidRPr="0036402F">
        <w:rPr>
          <w:rFonts w:ascii="Arial" w:hAnsi="Arial" w:cs="Arial"/>
          <w:b/>
          <w:bCs/>
          <w:sz w:val="24"/>
          <w:szCs w:val="24"/>
          <w:lang w:val="en-US"/>
        </w:rPr>
        <w:t>Figure 2</w:t>
      </w:r>
      <w:r w:rsidR="00E510AB" w:rsidRPr="0036402F">
        <w:rPr>
          <w:rFonts w:ascii="Arial" w:hAnsi="Arial" w:cs="Arial"/>
          <w:sz w:val="24"/>
          <w:szCs w:val="24"/>
          <w:lang w:val="en-US"/>
        </w:rPr>
        <w:t>).</w:t>
      </w:r>
      <w:r w:rsidR="002F3706" w:rsidRPr="0036402F">
        <w:rPr>
          <w:rFonts w:ascii="Arial" w:hAnsi="Arial" w:cs="Arial"/>
          <w:sz w:val="24"/>
          <w:szCs w:val="24"/>
          <w:lang w:val="en-US"/>
        </w:rPr>
        <w:t xml:space="preserve"> Similar results </w:t>
      </w:r>
      <w:r w:rsidR="005E0361" w:rsidRPr="0036402F">
        <w:rPr>
          <w:rFonts w:ascii="Arial" w:hAnsi="Arial" w:cs="Arial"/>
          <w:sz w:val="24"/>
          <w:szCs w:val="24"/>
          <w:lang w:val="en-US"/>
        </w:rPr>
        <w:t xml:space="preserve">were obtained </w:t>
      </w:r>
      <w:r w:rsidR="00575283" w:rsidRPr="0036402F">
        <w:rPr>
          <w:rFonts w:ascii="Arial" w:hAnsi="Arial" w:cs="Arial"/>
          <w:sz w:val="24"/>
          <w:szCs w:val="24"/>
          <w:lang w:val="en-US"/>
        </w:rPr>
        <w:t>in the sex-stratifie</w:t>
      </w:r>
      <w:r w:rsidR="00EB7A64" w:rsidRPr="0036402F">
        <w:rPr>
          <w:rFonts w:ascii="Arial" w:hAnsi="Arial" w:cs="Arial"/>
          <w:sz w:val="24"/>
          <w:szCs w:val="24"/>
          <w:lang w:val="en-US"/>
        </w:rPr>
        <w:t>d analyses</w:t>
      </w:r>
      <w:r w:rsidR="009B7D4F" w:rsidRPr="0036402F">
        <w:rPr>
          <w:rFonts w:ascii="Arial" w:hAnsi="Arial" w:cs="Arial"/>
          <w:sz w:val="24"/>
          <w:szCs w:val="24"/>
          <w:lang w:val="en-US"/>
        </w:rPr>
        <w:t xml:space="preserve">. </w:t>
      </w:r>
      <w:r w:rsidR="00C55868" w:rsidRPr="0036402F">
        <w:rPr>
          <w:rFonts w:ascii="Arial" w:hAnsi="Arial" w:cs="Arial"/>
          <w:sz w:val="24"/>
          <w:szCs w:val="24"/>
          <w:lang w:val="en-US"/>
        </w:rPr>
        <w:t xml:space="preserve">Dementia occurred in </w:t>
      </w:r>
      <w:r w:rsidR="009D4CB7" w:rsidRPr="0036402F">
        <w:rPr>
          <w:rFonts w:ascii="Arial" w:hAnsi="Arial" w:cs="Arial"/>
          <w:sz w:val="24"/>
          <w:szCs w:val="24"/>
          <w:lang w:val="en-US"/>
        </w:rPr>
        <w:t>11.5% of women with underweight and</w:t>
      </w:r>
      <w:r w:rsidR="002F7978" w:rsidRPr="0036402F">
        <w:rPr>
          <w:rFonts w:ascii="Arial" w:hAnsi="Arial" w:cs="Arial"/>
          <w:sz w:val="24"/>
          <w:szCs w:val="24"/>
          <w:lang w:val="en-US"/>
        </w:rPr>
        <w:t xml:space="preserve"> in</w:t>
      </w:r>
      <w:r w:rsidR="009D4CB7" w:rsidRPr="0036402F">
        <w:rPr>
          <w:rFonts w:ascii="Arial" w:hAnsi="Arial" w:cs="Arial"/>
          <w:sz w:val="24"/>
          <w:szCs w:val="24"/>
          <w:lang w:val="en-US"/>
        </w:rPr>
        <w:t xml:space="preserve"> </w:t>
      </w:r>
      <w:r w:rsidR="002F7978" w:rsidRPr="0036402F">
        <w:rPr>
          <w:rFonts w:ascii="Arial" w:hAnsi="Arial" w:cs="Arial"/>
          <w:sz w:val="24"/>
          <w:szCs w:val="24"/>
          <w:lang w:val="en-US"/>
        </w:rPr>
        <w:t xml:space="preserve">9.1% of those with </w:t>
      </w:r>
      <w:r w:rsidR="002D3809" w:rsidRPr="0036402F">
        <w:rPr>
          <w:rFonts w:ascii="Arial" w:hAnsi="Arial" w:cs="Arial"/>
          <w:sz w:val="24"/>
          <w:szCs w:val="24"/>
          <w:lang w:val="en-US"/>
        </w:rPr>
        <w:t xml:space="preserve">obesity (log-rank p-value&lt;0.001; </w:t>
      </w:r>
      <w:r w:rsidR="002D3809" w:rsidRPr="0036402F">
        <w:rPr>
          <w:rFonts w:ascii="Arial" w:hAnsi="Arial" w:cs="Arial"/>
          <w:b/>
          <w:bCs/>
          <w:sz w:val="24"/>
          <w:szCs w:val="24"/>
          <w:lang w:val="en-US"/>
        </w:rPr>
        <w:t xml:space="preserve">Figure </w:t>
      </w:r>
      <w:r w:rsidR="00F51FC2" w:rsidRPr="0036402F">
        <w:rPr>
          <w:rFonts w:ascii="Arial" w:hAnsi="Arial" w:cs="Arial"/>
          <w:b/>
          <w:bCs/>
          <w:sz w:val="24"/>
          <w:szCs w:val="24"/>
          <w:lang w:val="en-US"/>
        </w:rPr>
        <w:t>3</w:t>
      </w:r>
      <w:r w:rsidR="000513AF" w:rsidRPr="0036402F">
        <w:rPr>
          <w:rFonts w:ascii="Arial" w:hAnsi="Arial" w:cs="Arial"/>
          <w:sz w:val="24"/>
          <w:szCs w:val="24"/>
          <w:lang w:val="en-US"/>
        </w:rPr>
        <w:t>, higher panel</w:t>
      </w:r>
      <w:r w:rsidR="002D3809" w:rsidRPr="0036402F">
        <w:rPr>
          <w:rFonts w:ascii="Arial" w:hAnsi="Arial" w:cs="Arial"/>
          <w:sz w:val="24"/>
          <w:szCs w:val="24"/>
          <w:lang w:val="en-US"/>
        </w:rPr>
        <w:t>)</w:t>
      </w:r>
      <w:r w:rsidR="00F334F3" w:rsidRPr="0036402F">
        <w:rPr>
          <w:rFonts w:ascii="Arial" w:hAnsi="Arial" w:cs="Arial"/>
          <w:sz w:val="24"/>
          <w:szCs w:val="24"/>
          <w:lang w:val="en-US"/>
        </w:rPr>
        <w:t xml:space="preserve">. </w:t>
      </w:r>
      <w:r w:rsidR="00C866A5" w:rsidRPr="0036402F">
        <w:rPr>
          <w:rFonts w:ascii="Arial" w:hAnsi="Arial" w:cs="Arial"/>
          <w:sz w:val="24"/>
          <w:szCs w:val="24"/>
          <w:lang w:val="en-US"/>
        </w:rPr>
        <w:t xml:space="preserve">Respective figures </w:t>
      </w:r>
      <w:r w:rsidR="00C42916" w:rsidRPr="0036402F">
        <w:rPr>
          <w:rFonts w:ascii="Arial" w:hAnsi="Arial" w:cs="Arial"/>
          <w:sz w:val="24"/>
          <w:szCs w:val="24"/>
          <w:lang w:val="en-US"/>
        </w:rPr>
        <w:t xml:space="preserve">in men were </w:t>
      </w:r>
      <w:r w:rsidR="00116CF8" w:rsidRPr="0036402F">
        <w:rPr>
          <w:rFonts w:ascii="Arial" w:hAnsi="Arial" w:cs="Arial"/>
          <w:sz w:val="24"/>
          <w:szCs w:val="24"/>
          <w:lang w:val="en-US"/>
        </w:rPr>
        <w:t xml:space="preserve">12.0% and </w:t>
      </w:r>
      <w:r w:rsidR="00F51FC2" w:rsidRPr="0036402F">
        <w:rPr>
          <w:rFonts w:ascii="Arial" w:hAnsi="Arial" w:cs="Arial"/>
          <w:sz w:val="24"/>
          <w:szCs w:val="24"/>
          <w:lang w:val="en-US"/>
        </w:rPr>
        <w:t xml:space="preserve">8.2% (log-rank p-value&lt;0.001; </w:t>
      </w:r>
      <w:r w:rsidR="00F51FC2" w:rsidRPr="0036402F">
        <w:rPr>
          <w:rFonts w:ascii="Arial" w:hAnsi="Arial" w:cs="Arial"/>
          <w:b/>
          <w:bCs/>
          <w:sz w:val="24"/>
          <w:szCs w:val="24"/>
          <w:lang w:val="en-US"/>
        </w:rPr>
        <w:t>Figure 3</w:t>
      </w:r>
      <w:r w:rsidR="00F51FC2" w:rsidRPr="0036402F">
        <w:rPr>
          <w:rFonts w:ascii="Arial" w:hAnsi="Arial" w:cs="Arial"/>
          <w:sz w:val="24"/>
          <w:szCs w:val="24"/>
          <w:lang w:val="en-US"/>
        </w:rPr>
        <w:t>, lower panel).</w:t>
      </w:r>
      <w:r w:rsidR="00EA65EB" w:rsidRPr="0036402F">
        <w:rPr>
          <w:rFonts w:ascii="Arial" w:hAnsi="Arial" w:cs="Arial"/>
          <w:sz w:val="24"/>
          <w:szCs w:val="24"/>
          <w:lang w:val="en-US"/>
        </w:rPr>
        <w:t xml:space="preserve"> The </w:t>
      </w:r>
      <w:r w:rsidR="0060307A" w:rsidRPr="0036402F">
        <w:rPr>
          <w:rFonts w:ascii="Arial" w:hAnsi="Arial" w:cs="Arial"/>
          <w:sz w:val="24"/>
          <w:szCs w:val="24"/>
          <w:lang w:val="en-US"/>
        </w:rPr>
        <w:t xml:space="preserve">results of the adjusted </w:t>
      </w:r>
      <w:r w:rsidR="00E07CBF" w:rsidRPr="0036402F">
        <w:rPr>
          <w:rFonts w:ascii="Arial" w:hAnsi="Arial" w:cs="Arial"/>
          <w:sz w:val="24"/>
          <w:szCs w:val="24"/>
          <w:lang w:val="en-US"/>
        </w:rPr>
        <w:t xml:space="preserve">Cox regression analyses are displayed in </w:t>
      </w:r>
      <w:r w:rsidR="00E07CBF" w:rsidRPr="0036402F">
        <w:rPr>
          <w:rFonts w:ascii="Arial" w:hAnsi="Arial" w:cs="Arial"/>
          <w:b/>
          <w:bCs/>
          <w:sz w:val="24"/>
          <w:szCs w:val="24"/>
          <w:lang w:val="en-US"/>
        </w:rPr>
        <w:t>Table 2</w:t>
      </w:r>
      <w:r w:rsidR="00B8309F" w:rsidRPr="0036402F">
        <w:rPr>
          <w:rFonts w:ascii="Arial" w:hAnsi="Arial" w:cs="Arial"/>
          <w:b/>
          <w:bCs/>
          <w:sz w:val="24"/>
          <w:szCs w:val="24"/>
          <w:lang w:val="en-US"/>
        </w:rPr>
        <w:t xml:space="preserve"> </w:t>
      </w:r>
      <w:r w:rsidR="00B8309F" w:rsidRPr="0036402F">
        <w:rPr>
          <w:rFonts w:ascii="Arial" w:hAnsi="Arial" w:cs="Arial"/>
          <w:sz w:val="24"/>
          <w:szCs w:val="24"/>
          <w:lang w:val="en-US"/>
        </w:rPr>
        <w:t>and</w:t>
      </w:r>
      <w:r w:rsidR="00B8309F" w:rsidRPr="0036402F">
        <w:rPr>
          <w:rFonts w:ascii="Arial" w:hAnsi="Arial" w:cs="Arial"/>
          <w:b/>
          <w:bCs/>
          <w:sz w:val="24"/>
          <w:szCs w:val="24"/>
          <w:lang w:val="en-US"/>
        </w:rPr>
        <w:t xml:space="preserve"> Supplementary Table 2</w:t>
      </w:r>
      <w:r w:rsidR="00E07CBF" w:rsidRPr="0036402F">
        <w:rPr>
          <w:rFonts w:ascii="Arial" w:hAnsi="Arial" w:cs="Arial"/>
          <w:sz w:val="24"/>
          <w:szCs w:val="24"/>
          <w:lang w:val="en-US"/>
        </w:rPr>
        <w:t>.</w:t>
      </w:r>
      <w:r w:rsidR="008A6523" w:rsidRPr="0036402F">
        <w:rPr>
          <w:rFonts w:ascii="Arial" w:hAnsi="Arial" w:cs="Arial"/>
          <w:sz w:val="24"/>
          <w:szCs w:val="24"/>
          <w:lang w:val="en-US"/>
        </w:rPr>
        <w:t xml:space="preserve"> In the overall sample, </w:t>
      </w:r>
      <w:r w:rsidR="00601623" w:rsidRPr="0036402F">
        <w:rPr>
          <w:rFonts w:ascii="Arial" w:hAnsi="Arial" w:cs="Arial"/>
          <w:sz w:val="24"/>
          <w:szCs w:val="24"/>
          <w:lang w:val="en-US"/>
        </w:rPr>
        <w:t xml:space="preserve">compared with normal weight, </w:t>
      </w:r>
      <w:r w:rsidR="00BC1C2B" w:rsidRPr="0036402F">
        <w:rPr>
          <w:rFonts w:ascii="Arial" w:hAnsi="Arial" w:cs="Arial"/>
          <w:sz w:val="24"/>
          <w:szCs w:val="24"/>
          <w:lang w:val="en-US"/>
        </w:rPr>
        <w:t xml:space="preserve">underweight was significantly and </w:t>
      </w:r>
      <w:r w:rsidR="00D447E4" w:rsidRPr="0036402F">
        <w:rPr>
          <w:rFonts w:ascii="Arial" w:hAnsi="Arial" w:cs="Arial"/>
          <w:sz w:val="24"/>
          <w:szCs w:val="24"/>
          <w:lang w:val="en-US"/>
        </w:rPr>
        <w:t xml:space="preserve">positively </w:t>
      </w:r>
      <w:r w:rsidR="00706664" w:rsidRPr="0036402F">
        <w:rPr>
          <w:rFonts w:ascii="Arial" w:hAnsi="Arial" w:cs="Arial"/>
          <w:sz w:val="24"/>
          <w:szCs w:val="24"/>
          <w:lang w:val="en-US"/>
        </w:rPr>
        <w:t>associated with the incidence of dementia</w:t>
      </w:r>
      <w:r w:rsidR="005A1B2E" w:rsidRPr="0036402F">
        <w:rPr>
          <w:rFonts w:ascii="Arial" w:hAnsi="Arial" w:cs="Arial"/>
          <w:sz w:val="24"/>
          <w:szCs w:val="24"/>
          <w:lang w:val="en-US"/>
        </w:rPr>
        <w:t xml:space="preserve"> (HR=</w:t>
      </w:r>
      <w:r w:rsidR="00F14A08" w:rsidRPr="0036402F">
        <w:rPr>
          <w:rFonts w:ascii="Arial" w:hAnsi="Arial" w:cs="Arial"/>
          <w:sz w:val="24"/>
          <w:szCs w:val="24"/>
          <w:lang w:val="en-US"/>
        </w:rPr>
        <w:t>1.21, 95% CI=</w:t>
      </w:r>
      <w:r w:rsidR="007C660F" w:rsidRPr="0036402F">
        <w:rPr>
          <w:rFonts w:ascii="Arial" w:hAnsi="Arial" w:cs="Arial"/>
          <w:sz w:val="24"/>
          <w:szCs w:val="24"/>
          <w:lang w:val="en-US"/>
        </w:rPr>
        <w:t>1.05-1.40)</w:t>
      </w:r>
      <w:r w:rsidR="00706664" w:rsidRPr="0036402F">
        <w:rPr>
          <w:rFonts w:ascii="Arial" w:hAnsi="Arial" w:cs="Arial"/>
          <w:sz w:val="24"/>
          <w:szCs w:val="24"/>
          <w:lang w:val="en-US"/>
        </w:rPr>
        <w:t xml:space="preserve">, whereas there was a significant and </w:t>
      </w:r>
      <w:r w:rsidR="00D447E4" w:rsidRPr="0036402F">
        <w:rPr>
          <w:rFonts w:ascii="Arial" w:hAnsi="Arial" w:cs="Arial"/>
          <w:sz w:val="24"/>
          <w:szCs w:val="24"/>
          <w:lang w:val="en-US"/>
        </w:rPr>
        <w:t>negative</w:t>
      </w:r>
      <w:r w:rsidR="00706664" w:rsidRPr="0036402F">
        <w:rPr>
          <w:rFonts w:ascii="Arial" w:hAnsi="Arial" w:cs="Arial"/>
          <w:sz w:val="24"/>
          <w:szCs w:val="24"/>
          <w:lang w:val="en-US"/>
        </w:rPr>
        <w:t xml:space="preserve"> association between overweight and </w:t>
      </w:r>
      <w:r w:rsidR="005A1B2E" w:rsidRPr="0036402F">
        <w:rPr>
          <w:rFonts w:ascii="Arial" w:hAnsi="Arial" w:cs="Arial"/>
          <w:sz w:val="24"/>
          <w:szCs w:val="24"/>
          <w:lang w:val="en-US"/>
        </w:rPr>
        <w:t>dementia</w:t>
      </w:r>
      <w:r w:rsidR="007C660F" w:rsidRPr="0036402F">
        <w:rPr>
          <w:rFonts w:ascii="Arial" w:hAnsi="Arial" w:cs="Arial"/>
          <w:sz w:val="24"/>
          <w:szCs w:val="24"/>
          <w:lang w:val="en-US"/>
        </w:rPr>
        <w:t xml:space="preserve"> (HR=</w:t>
      </w:r>
      <w:r w:rsidR="00D447E4" w:rsidRPr="0036402F">
        <w:rPr>
          <w:rFonts w:ascii="Arial" w:hAnsi="Arial" w:cs="Arial"/>
          <w:sz w:val="24"/>
          <w:szCs w:val="24"/>
          <w:lang w:val="en-US"/>
        </w:rPr>
        <w:t>0.94, 95% CI=</w:t>
      </w:r>
      <w:r w:rsidR="00EC31D6" w:rsidRPr="0036402F">
        <w:rPr>
          <w:rFonts w:ascii="Arial" w:hAnsi="Arial" w:cs="Arial"/>
          <w:sz w:val="24"/>
          <w:szCs w:val="24"/>
          <w:lang w:val="en-US"/>
        </w:rPr>
        <w:t>0.91-0.98).</w:t>
      </w:r>
      <w:r w:rsidR="00AF6CE6" w:rsidRPr="0036402F">
        <w:rPr>
          <w:rFonts w:ascii="Arial" w:hAnsi="Arial" w:cs="Arial"/>
          <w:sz w:val="24"/>
          <w:szCs w:val="24"/>
          <w:lang w:val="en-US"/>
        </w:rPr>
        <w:t xml:space="preserve"> </w:t>
      </w:r>
      <w:r w:rsidR="007767E2" w:rsidRPr="0036402F">
        <w:rPr>
          <w:rFonts w:ascii="Arial" w:hAnsi="Arial" w:cs="Arial"/>
          <w:sz w:val="24"/>
          <w:szCs w:val="24"/>
          <w:lang w:val="en-US"/>
        </w:rPr>
        <w:t xml:space="preserve">The interaction </w:t>
      </w:r>
      <w:r w:rsidR="009A09A6" w:rsidRPr="0036402F">
        <w:rPr>
          <w:rFonts w:ascii="Arial" w:hAnsi="Arial" w:cs="Arial"/>
          <w:sz w:val="24"/>
          <w:szCs w:val="24"/>
          <w:lang w:val="en-US"/>
        </w:rPr>
        <w:t xml:space="preserve">between continuous BMI and sex tended to be significant (p-value=0.061). </w:t>
      </w:r>
      <w:r w:rsidR="0086775E" w:rsidRPr="0036402F">
        <w:rPr>
          <w:rFonts w:ascii="Arial" w:hAnsi="Arial" w:cs="Arial"/>
          <w:sz w:val="24"/>
          <w:szCs w:val="24"/>
          <w:lang w:val="en-US"/>
        </w:rPr>
        <w:t xml:space="preserve">In women, only </w:t>
      </w:r>
      <w:r w:rsidR="005854D0" w:rsidRPr="0036402F">
        <w:rPr>
          <w:rFonts w:ascii="Arial" w:hAnsi="Arial" w:cs="Arial"/>
          <w:sz w:val="24"/>
          <w:szCs w:val="24"/>
          <w:lang w:val="en-US"/>
        </w:rPr>
        <w:t xml:space="preserve">overweight was significantly </w:t>
      </w:r>
      <w:r w:rsidR="008957FF" w:rsidRPr="0036402F">
        <w:rPr>
          <w:rFonts w:ascii="Arial" w:hAnsi="Arial" w:cs="Arial"/>
          <w:sz w:val="24"/>
          <w:szCs w:val="24"/>
          <w:lang w:val="en-US"/>
        </w:rPr>
        <w:t xml:space="preserve">and </w:t>
      </w:r>
      <w:r w:rsidR="008017A4" w:rsidRPr="0036402F">
        <w:rPr>
          <w:rFonts w:ascii="Arial" w:hAnsi="Arial" w:cs="Arial"/>
          <w:sz w:val="24"/>
          <w:szCs w:val="24"/>
          <w:lang w:val="en-US"/>
        </w:rPr>
        <w:t xml:space="preserve">negatively </w:t>
      </w:r>
      <w:r w:rsidR="005854D0" w:rsidRPr="0036402F">
        <w:rPr>
          <w:rFonts w:ascii="Arial" w:hAnsi="Arial" w:cs="Arial"/>
          <w:sz w:val="24"/>
          <w:szCs w:val="24"/>
          <w:lang w:val="en-US"/>
        </w:rPr>
        <w:t>associated with dementia (HR=</w:t>
      </w:r>
      <w:r w:rsidR="0000357E" w:rsidRPr="0036402F">
        <w:rPr>
          <w:rFonts w:ascii="Arial" w:hAnsi="Arial" w:cs="Arial"/>
          <w:sz w:val="24"/>
          <w:szCs w:val="24"/>
          <w:lang w:val="en-US"/>
        </w:rPr>
        <w:t>0.93, 95%CI=</w:t>
      </w:r>
      <w:r w:rsidR="00394A0F" w:rsidRPr="0036402F">
        <w:rPr>
          <w:rFonts w:ascii="Arial" w:hAnsi="Arial" w:cs="Arial"/>
          <w:sz w:val="24"/>
          <w:szCs w:val="24"/>
          <w:lang w:val="en-US"/>
        </w:rPr>
        <w:t>0.88-0.97).</w:t>
      </w:r>
      <w:r w:rsidR="008D56D8" w:rsidRPr="0036402F">
        <w:rPr>
          <w:rFonts w:ascii="Arial" w:hAnsi="Arial" w:cs="Arial"/>
          <w:sz w:val="24"/>
          <w:szCs w:val="24"/>
          <w:lang w:val="en-US"/>
        </w:rPr>
        <w:t xml:space="preserve"> </w:t>
      </w:r>
      <w:r w:rsidR="00E06B90" w:rsidRPr="0036402F">
        <w:rPr>
          <w:rFonts w:ascii="Arial" w:hAnsi="Arial" w:cs="Arial"/>
          <w:sz w:val="24"/>
          <w:szCs w:val="24"/>
          <w:lang w:val="en-US"/>
        </w:rPr>
        <w:t>In</w:t>
      </w:r>
      <w:r w:rsidR="008D56D8" w:rsidRPr="0036402F">
        <w:rPr>
          <w:rFonts w:ascii="Arial" w:hAnsi="Arial" w:cs="Arial"/>
          <w:sz w:val="24"/>
          <w:szCs w:val="24"/>
          <w:lang w:val="en-US"/>
        </w:rPr>
        <w:t xml:space="preserve"> contrast, in men, </w:t>
      </w:r>
      <w:r w:rsidR="00AB6DF8" w:rsidRPr="0036402F">
        <w:rPr>
          <w:rFonts w:ascii="Arial" w:hAnsi="Arial" w:cs="Arial"/>
          <w:sz w:val="24"/>
          <w:szCs w:val="24"/>
          <w:lang w:val="en-US"/>
        </w:rPr>
        <w:t xml:space="preserve">the only </w:t>
      </w:r>
      <w:r w:rsidR="00B467F9" w:rsidRPr="0036402F">
        <w:rPr>
          <w:rFonts w:ascii="Arial" w:hAnsi="Arial" w:cs="Arial"/>
          <w:sz w:val="24"/>
          <w:szCs w:val="24"/>
          <w:lang w:val="en-US"/>
        </w:rPr>
        <w:t xml:space="preserve">BMI category </w:t>
      </w:r>
      <w:r w:rsidR="00AB6DF8" w:rsidRPr="0036402F">
        <w:rPr>
          <w:rFonts w:ascii="Arial" w:hAnsi="Arial" w:cs="Arial"/>
          <w:sz w:val="24"/>
          <w:szCs w:val="24"/>
          <w:lang w:val="en-US"/>
        </w:rPr>
        <w:t>significant</w:t>
      </w:r>
      <w:r w:rsidR="00B467F9" w:rsidRPr="0036402F">
        <w:rPr>
          <w:rFonts w:ascii="Arial" w:hAnsi="Arial" w:cs="Arial"/>
          <w:sz w:val="24"/>
          <w:szCs w:val="24"/>
          <w:lang w:val="en-US"/>
        </w:rPr>
        <w:t>ly</w:t>
      </w:r>
      <w:r w:rsidR="00AB6DF8" w:rsidRPr="0036402F">
        <w:rPr>
          <w:rFonts w:ascii="Arial" w:hAnsi="Arial" w:cs="Arial"/>
          <w:sz w:val="24"/>
          <w:szCs w:val="24"/>
          <w:lang w:val="en-US"/>
        </w:rPr>
        <w:t xml:space="preserve"> </w:t>
      </w:r>
      <w:r w:rsidR="008017A4" w:rsidRPr="0036402F">
        <w:rPr>
          <w:rFonts w:ascii="Arial" w:hAnsi="Arial" w:cs="Arial"/>
          <w:sz w:val="24"/>
          <w:szCs w:val="24"/>
          <w:lang w:val="en-US"/>
        </w:rPr>
        <w:t xml:space="preserve">and positively </w:t>
      </w:r>
      <w:r w:rsidR="00E837C2" w:rsidRPr="0036402F">
        <w:rPr>
          <w:rFonts w:ascii="Arial" w:hAnsi="Arial" w:cs="Arial"/>
          <w:sz w:val="24"/>
          <w:szCs w:val="24"/>
          <w:lang w:val="en-US"/>
        </w:rPr>
        <w:t xml:space="preserve">associated </w:t>
      </w:r>
      <w:r w:rsidR="00AB6DF8" w:rsidRPr="0036402F">
        <w:rPr>
          <w:rFonts w:ascii="Arial" w:hAnsi="Arial" w:cs="Arial"/>
          <w:sz w:val="24"/>
          <w:szCs w:val="24"/>
          <w:lang w:val="en-US"/>
        </w:rPr>
        <w:t xml:space="preserve">with the incidence of dementia was </w:t>
      </w:r>
      <w:r w:rsidR="00E311C4" w:rsidRPr="0036402F">
        <w:rPr>
          <w:rFonts w:ascii="Arial" w:hAnsi="Arial" w:cs="Arial"/>
          <w:sz w:val="24"/>
          <w:szCs w:val="24"/>
          <w:lang w:val="en-US"/>
        </w:rPr>
        <w:t>underweight (HR=</w:t>
      </w:r>
      <w:r w:rsidR="009071F0" w:rsidRPr="0036402F">
        <w:rPr>
          <w:rFonts w:ascii="Arial" w:hAnsi="Arial" w:cs="Arial"/>
          <w:sz w:val="24"/>
          <w:szCs w:val="24"/>
          <w:lang w:val="en-US"/>
        </w:rPr>
        <w:t>1.58, 95% CI=</w:t>
      </w:r>
      <w:r w:rsidR="00C93651" w:rsidRPr="0036402F">
        <w:rPr>
          <w:rFonts w:ascii="Arial" w:hAnsi="Arial" w:cs="Arial"/>
          <w:sz w:val="24"/>
          <w:szCs w:val="24"/>
          <w:lang w:val="en-US"/>
        </w:rPr>
        <w:t>1.11-</w:t>
      </w:r>
      <w:r w:rsidR="00E87337" w:rsidRPr="0036402F">
        <w:rPr>
          <w:rFonts w:ascii="Arial" w:hAnsi="Arial" w:cs="Arial"/>
          <w:sz w:val="24"/>
          <w:szCs w:val="24"/>
          <w:lang w:val="en-US"/>
        </w:rPr>
        <w:t>2.25).</w:t>
      </w:r>
      <w:r w:rsidR="008E6250" w:rsidRPr="0036402F">
        <w:rPr>
          <w:rFonts w:ascii="Arial" w:hAnsi="Arial" w:cs="Arial"/>
          <w:sz w:val="24"/>
          <w:szCs w:val="24"/>
          <w:lang w:val="en-US"/>
        </w:rPr>
        <w:t xml:space="preserve"> In terms of </w:t>
      </w:r>
      <w:r w:rsidR="00267F82" w:rsidRPr="0036402F">
        <w:rPr>
          <w:rFonts w:ascii="Arial" w:hAnsi="Arial" w:cs="Arial"/>
          <w:sz w:val="24"/>
          <w:szCs w:val="24"/>
          <w:lang w:val="en-US"/>
        </w:rPr>
        <w:t>the specific types of dementia,</w:t>
      </w:r>
      <w:r w:rsidR="00035B91" w:rsidRPr="0036402F">
        <w:rPr>
          <w:rFonts w:ascii="Arial" w:hAnsi="Arial" w:cs="Arial"/>
          <w:sz w:val="24"/>
          <w:szCs w:val="24"/>
          <w:lang w:val="en-US"/>
        </w:rPr>
        <w:t xml:space="preserve"> </w:t>
      </w:r>
      <w:r w:rsidR="00F92788" w:rsidRPr="0036402F">
        <w:rPr>
          <w:rFonts w:ascii="Arial" w:hAnsi="Arial" w:cs="Arial"/>
          <w:sz w:val="24"/>
          <w:szCs w:val="24"/>
          <w:lang w:val="en-US"/>
        </w:rPr>
        <w:t xml:space="preserve">obesity </w:t>
      </w:r>
      <w:r w:rsidR="00035B91" w:rsidRPr="0036402F">
        <w:rPr>
          <w:rFonts w:ascii="Arial" w:hAnsi="Arial" w:cs="Arial"/>
          <w:sz w:val="24"/>
          <w:szCs w:val="24"/>
          <w:lang w:val="en-US"/>
        </w:rPr>
        <w:t>was</w:t>
      </w:r>
      <w:r w:rsidR="00F92788" w:rsidRPr="0036402F">
        <w:rPr>
          <w:rFonts w:ascii="Arial" w:hAnsi="Arial" w:cs="Arial"/>
          <w:sz w:val="24"/>
          <w:szCs w:val="24"/>
          <w:lang w:val="en-US"/>
        </w:rPr>
        <w:t xml:space="preserve"> significantly </w:t>
      </w:r>
      <w:r w:rsidR="00B7392F" w:rsidRPr="0036402F">
        <w:rPr>
          <w:rFonts w:ascii="Arial" w:hAnsi="Arial" w:cs="Arial"/>
          <w:sz w:val="24"/>
          <w:szCs w:val="24"/>
          <w:lang w:val="en-US"/>
        </w:rPr>
        <w:t xml:space="preserve">and negatively </w:t>
      </w:r>
      <w:r w:rsidR="00F92788" w:rsidRPr="0036402F">
        <w:rPr>
          <w:rFonts w:ascii="Arial" w:hAnsi="Arial" w:cs="Arial"/>
          <w:sz w:val="24"/>
          <w:szCs w:val="24"/>
          <w:lang w:val="en-US"/>
        </w:rPr>
        <w:t xml:space="preserve">associated with </w:t>
      </w:r>
      <w:r w:rsidR="006D52BB" w:rsidRPr="0036402F">
        <w:rPr>
          <w:rFonts w:ascii="Arial" w:hAnsi="Arial" w:cs="Arial"/>
          <w:sz w:val="24"/>
          <w:szCs w:val="24"/>
          <w:lang w:val="en-US"/>
        </w:rPr>
        <w:t>Alzheimer’s disease (HR=</w:t>
      </w:r>
      <w:r w:rsidR="00D74C36" w:rsidRPr="0036402F">
        <w:rPr>
          <w:rFonts w:ascii="Arial" w:hAnsi="Arial" w:cs="Arial"/>
          <w:sz w:val="24"/>
          <w:szCs w:val="24"/>
          <w:lang w:val="en-US"/>
        </w:rPr>
        <w:t>0.</w:t>
      </w:r>
      <w:r w:rsidR="00CF4F92" w:rsidRPr="0036402F">
        <w:rPr>
          <w:rFonts w:ascii="Arial" w:hAnsi="Arial" w:cs="Arial"/>
          <w:sz w:val="24"/>
          <w:szCs w:val="24"/>
          <w:lang w:val="en-US"/>
        </w:rPr>
        <w:t>81</w:t>
      </w:r>
      <w:r w:rsidR="00D74C36" w:rsidRPr="0036402F">
        <w:rPr>
          <w:rFonts w:ascii="Arial" w:hAnsi="Arial" w:cs="Arial"/>
          <w:sz w:val="24"/>
          <w:szCs w:val="24"/>
          <w:lang w:val="en-US"/>
        </w:rPr>
        <w:t>, 95% CI=</w:t>
      </w:r>
      <w:r w:rsidR="00B13047" w:rsidRPr="0036402F">
        <w:rPr>
          <w:rFonts w:ascii="Arial" w:hAnsi="Arial" w:cs="Arial"/>
          <w:sz w:val="24"/>
          <w:szCs w:val="24"/>
          <w:lang w:val="en-US"/>
        </w:rPr>
        <w:t>0.70-0.</w:t>
      </w:r>
      <w:r w:rsidR="00CF4F92" w:rsidRPr="0036402F">
        <w:rPr>
          <w:rFonts w:ascii="Arial" w:hAnsi="Arial" w:cs="Arial"/>
          <w:sz w:val="24"/>
          <w:szCs w:val="24"/>
          <w:lang w:val="en-US"/>
        </w:rPr>
        <w:t>93</w:t>
      </w:r>
      <w:r w:rsidR="00B13047" w:rsidRPr="0036402F">
        <w:rPr>
          <w:rFonts w:ascii="Arial" w:hAnsi="Arial" w:cs="Arial"/>
          <w:sz w:val="24"/>
          <w:szCs w:val="24"/>
          <w:lang w:val="en-US"/>
        </w:rPr>
        <w:t xml:space="preserve">) and </w:t>
      </w:r>
      <w:r w:rsidR="009F716C" w:rsidRPr="0036402F">
        <w:rPr>
          <w:rFonts w:ascii="Arial" w:hAnsi="Arial" w:cs="Arial"/>
          <w:sz w:val="24"/>
          <w:szCs w:val="24"/>
          <w:lang w:val="en-US"/>
        </w:rPr>
        <w:t xml:space="preserve">overweight </w:t>
      </w:r>
      <w:r w:rsidR="00CB410A" w:rsidRPr="0036402F">
        <w:rPr>
          <w:rFonts w:ascii="Arial" w:hAnsi="Arial" w:cs="Arial"/>
          <w:sz w:val="24"/>
          <w:szCs w:val="24"/>
          <w:lang w:val="en-US"/>
        </w:rPr>
        <w:t xml:space="preserve">negatively </w:t>
      </w:r>
      <w:r w:rsidR="009F716C" w:rsidRPr="0036402F">
        <w:rPr>
          <w:rFonts w:ascii="Arial" w:hAnsi="Arial" w:cs="Arial"/>
          <w:sz w:val="24"/>
          <w:szCs w:val="24"/>
          <w:lang w:val="en-US"/>
        </w:rPr>
        <w:t>with un</w:t>
      </w:r>
      <w:r w:rsidR="00780363" w:rsidRPr="0036402F">
        <w:rPr>
          <w:rFonts w:ascii="Arial" w:hAnsi="Arial" w:cs="Arial"/>
          <w:sz w:val="24"/>
          <w:szCs w:val="24"/>
          <w:lang w:val="en-US"/>
        </w:rPr>
        <w:t>defined dementia</w:t>
      </w:r>
      <w:r w:rsidR="002117CB" w:rsidRPr="0036402F">
        <w:rPr>
          <w:rFonts w:ascii="Arial" w:hAnsi="Arial" w:cs="Arial"/>
          <w:sz w:val="24"/>
          <w:szCs w:val="24"/>
          <w:lang w:val="en-US"/>
        </w:rPr>
        <w:t xml:space="preserve"> in female patients</w:t>
      </w:r>
      <w:r w:rsidR="00780363" w:rsidRPr="0036402F">
        <w:rPr>
          <w:rFonts w:ascii="Arial" w:hAnsi="Arial" w:cs="Arial"/>
          <w:sz w:val="24"/>
          <w:szCs w:val="24"/>
          <w:lang w:val="en-US"/>
        </w:rPr>
        <w:t xml:space="preserve"> (HR=</w:t>
      </w:r>
      <w:r w:rsidR="008F1798" w:rsidRPr="0036402F">
        <w:rPr>
          <w:rFonts w:ascii="Arial" w:hAnsi="Arial" w:cs="Arial"/>
          <w:sz w:val="24"/>
          <w:szCs w:val="24"/>
          <w:lang w:val="en-US"/>
        </w:rPr>
        <w:t>0.90, 95% CI=</w:t>
      </w:r>
      <w:r w:rsidR="0089689D" w:rsidRPr="0036402F">
        <w:rPr>
          <w:rFonts w:ascii="Arial" w:hAnsi="Arial" w:cs="Arial"/>
          <w:sz w:val="24"/>
          <w:szCs w:val="24"/>
          <w:lang w:val="en-US"/>
        </w:rPr>
        <w:t>0.85-0.96).</w:t>
      </w:r>
      <w:r w:rsidR="00AA3B56" w:rsidRPr="0036402F">
        <w:rPr>
          <w:rFonts w:ascii="Arial" w:hAnsi="Arial" w:cs="Arial"/>
          <w:sz w:val="24"/>
          <w:szCs w:val="24"/>
          <w:lang w:val="en-US"/>
        </w:rPr>
        <w:t xml:space="preserve"> In m</w:t>
      </w:r>
      <w:r w:rsidR="00350A0D" w:rsidRPr="0036402F">
        <w:rPr>
          <w:rFonts w:ascii="Arial" w:hAnsi="Arial" w:cs="Arial"/>
          <w:sz w:val="24"/>
          <w:szCs w:val="24"/>
          <w:lang w:val="en-US"/>
        </w:rPr>
        <w:t>ale patients</w:t>
      </w:r>
      <w:r w:rsidR="00AA3B56" w:rsidRPr="0036402F">
        <w:rPr>
          <w:rFonts w:ascii="Arial" w:hAnsi="Arial" w:cs="Arial"/>
          <w:sz w:val="24"/>
          <w:szCs w:val="24"/>
          <w:lang w:val="en-US"/>
        </w:rPr>
        <w:t>, there was also a negative and significant association between obesity and Alzheimer’s disease (HR=</w:t>
      </w:r>
      <w:r w:rsidR="00970450" w:rsidRPr="0036402F">
        <w:rPr>
          <w:rFonts w:ascii="Arial" w:hAnsi="Arial" w:cs="Arial"/>
          <w:sz w:val="24"/>
          <w:szCs w:val="24"/>
          <w:lang w:val="en-US"/>
        </w:rPr>
        <w:t>0.82, 95% CI=</w:t>
      </w:r>
      <w:r w:rsidR="00675FE5" w:rsidRPr="0036402F">
        <w:rPr>
          <w:rFonts w:ascii="Arial" w:hAnsi="Arial" w:cs="Arial"/>
          <w:sz w:val="24"/>
          <w:szCs w:val="24"/>
          <w:lang w:val="en-US"/>
        </w:rPr>
        <w:t>0.69-</w:t>
      </w:r>
      <w:r w:rsidR="000B1313" w:rsidRPr="0036402F">
        <w:rPr>
          <w:rFonts w:ascii="Arial" w:hAnsi="Arial" w:cs="Arial"/>
          <w:sz w:val="24"/>
          <w:szCs w:val="24"/>
          <w:lang w:val="en-US"/>
        </w:rPr>
        <w:t xml:space="preserve">0.98), while </w:t>
      </w:r>
      <w:r w:rsidR="009D34EC" w:rsidRPr="0036402F">
        <w:rPr>
          <w:rFonts w:ascii="Arial" w:hAnsi="Arial" w:cs="Arial"/>
          <w:sz w:val="24"/>
          <w:szCs w:val="24"/>
          <w:lang w:val="en-US"/>
        </w:rPr>
        <w:t>underweight was positively associated with undefined dementia (HR=</w:t>
      </w:r>
      <w:r w:rsidR="00755172" w:rsidRPr="0036402F">
        <w:rPr>
          <w:rFonts w:ascii="Arial" w:hAnsi="Arial" w:cs="Arial"/>
          <w:sz w:val="24"/>
          <w:szCs w:val="24"/>
          <w:lang w:val="en-US"/>
        </w:rPr>
        <w:t>1.95, 95% CI=</w:t>
      </w:r>
      <w:r w:rsidR="00191DEA" w:rsidRPr="0036402F">
        <w:rPr>
          <w:rFonts w:ascii="Arial" w:hAnsi="Arial" w:cs="Arial"/>
          <w:sz w:val="24"/>
          <w:szCs w:val="24"/>
          <w:lang w:val="en-US"/>
        </w:rPr>
        <w:t>1.30-</w:t>
      </w:r>
      <w:r w:rsidR="00350A0D" w:rsidRPr="0036402F">
        <w:rPr>
          <w:rFonts w:ascii="Arial" w:hAnsi="Arial" w:cs="Arial"/>
          <w:sz w:val="24"/>
          <w:szCs w:val="24"/>
          <w:lang w:val="en-US"/>
        </w:rPr>
        <w:t>2.93).</w:t>
      </w:r>
      <w:r w:rsidR="00535E92" w:rsidRPr="0036402F">
        <w:rPr>
          <w:rFonts w:ascii="Arial" w:hAnsi="Arial" w:cs="Arial"/>
          <w:sz w:val="24"/>
          <w:szCs w:val="24"/>
          <w:lang w:val="en-US"/>
        </w:rPr>
        <w:t xml:space="preserve"> The interaction between continuous BMI and sex was </w:t>
      </w:r>
      <w:r w:rsidR="00E828AE" w:rsidRPr="0036402F">
        <w:rPr>
          <w:rFonts w:ascii="Arial" w:hAnsi="Arial" w:cs="Arial"/>
          <w:sz w:val="24"/>
          <w:szCs w:val="24"/>
          <w:lang w:val="en-US"/>
        </w:rPr>
        <w:t xml:space="preserve">not </w:t>
      </w:r>
      <w:r w:rsidR="00535E92" w:rsidRPr="0036402F">
        <w:rPr>
          <w:rFonts w:ascii="Arial" w:hAnsi="Arial" w:cs="Arial"/>
          <w:sz w:val="24"/>
          <w:szCs w:val="24"/>
          <w:lang w:val="en-US"/>
        </w:rPr>
        <w:t xml:space="preserve">significant for </w:t>
      </w:r>
      <w:r w:rsidR="00E828AE" w:rsidRPr="0036402F">
        <w:rPr>
          <w:rFonts w:ascii="Arial" w:hAnsi="Arial" w:cs="Arial"/>
          <w:sz w:val="24"/>
          <w:szCs w:val="24"/>
          <w:lang w:val="en-US"/>
        </w:rPr>
        <w:t xml:space="preserve">the </w:t>
      </w:r>
      <w:r w:rsidR="002E7C92" w:rsidRPr="0036402F">
        <w:rPr>
          <w:rFonts w:ascii="Arial" w:hAnsi="Arial" w:cs="Arial"/>
          <w:sz w:val="24"/>
          <w:szCs w:val="24"/>
          <w:lang w:val="en-US"/>
        </w:rPr>
        <w:t xml:space="preserve">three </w:t>
      </w:r>
      <w:r w:rsidR="00E828AE" w:rsidRPr="0036402F">
        <w:rPr>
          <w:rFonts w:ascii="Arial" w:hAnsi="Arial" w:cs="Arial"/>
          <w:sz w:val="24"/>
          <w:szCs w:val="24"/>
          <w:lang w:val="en-US"/>
        </w:rPr>
        <w:t xml:space="preserve">specific types </w:t>
      </w:r>
      <w:r w:rsidR="003D36E0" w:rsidRPr="0036402F">
        <w:rPr>
          <w:rFonts w:ascii="Arial" w:hAnsi="Arial" w:cs="Arial"/>
          <w:sz w:val="24"/>
          <w:szCs w:val="24"/>
          <w:lang w:val="en-US"/>
        </w:rPr>
        <w:t>of dementia (</w:t>
      </w:r>
      <w:r w:rsidR="00905A23" w:rsidRPr="0036402F">
        <w:rPr>
          <w:rFonts w:ascii="Arial" w:hAnsi="Arial" w:cs="Arial"/>
          <w:sz w:val="24"/>
          <w:szCs w:val="24"/>
          <w:lang w:val="en-US"/>
        </w:rPr>
        <w:t xml:space="preserve">Alzheimer’s disease: p-value=0.248; </w:t>
      </w:r>
      <w:r w:rsidR="00453F86" w:rsidRPr="0036402F">
        <w:rPr>
          <w:rFonts w:ascii="Arial" w:hAnsi="Arial" w:cs="Arial"/>
          <w:sz w:val="24"/>
          <w:szCs w:val="24"/>
          <w:lang w:val="en-US"/>
        </w:rPr>
        <w:t xml:space="preserve">vascular dementia: p-value=0.549; and </w:t>
      </w:r>
      <w:r w:rsidR="002905DA" w:rsidRPr="0036402F">
        <w:rPr>
          <w:rFonts w:ascii="Arial" w:hAnsi="Arial" w:cs="Arial"/>
          <w:sz w:val="24"/>
          <w:szCs w:val="24"/>
          <w:lang w:val="en-US"/>
        </w:rPr>
        <w:t>undefined dementia: p-value=0.147</w:t>
      </w:r>
      <w:r w:rsidR="003D36E0" w:rsidRPr="0036402F">
        <w:rPr>
          <w:rFonts w:ascii="Arial" w:hAnsi="Arial" w:cs="Arial"/>
          <w:sz w:val="24"/>
          <w:szCs w:val="24"/>
          <w:lang w:val="en-US"/>
        </w:rPr>
        <w:t>).</w:t>
      </w:r>
    </w:p>
    <w:p w14:paraId="71C2521C" w14:textId="7BD0CCFF" w:rsidR="00D04EE2" w:rsidRPr="0036402F" w:rsidRDefault="00D04EE2" w:rsidP="003C41AC">
      <w:pPr>
        <w:spacing w:line="480" w:lineRule="auto"/>
        <w:jc w:val="both"/>
        <w:rPr>
          <w:rFonts w:ascii="Arial" w:hAnsi="Arial" w:cs="Arial"/>
          <w:sz w:val="24"/>
          <w:szCs w:val="24"/>
          <w:lang w:val="en-US"/>
        </w:rPr>
      </w:pPr>
    </w:p>
    <w:p w14:paraId="14553A7E" w14:textId="1C63877A" w:rsidR="007B1B17" w:rsidRPr="0036402F" w:rsidRDefault="007B1B17" w:rsidP="00346A37">
      <w:pPr>
        <w:pStyle w:val="Heading1"/>
      </w:pPr>
      <w:r w:rsidRPr="0036402F">
        <w:t>Discussion</w:t>
      </w:r>
    </w:p>
    <w:p w14:paraId="31511C01" w14:textId="0FAC0D2F" w:rsidR="007B1B17" w:rsidRPr="0036402F" w:rsidRDefault="007B1B17" w:rsidP="003C41AC">
      <w:pPr>
        <w:spacing w:line="480" w:lineRule="auto"/>
        <w:jc w:val="both"/>
        <w:rPr>
          <w:rFonts w:ascii="Arial" w:hAnsi="Arial" w:cs="Arial"/>
          <w:sz w:val="24"/>
          <w:szCs w:val="24"/>
          <w:lang w:val="en-US"/>
        </w:rPr>
      </w:pPr>
    </w:p>
    <w:p w14:paraId="56828E1A" w14:textId="7556BA0E" w:rsidR="007B1B17" w:rsidRPr="0036402F" w:rsidRDefault="007B1B17" w:rsidP="00346A37">
      <w:pPr>
        <w:pStyle w:val="Heading2"/>
      </w:pPr>
      <w:r w:rsidRPr="0036402F">
        <w:t>Main findings</w:t>
      </w:r>
    </w:p>
    <w:p w14:paraId="1B2C8FB8" w14:textId="298436F4" w:rsidR="007B1B17" w:rsidRPr="0036402F" w:rsidRDefault="007B1B17" w:rsidP="003C41AC">
      <w:pPr>
        <w:spacing w:line="480" w:lineRule="auto"/>
        <w:jc w:val="both"/>
        <w:rPr>
          <w:rFonts w:ascii="Arial" w:hAnsi="Arial" w:cs="Arial"/>
          <w:sz w:val="24"/>
          <w:szCs w:val="24"/>
          <w:lang w:val="en-US"/>
        </w:rPr>
      </w:pPr>
      <w:r w:rsidRPr="0036402F">
        <w:rPr>
          <w:rFonts w:ascii="Arial" w:hAnsi="Arial" w:cs="Arial"/>
          <w:sz w:val="24"/>
          <w:szCs w:val="24"/>
          <w:lang w:val="en-US"/>
        </w:rPr>
        <w:t>This study, including more than 296,000 patients followed in general practices in Germany, identified sex differences in the association between BMI and the incidence of dementia.</w:t>
      </w:r>
      <w:r w:rsidR="00BF4758" w:rsidRPr="0036402F">
        <w:rPr>
          <w:rFonts w:ascii="Arial" w:hAnsi="Arial" w:cs="Arial"/>
          <w:sz w:val="24"/>
          <w:szCs w:val="24"/>
          <w:lang w:val="en-US"/>
        </w:rPr>
        <w:t xml:space="preserve"> </w:t>
      </w:r>
      <w:r w:rsidR="00A81E1E" w:rsidRPr="0036402F">
        <w:rPr>
          <w:rFonts w:ascii="Arial" w:hAnsi="Arial" w:cs="Arial"/>
          <w:sz w:val="24"/>
          <w:szCs w:val="24"/>
          <w:lang w:val="en-US"/>
        </w:rPr>
        <w:t>O</w:t>
      </w:r>
      <w:r w:rsidR="005B50C3" w:rsidRPr="0036402F">
        <w:rPr>
          <w:rFonts w:ascii="Arial" w:hAnsi="Arial" w:cs="Arial"/>
          <w:sz w:val="24"/>
          <w:szCs w:val="24"/>
          <w:lang w:val="en-US"/>
        </w:rPr>
        <w:t xml:space="preserve">verweight was </w:t>
      </w:r>
      <w:r w:rsidR="00BF6800" w:rsidRPr="0036402F">
        <w:rPr>
          <w:rFonts w:ascii="Arial" w:hAnsi="Arial" w:cs="Arial"/>
          <w:sz w:val="24"/>
          <w:szCs w:val="24"/>
          <w:lang w:val="en-US"/>
        </w:rPr>
        <w:t xml:space="preserve">negatively </w:t>
      </w:r>
      <w:r w:rsidR="005B50C3" w:rsidRPr="0036402F">
        <w:rPr>
          <w:rFonts w:ascii="Arial" w:hAnsi="Arial" w:cs="Arial"/>
          <w:sz w:val="24"/>
          <w:szCs w:val="24"/>
          <w:lang w:val="en-US"/>
        </w:rPr>
        <w:t>asso</w:t>
      </w:r>
      <w:r w:rsidR="001D16A2" w:rsidRPr="0036402F">
        <w:rPr>
          <w:rFonts w:ascii="Arial" w:hAnsi="Arial" w:cs="Arial"/>
          <w:sz w:val="24"/>
          <w:szCs w:val="24"/>
          <w:lang w:val="en-US"/>
        </w:rPr>
        <w:t xml:space="preserve">ciated </w:t>
      </w:r>
      <w:r w:rsidR="00627A9B" w:rsidRPr="0036402F">
        <w:rPr>
          <w:rFonts w:ascii="Arial" w:hAnsi="Arial" w:cs="Arial"/>
          <w:sz w:val="24"/>
          <w:szCs w:val="24"/>
          <w:lang w:val="en-US"/>
        </w:rPr>
        <w:t xml:space="preserve">with </w:t>
      </w:r>
      <w:r w:rsidR="00303DF9" w:rsidRPr="0036402F">
        <w:rPr>
          <w:rFonts w:ascii="Arial" w:hAnsi="Arial" w:cs="Arial"/>
          <w:sz w:val="24"/>
          <w:szCs w:val="24"/>
          <w:lang w:val="en-US"/>
        </w:rPr>
        <w:t>dementia in women (HR=0.93), whereas there was a positive and significant association between underweight and dementia in men (HR=1.58).</w:t>
      </w:r>
      <w:r w:rsidR="00073C94" w:rsidRPr="0036402F">
        <w:rPr>
          <w:rFonts w:ascii="Arial" w:hAnsi="Arial" w:cs="Arial"/>
          <w:sz w:val="24"/>
          <w:szCs w:val="24"/>
          <w:lang w:val="en-US"/>
        </w:rPr>
        <w:t xml:space="preserve"> </w:t>
      </w:r>
      <w:r w:rsidR="008A0FC1" w:rsidRPr="0036402F">
        <w:rPr>
          <w:rFonts w:ascii="Arial" w:hAnsi="Arial" w:cs="Arial"/>
          <w:sz w:val="24"/>
          <w:szCs w:val="24"/>
          <w:lang w:val="en-US"/>
        </w:rPr>
        <w:t>It was</w:t>
      </w:r>
      <w:r w:rsidR="00073C94" w:rsidRPr="0036402F">
        <w:rPr>
          <w:rFonts w:ascii="Arial" w:hAnsi="Arial" w:cs="Arial"/>
          <w:sz w:val="24"/>
          <w:szCs w:val="24"/>
          <w:lang w:val="en-US"/>
        </w:rPr>
        <w:t xml:space="preserve"> further revealed that, in female patients, obesity and overweight </w:t>
      </w:r>
      <w:r w:rsidR="00004222" w:rsidRPr="0036402F">
        <w:rPr>
          <w:rFonts w:ascii="Arial" w:hAnsi="Arial" w:cs="Arial"/>
          <w:sz w:val="24"/>
          <w:szCs w:val="24"/>
          <w:lang w:val="en-US"/>
        </w:rPr>
        <w:t>w</w:t>
      </w:r>
      <w:r w:rsidR="006A1A49" w:rsidRPr="0036402F">
        <w:rPr>
          <w:rFonts w:ascii="Arial" w:hAnsi="Arial" w:cs="Arial"/>
          <w:sz w:val="24"/>
          <w:szCs w:val="24"/>
          <w:lang w:val="en-US"/>
        </w:rPr>
        <w:t>ere</w:t>
      </w:r>
      <w:r w:rsidR="00073C94" w:rsidRPr="0036402F">
        <w:rPr>
          <w:rFonts w:ascii="Arial" w:hAnsi="Arial" w:cs="Arial"/>
          <w:sz w:val="24"/>
          <w:szCs w:val="24"/>
          <w:lang w:val="en-US"/>
        </w:rPr>
        <w:t xml:space="preserve"> associated with a significant decrease in Alzheimer’s disease (HR=0.81) and undefined dementia (HR=</w:t>
      </w:r>
      <w:r w:rsidR="00635727" w:rsidRPr="0036402F">
        <w:rPr>
          <w:rFonts w:ascii="Arial" w:hAnsi="Arial" w:cs="Arial"/>
          <w:sz w:val="24"/>
          <w:szCs w:val="24"/>
          <w:lang w:val="en-US"/>
        </w:rPr>
        <w:t>0.90)</w:t>
      </w:r>
      <w:r w:rsidR="00073C94" w:rsidRPr="0036402F">
        <w:rPr>
          <w:rFonts w:ascii="Arial" w:hAnsi="Arial" w:cs="Arial"/>
          <w:sz w:val="24"/>
          <w:szCs w:val="24"/>
          <w:lang w:val="en-US"/>
        </w:rPr>
        <w:t>, respectively.</w:t>
      </w:r>
      <w:r w:rsidR="00635727" w:rsidRPr="0036402F">
        <w:rPr>
          <w:rFonts w:ascii="Arial" w:hAnsi="Arial" w:cs="Arial"/>
          <w:sz w:val="24"/>
          <w:szCs w:val="24"/>
          <w:lang w:val="en-US"/>
        </w:rPr>
        <w:t xml:space="preserve"> </w:t>
      </w:r>
      <w:r w:rsidR="00E06B90" w:rsidRPr="0036402F">
        <w:rPr>
          <w:rFonts w:ascii="Arial" w:hAnsi="Arial" w:cs="Arial"/>
          <w:sz w:val="24"/>
          <w:szCs w:val="24"/>
          <w:lang w:val="en-US"/>
        </w:rPr>
        <w:t>In</w:t>
      </w:r>
      <w:r w:rsidR="00635727" w:rsidRPr="0036402F">
        <w:rPr>
          <w:rFonts w:ascii="Arial" w:hAnsi="Arial" w:cs="Arial"/>
          <w:sz w:val="24"/>
          <w:szCs w:val="24"/>
          <w:lang w:val="en-US"/>
        </w:rPr>
        <w:t xml:space="preserve"> contrast, in male patients, a negative association was found between obesity and Alzheimer’s disease (HR=0.82), while there was a strong and positive relationship between underweight and undefined dementia (HR=1.95). To the best of the authors’ knowledge, this is the first study to have investigated the sex-differential association</w:t>
      </w:r>
      <w:r w:rsidR="00A81E1E" w:rsidRPr="0036402F">
        <w:rPr>
          <w:rFonts w:ascii="Arial" w:hAnsi="Arial" w:cs="Arial"/>
          <w:sz w:val="24"/>
          <w:szCs w:val="24"/>
          <w:lang w:val="en-US"/>
        </w:rPr>
        <w:t>s</w:t>
      </w:r>
      <w:r w:rsidR="00635727" w:rsidRPr="0036402F">
        <w:rPr>
          <w:rFonts w:ascii="Arial" w:hAnsi="Arial" w:cs="Arial"/>
          <w:sz w:val="24"/>
          <w:szCs w:val="24"/>
          <w:lang w:val="en-US"/>
        </w:rPr>
        <w:t xml:space="preserve"> between BMI and the incidence of dementia. </w:t>
      </w:r>
    </w:p>
    <w:p w14:paraId="594601B5" w14:textId="6DBC50D2" w:rsidR="009E174B" w:rsidRPr="0036402F" w:rsidRDefault="009E174B" w:rsidP="003C41AC">
      <w:pPr>
        <w:spacing w:line="480" w:lineRule="auto"/>
        <w:jc w:val="both"/>
        <w:rPr>
          <w:rFonts w:ascii="Arial" w:hAnsi="Arial" w:cs="Arial"/>
          <w:sz w:val="24"/>
          <w:szCs w:val="24"/>
          <w:lang w:val="en-US"/>
        </w:rPr>
      </w:pPr>
    </w:p>
    <w:p w14:paraId="6C7580D9" w14:textId="3C83C0F7" w:rsidR="009E174B" w:rsidRPr="0036402F" w:rsidRDefault="009E174B" w:rsidP="00346A37">
      <w:pPr>
        <w:pStyle w:val="Heading2"/>
      </w:pPr>
      <w:r w:rsidRPr="0036402F">
        <w:t>Interpretation of findings</w:t>
      </w:r>
    </w:p>
    <w:p w14:paraId="258E879E" w14:textId="58C99F56" w:rsidR="009E174B" w:rsidRPr="0036402F" w:rsidRDefault="00E45BAD" w:rsidP="003C41AC">
      <w:pPr>
        <w:spacing w:line="480" w:lineRule="auto"/>
        <w:jc w:val="both"/>
        <w:rPr>
          <w:rFonts w:ascii="Arial" w:hAnsi="Arial" w:cs="Arial"/>
          <w:sz w:val="24"/>
          <w:szCs w:val="24"/>
          <w:lang w:val="en-US"/>
        </w:rPr>
      </w:pPr>
      <w:r w:rsidRPr="0036402F">
        <w:rPr>
          <w:rFonts w:ascii="Arial" w:hAnsi="Arial" w:cs="Arial"/>
          <w:sz w:val="24"/>
          <w:szCs w:val="24"/>
          <w:lang w:val="en-US"/>
        </w:rPr>
        <w:t xml:space="preserve">Corroborating previous literature, this </w:t>
      </w:r>
      <w:r w:rsidR="004922F3" w:rsidRPr="0036402F">
        <w:rPr>
          <w:rFonts w:ascii="Arial" w:hAnsi="Arial" w:cs="Arial"/>
          <w:sz w:val="24"/>
          <w:szCs w:val="24"/>
          <w:lang w:val="en-US"/>
        </w:rPr>
        <w:t xml:space="preserve">study </w:t>
      </w:r>
      <w:r w:rsidRPr="0036402F">
        <w:rPr>
          <w:rFonts w:ascii="Arial" w:hAnsi="Arial" w:cs="Arial"/>
          <w:sz w:val="24"/>
          <w:szCs w:val="24"/>
          <w:lang w:val="en-US"/>
        </w:rPr>
        <w:t xml:space="preserve">showed that </w:t>
      </w:r>
      <w:r w:rsidR="005D4370" w:rsidRPr="0036402F">
        <w:rPr>
          <w:rFonts w:ascii="Arial" w:hAnsi="Arial" w:cs="Arial"/>
          <w:sz w:val="24"/>
          <w:szCs w:val="24"/>
          <w:lang w:val="en-US"/>
        </w:rPr>
        <w:t xml:space="preserve">underweight was positively and overweight negatively associated </w:t>
      </w:r>
      <w:r w:rsidR="004922F3" w:rsidRPr="0036402F">
        <w:rPr>
          <w:rFonts w:ascii="Arial" w:hAnsi="Arial" w:cs="Arial"/>
          <w:sz w:val="24"/>
          <w:szCs w:val="24"/>
          <w:lang w:val="en-US"/>
        </w:rPr>
        <w:t xml:space="preserve">with dementia in older adults living in Germany. </w:t>
      </w:r>
      <w:r w:rsidR="00BB71A3" w:rsidRPr="0036402F">
        <w:rPr>
          <w:rFonts w:ascii="Arial" w:hAnsi="Arial" w:cs="Arial"/>
          <w:sz w:val="24"/>
          <w:szCs w:val="24"/>
          <w:lang w:val="en-US"/>
        </w:rPr>
        <w:t>For example, i</w:t>
      </w:r>
      <w:r w:rsidR="000A09F2" w:rsidRPr="0036402F">
        <w:rPr>
          <w:rFonts w:ascii="Arial" w:hAnsi="Arial" w:cs="Arial"/>
          <w:sz w:val="24"/>
          <w:szCs w:val="24"/>
          <w:lang w:val="en-US"/>
        </w:rPr>
        <w:t xml:space="preserve">t was observed, in one study of 1,349,857 participants without dementia from Asia, Europe and the United States, that </w:t>
      </w:r>
      <w:r w:rsidR="00FD2FBC" w:rsidRPr="0036402F">
        <w:rPr>
          <w:rFonts w:ascii="Arial" w:hAnsi="Arial" w:cs="Arial"/>
          <w:sz w:val="24"/>
          <w:szCs w:val="24"/>
          <w:lang w:val="en-US"/>
        </w:rPr>
        <w:t>a five</w:t>
      </w:r>
      <w:r w:rsidR="000A09F2" w:rsidRPr="0036402F">
        <w:rPr>
          <w:rFonts w:ascii="Arial" w:hAnsi="Arial" w:cs="Arial"/>
          <w:sz w:val="24"/>
          <w:szCs w:val="24"/>
          <w:lang w:val="en-US"/>
        </w:rPr>
        <w:t>-kg/m</w:t>
      </w:r>
      <w:r w:rsidR="000A09F2" w:rsidRPr="0036402F">
        <w:rPr>
          <w:rFonts w:ascii="Arial" w:hAnsi="Arial" w:cs="Arial"/>
          <w:sz w:val="24"/>
          <w:szCs w:val="24"/>
          <w:vertAlign w:val="superscript"/>
          <w:lang w:val="en-US"/>
        </w:rPr>
        <w:t>2</w:t>
      </w:r>
      <w:r w:rsidR="000A09F2" w:rsidRPr="0036402F">
        <w:rPr>
          <w:rFonts w:ascii="Arial" w:hAnsi="Arial" w:cs="Arial"/>
          <w:sz w:val="24"/>
          <w:szCs w:val="24"/>
          <w:lang w:val="en-US"/>
        </w:rPr>
        <w:t xml:space="preserve"> increase in BMI </w:t>
      </w:r>
      <w:r w:rsidR="00202E10" w:rsidRPr="0036402F">
        <w:rPr>
          <w:rFonts w:ascii="Arial" w:hAnsi="Arial" w:cs="Arial"/>
          <w:sz w:val="24"/>
          <w:szCs w:val="24"/>
          <w:lang w:val="en-US"/>
        </w:rPr>
        <w:t xml:space="preserve">led to a significant decrease in the risk of dementia (HR=0.71) when BMI was assessed </w:t>
      </w:r>
      <w:r w:rsidR="00DA1CEA" w:rsidRPr="0036402F">
        <w:rPr>
          <w:rFonts w:ascii="Arial" w:hAnsi="Arial" w:cs="Arial"/>
          <w:sz w:val="24"/>
          <w:szCs w:val="24"/>
          <w:lang w:val="en-US"/>
        </w:rPr>
        <w:t>in the decade</w:t>
      </w:r>
      <w:r w:rsidR="00202E10" w:rsidRPr="0036402F">
        <w:rPr>
          <w:rFonts w:ascii="Arial" w:hAnsi="Arial" w:cs="Arial"/>
          <w:sz w:val="24"/>
          <w:szCs w:val="24"/>
          <w:lang w:val="en-US"/>
        </w:rPr>
        <w:t xml:space="preserve"> prior to the diagnosis of dementia </w:t>
      </w:r>
      <w:r w:rsidR="00202E10"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{"citationID":"SEc6hIx8","properties":{"formattedCitation":"[13]","plainCitation":"[13]","noteIndex":0},"citationItems":[{"id":22858,"uris":["http://zotero.org/users/local/hhPVnw6l/items/HWDAZWSA"],"itemData":{"id":22858,"type":"article-journal","abstract":"INTRODUCTION: Higher midlife body mass index (BMI) is suggested to increase the risk of dementia, but weight loss during the preclinical dementia phase may mask such effects.\nMETHODS: We examined this hypothesis in 1,349,857 dementia-free participants from 39 cohort studies. BMI was assessed at baseline. Dementia was ascertained at follow-up using linkage to electronic health records (N = 6894). We assumed BMI is little affected by preclinical dementia when assessed decades before dementia onset and much affected when assessed nearer diagnosis.\nRESULTS: Hazard ratios per 5-kg/m2 increase in BMI for dementia were 0.71 (95% confidence interval = 0.66-0.77), 0.94 (0.89-0.99), and 1.16 (1.05-1.27) when BMI was assessed 10 years, 10-20 years, and &gt;20 years before dementia diagnosis.\nCONCLUSIONS: The association between BMI and dementia is likely to be attributable to two different processes: a harmful effect of higher BMI, which is observable in long follow-up, and a reverse-causation effect that makes a higher BMI to appear protective when the follow-up is short.","container-title":"Alzheimer's &amp; Dementia: The Journal of the Alzheimer's Association","DOI":"10.1016/j.jalz.2017.09.016","ISSN":"1552-5279","issue":"5","journalAbbreviation":"Alzheimers Dement","language":"eng","note":"PMID: 29169013\nPMCID: PMC5948099","page":"601-609","source":"PubMed","title":"Body mass index and risk of dementia: Analysis of individual-level data from 1.3 million individuals","title-short":"Body mass index and risk of dementia","volume":"14","author":[{"family":"Kivimäki","given":"Mika"},{"family":"Luukkonen","given":"Ritva"},{"family":"Batty","given":"G. David"},{"family":"Ferrie","given":"Jane E."},{"family":"Pentti","given":"Jaana"},{"family":"Nyberg","given":"Solja T."},{"family":"Shipley","given":"Martin J."},{"family":"Alfredsson","given":"Lars"},{"family":"Fransson","given":"Eleonor I."},{"family":"Goldberg","given":"Marcel"},{"family":"Knutsson","given":"Anders"},{"family":"Koskenvuo","given":"Markku"},{"family":"Kuosma","given":"Eeva"},{"family":"Nordin","given":"Maria"},{"family":"Suominen","given":"Sakari B."},{"family":"Theorell","given":"Töres"},{"family":"Vuoksimaa","given":"Eero"},{"family":"Westerholm","given":"Peter"},{"family":"Westerlund","given":"Hugo"},{"family":"Zins","given":"Marie"},{"family":"Kivipelto","given":"Miia"},{"family":"Vahtera","given":"Jussi"},{"family":"Kaprio","given":"Jaakko"},{"family":"Singh-Manoux","given":"Archana"},{"family":"Jokela","given":"Markus"}],"issued":{"date-parts":[["2018",5]]}}}],"schema":"https://github.com/citation-style-language/schema/raw/master/csl-citation.json"} </w:instrText>
      </w:r>
      <w:r w:rsidR="00202E10" w:rsidRPr="0036402F">
        <w:rPr>
          <w:rFonts w:ascii="Arial" w:hAnsi="Arial" w:cs="Arial"/>
          <w:sz w:val="24"/>
          <w:szCs w:val="24"/>
          <w:lang w:val="en-US"/>
        </w:rPr>
        <w:fldChar w:fldCharType="separate"/>
      </w:r>
      <w:r w:rsidR="00281A73" w:rsidRPr="0036402F">
        <w:rPr>
          <w:rFonts w:ascii="Arial" w:hAnsi="Arial" w:cs="Arial"/>
          <w:noProof/>
          <w:sz w:val="24"/>
          <w:szCs w:val="24"/>
          <w:lang w:val="en-US"/>
        </w:rPr>
        <w:t>[13]</w:t>
      </w:r>
      <w:r w:rsidR="00202E10" w:rsidRPr="0036402F">
        <w:rPr>
          <w:rFonts w:ascii="Arial" w:hAnsi="Arial" w:cs="Arial"/>
          <w:sz w:val="24"/>
          <w:szCs w:val="24"/>
          <w:lang w:val="en-US"/>
        </w:rPr>
        <w:fldChar w:fldCharType="end"/>
      </w:r>
      <w:r w:rsidR="00202E10" w:rsidRPr="0036402F">
        <w:rPr>
          <w:rFonts w:ascii="Arial" w:hAnsi="Arial" w:cs="Arial"/>
          <w:sz w:val="24"/>
          <w:szCs w:val="24"/>
          <w:lang w:val="en-US"/>
        </w:rPr>
        <w:t xml:space="preserve">. </w:t>
      </w:r>
      <w:r w:rsidR="00BB71A3" w:rsidRPr="0036402F">
        <w:rPr>
          <w:rFonts w:ascii="Arial" w:hAnsi="Arial" w:cs="Arial"/>
          <w:sz w:val="24"/>
          <w:szCs w:val="24"/>
          <w:lang w:val="en-US"/>
        </w:rPr>
        <w:t xml:space="preserve">The positive effects of high BMI in late life on dementia may be mediated </w:t>
      </w:r>
      <w:r w:rsidR="00781967" w:rsidRPr="0036402F">
        <w:rPr>
          <w:rFonts w:ascii="Arial" w:hAnsi="Arial" w:cs="Arial"/>
          <w:sz w:val="24"/>
          <w:szCs w:val="24"/>
          <w:lang w:val="en-US"/>
        </w:rPr>
        <w:t>by</w:t>
      </w:r>
      <w:r w:rsidR="002522E5" w:rsidRPr="0036402F">
        <w:rPr>
          <w:rFonts w:ascii="Arial" w:hAnsi="Arial" w:cs="Arial"/>
          <w:sz w:val="24"/>
          <w:szCs w:val="24"/>
          <w:lang w:val="en-US"/>
        </w:rPr>
        <w:t xml:space="preserve"> several hormones such as</w:t>
      </w:r>
      <w:r w:rsidR="00781967" w:rsidRPr="0036402F">
        <w:rPr>
          <w:rFonts w:ascii="Arial" w:hAnsi="Arial" w:cs="Arial"/>
          <w:sz w:val="24"/>
          <w:szCs w:val="24"/>
          <w:lang w:val="en-US"/>
        </w:rPr>
        <w:t xml:space="preserve"> leptin</w:t>
      </w:r>
      <w:r w:rsidR="002522E5" w:rsidRPr="0036402F">
        <w:rPr>
          <w:rFonts w:ascii="Arial" w:hAnsi="Arial" w:cs="Arial"/>
          <w:sz w:val="24"/>
          <w:szCs w:val="24"/>
          <w:lang w:val="en-US"/>
        </w:rPr>
        <w:t xml:space="preserve"> and oxytocin</w:t>
      </w:r>
      <w:r w:rsidR="00781967" w:rsidRPr="0036402F">
        <w:rPr>
          <w:rFonts w:ascii="Arial" w:hAnsi="Arial" w:cs="Arial"/>
          <w:sz w:val="24"/>
          <w:szCs w:val="24"/>
          <w:lang w:val="en-US"/>
        </w:rPr>
        <w:t xml:space="preserve">. </w:t>
      </w:r>
      <w:r w:rsidR="002522E5" w:rsidRPr="0036402F">
        <w:rPr>
          <w:rFonts w:ascii="Arial" w:hAnsi="Arial" w:cs="Arial"/>
          <w:sz w:val="24"/>
          <w:szCs w:val="24"/>
          <w:lang w:val="en-US"/>
        </w:rPr>
        <w:lastRenderedPageBreak/>
        <w:t>Indeed, t</w:t>
      </w:r>
      <w:r w:rsidR="00F540BE" w:rsidRPr="0036402F">
        <w:rPr>
          <w:rFonts w:ascii="Arial" w:hAnsi="Arial" w:cs="Arial"/>
          <w:sz w:val="24"/>
          <w:szCs w:val="24"/>
          <w:lang w:val="en-US"/>
        </w:rPr>
        <w:t xml:space="preserve">here is a strong and positive correlation between </w:t>
      </w:r>
      <w:r w:rsidR="00781967" w:rsidRPr="0036402F">
        <w:rPr>
          <w:rFonts w:ascii="Arial" w:hAnsi="Arial" w:cs="Arial"/>
          <w:sz w:val="24"/>
          <w:szCs w:val="24"/>
          <w:lang w:val="en-US"/>
        </w:rPr>
        <w:t xml:space="preserve">BMI </w:t>
      </w:r>
      <w:r w:rsidR="00F540BE" w:rsidRPr="0036402F">
        <w:rPr>
          <w:rFonts w:ascii="Arial" w:hAnsi="Arial" w:cs="Arial"/>
          <w:sz w:val="24"/>
          <w:szCs w:val="24"/>
          <w:lang w:val="en-US"/>
        </w:rPr>
        <w:t xml:space="preserve">and </w:t>
      </w:r>
      <w:r w:rsidR="00781967" w:rsidRPr="0036402F">
        <w:rPr>
          <w:rFonts w:ascii="Arial" w:hAnsi="Arial" w:cs="Arial"/>
          <w:sz w:val="24"/>
          <w:szCs w:val="24"/>
          <w:lang w:val="en-US"/>
        </w:rPr>
        <w:t xml:space="preserve">high leptin levels </w:t>
      </w:r>
      <w:r w:rsidR="00281E25"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{"citationID":"pxHjM82r","properties":{"formattedCitation":"[22,23]","plainCitation":"[22,23]","noteIndex":0},"citationItems":[{"id":22892,"uris":["http://zotero.org/users/local/hhPVnw6l/items/SC66YWNQ"],"itemData":{"id":22892,"type":"article-journal","abstract":"OBJECTIVE: To ascertain the relationship between serum leptin levels and related variables (weight, Body Mass Index (BMI) and fat percentage) in a group of Omani obese and non-obese healthy subjects.\nMETHODS: Leptin levels were assessed in serum samples from 35 obese Omanis and 20 non-obese healthy subjects.\nRESULTS: There was a significant difference (p&lt; 0.001) in serum leptin between the obese group (34.78 + 13.96 ng/ml) and the control non-obese subjects (10.6 ± 4.2 ng/ml). Leptin levels were higher in females compared to males. There was a significantly positive correlation between leptin levels in obese subjects with weight (p=0.002), body fat percentage (p=0.0001) and BMI (p=0.001).\nCONCLUSIONS: We concluded that serum leptin levels are higher in the Omani obese group and correlate positively with body fatness and obesity.","container-title":"Sultan Qaboos University Medical Journal","ISSN":"2075-051X","issue":"2","journalAbbreviation":"Sultan Qaboos Univ Med J","language":"eng","note":"PMID: 21748132\nPMCID: PMC3074914","page":"27-31","source":"PubMed","title":"Correlation between Serum Leptin Levels, Body Mass Index and Obesity in Omanis","volume":"6","author":[{"family":"Al Maskari","given":"Masoud Y."},{"family":"Alnaqdy","given":"Adel A."}],"issued":{"date-parts":[["2006",12]]}}},{"id":22890,"uris":["http://zotero.org/users/local/hhPVnw6l/items/DUILTKHG"],"itemData":{"id":22890,"type":"article-journal","abstract":"BACKGROUND: Leptin is product of ob gene, an adipose tissue derived hormone that plays a key role in the regulation of body fat mass by regulating appetite and metabolism while balancing energy intake and energy expenditure. The objective of the study was to evaluate possible association between serum Leptin levels and Body Mass Index (BMI) of gender in adult age group.\nMETHODS: Two-hundred-seventy subjects aged 20-50 years were randomly selected from general population of Abbottabad. After complete evaluation, demographic data was recorded and BMI calculated. The subjects were grouped on the basis on BMI. Non-fasting venous blood samples were drawn to measure serum Leptin and serum glucose levels. The data were analysed using SPSS-15.\nRESULTS: Serum Leptin levels and differences between genders were significant in all body mass indices. For normal BMI group the mean values for leptin were 2.6 +/- 1.5 etag/ml in men, and 17.3 +/- 10.2 etag/ml in women. For Group-2 mean leptin levels were 9.9 +/- 6.8 etag/ml in men, and 34.8 +/- 13.6 etag/ml in women. For Group-3 BMI comprising obese subjects mean values were 21.3 +/- 14.2 etag/ml in men, and 48.21 +/- 21.2 etag/ml in women (p&lt;0.001).\nCONCLUSION: A progressive increase in serum leptin concentration was observed with an increase in BMI. Significant difference between leptin concentrations in either gender was found in normal, overweight and obese subjects.","container-title":"Journal of Ayub Medical College, Abbottabad: JAMC","ISSN":"1025-9589","issue":"3","journalAbbreviation":"J Ayub Med Coll Abbottabad","language":"eng","note":"PMID: 23272432","page":"40-43","source":"PubMed","title":"Effect of body mass index on serum leptin levels","volume":"23","author":[{"family":"Paul","given":"Rubina Faisal"},{"family":"Hassan","given":"Mukhtiar"},{"family":"Nazar","given":"Hassan Shehzad"},{"family":"Gillani","given":"Saima"},{"family":"Afzal","given":"Naeema"},{"family":"Qayyum","given":"Iftikhar"}],"issued":{"date-parts":[["2011",9]]}}}],"schema":"https://github.com/citation-style-language/schema/raw/master/csl-citation.json"} </w:instrText>
      </w:r>
      <w:r w:rsidR="00281E25" w:rsidRPr="0036402F">
        <w:rPr>
          <w:rFonts w:ascii="Arial" w:hAnsi="Arial" w:cs="Arial"/>
          <w:sz w:val="24"/>
          <w:szCs w:val="24"/>
          <w:lang w:val="en-US"/>
        </w:rPr>
        <w:fldChar w:fldCharType="separate"/>
      </w:r>
      <w:r w:rsidR="00281A73" w:rsidRPr="0036402F">
        <w:rPr>
          <w:rFonts w:ascii="Arial" w:hAnsi="Arial" w:cs="Arial"/>
          <w:noProof/>
          <w:sz w:val="24"/>
          <w:szCs w:val="24"/>
          <w:lang w:val="en-US"/>
        </w:rPr>
        <w:t>[22,23]</w:t>
      </w:r>
      <w:r w:rsidR="00281E25" w:rsidRPr="0036402F">
        <w:rPr>
          <w:rFonts w:ascii="Arial" w:hAnsi="Arial" w:cs="Arial"/>
          <w:sz w:val="24"/>
          <w:szCs w:val="24"/>
          <w:lang w:val="en-US"/>
        </w:rPr>
        <w:fldChar w:fldCharType="end"/>
      </w:r>
      <w:r w:rsidR="00781967" w:rsidRPr="0036402F">
        <w:rPr>
          <w:rFonts w:ascii="Arial" w:hAnsi="Arial" w:cs="Arial"/>
          <w:sz w:val="24"/>
          <w:szCs w:val="24"/>
          <w:lang w:val="en-US"/>
        </w:rPr>
        <w:t xml:space="preserve">, </w:t>
      </w:r>
      <w:r w:rsidR="002F29D4" w:rsidRPr="0036402F">
        <w:rPr>
          <w:rFonts w:ascii="Arial" w:hAnsi="Arial" w:cs="Arial"/>
          <w:sz w:val="24"/>
          <w:szCs w:val="24"/>
          <w:lang w:val="en-US"/>
        </w:rPr>
        <w:t xml:space="preserve">and leptin </w:t>
      </w:r>
      <w:r w:rsidR="00F540BE" w:rsidRPr="0036402F">
        <w:rPr>
          <w:rFonts w:ascii="Arial" w:hAnsi="Arial" w:cs="Arial"/>
          <w:sz w:val="24"/>
          <w:szCs w:val="24"/>
          <w:lang w:val="en-US"/>
        </w:rPr>
        <w:t xml:space="preserve">plays a substantial role in </w:t>
      </w:r>
      <w:r w:rsidR="000031CC" w:rsidRPr="0036402F">
        <w:rPr>
          <w:rFonts w:ascii="Arial" w:hAnsi="Arial" w:cs="Arial"/>
          <w:sz w:val="24"/>
          <w:szCs w:val="24"/>
          <w:lang w:val="en-US"/>
        </w:rPr>
        <w:t>enhanc</w:t>
      </w:r>
      <w:r w:rsidR="00F540BE" w:rsidRPr="0036402F">
        <w:rPr>
          <w:rFonts w:ascii="Arial" w:hAnsi="Arial" w:cs="Arial"/>
          <w:sz w:val="24"/>
          <w:szCs w:val="24"/>
          <w:lang w:val="en-US"/>
        </w:rPr>
        <w:t xml:space="preserve">ing </w:t>
      </w:r>
      <w:r w:rsidR="000031CC" w:rsidRPr="0036402F">
        <w:rPr>
          <w:rFonts w:ascii="Arial" w:hAnsi="Arial" w:cs="Arial"/>
          <w:sz w:val="24"/>
          <w:szCs w:val="24"/>
          <w:lang w:val="en-US"/>
        </w:rPr>
        <w:t xml:space="preserve">cognition </w:t>
      </w:r>
      <w:r w:rsidR="000031CC"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{"citationID":"52VApZfN","properties":{"formattedCitation":"[24]","plainCitation":"[24]","noteIndex":0},"citationItems":[{"id":22894,"uris":["http://zotero.org/users/local/hhPVnw6l/items/AWR29AH2"],"itemData":{"id":22894,"type":"article-journal","abstract":"The role of the endocrine hormone leptin in controlling energy homeostasis in the hypothalamus are well documented. However the CNS targets for leptin are not restricted to the hypothalamus as a high density of leptin receptors are also expressed in several parts of the brain involved in higher cognitive functions including the hippocampus. Numerous studies have identified that in the hippocampus, leptin has cognitive enhancing actions as exogenous application of this hormone facilitates hippocampal-dependent learning and memory, whereas lack or insensitivity to leptin results in significant memory deficits. Leptin also markedly influences some of the main cellular changes that are involved in learning and memory including NMDA-receptor dependent synaptic plasticity and glutamate receptor trafficking. Like other metabolic hormones, there is a significant decline in neuronal sensitivity to leptin during the ageing process. Indeed, the capacity of leptin to modulate the functioning of hippocampal synapses is substantially reduced in aged compared to adult tissue. Clinical studies have also identified an association between circulating leptin levels and the risk of certain neurodegenerative disorders such as Alzheimer's disease (AD). In view of this, targeting leptin and/or its receptor/signaling mechanisms may be an innovative approach for developing therapies to treat AD. In support of this, accumulating evidence indicates that leptin has cognitive enhancing and neuroprotective actions in various models of AD. Here we assess recent evidence that supports an important regulatory role for leptin at hippocampal CA1 synapses, and we discuss how age-related alterations in this hormonal system influences neurodegenerative disease.","container-title":"Frontiers in Cellular Neuroscience","DOI":"10.3389/fncel.2018.00340","ISSN":"1662-5102","journalAbbreviation":"Front Cell Neurosci","language":"eng","note":"PMID: 30386207\nPMCID: PMC6198461","page":"340","source":"PubMed","title":"Regulation of Hippocampal Synaptic Function by the Metabolic Hormone, Leptin: Implications for Health and Neurodegenerative Disease","title-short":"Regulation of Hippocampal Synaptic Function by the Metabolic Hormone, Leptin","volume":"12","author":[{"family":"McGregor","given":"Gemma"},{"family":"Harvey","given":"Jenni"}],"issued":{"date-parts":[["2018"]]}}}],"schema":"https://github.com/citation-style-language/schema/raw/master/csl-citation.json"} </w:instrText>
      </w:r>
      <w:r w:rsidR="000031CC" w:rsidRPr="0036402F">
        <w:rPr>
          <w:rFonts w:ascii="Arial" w:hAnsi="Arial" w:cs="Arial"/>
          <w:sz w:val="24"/>
          <w:szCs w:val="24"/>
          <w:lang w:val="en-US"/>
        </w:rPr>
        <w:fldChar w:fldCharType="separate"/>
      </w:r>
      <w:r w:rsidR="00281A73" w:rsidRPr="0036402F">
        <w:rPr>
          <w:rFonts w:ascii="Arial" w:hAnsi="Arial" w:cs="Arial"/>
          <w:noProof/>
          <w:sz w:val="24"/>
          <w:szCs w:val="24"/>
          <w:lang w:val="en-US"/>
        </w:rPr>
        <w:t>[24]</w:t>
      </w:r>
      <w:r w:rsidR="000031CC" w:rsidRPr="0036402F">
        <w:rPr>
          <w:rFonts w:ascii="Arial" w:hAnsi="Arial" w:cs="Arial"/>
          <w:sz w:val="24"/>
          <w:szCs w:val="24"/>
          <w:lang w:val="en-US"/>
        </w:rPr>
        <w:fldChar w:fldCharType="end"/>
      </w:r>
      <w:r w:rsidR="000031CC" w:rsidRPr="0036402F">
        <w:rPr>
          <w:rFonts w:ascii="Arial" w:hAnsi="Arial" w:cs="Arial"/>
          <w:sz w:val="24"/>
          <w:szCs w:val="24"/>
          <w:lang w:val="en-US"/>
        </w:rPr>
        <w:t xml:space="preserve">. </w:t>
      </w:r>
      <w:r w:rsidR="00AB15E6" w:rsidRPr="0036402F">
        <w:rPr>
          <w:rFonts w:ascii="Arial" w:hAnsi="Arial" w:cs="Arial"/>
          <w:sz w:val="24"/>
          <w:szCs w:val="24"/>
          <w:lang w:val="en-US"/>
        </w:rPr>
        <w:t xml:space="preserve">Moreover, </w:t>
      </w:r>
      <w:r w:rsidR="00895FCD" w:rsidRPr="0036402F">
        <w:rPr>
          <w:rFonts w:ascii="Arial" w:hAnsi="Arial" w:cs="Arial"/>
          <w:sz w:val="24"/>
          <w:szCs w:val="24"/>
          <w:lang w:val="en-US"/>
        </w:rPr>
        <w:t xml:space="preserve">some data suggest that high BMI is associated with higher levels of oxytocin </w:t>
      </w:r>
      <w:r w:rsidR="00895FCD"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{"citationID":"Sz8p2YoG","properties":{"formattedCitation":"[25]","plainCitation":"[25]","noteIndex":0},"citationItems":[{"id":22900,"uris":["http://zotero.org/users/local/hhPVnw6l/items/Y4V58VZI"],"itemData":{"id":22900,"type":"article-journal","abstract":"CONTEXT: Despite the emerging evidence on the role of oxytocin (OXT) in metabolic diseases, there is a lack of well-powered studies addressing the relationship of circulating OXT with obesity and diabetes.\nOBJECTIVES AND DESIGN: Here, we measured OXT in a study cohort (n = 721; 396 women, 325 men; mean age ± SD, 47.7 ± 15.2 years) with subphenotypes related to obesity, including anthropometric traits such as body mass index [BMI (mean ± SD), 26.8 ± 4.6 kg/m2], waist-to-hip ratio (WHR; 0.88 ± 0.09), blood parameters (glucose, 5.32 ± 0.50 mmol/L; insulin, 5.3 ± 3.3 µU/mL), and oral glucose tolerance test to clarify the association with OXT. We also tested in a genome-wide association study (GWAS) whether the interindividual variation in OXT serum levels might be explained by genetic variation.\nRESULTS: The OXT concentration was increased in subjects with elevated BMI and positively correlated with WHR, waist circumference, and triglyceride levels. The OXT concentration in subjects with BMI &lt;25 kg/m2 was significantly lower (n = 256; 78.6 pg/mL) than in subjects with a BMI between 25 and 30 kg/m2 (n = 314; 98.5 pg/mL, P = 6 × 10-6) and with BMI &gt;30 kg/m2 (n = 137; 106.4 pg/mL, P = 8 × 10-6). OXT levels were also positively correlated with plasma glucose and insulin and were elevated in subjects with impaired glucose tolerance (P = 4.6 × 10-3). Heritability of OXT was estimated at 12.8%. In a GWAS, two hits in linkage disequilibrium close (19 kb) to the OXT reached genome-wide significant association (top-hit rs12625893, P = 3.1 × 10-8, explained variance 3%).\nCONCLUSIONS: Our data show that OXT is genetically affected by a variant near OXT and is associated with obesity and impaired glucose tolerance.","container-title":"The Journal of Clinical Endocrinology and Metabolism","DOI":"10.1210/jc.2019-00643","ISSN":"1945-7197","issue":"11","journalAbbreviation":"J Clin Endocrinol Metab","language":"eng","note":"PMID: 31361301","page":"5621-5632","source":"PubMed","title":"Circulating Oxytocin Is Genetically Determined and Associated With Obesity and Impaired Glucose Tolerance","volume":"104","author":[{"family":"Weingarten","given":"Mark Florian Joachim"},{"family":"Scholz","given":"Markus"},{"family":"Wohland","given":"Tobias"},{"family":"Horn","given":"Katrin"},{"family":"Stumvoll","given":"Michael"},{"family":"Kovacs","given":"Peter"},{"family":"Tönjes","given":"Anke"}],"issued":{"date-parts":[["2019",11,1]]}}}],"schema":"https://github.com/citation-style-language/schema/raw/master/csl-citation.json"} </w:instrText>
      </w:r>
      <w:r w:rsidR="00895FCD" w:rsidRPr="0036402F">
        <w:rPr>
          <w:rFonts w:ascii="Arial" w:hAnsi="Arial" w:cs="Arial"/>
          <w:sz w:val="24"/>
          <w:szCs w:val="24"/>
          <w:lang w:val="en-US"/>
        </w:rPr>
        <w:fldChar w:fldCharType="separate"/>
      </w:r>
      <w:r w:rsidR="00281A73" w:rsidRPr="0036402F">
        <w:rPr>
          <w:rFonts w:ascii="Arial" w:hAnsi="Arial" w:cs="Arial"/>
          <w:noProof/>
          <w:sz w:val="24"/>
          <w:szCs w:val="24"/>
          <w:lang w:val="en-US"/>
        </w:rPr>
        <w:t>[25]</w:t>
      </w:r>
      <w:r w:rsidR="00895FCD" w:rsidRPr="0036402F">
        <w:rPr>
          <w:rFonts w:ascii="Arial" w:hAnsi="Arial" w:cs="Arial"/>
          <w:sz w:val="24"/>
          <w:szCs w:val="24"/>
          <w:lang w:val="en-US"/>
        </w:rPr>
        <w:fldChar w:fldCharType="end"/>
      </w:r>
      <w:r w:rsidR="00895FCD" w:rsidRPr="0036402F">
        <w:rPr>
          <w:rFonts w:ascii="Arial" w:hAnsi="Arial" w:cs="Arial"/>
          <w:sz w:val="24"/>
          <w:szCs w:val="24"/>
          <w:lang w:val="en-US"/>
        </w:rPr>
        <w:t>, while</w:t>
      </w:r>
      <w:r w:rsidR="004D3922" w:rsidRPr="0036402F">
        <w:rPr>
          <w:rFonts w:ascii="Arial" w:hAnsi="Arial" w:cs="Arial"/>
          <w:sz w:val="24"/>
          <w:szCs w:val="24"/>
          <w:lang w:val="en-US"/>
        </w:rPr>
        <w:t xml:space="preserve"> higher levels of oxytocin </w:t>
      </w:r>
      <w:r w:rsidR="002522E5" w:rsidRPr="0036402F">
        <w:rPr>
          <w:rFonts w:ascii="Arial" w:hAnsi="Arial" w:cs="Arial"/>
          <w:sz w:val="24"/>
          <w:szCs w:val="24"/>
          <w:lang w:val="en-US"/>
        </w:rPr>
        <w:t>might</w:t>
      </w:r>
      <w:r w:rsidR="004D3922" w:rsidRPr="0036402F">
        <w:rPr>
          <w:rFonts w:ascii="Arial" w:hAnsi="Arial" w:cs="Arial"/>
          <w:sz w:val="24"/>
          <w:szCs w:val="24"/>
          <w:lang w:val="en-US"/>
        </w:rPr>
        <w:t xml:space="preserve"> protect against the decrease in hippocampus and amygdala volumes in late life </w:t>
      </w:r>
      <w:r w:rsidR="004D3922" w:rsidRPr="0036402F">
        <w:rPr>
          <w:rFonts w:ascii="Arial" w:hAnsi="Arial" w:cs="Arial"/>
          <w:sz w:val="24"/>
          <w:szCs w:val="24"/>
          <w:lang w:val="en-US"/>
        </w:rPr>
        <w:fldChar w:fldCharType="begin"/>
      </w:r>
      <w:r w:rsidR="00236F70" w:rsidRPr="0036402F">
        <w:rPr>
          <w:rFonts w:ascii="Arial" w:hAnsi="Arial" w:cs="Arial"/>
          <w:sz w:val="24"/>
          <w:szCs w:val="24"/>
          <w:lang w:val="en-US"/>
        </w:rPr>
        <w:instrText xml:space="preserve"> ADDIN ZOTERO_ITEM CSL_CITATION {"citationID":"gcz5bIjy","properties":{"formattedCitation":"[26]","plainCitation":"[26]","noteIndex":0},"citationItems":[{"id":22897,"uris":["http://zotero.org/users/local/hhPVnw6l/items/JULEPFT9"],"itemData":{"id":22897,"type":"article-journal","abstract":"Oxytocin is deeply involved in human relations. In recent years, it is becoming clear that oxytocin is also involved in social cognition and social behaviour. Oxytocin receptors are also thought to be present in the hippocampus and amygdala, and the relationship between oxytocin and the structure and function of the hippocampus and amygdala has been reported. However, a few studies have investigated oxytocin and its relationship to hippocampus and amygdala volume in elderly people. The aim of this study is to investigate the association between serum oxytocin levels and hippocampus and amygdala volume in elderly people. The survey was conducted twice in Kurokawa-cho, Imari, Saga Prefecture, Japan, among people aged 65 years and older. We collected data from 596 residents. Serum oxytocin level measurements, brain MRI, Mini-Mental State Examination and Clinical Dementia Rating were performed in Time 1 (2009-11). Follow-up brain MRI, Mini-Mental State Examination and Clinical Dementia Rating were performed in Time 2 (2016-17). The interval between Time 1 and Time 2 was about 7 years. Fifty-eight participants (14 men, mean age 72.36 ± 3.41 years, oxytocin 0.042 ± 0.052 ng/ml; 44 women, mean age 73.07 ± 4.38 years, oxytocin 0.123 ± 0.130 ng/ml) completed this study. We analysed the correlation between serum oxytocin levels (Time 1) and brain volume (Time 1, Time 2 and Times 1-2 difference) using voxel-based morphometry implemented with Statistical Parametric Mapping. Analysis at the cluster level (family-wise error; P &lt; 0.05) showed a positive correlation between serum oxytocin levels (Time 1) and brain volume of the region containing the left hippocampus and amygdala (Time 2). This result suggests that oxytocin in people aged 65 years and older may be associated with aging-related changes in hippocampus and amygdala volume.","container-title":"Brain Communications","DOI":"10.1093/braincomms/fcaa081","ISSN":"2632-1297","issue":"2","journalAbbreviation":"Brain Commun","language":"eng","note":"PMID: 32954331\nPMCID: PMC7472904","page":"fcaa081","source":"PubMed","title":"Oxytocin and elderly MRI-based hippocampus and amygdala volume: a 7-year follow-up study","title-short":"Oxytocin and elderly MRI-based hippocampus and amygdala volume","volume":"2","author":[{"family":"Orihashi","given":"Ryuzo"},{"family":"Mizoguchi","given":"Yoshito"},{"family":"Imamura","given":"Yoshiomi"},{"family":"Yamada","given":"Shigeto"},{"family":"Ueno","given":"Takefumi"},{"family":"Monji","given":"Akira"}],"issued":{"date-parts":[["2020"]]}}}],"schema":"https://github.com/citation-style-language/schema/raw/master/csl-citation.json"} </w:instrText>
      </w:r>
      <w:r w:rsidR="004D3922" w:rsidRPr="0036402F">
        <w:rPr>
          <w:rFonts w:ascii="Arial" w:hAnsi="Arial" w:cs="Arial"/>
          <w:sz w:val="24"/>
          <w:szCs w:val="24"/>
          <w:lang w:val="en-US"/>
        </w:rPr>
        <w:fldChar w:fldCharType="separate"/>
      </w:r>
      <w:r w:rsidR="00281A73" w:rsidRPr="0036402F">
        <w:rPr>
          <w:rFonts w:ascii="Arial" w:hAnsi="Arial" w:cs="Arial"/>
          <w:noProof/>
          <w:sz w:val="24"/>
          <w:szCs w:val="24"/>
          <w:lang w:val="en-US"/>
        </w:rPr>
        <w:t>[26]</w:t>
      </w:r>
      <w:r w:rsidR="004D3922" w:rsidRPr="0036402F">
        <w:rPr>
          <w:rFonts w:ascii="Arial" w:hAnsi="Arial" w:cs="Arial"/>
          <w:sz w:val="24"/>
          <w:szCs w:val="24"/>
          <w:lang w:val="en-US"/>
        </w:rPr>
        <w:fldChar w:fldCharType="end"/>
      </w:r>
      <w:r w:rsidR="004D3922" w:rsidRPr="0036402F">
        <w:rPr>
          <w:rFonts w:ascii="Arial" w:hAnsi="Arial" w:cs="Arial"/>
          <w:sz w:val="24"/>
          <w:szCs w:val="24"/>
          <w:lang w:val="en-US"/>
        </w:rPr>
        <w:t>.</w:t>
      </w:r>
      <w:r w:rsidR="009456CE" w:rsidRPr="0036402F">
        <w:rPr>
          <w:rFonts w:ascii="Arial" w:hAnsi="Arial" w:cs="Arial"/>
          <w:sz w:val="24"/>
          <w:szCs w:val="24"/>
          <w:lang w:val="en-US"/>
        </w:rPr>
        <w:t xml:space="preserve"> Finally, it should be mentioned that </w:t>
      </w:r>
      <w:r w:rsidR="00FC3995" w:rsidRPr="0036402F">
        <w:rPr>
          <w:rFonts w:ascii="Arial" w:hAnsi="Arial" w:cs="Arial"/>
          <w:sz w:val="24"/>
          <w:szCs w:val="24"/>
          <w:lang w:val="en-US"/>
        </w:rPr>
        <w:t>decreasing</w:t>
      </w:r>
      <w:r w:rsidR="009456CE" w:rsidRPr="0036402F">
        <w:rPr>
          <w:rFonts w:ascii="Arial" w:hAnsi="Arial" w:cs="Arial"/>
          <w:sz w:val="24"/>
          <w:szCs w:val="24"/>
          <w:lang w:val="en-US"/>
        </w:rPr>
        <w:t xml:space="preserve"> BMI in the years preceding the occurrence of dementia </w:t>
      </w:r>
      <w:r w:rsidR="00FC3995" w:rsidRPr="0036402F">
        <w:rPr>
          <w:rFonts w:ascii="Arial" w:hAnsi="Arial" w:cs="Arial"/>
          <w:sz w:val="24"/>
          <w:szCs w:val="24"/>
          <w:lang w:val="en-US"/>
        </w:rPr>
        <w:t>is</w:t>
      </w:r>
      <w:r w:rsidR="009456CE" w:rsidRPr="0036402F">
        <w:rPr>
          <w:rFonts w:ascii="Arial" w:hAnsi="Arial" w:cs="Arial"/>
          <w:sz w:val="24"/>
          <w:szCs w:val="24"/>
          <w:lang w:val="en-US"/>
        </w:rPr>
        <w:t xml:space="preserve"> associated with other cardiometabolic changes such as decreasing blood pressure and increasing blood glucose levels </w:t>
      </w:r>
      <w:r w:rsidR="009456CE"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{"citationID":"FcW3heyc","properties":{"formattedCitation":"[27]","plainCitation":"[27]","noteIndex":0},"citationItems":[{"id":23407,"uris":["http://zotero.org/users/local/hhPVnw6l/items/7V279ADX"],"itemData":{"id":23407,"type":"article-journal","abstract":"Importance: Cardiometabolic risk factors have been associated with an increased risk of dementia; yet, the optimal targets and time window for the management of cardiometabolic health to prevent dementia remain unknown.\nObjectives: To model concurrently and compare the trajectories of cardiometabolic risk factors up to 14 years preceding diagnosis in individuals with dementia and matched controls free of dementia.\nDesign, Setting, and Participants: A case-control study nested within the Three-City study, a French population-based cohort of older persons (≥65 years), included 6 home visits with neuropsychological testing between 1999 and 2014. Data analysis was performed in September 2017. A total of 785 incident dementia cases and 3140 controls matched by sex, age, educational level, and cohort center at the time of diagnosis were evaluated.\nExposures: Repeated measures of body mass index (BMI) and systolic (SBP) and diastolic (DBP) blood pressure, high-density lipoprotein (HDL-C) and low-density lipoprotein cholesterol (LDL-C), triglycerides, and glycemia levels between 1999 and 2014.\nMain Outcomes and Measures: Incidence of dementia based on systematic detection and validated diagnosis.\nResults: A total of 785 cases and 3140 controls (2530 [65%] women; mean [SD] age, 76 [5] years) were included in the study. Cases presented a faster decline in BMI, slower increase of SBP and constantly lower DBP. Mean values (95% CI) 14 years before diagnosis (-14 years) and at diagnosis (year 0) for the most common profile were BMI, 26.1 (25.6-26.5) and 24.8 (24.5-25.1) for a case, and 25.7 (25.4-26.1) and 25.3 (25.0-25.5) for a control; for SBP, 135.2 (131.8-138.7) and 142.1 (140.3-143.9) mm Hg for a case, and 135.8 (132.9-138.6) and 144.9 (143.7-146.1) mm Hg for a control; for DBP, 76.5 (74.7-78.5) and 74.0 (73.1-74.9) mm Hg for a case, and 76.7 (75.1-78.3) and 75.0 (74.2-75.7) mm Hg for a control. In contrast, glycemia was higher among cases (mean fasting glucose values [95% CI] at -14 years and year 0: 89.4 [86.9-92.1] and 96.4 [93.7-99.3] mg/dL for a case, and 87.1 [85.1-89.2] and 95.3 [93.5-97.1] mg/dL for a control), with a significant case-control difference from -1.6 to -14 years prior to diagnosis. There were no significant case-control differences in trajectories of blood lipid levels (mean values [95% CI] at -14 years and year 0: for HDL-C, 70.6 [67.6-73.9] and 61.3 [58.9-63.8] mg/dL for a case, and 70.4 [67.5-73.3] and 62.3 [60.2-64.3] mg/dL for a control; for LDL-C: 147.2 [140.5-154.5] and 141.6 [136.6-146.7] mg/dL for a case, and 144.3 [138.7-150.4] and 141.2 [137.5-145.2] mg/dL for a control; for triglycerides: 115.5 [103.6-149.1] and 112.6 [104.8-120.9] mg/dL for a case, and 112.5 [103.8-144.4] and 109.7 [105.0-114.8] mg/dL for a control).\nConclusions and Relevance: In this large cohort of older persons, BMI declined in prodromal dementia, possibly reflecting early preclinical changes. Lower BP prior to dementia may reflect both a consequence and a contributing factor for the disease, whereas higher blood glucose levels may constitute a risk factor for dementia in the older age range. Overall, these findings suggest that elevated glycemia, low BP, and weight loss may be primary targets for the management of cardiometabolic health for primary and secondary prevention of dementia in the older age range.","container-title":"JAMA psychiatry","DOI":"10.1001/jamapsychiatry.2018.2004","ISSN":"2168-6238","issue":"10","journalAbbreviation":"JAMA Psychiatry","language":"eng","note":"PMID: 30043038\nPMCID: PMC6233804","page":"1033-1042","source":"PubMed","title":"Evaluation of the Concurrent Trajectories of Cardiometabolic Risk Factors in the 14 Years Before Dementia","volume":"75","author":[{"family":"Wagner","given":"Maude"},{"family":"Helmer","given":"Catherine"},{"family":"Tzourio","given":"Christophe"},{"family":"Berr","given":"Claudine"},{"family":"Proust-Lima","given":"Cécile"},{"family":"Samieri","given":"Cécilia"}],"issued":{"date-parts":[["2018",10,1]]}}}],"schema":"https://github.com/citation-style-language/schema/raw/master/csl-citation.json"} </w:instrText>
      </w:r>
      <w:r w:rsidR="009456CE" w:rsidRPr="0036402F">
        <w:rPr>
          <w:rFonts w:ascii="Arial" w:hAnsi="Arial" w:cs="Arial"/>
          <w:sz w:val="24"/>
          <w:szCs w:val="24"/>
          <w:lang w:val="en-US"/>
        </w:rPr>
        <w:fldChar w:fldCharType="separate"/>
      </w:r>
      <w:r w:rsidR="009456CE" w:rsidRPr="0036402F">
        <w:rPr>
          <w:rFonts w:ascii="Arial" w:hAnsi="Arial" w:cs="Arial"/>
          <w:noProof/>
          <w:sz w:val="24"/>
          <w:szCs w:val="24"/>
          <w:lang w:val="en-US"/>
        </w:rPr>
        <w:t>[27]</w:t>
      </w:r>
      <w:r w:rsidR="009456CE" w:rsidRPr="0036402F">
        <w:rPr>
          <w:rFonts w:ascii="Arial" w:hAnsi="Arial" w:cs="Arial"/>
          <w:sz w:val="24"/>
          <w:szCs w:val="24"/>
          <w:lang w:val="en-US"/>
        </w:rPr>
        <w:fldChar w:fldCharType="end"/>
      </w:r>
      <w:r w:rsidR="009456CE" w:rsidRPr="0036402F">
        <w:rPr>
          <w:rFonts w:ascii="Arial" w:hAnsi="Arial" w:cs="Arial"/>
          <w:sz w:val="24"/>
          <w:szCs w:val="24"/>
          <w:lang w:val="en-US"/>
        </w:rPr>
        <w:t>.</w:t>
      </w:r>
    </w:p>
    <w:p w14:paraId="7D2188B3" w14:textId="291722BF" w:rsidR="00E06B90" w:rsidRPr="0036402F" w:rsidRDefault="00E06B90" w:rsidP="003C41AC">
      <w:pPr>
        <w:spacing w:line="480" w:lineRule="auto"/>
        <w:jc w:val="both"/>
        <w:rPr>
          <w:rFonts w:ascii="Arial" w:hAnsi="Arial" w:cs="Arial"/>
          <w:sz w:val="24"/>
          <w:szCs w:val="24"/>
          <w:lang w:val="en-US"/>
        </w:rPr>
      </w:pPr>
    </w:p>
    <w:p w14:paraId="2F76417B" w14:textId="29292F4D" w:rsidR="00B63D72" w:rsidRPr="0036402F" w:rsidRDefault="0048038F" w:rsidP="003C41AC">
      <w:pPr>
        <w:spacing w:line="480" w:lineRule="auto"/>
        <w:jc w:val="both"/>
        <w:rPr>
          <w:rFonts w:ascii="Arial" w:hAnsi="Arial" w:cs="Arial"/>
          <w:sz w:val="24"/>
          <w:szCs w:val="24"/>
          <w:lang w:val="en-US"/>
        </w:rPr>
      </w:pPr>
      <w:r w:rsidRPr="0036402F">
        <w:rPr>
          <w:rFonts w:ascii="Arial" w:hAnsi="Arial" w:cs="Arial"/>
          <w:sz w:val="24"/>
          <w:szCs w:val="24"/>
          <w:lang w:val="en-US"/>
        </w:rPr>
        <w:t xml:space="preserve">The present study adds to the literature by showing substantial sex differences in the association between </w:t>
      </w:r>
      <w:r w:rsidR="002522E5" w:rsidRPr="0036402F">
        <w:rPr>
          <w:rFonts w:ascii="Arial" w:hAnsi="Arial" w:cs="Arial"/>
          <w:sz w:val="24"/>
          <w:szCs w:val="24"/>
          <w:lang w:val="en-US"/>
        </w:rPr>
        <w:t xml:space="preserve">BMI and </w:t>
      </w:r>
      <w:r w:rsidRPr="0036402F">
        <w:rPr>
          <w:rFonts w:ascii="Arial" w:hAnsi="Arial" w:cs="Arial"/>
          <w:sz w:val="24"/>
          <w:szCs w:val="24"/>
          <w:lang w:val="en-US"/>
        </w:rPr>
        <w:t>dementia in older individuals.</w:t>
      </w:r>
      <w:r w:rsidR="00941B2C" w:rsidRPr="0036402F">
        <w:rPr>
          <w:rFonts w:ascii="Arial" w:hAnsi="Arial" w:cs="Arial"/>
          <w:sz w:val="24"/>
          <w:szCs w:val="24"/>
          <w:lang w:val="en-US"/>
        </w:rPr>
        <w:t xml:space="preserve"> </w:t>
      </w:r>
      <w:r w:rsidR="00AA509C" w:rsidRPr="0036402F">
        <w:rPr>
          <w:rFonts w:ascii="Arial" w:hAnsi="Arial" w:cs="Arial"/>
          <w:sz w:val="24"/>
          <w:szCs w:val="24"/>
          <w:lang w:val="en-US"/>
        </w:rPr>
        <w:t xml:space="preserve">Of particular importance, underweight was significantly associated with an increase in the incidence of dementia in men but not in women, and this </w:t>
      </w:r>
      <w:r w:rsidR="00A30E20" w:rsidRPr="0036402F">
        <w:rPr>
          <w:rFonts w:ascii="Arial" w:hAnsi="Arial" w:cs="Arial"/>
          <w:sz w:val="24"/>
          <w:szCs w:val="24"/>
          <w:lang w:val="en-US"/>
        </w:rPr>
        <w:t>differential association</w:t>
      </w:r>
      <w:r w:rsidR="00AA509C" w:rsidRPr="0036402F">
        <w:rPr>
          <w:rFonts w:ascii="Arial" w:hAnsi="Arial" w:cs="Arial"/>
          <w:sz w:val="24"/>
          <w:szCs w:val="24"/>
          <w:lang w:val="en-US"/>
        </w:rPr>
        <w:t xml:space="preserve"> was </w:t>
      </w:r>
      <w:r w:rsidR="00A30E20" w:rsidRPr="0036402F">
        <w:rPr>
          <w:rFonts w:ascii="Arial" w:hAnsi="Arial" w:cs="Arial"/>
          <w:sz w:val="24"/>
          <w:szCs w:val="24"/>
          <w:lang w:val="en-US"/>
        </w:rPr>
        <w:t>also observed</w:t>
      </w:r>
      <w:r w:rsidR="00AA509C" w:rsidRPr="0036402F">
        <w:rPr>
          <w:rFonts w:ascii="Arial" w:hAnsi="Arial" w:cs="Arial"/>
          <w:sz w:val="24"/>
          <w:szCs w:val="24"/>
          <w:lang w:val="en-US"/>
        </w:rPr>
        <w:t xml:space="preserve"> </w:t>
      </w:r>
      <w:r w:rsidR="00A30E20" w:rsidRPr="0036402F">
        <w:rPr>
          <w:rFonts w:ascii="Arial" w:hAnsi="Arial" w:cs="Arial"/>
          <w:sz w:val="24"/>
          <w:szCs w:val="24"/>
          <w:lang w:val="en-US"/>
        </w:rPr>
        <w:t>for undefined dementia</w:t>
      </w:r>
      <w:r w:rsidR="00AA509C" w:rsidRPr="0036402F">
        <w:rPr>
          <w:rFonts w:ascii="Arial" w:hAnsi="Arial" w:cs="Arial"/>
          <w:sz w:val="24"/>
          <w:szCs w:val="24"/>
          <w:lang w:val="en-US"/>
        </w:rPr>
        <w:t>.</w:t>
      </w:r>
      <w:r w:rsidR="0021331F" w:rsidRPr="0036402F">
        <w:rPr>
          <w:rFonts w:ascii="Arial" w:hAnsi="Arial" w:cs="Arial"/>
          <w:sz w:val="24"/>
          <w:szCs w:val="24"/>
          <w:lang w:val="en-US"/>
        </w:rPr>
        <w:t xml:space="preserve"> These results are not in line with </w:t>
      </w:r>
      <w:r w:rsidR="008D351E" w:rsidRPr="0036402F">
        <w:rPr>
          <w:rFonts w:ascii="Arial" w:hAnsi="Arial" w:cs="Arial"/>
          <w:sz w:val="24"/>
          <w:szCs w:val="24"/>
          <w:lang w:val="en-US"/>
        </w:rPr>
        <w:t xml:space="preserve">a recent </w:t>
      </w:r>
      <w:r w:rsidR="00F520AF" w:rsidRPr="0036402F">
        <w:rPr>
          <w:rFonts w:ascii="Arial" w:hAnsi="Arial" w:cs="Arial"/>
          <w:sz w:val="24"/>
          <w:szCs w:val="24"/>
          <w:lang w:val="en-US"/>
        </w:rPr>
        <w:t xml:space="preserve">cohort </w:t>
      </w:r>
      <w:r w:rsidR="008D351E" w:rsidRPr="0036402F">
        <w:rPr>
          <w:rFonts w:ascii="Arial" w:hAnsi="Arial" w:cs="Arial"/>
          <w:sz w:val="24"/>
          <w:szCs w:val="24"/>
          <w:lang w:val="en-US"/>
        </w:rPr>
        <w:t xml:space="preserve">study </w:t>
      </w:r>
      <w:r w:rsidR="00B66ECE" w:rsidRPr="0036402F">
        <w:rPr>
          <w:rFonts w:ascii="Arial" w:hAnsi="Arial" w:cs="Arial"/>
          <w:sz w:val="24"/>
          <w:szCs w:val="24"/>
          <w:lang w:val="en-US"/>
        </w:rPr>
        <w:t>of</w:t>
      </w:r>
      <w:r w:rsidR="008D351E" w:rsidRPr="0036402F">
        <w:rPr>
          <w:rFonts w:ascii="Arial" w:hAnsi="Arial" w:cs="Arial"/>
          <w:sz w:val="24"/>
          <w:szCs w:val="24"/>
          <w:lang w:val="en-US"/>
        </w:rPr>
        <w:t xml:space="preserve"> </w:t>
      </w:r>
      <w:r w:rsidR="00945238" w:rsidRPr="0036402F">
        <w:rPr>
          <w:rFonts w:ascii="Arial" w:hAnsi="Arial" w:cs="Arial"/>
          <w:sz w:val="24"/>
          <w:szCs w:val="24"/>
          <w:lang w:val="en-US"/>
        </w:rPr>
        <w:t>3,696 individuals from Japan, as</w:t>
      </w:r>
      <w:r w:rsidR="00634ADA" w:rsidRPr="0036402F">
        <w:rPr>
          <w:rFonts w:ascii="Arial" w:hAnsi="Arial" w:cs="Arial"/>
          <w:sz w:val="24"/>
          <w:szCs w:val="24"/>
          <w:lang w:val="en-US"/>
        </w:rPr>
        <w:t xml:space="preserve"> </w:t>
      </w:r>
      <w:r w:rsidR="00D007AD" w:rsidRPr="0036402F">
        <w:rPr>
          <w:rFonts w:ascii="Arial" w:hAnsi="Arial" w:cs="Arial"/>
          <w:sz w:val="24"/>
          <w:szCs w:val="24"/>
          <w:lang w:val="en-US"/>
        </w:rPr>
        <w:t xml:space="preserve">being </w:t>
      </w:r>
      <w:r w:rsidR="00634ADA" w:rsidRPr="0036402F">
        <w:rPr>
          <w:rFonts w:ascii="Arial" w:hAnsi="Arial" w:cs="Arial"/>
          <w:sz w:val="24"/>
          <w:szCs w:val="24"/>
          <w:lang w:val="en-US"/>
        </w:rPr>
        <w:t xml:space="preserve">underweight was identified as a </w:t>
      </w:r>
      <w:r w:rsidR="00D6767A" w:rsidRPr="0036402F">
        <w:rPr>
          <w:rFonts w:ascii="Arial" w:hAnsi="Arial" w:cs="Arial"/>
          <w:sz w:val="24"/>
          <w:szCs w:val="24"/>
          <w:lang w:val="en-US"/>
        </w:rPr>
        <w:t xml:space="preserve">significant </w:t>
      </w:r>
      <w:r w:rsidR="00634ADA" w:rsidRPr="0036402F">
        <w:rPr>
          <w:rFonts w:ascii="Arial" w:hAnsi="Arial" w:cs="Arial"/>
          <w:sz w:val="24"/>
          <w:szCs w:val="24"/>
          <w:lang w:val="en-US"/>
        </w:rPr>
        <w:t xml:space="preserve">risk factor for dementia in women </w:t>
      </w:r>
      <w:r w:rsidR="00A94C0C" w:rsidRPr="0036402F">
        <w:rPr>
          <w:rFonts w:ascii="Arial" w:hAnsi="Arial" w:cs="Arial"/>
          <w:sz w:val="24"/>
          <w:szCs w:val="24"/>
          <w:lang w:val="en-US"/>
        </w:rPr>
        <w:t>but</w:t>
      </w:r>
      <w:r w:rsidR="00634ADA" w:rsidRPr="0036402F">
        <w:rPr>
          <w:rFonts w:ascii="Arial" w:hAnsi="Arial" w:cs="Arial"/>
          <w:sz w:val="24"/>
          <w:szCs w:val="24"/>
          <w:lang w:val="en-US"/>
        </w:rPr>
        <w:t xml:space="preserve"> not in men</w:t>
      </w:r>
      <w:r w:rsidR="00236F70" w:rsidRPr="0036402F">
        <w:rPr>
          <w:rFonts w:ascii="Arial" w:hAnsi="Arial" w:cs="Arial"/>
          <w:sz w:val="24"/>
          <w:szCs w:val="24"/>
          <w:lang w:val="en-US"/>
        </w:rPr>
        <w:t xml:space="preserve"> </w:t>
      </w:r>
      <w:r w:rsidR="00236F70"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{"citationID":"OvbDDHWW","properties":{"formattedCitation":"[28]","plainCitation":"[28]","noteIndex":0},"citationItems":[{"id":23384,"uris":["http://zotero.org/users/local/hhPVnw6l/items/DQHAI3BS"],"itemData":{"id":23384,"type":"article-journal","abstract":"AIMS/INTRODUCTION: To compare the dementia risk associated with pre-existing diabetes, hypertension, dyslipidemia, obesity (body mass index [BMI] ≥25 kg/m2 ) and underweight (BMI &lt;18.5 kg/m2 ) among older adults. We also explored the dementia risk associated with combinations of metabolic diseases and BMI.\nMATERIALS AND METHODS: We used data from the Japan Gerontological Evaluation Study. Participants completed a health checkup in 2010 and were followed for 5.8 years on average. Dementia was measured by municipal long-term care insurance registration. Diabetes, hypertension, dyslipidemia, obesity and underweight were diagnosed by medication use or health examination results. We calculated the incidence of dementia and adjusted hazard ratios (HRs).\nRESULTS: Among 3,696 participating older adults, 338 developed dementia. Adjusted HRs (95% confidence intervals) in men and women (reference: those without corresponding disease of normal weight) were as follows: 2.22 (1.26-3.90) and 2.00 (1.07-3.74) for diabetes; 0.56 (0.29-1.10) and 1.05 (0.64-1.71) for hypertension; 1.30 (0.87-1.94) and 0.73 (0.49-1.08) for dyslipidemia; 0.73 (0.42-1.28) and 0.82 (0.49-1.37) for BMI of 25-29.9 kg/m2 ; and 1.04 (0.51-2.10) and 1.72 (1.05-2.81) for underweight. Dementia risk was significantly higher in underweight men with dyslipidemia (HR 4.15, 95% CI 1.79-9.63) compared with normal-weight men without dyslipidemia, and in underweight women with hypertension (HR 3.79, 1.55-9.28) compared with normal-weight women without hypertension. Dementia incidence was highest among underweight older adults with hypertension followed by dyslipidemia.\nCONCLUSIONS: Among Japanese older adults, underweight and prevalent diabetes are risk factors for developing dementia. Lower BMI is also associated with a higher incidence of dementia.","container-title":"Journal of Diabetes Investigation","DOI":"10.1111/jdi.13103","ISSN":"2040-1124","issue":"1","journalAbbreviation":"J Diabetes Investig","language":"eng","note":"PMID: 31207179\nPMCID: PMC6944839","page":"206-215","source":"PubMed","title":"Dementia risk by combinations of metabolic diseases and body mass index: Japan Gerontological Evaluation Study Cohort Study","title-short":"Dementia risk by combinations of metabolic diseases and body mass index","volume":"11","author":[{"family":"Yokomichi","given":"Hiroshi"},{"family":"Kondo","given":"Katsunori"},{"family":"Nagamine","given":"Yuiko"},{"family":"Yamagata","given":"Zentaro"},{"family":"Kondo","given":"Naoki"}],"issued":{"date-parts":[["2020",1]]}}}],"schema":"https://github.com/citation-style-language/schema/raw/master/csl-citation.json"} </w:instrText>
      </w:r>
      <w:r w:rsidR="00236F70" w:rsidRPr="0036402F">
        <w:rPr>
          <w:rFonts w:ascii="Arial" w:hAnsi="Arial" w:cs="Arial"/>
          <w:sz w:val="24"/>
          <w:szCs w:val="24"/>
          <w:lang w:val="en-US"/>
        </w:rPr>
        <w:fldChar w:fldCharType="separate"/>
      </w:r>
      <w:r w:rsidR="009456CE" w:rsidRPr="0036402F">
        <w:rPr>
          <w:rFonts w:ascii="Arial" w:hAnsi="Arial" w:cs="Arial"/>
          <w:noProof/>
          <w:sz w:val="24"/>
          <w:szCs w:val="24"/>
          <w:lang w:val="en-US"/>
        </w:rPr>
        <w:t>[28]</w:t>
      </w:r>
      <w:r w:rsidR="00236F70" w:rsidRPr="0036402F">
        <w:rPr>
          <w:rFonts w:ascii="Arial" w:hAnsi="Arial" w:cs="Arial"/>
          <w:sz w:val="24"/>
          <w:szCs w:val="24"/>
          <w:lang w:val="en-US"/>
        </w:rPr>
        <w:fldChar w:fldCharType="end"/>
      </w:r>
      <w:r w:rsidR="00634ADA" w:rsidRPr="0036402F">
        <w:rPr>
          <w:rFonts w:ascii="Arial" w:hAnsi="Arial" w:cs="Arial"/>
          <w:sz w:val="24"/>
          <w:szCs w:val="24"/>
          <w:lang w:val="en-US"/>
        </w:rPr>
        <w:t>.</w:t>
      </w:r>
      <w:r w:rsidR="005A2559" w:rsidRPr="0036402F">
        <w:rPr>
          <w:rFonts w:ascii="Arial" w:hAnsi="Arial" w:cs="Arial"/>
          <w:sz w:val="24"/>
          <w:szCs w:val="24"/>
          <w:lang w:val="en-US"/>
        </w:rPr>
        <w:t xml:space="preserve"> </w:t>
      </w:r>
      <w:r w:rsidR="00AC5E6B" w:rsidRPr="0036402F">
        <w:rPr>
          <w:rFonts w:ascii="Arial" w:hAnsi="Arial" w:cs="Arial"/>
          <w:sz w:val="24"/>
          <w:szCs w:val="24"/>
          <w:lang w:val="en-US"/>
        </w:rPr>
        <w:t>It is possible that sex differences in the association between BMI and dementia vary between ethnicities</w:t>
      </w:r>
      <w:r w:rsidR="009D03B3" w:rsidRPr="0036402F">
        <w:rPr>
          <w:rFonts w:ascii="Arial" w:hAnsi="Arial" w:cs="Arial"/>
          <w:sz w:val="24"/>
          <w:szCs w:val="24"/>
          <w:lang w:val="en-US"/>
        </w:rPr>
        <w:t xml:space="preserve">. Besides, although the findings of the Japanese study are of particular </w:t>
      </w:r>
      <w:r w:rsidR="009A00C1" w:rsidRPr="0036402F">
        <w:rPr>
          <w:rFonts w:ascii="Arial" w:hAnsi="Arial" w:cs="Arial"/>
          <w:sz w:val="24"/>
          <w:szCs w:val="24"/>
          <w:lang w:val="en-US"/>
        </w:rPr>
        <w:t>interest, this study only included a few comorbidities</w:t>
      </w:r>
      <w:r w:rsidR="00DC7335" w:rsidRPr="0036402F">
        <w:rPr>
          <w:rFonts w:ascii="Arial" w:hAnsi="Arial" w:cs="Arial"/>
          <w:sz w:val="24"/>
          <w:szCs w:val="24"/>
          <w:lang w:val="en-US"/>
        </w:rPr>
        <w:t xml:space="preserve"> (i.e., </w:t>
      </w:r>
      <w:r w:rsidR="00A470A5" w:rsidRPr="0036402F">
        <w:rPr>
          <w:rFonts w:ascii="Arial" w:hAnsi="Arial" w:cs="Arial"/>
          <w:sz w:val="24"/>
          <w:szCs w:val="24"/>
          <w:lang w:val="en-US"/>
        </w:rPr>
        <w:t>diabetes, hypertension, dyslipidemia, and stroke)</w:t>
      </w:r>
      <w:r w:rsidR="009A00C1" w:rsidRPr="0036402F">
        <w:rPr>
          <w:rFonts w:ascii="Arial" w:hAnsi="Arial" w:cs="Arial"/>
          <w:sz w:val="24"/>
          <w:szCs w:val="24"/>
          <w:lang w:val="en-US"/>
        </w:rPr>
        <w:t>, and this may have biased the results</w:t>
      </w:r>
      <w:r w:rsidR="00DC7335" w:rsidRPr="0036402F">
        <w:rPr>
          <w:rFonts w:ascii="Arial" w:hAnsi="Arial" w:cs="Arial"/>
          <w:sz w:val="24"/>
          <w:szCs w:val="24"/>
          <w:lang w:val="en-US"/>
        </w:rPr>
        <w:t xml:space="preserve">. </w:t>
      </w:r>
      <w:r w:rsidR="008C5484" w:rsidRPr="0036402F">
        <w:rPr>
          <w:rFonts w:ascii="Arial" w:hAnsi="Arial" w:cs="Arial"/>
          <w:sz w:val="24"/>
          <w:szCs w:val="24"/>
          <w:lang w:val="en-US"/>
        </w:rPr>
        <w:t>T</w:t>
      </w:r>
      <w:r w:rsidR="00790E46" w:rsidRPr="0036402F">
        <w:rPr>
          <w:rFonts w:ascii="Arial" w:hAnsi="Arial" w:cs="Arial"/>
          <w:sz w:val="24"/>
          <w:szCs w:val="24"/>
          <w:lang w:val="en-US"/>
        </w:rPr>
        <w:t>he</w:t>
      </w:r>
      <w:r w:rsidR="000A27E8" w:rsidRPr="0036402F">
        <w:rPr>
          <w:rFonts w:ascii="Arial" w:hAnsi="Arial" w:cs="Arial"/>
          <w:sz w:val="24"/>
          <w:szCs w:val="24"/>
          <w:lang w:val="en-US"/>
        </w:rPr>
        <w:t xml:space="preserve"> </w:t>
      </w:r>
      <w:r w:rsidR="00790E46" w:rsidRPr="0036402F">
        <w:rPr>
          <w:rFonts w:ascii="Arial" w:hAnsi="Arial" w:cs="Arial"/>
          <w:sz w:val="24"/>
          <w:szCs w:val="24"/>
          <w:lang w:val="en-US"/>
        </w:rPr>
        <w:t xml:space="preserve">differences </w:t>
      </w:r>
      <w:r w:rsidR="000A27E8" w:rsidRPr="0036402F">
        <w:rPr>
          <w:rFonts w:ascii="Arial" w:hAnsi="Arial" w:cs="Arial"/>
          <w:sz w:val="24"/>
          <w:szCs w:val="24"/>
          <w:lang w:val="en-US"/>
        </w:rPr>
        <w:t xml:space="preserve">observed in the present study </w:t>
      </w:r>
      <w:r w:rsidR="00790E46" w:rsidRPr="0036402F">
        <w:rPr>
          <w:rFonts w:ascii="Arial" w:hAnsi="Arial" w:cs="Arial"/>
          <w:sz w:val="24"/>
          <w:szCs w:val="24"/>
          <w:lang w:val="en-US"/>
        </w:rPr>
        <w:t>are</w:t>
      </w:r>
      <w:r w:rsidR="008C5484" w:rsidRPr="0036402F">
        <w:rPr>
          <w:rFonts w:ascii="Arial" w:hAnsi="Arial" w:cs="Arial"/>
          <w:sz w:val="24"/>
          <w:szCs w:val="24"/>
          <w:lang w:val="en-US"/>
        </w:rPr>
        <w:t xml:space="preserve"> likely explained</w:t>
      </w:r>
      <w:r w:rsidR="00790E46" w:rsidRPr="0036402F">
        <w:rPr>
          <w:rFonts w:ascii="Arial" w:hAnsi="Arial" w:cs="Arial"/>
          <w:sz w:val="24"/>
          <w:szCs w:val="24"/>
          <w:lang w:val="en-US"/>
        </w:rPr>
        <w:t>, at least partially, by the higher levels of estrogen in women than in their male counterparts</w:t>
      </w:r>
      <w:r w:rsidR="007742F2" w:rsidRPr="0036402F">
        <w:rPr>
          <w:rFonts w:ascii="Arial" w:hAnsi="Arial" w:cs="Arial"/>
          <w:sz w:val="24"/>
          <w:szCs w:val="24"/>
          <w:lang w:val="en-US"/>
        </w:rPr>
        <w:t xml:space="preserve">. </w:t>
      </w:r>
      <w:r w:rsidR="008F2E5B" w:rsidRPr="0036402F">
        <w:rPr>
          <w:rFonts w:ascii="Arial" w:hAnsi="Arial" w:cs="Arial"/>
          <w:sz w:val="24"/>
          <w:szCs w:val="24"/>
          <w:lang w:val="en-US"/>
        </w:rPr>
        <w:t xml:space="preserve">There is evidence suggesting that estrogen may stimulate the secretion of leptin </w:t>
      </w:r>
      <w:r w:rsidR="008F2E5B"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{"citationID":"xtNPRetS","properties":{"formattedCitation":"[29,30]","plainCitation":"[29,30]","noteIndex":0},"citationItems":[{"id":22911,"uris":["http://zotero.org/users/local/hhPVnw6l/items/8LXM55SW"],"itemData":{"id":22911,"type":"article-journal","abstract":"OBJECTIVE: Leptin is a hormone which is secreted by adipocytes and appears to influence the reproductive axis. Previous studies have demonstrated higher leptin levels in relation to body fat mass in women compared to men, higher levels in normally cycling compared to postmenopausal women, and a decrease in leptin levels with increased age. The purpose of this study was to determine whether oestrogen replacement with or without progesterone increases serum leptin levels in postmenopausal women, independently of changes in body fat, and to determine if ageing affects leptin levels at baseline or in response to hormone replacement.\nPATIENTS: Twenty-one healthy postmenopausal women on no hormone replacement were studied at baseline, after 1 month of oestrogen (E2: estraderm 50 microg/day) and after a further month of oestrogen and 7 days of progesterone (P: progesterone 100 mg per vagina bid) designed to achieve physiological hormone levels. Subjects included 11 younger (45-55 years) and 10 older (70-80 years) postmenopausal women.\nRESULTS: The relationship between leptin and the absolute fat mass (% body fat x weight [kg]) at baseline was not different between the younger and older postmenopausal women. The adequacy of physiological hormone replacement was confirmed in all subjects. Despite the absence of an effect of hormone replacement on weight, body mass index (BMI), % and absolute fat mass (bioimpedance) or waist-hip ratio, there was an increase in serum leptin levels with hormone replacement (15.4 +/- 1.7, 17.6 +/- 1.7, and 18.1 +/- 1.6 microg/l; mean +/- SEM at baseline, with E2, and with E2 + P, respectively; P &lt; 0.001 vs. baseline) for the group as a whole. An increase in leptin with hormonal treatment was seen in both the younger (15.1 +/- 2.1, 18.1 +/- 2.4, and 18.5 +/- 1.9 microg/l; P &lt; 0.01) and the older (15.7 +/- 2.8, 17.0 +/- 2.5, 17.7 +/- 2.8 microg/l; P = 0.06) postmenopausal women.\nCONCLUSIONS: (1) Short-term physiological oestrogen replacement increases serum leptin levels in postmenopausal women independently of changes in fat mass; and (2) physiological progesterone replacement does not influence leptin levels in postmenopausal women.","container-title":"Clinical Endocrinology","DOI":"10.1046/j.1365-2265.1999.00796.x","ISSN":"0300-0664","issue":"4","journalAbbreviation":"Clin Endocrinol (Oxf)","language":"eng","note":"PMID: 10583307","page":"415-422","source":"PubMed","title":"Effects of short-term hormone replacement on serum leptin levels in postmenopausal women","volume":"51","author":[{"family":"Lavoie","given":"H. B."},{"family":"Taylor","given":"A. E."},{"family":"Sharpless","given":"J. L."},{"family":"Anderson","given":"E. J."},{"family":"Strauss","given":"C. C."},{"family":"Hall","given":"J. E."}],"issued":{"date-parts":[["1999",10]]}}},{"id":22907,"uris":["http://zotero.org/users/local/hhPVnw6l/items/FWXT2K3K"],"itemData":{"id":22907,"type":"article-journal","abstract":"OBJECTIVE: Leptin. a protein secreted by white adipocytes, plays a relevant role in the regulation of body weight and food intake. A possible role for sex hormones in the regulation of leptin secretion has been suggested; however, the effect of variations in oestrogen concentration on serum leptin levels has not been described so far.\nMETHODS: In study 1, serum leptin concentrations were measured on days 3, 10, 17 and 24 of the menstrual cycle in 18 healthy, lean, regularly menstruating women, aged 18-35 years. Serum oestradiol, progesterone, testosterone. Delta4-androstenedione, dehydroepiandrosterone sulphate (DHEAS). LH and FSH concentrations were also determined. In study 2, serum leptin and oestradiol levels were measured on the 5th and 7th day of ovarian stimulation with human FSH (225 IU daily) during an in vitro fertilisation programme for infertility in 20 women aged 25-45 years.\nRESULTS: The results from study 1 show a physiological fluctuation of leptin levels during the menstrual cycle, which has not been described previously. Leptin levels are significantly lower in the early follicular phase. The results of study 2 show a parallel increase in serum oestrogen and leptin concentrations during FSH administration.\nCONCLUSIONS: The fluctuation in leptin levels during the menstrual cycle observed in study 1 is compatible with the hypothesis of a stimulatory effect of oestrogen on leptin secretion. The results of study 2 support the hypothesis of a relevant role for oestrogen in the regulation of leptin secretion. Leptin fluctuations during the menstrual cycle are consistent with reported perimenstrual variations in food craving and consumption.","container-title":"European Journal of Endocrinology","DOI":"10.1530/eje.0.1390198","ISSN":"0804-4643","issue":"2","journalAbbreviation":"Eur J Endocrinol","language":"eng","note":"PMID: 9724077","page":"198-201","source":"PubMed","title":"Relationship between leptin and oestrogens in healthy women","volume":"139","author":[{"family":"Mannucci","given":"E."},{"family":"Ognibene","given":"A."},{"family":"Becorpi","given":"A."},{"family":"Cremasco","given":"F."},{"family":"Pellegrini","given":"S."},{"family":"Ottanelli","given":"S."},{"family":"Rizzello","given":"S. M."},{"family":"Massi","given":"G."},{"family":"Messeri","given":"G."},{"family":"Rotella","given":"C. M."}],"issued":{"date-parts":[["1998",8]]}}}],"schema":"https://github.com/citation-style-language/schema/raw/master/csl-citation.json"} </w:instrText>
      </w:r>
      <w:r w:rsidR="008F2E5B" w:rsidRPr="0036402F">
        <w:rPr>
          <w:rFonts w:ascii="Arial" w:hAnsi="Arial" w:cs="Arial"/>
          <w:sz w:val="24"/>
          <w:szCs w:val="24"/>
          <w:lang w:val="en-US"/>
        </w:rPr>
        <w:fldChar w:fldCharType="separate"/>
      </w:r>
      <w:r w:rsidR="009456CE" w:rsidRPr="0036402F">
        <w:rPr>
          <w:rFonts w:ascii="Arial" w:hAnsi="Arial" w:cs="Arial"/>
          <w:noProof/>
          <w:sz w:val="24"/>
          <w:szCs w:val="24"/>
          <w:lang w:val="en-US"/>
        </w:rPr>
        <w:t>[29,30]</w:t>
      </w:r>
      <w:r w:rsidR="008F2E5B" w:rsidRPr="0036402F">
        <w:rPr>
          <w:rFonts w:ascii="Arial" w:hAnsi="Arial" w:cs="Arial"/>
          <w:sz w:val="24"/>
          <w:szCs w:val="24"/>
          <w:lang w:val="en-US"/>
        </w:rPr>
        <w:fldChar w:fldCharType="end"/>
      </w:r>
      <w:r w:rsidR="00251437" w:rsidRPr="0036402F">
        <w:rPr>
          <w:rFonts w:ascii="Arial" w:hAnsi="Arial" w:cs="Arial"/>
          <w:sz w:val="24"/>
          <w:szCs w:val="24"/>
          <w:lang w:val="en-US"/>
        </w:rPr>
        <w:t xml:space="preserve"> and even mimic this hormone</w:t>
      </w:r>
      <w:r w:rsidR="00A95303" w:rsidRPr="0036402F">
        <w:rPr>
          <w:rFonts w:ascii="Arial" w:hAnsi="Arial" w:cs="Arial"/>
          <w:sz w:val="24"/>
          <w:szCs w:val="24"/>
          <w:lang w:val="en-US"/>
        </w:rPr>
        <w:t xml:space="preserve"> </w:t>
      </w:r>
      <w:r w:rsidR="0083481E"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{"citationID":"nCkwkRxJ","properties":{"formattedCitation":"[31]","plainCitation":"[31]","noteIndex":0},"citationItems":[{"id":22909,"uris":["http://zotero.org/users/local/hhPVnw6l/items/XDU3IR73"],"itemData":{"id":22909,"type":"article-journal","abstract":"Obesity, characterized by enhanced food intake (hyperphagia) and reduced energy expenditure that results in the accumulation of body fat, is a major risk factor for various diseases, including diabetes, cardiovascular disease, and cancer. In the United States, more than half of adults are overweight, and this number continues to increase. The adipocyte-secreted hormone leptin and its downstream signaling mediators play crucial roles in the regulation of energy balance. Leptin decreases feeding while increasing energy expenditure and permitting energy-intensive neuroendocrine processes, such as reproduction. Thus, leptin also modulates the neuroendocrine reproductive axis. The gonadal steroid hormone estrogen plays a central role in the regulation of reproduction and also contributes to the regulation of energy balance. Estrogen deficiency promotes feeding and weight gain, and estrogen facilitates, and to some extent mimics, some actions of leptin. In this review, we examine the functions of estrogen and leptin in the brain, with a focus on mechanisms by which leptin and estrogen cooperate in the regulation of energy homeostasis.","container-title":"American Journal of Physiology. Endocrinology and Metabolism","DOI":"10.1152/ajpendo.00733.2007","ISSN":"0193-1849","issue":"5","journalAbbreviation":"Am J Physiol Endocrinol Metab","language":"eng","note":"PMID: 18334610","page":"E817-826","source":"PubMed","title":"Cross-talk between estrogen and leptin signaling in the hypothalamus","volume":"294","author":[{"family":"Gao","given":"Qian"},{"family":"Horvath","given":"Tamas L."}],"issued":{"date-parts":[["2008",5]]}}}],"schema":"https://github.com/citation-style-language/schema/raw/master/csl-citation.json"} </w:instrText>
      </w:r>
      <w:r w:rsidR="0083481E" w:rsidRPr="0036402F">
        <w:rPr>
          <w:rFonts w:ascii="Arial" w:hAnsi="Arial" w:cs="Arial"/>
          <w:sz w:val="24"/>
          <w:szCs w:val="24"/>
          <w:lang w:val="en-US"/>
        </w:rPr>
        <w:fldChar w:fldCharType="separate"/>
      </w:r>
      <w:r w:rsidR="009456CE" w:rsidRPr="0036402F">
        <w:rPr>
          <w:rFonts w:ascii="Arial" w:hAnsi="Arial" w:cs="Arial"/>
          <w:noProof/>
          <w:sz w:val="24"/>
          <w:szCs w:val="24"/>
          <w:lang w:val="en-US"/>
        </w:rPr>
        <w:t>[31]</w:t>
      </w:r>
      <w:r w:rsidR="0083481E" w:rsidRPr="0036402F">
        <w:rPr>
          <w:rFonts w:ascii="Arial" w:hAnsi="Arial" w:cs="Arial"/>
          <w:sz w:val="24"/>
          <w:szCs w:val="24"/>
          <w:lang w:val="en-US"/>
        </w:rPr>
        <w:fldChar w:fldCharType="end"/>
      </w:r>
      <w:r w:rsidR="008F2E5B" w:rsidRPr="0036402F">
        <w:rPr>
          <w:rFonts w:ascii="Arial" w:hAnsi="Arial" w:cs="Arial"/>
          <w:sz w:val="24"/>
          <w:szCs w:val="24"/>
          <w:lang w:val="en-US"/>
        </w:rPr>
        <w:t xml:space="preserve">, potentially buffering the deleterious impact of low BMI on dementia in women. </w:t>
      </w:r>
      <w:r w:rsidR="00C458D3" w:rsidRPr="0036402F">
        <w:rPr>
          <w:rFonts w:ascii="Arial" w:hAnsi="Arial" w:cs="Arial"/>
          <w:sz w:val="24"/>
          <w:szCs w:val="24"/>
          <w:lang w:val="en-US"/>
        </w:rPr>
        <w:t xml:space="preserve">Similarly, some data indicate that estrogen also stimulates the release of oxytocin </w:t>
      </w:r>
      <w:r w:rsidR="00C458D3"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{"citationID":"oaQCzRkm","properties":{"formattedCitation":"[32,33]","plainCitation":"[32,33]","noteIndex":0},"citationItems":[{"id":22915,"uris":["http://zotero.org/users/local/hhPVnw6l/items/MSSLVZX2"],"itemData":{"id":22915,"type":"article-journal","abstract":"Estrogen receptors are located in important brain areas that integrate cardiovascular and hydroelectrolytic responses, including the subfornical organ (SFO) and supraoptic (SON) and paraventricular (PVN) nuclei. The aim of this study was to evaluate the influence of estradiol on cardiovascular and neuroendocrine changes induced by hemorrhagic shock in ovariectomized rats. Female Wistar rats (220-280 g) were ovariectomized and treated for 7 days with vehicle or estradiol cypionate (EC, 10 or 40 μg/kg, sc). On the 8th day, animals were subjected to hemorrhage (1.5 ml/100 g for 1 min). Hemorrhage induced acute hypotension and bradycardia in the ovariectomized-oil group, but EC treatment inhibited these responses. We observed increases in plasma angiotensin II concentrations and decreases in plasma atrial natriuretic peptide levels after hemorrhage; EC treatment produced no effects on these responses. There were also increases in plasma vasopressin (AVP), oxytocin (OT), and prolactin levels after the induction of hemorrhage in all groups, and these responses were potentiated by EC administration. SFO neurons and parvocellular and magnocellular AVP and OT neurons in the PVN and SON were activated by hemorrhagic shock. EC treatment enhanced the activation of SFO neurons and AVP and OT magnocellular neurons in the PVN and SON and AVP neurons in the medial parvocellular region of the PVN. These results suggest that estradiol modulates the cardiovascular responses induced by hemorrhage, and this effect is likely mediated by an enhancement of AVP and OT neuron activity in the SON and PVN.","container-title":"American Journal of Physiology. Regulatory, Integrative and Comparative Physiology","DOI":"10.1152/ajpregu.00800.2010","ISSN":"1522-1490","issue":"4","journalAbbreviation":"Am J Physiol Regul Integr Comp Physiol","language":"eng","note":"PMID: 21632848","page":"R905-915","source":"PubMed","title":"Estradiol potentiates hypothalamic vasopressin and oxytocin neuron activation and hormonal secretion induced by hypovolemic shock","volume":"301","author":[{"family":"Mecawi","given":"Andre S."},{"family":"Vilhena-Franco","given":"Tatiane"},{"family":"Araujo","given":"Iracema G."},{"family":"Reis","given":"Luis C."},{"family":"Elias","given":"Lucila L. K."},{"family":"Antunes-Rodrigues","given":"Jose"}],"issued":{"date-parts":[["2011",10]]}}},{"id":22913,"uris":["http://zotero.org/users/local/hhPVnw6l/items/VBXCAJU5"],"itemData":{"id":22913,"type":"article-journal","abstract":"Oestrogen has many direct or indirect actions upon the magnocellular system of the hypothalamus. We have examined the possibility of acute actions of oestrogen upon the magnocellular system by stimulating slices of supraoptic nucleus in vitro with various concentrations of oestrogen, for varying lengths of time, and assessing the intrahypothalamic release of oxytocin and vasopressin under these conditions. Slices were stimulated in the presence of tannic acid, which precipitates extracellular protein and thereby stabilizes exocytosed neurosecretory granule cores. Stimulation for 5 or 20 min of slices of hypothalamus containing the supraoptic nuclei with 2.66 nM-26.6 microM 17 beta-oestradiol benzoate caused the exocytosis of granules from both dendrites and cell bodies of the magnocellular neurons; exocytosis from the dendrites predominated. Granules of both oxytocin- and vasopressin-producing cells were exocytosed to a similar extent. The incidence of exocytosis of both hormones after stimulation by oestrogen was significantly higher than after exposure either to physiological saline or to 17 alpha-oestradiol, but significantly lower than after stimulation by 56 mM potassium. The various doses of steroid and durations of stimulation all resulted in similar amounts of captured exocytosis. Furthermore, the oestradiol-induced release was not inhibited by removal of extracellular calcium, whereas the potassium-stimulated release was abolished. Exposure for 20 min to either testosterone or progesterone did not induce intranuclear release of significant numbers of neurosecretory granules from the magnocellular neurons. In contrast to its effect on the hypothalamus, 26.6 microM oestradiol for either 20 min or 5 min did not induce exocytosis of neurosecretory granules from the posterior pituitary. We conclude that oestrogen can exert acute non-genomic actions on the magnocellular neurons to promote intrahypothalamic release of oxytocin and vasopressin. This effect is probably direct on the magnocellular neurons as it is not dependent on external calcium. Such actions may be important in the development of the functional and morphological plasticity of the magnocellular system that occurs in parturition and lactation.","container-title":"Neuroscience","DOI":"10.1016/0306-4522(95)00186-m","ISSN":"0306-4522","issue":"4","journalAbbreviation":"Neuroscience","language":"eng","note":"PMID: 8544991","page":"1179-1188","source":"PubMed","title":"Oestradiol acutely stimulates exocytosis of oxytocin and vasopressin from dendrites and somata of hypothalamic magnocellular neurons","volume":"68","author":[{"family":"Wang","given":"H."},{"family":"Ward","given":"A. R."},{"family":"Morris","given":"J. F."}],"issued":{"date-parts":[["1995",10]]}}}],"schema":"https://github.com/citation-style-language/schema/raw/master/csl-citation.json"} </w:instrText>
      </w:r>
      <w:r w:rsidR="00C458D3" w:rsidRPr="0036402F">
        <w:rPr>
          <w:rFonts w:ascii="Arial" w:hAnsi="Arial" w:cs="Arial"/>
          <w:sz w:val="24"/>
          <w:szCs w:val="24"/>
          <w:lang w:val="en-US"/>
        </w:rPr>
        <w:fldChar w:fldCharType="separate"/>
      </w:r>
      <w:r w:rsidR="009456CE" w:rsidRPr="0036402F">
        <w:rPr>
          <w:rFonts w:ascii="Arial" w:hAnsi="Arial" w:cs="Arial"/>
          <w:noProof/>
          <w:sz w:val="24"/>
          <w:szCs w:val="24"/>
          <w:lang w:val="en-US"/>
        </w:rPr>
        <w:t>[32,33]</w:t>
      </w:r>
      <w:r w:rsidR="00C458D3" w:rsidRPr="0036402F">
        <w:rPr>
          <w:rFonts w:ascii="Arial" w:hAnsi="Arial" w:cs="Arial"/>
          <w:sz w:val="24"/>
          <w:szCs w:val="24"/>
          <w:lang w:val="en-US"/>
        </w:rPr>
        <w:fldChar w:fldCharType="end"/>
      </w:r>
      <w:r w:rsidR="00C458D3" w:rsidRPr="0036402F">
        <w:rPr>
          <w:rFonts w:ascii="Arial" w:hAnsi="Arial" w:cs="Arial"/>
          <w:sz w:val="24"/>
          <w:szCs w:val="24"/>
          <w:lang w:val="en-US"/>
        </w:rPr>
        <w:t xml:space="preserve">. </w:t>
      </w:r>
      <w:r w:rsidR="0031625B" w:rsidRPr="0036402F">
        <w:rPr>
          <w:rFonts w:ascii="Arial" w:hAnsi="Arial" w:cs="Arial"/>
          <w:sz w:val="24"/>
          <w:szCs w:val="24"/>
          <w:lang w:val="en-US"/>
        </w:rPr>
        <w:t xml:space="preserve">Moreover, </w:t>
      </w:r>
      <w:r w:rsidR="00EE05C0" w:rsidRPr="0036402F">
        <w:rPr>
          <w:rFonts w:ascii="Arial" w:hAnsi="Arial" w:cs="Arial"/>
          <w:sz w:val="24"/>
          <w:szCs w:val="24"/>
          <w:lang w:val="en-US"/>
        </w:rPr>
        <w:t xml:space="preserve">underweight </w:t>
      </w:r>
      <w:r w:rsidR="00EE05C0" w:rsidRPr="0036402F">
        <w:rPr>
          <w:rFonts w:ascii="Arial" w:hAnsi="Arial" w:cs="Arial"/>
          <w:sz w:val="24"/>
          <w:szCs w:val="24"/>
          <w:lang w:val="en-US"/>
        </w:rPr>
        <w:lastRenderedPageBreak/>
        <w:t xml:space="preserve">may favor the occurrence of dementia via pathways specific to men. </w:t>
      </w:r>
      <w:r w:rsidR="008513C4" w:rsidRPr="0036402F">
        <w:rPr>
          <w:rFonts w:ascii="Arial" w:hAnsi="Arial" w:cs="Arial"/>
          <w:sz w:val="24"/>
          <w:szCs w:val="24"/>
          <w:lang w:val="en-US"/>
        </w:rPr>
        <w:t xml:space="preserve">For example, </w:t>
      </w:r>
      <w:r w:rsidR="007B3769" w:rsidRPr="0036402F">
        <w:rPr>
          <w:rFonts w:ascii="Arial" w:hAnsi="Arial" w:cs="Arial"/>
          <w:sz w:val="24"/>
          <w:szCs w:val="24"/>
          <w:lang w:val="en-US"/>
        </w:rPr>
        <w:t xml:space="preserve">underweight is a risk factor for vertebral fracture in men but not in women </w:t>
      </w:r>
      <w:r w:rsidR="007B3769"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{"citationID":"lNyFw499","properties":{"formattedCitation":"[34,35]","plainCitation":"[34,35]","noteIndex":0},"citationItems":[{"id":22920,"uris":["http://zotero.org/users/local/hhPVnw6l/items/28R4MC94"],"itemData":{"id":22920,"type":"article-journal","abstract":"We conducted a meta-analysis of prospective studies to assess the association between BMI and incident vertebral fracture. We found that as body mass index (BMI) increases, the risk of vertebral fracture decreases in men, but not in women, suggesting possible gender differences in the relationship of BMI with risk of vertebral fracture.\nINTRODUCTION: Recent evidence suggests that the relationship between BMI and fracture risk may be site-specific. We conducted a systematic review and meta-analysis of prospective studies to investigate the association between BMI and risk of incident vertebral fracture.\nMETHODS: PubMed and Embase were searched for relevant articles published from inception through February 15, 2017. Extracted relative risks (RR) from the prospective studies were pooled using random-effects meta-analysis.\nRESULTS: Six studies were included, with a total of 105,129 participants followed for 3 to 19 years. The pooled RR (95% confidence interval [CI]) for vertebral fracture per each standard deviation increase in BMI was 0.94 (95% CI = 0.80-1.10) with significant heterogeneity (I 2 = 88.0%, p &lt; 0.001). In subgroup analysis by gender, we found a significant inverse association between BMI and risk of vertebral fracture in men (RR = 0.85, 95% CI = 0.73-0.98, n = 25,617 participants) but not in women (RR = 0.98, 95% CI = 0.81-1.20, n = 79,512 participants). Across studies of women not adjusting for bone mineral density (BMD), there was no significant association between BMI and risk of vertebral fracture (RR = 0.91, 95% CI = 0.80-1.04, p = 0.18, n = 72,755 participants). However, BMI was associated with an increased risk of vertebral fracture in studies of women that adjusted for BMD (RR = 1.28, 95% CI = 1.17-1.40, p &lt; 0.001, n = 6757 participants). Substantial heterogeneity was found among studies of women (I 2 = 90.1%, p &lt; 0.001), which was partly explained by the adjustment for BMD (adjusted R 2 = 61%). We found no evidence of publication bias (p = 0.40).\nCONCLUSIONS: In conclusion, our findings suggest that there might be gender differences in the relationship of BMI with risk of vertebral fracture. Further research is needed, including the assessment of other measures of adiposity, such as visceral adiposity, on the risk of vertebral fracture.","container-title":"Osteoporosis international: a journal established as result of cooperation between the European Foundation for Osteoporosis and the National Osteoporosis Foundation of the USA","DOI":"10.1007/s00198-017-4294-7","ISSN":"1433-2965","issue":"1","journalAbbreviation":"Osteoporos Int","language":"eng","note":"PMID: 29098347","page":"31-39","source":"PubMed","title":"A meta-analysis of the association between body mass index and risk of vertebral fracture","volume":"29","author":[{"family":"Kaze","given":"A. D."},{"family":"Rosen","given":"H. N."},{"family":"Paik","given":"J. M."}],"issued":{"date-parts":[["2018",1]]}}},{"id":22917,"uris":["http://zotero.org/users/local/hhPVnw6l/items/FF4N66LW"],"itemData":{"id":22917,"type":"article-journal","abstract":"OBJECTIVES: The purpose of this study was to investigate the incidence of vertebral and hip fractures in the older people and to clarify the relationship between these fractures and body mass index (BMI) along with the impact of sex differences.DesignThis was a retrospective cohort study.SettingWe used administrative claims data between April 2010 and March 2018.\nPARTICIPANTS: Older people aged ≥75 years who underwent health examinations in 2010 and were living in the Fukuoka Prefecture, Japan were included in the study. A total of 24 691 participants were included; the mean age was 79.4±4.3 years, 10 853 males and 13 838 females, and an the mean duration of observation was 6.9±1.6 years.\nPRIMARY AND SECONDARY OUTCOME MEASURES: We estimated the incidence of vertebral and hip fractures by BMI category (underweight: &lt;18.5 kg/m2, normal weight: 18.5-24.9 kg/m2, overweight and obese: ≥25.0 kg/m2) using a Kaplan-Meier curve in males and females and determined fracture risk by sex using Cox proportional hazards regression analyses.\nRESULTS: The incidence of vertebral and hip fractures was 16.8% and 6.5%, respectively. The cumulative incidence of vertebral and hip fracture at the last observation (8 years) in each BMI groups (underweight/normal weight/overweight and obese) estimated using the Kaplan-Meier curve was 14.7%/10.4%/9.0% in males and 24.9%/23.0%/21.9% in females, and 6.3%/2.9%/2.4% in males and 14.1%/9.0%/8.1% in females, respectively, and both fractures were significantly higher in underweight groups regardless of sex. Multivariable Cox proportional hazards models showed that underweight was a significant risk factor only in males for vertebral fractures and in both males and females for hip fractures.\nCONCLUSION: Underweight was associated with fractures in the ageing population, but there was a sex difference in the effect for vertebral fractures.","container-title":"BMJ open","DOI":"10.1136/bmjopen-2021-049157","ISSN":"2044-6055","issue":"11","journalAbbreviation":"BMJ Open","language":"eng","note":"PMID: 34753754\nPMCID: PMC8578981","page":"e049157","source":"PubMed","title":"Effect of body mass index on vertebral and hip fractures in older people and differences according to sex: a retrospective Japanese cohort study","title-short":"Effect of body mass index on vertebral and hip fractures in older people and differences according to sex","volume":"11","author":[{"family":"Shiomoto","given":"Kyohei"},{"family":"Babazono","given":"Akira"},{"family":"Harano","given":"Yumi"},{"family":"Fujita","given":"Takako"},{"family":"Jiang","given":"Peng"},{"family":"Kim","given":"Sung-A."},{"family":"Nakashima","given":"Yasuharu"}],"issued":{"date-parts":[["2021",11,9]]}}}],"schema":"https://github.com/citation-style-language/schema/raw/master/csl-citation.json"} </w:instrText>
      </w:r>
      <w:r w:rsidR="007B3769" w:rsidRPr="0036402F">
        <w:rPr>
          <w:rFonts w:ascii="Arial" w:hAnsi="Arial" w:cs="Arial"/>
          <w:sz w:val="24"/>
          <w:szCs w:val="24"/>
          <w:lang w:val="en-US"/>
        </w:rPr>
        <w:fldChar w:fldCharType="separate"/>
      </w:r>
      <w:r w:rsidR="009456CE" w:rsidRPr="0036402F">
        <w:rPr>
          <w:rFonts w:ascii="Arial" w:hAnsi="Arial" w:cs="Arial"/>
          <w:noProof/>
          <w:sz w:val="24"/>
          <w:szCs w:val="24"/>
          <w:lang w:val="en-US"/>
        </w:rPr>
        <w:t>[34,35]</w:t>
      </w:r>
      <w:r w:rsidR="007B3769" w:rsidRPr="0036402F">
        <w:rPr>
          <w:rFonts w:ascii="Arial" w:hAnsi="Arial" w:cs="Arial"/>
          <w:sz w:val="24"/>
          <w:szCs w:val="24"/>
          <w:lang w:val="en-US"/>
        </w:rPr>
        <w:fldChar w:fldCharType="end"/>
      </w:r>
      <w:r w:rsidR="007B3769" w:rsidRPr="0036402F">
        <w:rPr>
          <w:rFonts w:ascii="Arial" w:hAnsi="Arial" w:cs="Arial"/>
          <w:sz w:val="24"/>
          <w:szCs w:val="24"/>
          <w:lang w:val="en-US"/>
        </w:rPr>
        <w:t xml:space="preserve">, </w:t>
      </w:r>
      <w:r w:rsidR="005C5084" w:rsidRPr="0036402F">
        <w:rPr>
          <w:rFonts w:ascii="Arial" w:hAnsi="Arial" w:cs="Arial"/>
          <w:sz w:val="24"/>
          <w:szCs w:val="24"/>
          <w:lang w:val="en-US"/>
        </w:rPr>
        <w:t xml:space="preserve">and vertebral fracture can in turn increases the risk of dementia </w:t>
      </w:r>
      <w:r w:rsidR="005C5084"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{"citationID":"BPBqKYeT","properties":{"formattedCitation":"[36]","plainCitation":"[36]","noteIndex":0},"citationItems":[{"id":22925,"uris":["http://zotero.org/users/local/hhPVnw6l/items/TNGK8XMS"],"itemData":{"id":22925,"type":"article-journal","abstract":"Dementia is among various diseases affecting the elderly, who is also at a high risk for fractures. This study aimed to evaluate the association between fracture history and sequential risk of dementia in Taiwan.A retrospective cohort study was designed using the claims data of the entire insured residents covered by Taiwan's universal health insurance from 1998 to 2010. A total of 66,797 patients with fractures and 133,594 control subjects without fractures were matched in terms of age (±5 years), sex, and index year and then recruited. Fractures and dementia were defined in accordance with the International Classification of Diseases, 9th Revision, Clinical Modification. The influence of fractures on the risk of dementia was analyzed using a Cox proportional hazards model.After a 12-year follow-up period, 2775 and 3991 incident cases of dementia were reported in exposed and unexposed cohorts, respectively. The overall incidence rate of dementia in individuals with fractures was 41% higher than that in individuals without fractures (6.05 vs 4.30 per 1000 person-years) at an adjusted hazard ratio of 1.38 (95% confidence interval 1.32-1.45) after age, sex, urbanization, and individual disorders or comorbidities were adjusted. Considering fracture location, we found that patients with hip fractures were at a slightly high risk for dementia. The occurrence of multiple fractures at a single visit was also significantly associated with an increased risk of dementia.Fracture history is regarded as an independent risk factor of dementia in individuals aged ≥65 years, particularly those who suffered from multiple fractures and/or fractures located in the hip. Further studies are needed to support an independent role of fracture in dementia considering the clinical information and other comorbidities.","container-title":"Medicine","DOI":"10.1097/MD.0000000000000188","ISSN":"1536-5964","issue":"26","journalAbbreviation":"Medicine (Baltimore)","language":"eng","note":"PMID: 25474435\nPMCID: PMC4616393","page":"e188","source":"PubMed","title":"Fracture as an independent risk factor of dementia: a nationwide population-based cohort study","title-short":"Fracture as an independent risk factor of dementia","volume":"93","author":[{"family":"Tsai","given":"Chun-Hao"},{"family":"Chuang","given":"Chieh-Sen"},{"family":"Hung","given":"Chih-Hung"},{"family":"Lin","given":"Cheng-Li"},{"family":"Sung","given":"Fung-Chang"},{"family":"Tang","given":"Chih-Hsin"},{"family":"Hsu","given":"Horng-Chang"},{"family":"Chung","given":"Chi-Jung"}],"issued":{"date-parts":[["2014",11]]}}}],"schema":"https://github.com/citation-style-language/schema/raw/master/csl-citation.json"} </w:instrText>
      </w:r>
      <w:r w:rsidR="005C5084" w:rsidRPr="0036402F">
        <w:rPr>
          <w:rFonts w:ascii="Arial" w:hAnsi="Arial" w:cs="Arial"/>
          <w:sz w:val="24"/>
          <w:szCs w:val="24"/>
          <w:lang w:val="en-US"/>
        </w:rPr>
        <w:fldChar w:fldCharType="separate"/>
      </w:r>
      <w:r w:rsidR="009456CE" w:rsidRPr="0036402F">
        <w:rPr>
          <w:rFonts w:ascii="Arial" w:hAnsi="Arial" w:cs="Arial"/>
          <w:noProof/>
          <w:sz w:val="24"/>
          <w:szCs w:val="24"/>
          <w:lang w:val="en-US"/>
        </w:rPr>
        <w:t>[36]</w:t>
      </w:r>
      <w:r w:rsidR="005C5084" w:rsidRPr="0036402F">
        <w:rPr>
          <w:rFonts w:ascii="Arial" w:hAnsi="Arial" w:cs="Arial"/>
          <w:sz w:val="24"/>
          <w:szCs w:val="24"/>
          <w:lang w:val="en-US"/>
        </w:rPr>
        <w:fldChar w:fldCharType="end"/>
      </w:r>
      <w:r w:rsidR="005C5084" w:rsidRPr="0036402F">
        <w:rPr>
          <w:rFonts w:ascii="Arial" w:hAnsi="Arial" w:cs="Arial"/>
          <w:sz w:val="24"/>
          <w:szCs w:val="24"/>
          <w:lang w:val="en-US"/>
        </w:rPr>
        <w:t>.</w:t>
      </w:r>
      <w:r w:rsidR="009450F7" w:rsidRPr="0036402F">
        <w:rPr>
          <w:rFonts w:ascii="Arial" w:hAnsi="Arial" w:cs="Arial"/>
          <w:sz w:val="24"/>
          <w:szCs w:val="24"/>
          <w:lang w:val="en-US"/>
        </w:rPr>
        <w:t xml:space="preserve"> In addition, studies have highlighted the fact that underweight favor</w:t>
      </w:r>
      <w:r w:rsidR="00BA133D" w:rsidRPr="0036402F">
        <w:rPr>
          <w:rFonts w:ascii="Arial" w:hAnsi="Arial" w:cs="Arial"/>
          <w:sz w:val="24"/>
          <w:szCs w:val="24"/>
          <w:lang w:val="en-US"/>
        </w:rPr>
        <w:t>s</w:t>
      </w:r>
      <w:r w:rsidR="009450F7" w:rsidRPr="0036402F">
        <w:rPr>
          <w:rFonts w:ascii="Arial" w:hAnsi="Arial" w:cs="Arial"/>
          <w:sz w:val="24"/>
          <w:szCs w:val="24"/>
          <w:lang w:val="en-US"/>
        </w:rPr>
        <w:t xml:space="preserve"> the occurrence of asthma in older men and not in older women </w:t>
      </w:r>
      <w:r w:rsidR="00001B70"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{"citationID":"tBzQns2x","properties":{"formattedCitation":"[37,38]","plainCitation":"[37,38]","noteIndex":0},"citationItems":[{"id":22933,"uris":["http://zotero.org/users/local/hhPVnw6l/items/2UU7WI6W"],"itemData":{"id":22933,"type":"article-journal","abstract":"We evaluated the association between body mass index (BMI) and the prevalence of asthma. Using data from the 2015 Korean Community Health Survey, 214,971 participants aged between 19 and 106 years were included in this study. Asthma was defined based on the self-report of physician diagnosis. BMI was classified as underweight (&lt;18.5 kg/m2), normal weight (18.5 kg/m2≤BMI&lt;23.0 kg/m2), overweight (23.0 kg/m2≤ BMI&lt;27.4 kg/m2), and obese (≥27.5 kg/m2) based on the BMI categories for Asians by the World Health Organization. Multiple logistic regression analysis was performed with sampling weights to evaluate the association between BMI and asthma after adjusting for age, educational level, income, type of residential area, smoking status, alcohol consumption, physical activity, hypertension, and diabetes. In men, BMI had an inverted J-shaped association with the prevalence of asthma, with an odds ratio of 1.88 (95% confidence interval [CI]: 1.89-2.24) for underweight and 1.12 (95% CIs: 0.97-1.29) for obesity. In women, BMI had a J-shaped association with the prevalence of asthma, with an odds ratio of 1.05 (95% CIs: 0.91-1.22) for underweight and 2.29 (95% CIs: 2.06-2.56) for obesity. In conclusion, in a nationally representative sample of Korean adults, the association between BMI and the prevalence of asthma varied between the sexes. This suggests that malnutrition and obesity are involved in the pathophysiology of asthma.","container-title":"Chonnam Medical Journal","DOI":"10.4068/cmj.2020.56.1.62","ISSN":"2233-7385","issue":"1","journalAbbreviation":"Chonnam Med J","language":"eng","note":"PMID: 32021844\nPMCID: PMC6976771","page":"62-67","source":"PubMed","title":"Association between Body Mass Index and Prevalence of Asthma in Korean Adults","volume":"56","author":[{"family":"Kang","given":"Min"},{"family":"Sohn","given":"Seok-Joon"},{"family":"Shin","given":"Min-Ho"}],"issued":{"date-parts":[["2020",1]]}}},{"id":22930,"uris":["http://zotero.org/users/local/hhPVnw6l/items/ZPUA2PGC"],"itemData":{"id":22930,"type":"article-journal","abstract":"BACKGROUND: This study investigated the sex-specific incidence of asthma and the effects of modifiable risk factors, particularly obesity, on asthma incidence among middle-aged and older individuals in Korea.\nMETHODS: We used data from the National Health Insurance Service-Health Screening Cohort (NHIS-HEALS), which includes health examinees aged 40-79 years in 2002-2003. In total, 459,529 participants with baseline anthropometric measurements were followed-up for 10 years and the development of asthma was evaluated (2004-2013). For subgroup analysis, 246,019 participants who had body mass index (BMI) and waist circumference (WC) measurements taken in 2008-2009 were included in the analysis of the asthma incidence for 2010-2013. Factors associated with asthma were analysed using Cox proportional hazard models.\nRESULTS: The cohort comprised 4,248,813 (men, 2,358,541; women, 1,890,272) person-years of follow-up for 2004-2013. The asthma incidence was 10.58 and 15.03 per 1000 person-years for men and women, respectively. Asthma incidence increased with age, notably so in men. Obesity based on the baseline BMI was significantly associated with asthma development in both sexes (men, HR = 1.23, 95% confidence interval (CI) = 1.13-1.34; women, HR = 1.40 95% CI = 1.32-1.48). High WC was also related to asthma incidence in both sexes with statistical significance (men, HR = 1.34, 95% CI = 1.16-1.57; women, HR = 1.19 95% CI = 1.03-1.37). Analysis of the combined effects of BMI and WC showed that men had a higher asthma risk in the group with both general obesity and abdominal obesity than in the group with non-abdominal obesity and normal BMI. However, obese women had a higher risk of asthma regardless of abdominal obesity. Similarly, smoking was associated with asthma in both sexes but drinking and physical activity showed different associations between the sexes.\nCONCLUSIONS: Our results revealed that asthma incidence was substantially high at old age and lifestyle factors were associated with asthma development. Practical strategies including weight control and healthy lifestyle modification are required to prevent asthma in older people.","container-title":"BMC pulmonary medicine","DOI":"10.1186/s12890-019-1023-3","ISSN":"1471-2466","issue":"1","journalAbbreviation":"BMC Pulm Med","language":"eng","note":"PMID: 31842862\nPMCID: PMC6916451","page":"248","source":"PubMed","title":"Sex differences in the association between asthma incidence and modifiable risk factors in Korean middle-aged and older adults: NHIS-HEALS 10-year cohort","title-short":"Sex differences in the association between asthma incidence and modifiable risk factors in Korean middle-aged and older adults","volume":"19","author":[{"family":"Park","given":"Susan"},{"family":"Jung","given":"Sun-Young"},{"family":"Kwon","given":"Jin-Won"}],"issued":{"date-parts":[["2019",12,16]]}}}],"schema":"https://github.com/citation-style-language/schema/raw/master/csl-citation.json"} </w:instrText>
      </w:r>
      <w:r w:rsidR="00001B70" w:rsidRPr="0036402F">
        <w:rPr>
          <w:rFonts w:ascii="Arial" w:hAnsi="Arial" w:cs="Arial"/>
          <w:sz w:val="24"/>
          <w:szCs w:val="24"/>
          <w:lang w:val="en-US"/>
        </w:rPr>
        <w:fldChar w:fldCharType="separate"/>
      </w:r>
      <w:r w:rsidR="009456CE" w:rsidRPr="0036402F">
        <w:rPr>
          <w:rFonts w:ascii="Arial" w:hAnsi="Arial" w:cs="Arial"/>
          <w:noProof/>
          <w:sz w:val="24"/>
          <w:szCs w:val="24"/>
          <w:lang w:val="en-US"/>
        </w:rPr>
        <w:t>[37,38]</w:t>
      </w:r>
      <w:r w:rsidR="00001B70" w:rsidRPr="0036402F">
        <w:rPr>
          <w:rFonts w:ascii="Arial" w:hAnsi="Arial" w:cs="Arial"/>
          <w:sz w:val="24"/>
          <w:szCs w:val="24"/>
          <w:lang w:val="en-US"/>
        </w:rPr>
        <w:fldChar w:fldCharType="end"/>
      </w:r>
      <w:r w:rsidR="009450F7" w:rsidRPr="0036402F">
        <w:rPr>
          <w:rFonts w:ascii="Arial" w:hAnsi="Arial" w:cs="Arial"/>
          <w:sz w:val="24"/>
          <w:szCs w:val="24"/>
          <w:lang w:val="en-US"/>
        </w:rPr>
        <w:t xml:space="preserve">, while </w:t>
      </w:r>
      <w:r w:rsidR="00C76B72" w:rsidRPr="0036402F">
        <w:rPr>
          <w:rFonts w:ascii="Arial" w:hAnsi="Arial" w:cs="Arial"/>
          <w:sz w:val="24"/>
          <w:szCs w:val="24"/>
          <w:lang w:val="en-US"/>
        </w:rPr>
        <w:t xml:space="preserve">asthma in middle and late life increases the risk of developing dementia </w:t>
      </w:r>
      <w:r w:rsidR="00C76B72"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{"citationID":"EMUshXko","properties":{"formattedCitation":"[39]","plainCitation":"[39]","noteIndex":0},"citationItems":[{"id":22936,"uris":["http://zotero.org/users/local/hhPVnw6l/items/MCXR8ZQU"],"itemData":{"id":22936,"type":"article-journal","abstract":"BACKGROUND: Previous studies have suggested an association between asthma and dementia, but the results are still inconsistent.\nMETHODS: Using the Taiwan National Health Insurance Database, we enrolled 11,030 participants aged more than 45 years with asthma and 44,120 (1:4) age-/sex-matched controls between 1998 and 2008, and followed them to the end of 2011. Cases of any dementia or Alzheimer's disease that developed during the follow-up period were identified.\nRESULTS: Asthma was associated with an increased risk of developing any dementia [hazard ratio (HR): 2.17, 95% confidence interval (CI): 1.87-2.52] and Alzheimer's disease (HR: 2.62, 95% CI: 1.71-4.02). Stratified by age, both asthma in midlife (&gt;45 years and &lt;65 years) and in late life (≥65 years) was associated with a greater likelihood of any dementia (HR: 2.48, 95% CI: 1.80-3.41; HR: 2.06, 95% CI: 1.74-2.44).\nDISCUSSION: Asthma in midlife and in late life increased the risk of developing any dementia and Alzheimer's disease. The underlying mechanisms between asthma and dementia require further investigation.","container-title":"Journal of the American Medical Directors Association","DOI":"10.1016/j.jamda.2014.06.003","ISSN":"1538-9375","issue":"10","journalAbbreviation":"J Am Med Dir Assoc","language":"eng","note":"PMID: 25037169","page":"763-767","source":"PubMed","title":"Risk of dementia among patients with asthma: a nationwide longitudinal study","title-short":"Risk of dementia among patients with asthma","volume":"15","author":[{"family":"Chen","given":"Mu-Hong"},{"family":"Li","given":"Cheng-Ta"},{"family":"Tsai","given":"Chia-Fen"},{"family":"Lin","given":"Wei-Chen"},{"family":"Chang","given":"Wen-Han"},{"family":"Chen","given":"Tzeng-Ji"},{"family":"Pan","given":"Tai-Long"},{"family":"Su","given":"Tung-Ping"},{"family":"Bai","given":"Ya-Mei"}],"issued":{"date-parts":[["2014",10]]}}}],"schema":"https://github.com/citation-style-language/schema/raw/master/csl-citation.json"} </w:instrText>
      </w:r>
      <w:r w:rsidR="00C76B72" w:rsidRPr="0036402F">
        <w:rPr>
          <w:rFonts w:ascii="Arial" w:hAnsi="Arial" w:cs="Arial"/>
          <w:sz w:val="24"/>
          <w:szCs w:val="24"/>
          <w:lang w:val="en-US"/>
        </w:rPr>
        <w:fldChar w:fldCharType="separate"/>
      </w:r>
      <w:r w:rsidR="009456CE" w:rsidRPr="0036402F">
        <w:rPr>
          <w:rFonts w:ascii="Arial" w:hAnsi="Arial" w:cs="Arial"/>
          <w:noProof/>
          <w:sz w:val="24"/>
          <w:szCs w:val="24"/>
          <w:lang w:val="en-US"/>
        </w:rPr>
        <w:t>[39]</w:t>
      </w:r>
      <w:r w:rsidR="00C76B72" w:rsidRPr="0036402F">
        <w:rPr>
          <w:rFonts w:ascii="Arial" w:hAnsi="Arial" w:cs="Arial"/>
          <w:sz w:val="24"/>
          <w:szCs w:val="24"/>
          <w:lang w:val="en-US"/>
        </w:rPr>
        <w:fldChar w:fldCharType="end"/>
      </w:r>
      <w:r w:rsidR="00C76B72" w:rsidRPr="0036402F">
        <w:rPr>
          <w:rFonts w:ascii="Arial" w:hAnsi="Arial" w:cs="Arial"/>
          <w:sz w:val="24"/>
          <w:szCs w:val="24"/>
          <w:lang w:val="en-US"/>
        </w:rPr>
        <w:t>.</w:t>
      </w:r>
      <w:r w:rsidR="00407E34" w:rsidRPr="0036402F">
        <w:rPr>
          <w:rFonts w:ascii="Arial" w:hAnsi="Arial" w:cs="Arial"/>
          <w:sz w:val="24"/>
          <w:szCs w:val="24"/>
          <w:lang w:val="en-US"/>
        </w:rPr>
        <w:t xml:space="preserve"> </w:t>
      </w:r>
      <w:r w:rsidR="0002228E" w:rsidRPr="0036402F">
        <w:rPr>
          <w:rFonts w:ascii="Arial" w:hAnsi="Arial" w:cs="Arial"/>
          <w:sz w:val="24"/>
          <w:szCs w:val="24"/>
          <w:lang w:val="en-US"/>
        </w:rPr>
        <w:t>Furthermore</w:t>
      </w:r>
      <w:r w:rsidR="00407E34" w:rsidRPr="0036402F">
        <w:rPr>
          <w:rFonts w:ascii="Arial" w:hAnsi="Arial" w:cs="Arial"/>
          <w:sz w:val="24"/>
          <w:szCs w:val="24"/>
          <w:lang w:val="en-US"/>
        </w:rPr>
        <w:t xml:space="preserve">, preliminary research has shown that the negative effects of underweight on physical mobility limitation are more pronounced in </w:t>
      </w:r>
      <w:r w:rsidR="003642F2" w:rsidRPr="0036402F">
        <w:rPr>
          <w:rFonts w:ascii="Arial" w:hAnsi="Arial" w:cs="Arial"/>
          <w:sz w:val="24"/>
          <w:szCs w:val="24"/>
          <w:lang w:val="en-US"/>
        </w:rPr>
        <w:t xml:space="preserve">middle-aged and older </w:t>
      </w:r>
      <w:r w:rsidR="00407E34" w:rsidRPr="0036402F">
        <w:rPr>
          <w:rFonts w:ascii="Arial" w:hAnsi="Arial" w:cs="Arial"/>
          <w:sz w:val="24"/>
          <w:szCs w:val="24"/>
          <w:lang w:val="en-US"/>
        </w:rPr>
        <w:t xml:space="preserve">men than in their female counterparts </w:t>
      </w:r>
      <w:r w:rsidR="00407E34"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{"citationID":"P1FazLZ9","properties":{"formattedCitation":"[40]","plainCitation":"[40]","noteIndex":0},"citationItems":[{"id":22938,"uris":["http://zotero.org/users/local/hhPVnw6l/items/CWPXZZD2"],"itemData":{"id":22938,"type":"article-journal","abstract":"BACKGROUND: The sweeping obesity epidemic could further increase the incidence of functional limitations in the U.S. rapidly aging population.\nOBJECTIVE: To examine the relationship between body weight status and onset of functional limitations in U.S. middle-aged and older adults.\nMETHODS: Study sample came from 1992 to 2010 waves of the Health and Retirement Study, a nationally representative longitudinal survey of community-dwelling middle-aged and older adults. Body mass index (BMI) was calculated from self-reported height/weight. Functional limitations were classified into physical mobility limitation (PM), large muscle function limitation (LMF), activities of daily living limitation (ADL), gross motor function limitation (GMF), and fine motor function limitation (FMF). Mixed-effect logistic regressions were performed to estimate the relationship between prior-wave body weight status and current-wave onset of functional limitations, adjusted for individual characteristics and survey design.\nRESULTS: Prior-wave body weight status prospectively predicted onset of functional limitation, and the relationship showed a U-shaped pattern. Compared with their normal weight counterparts, the odds ratios (ORs) in underweight (BMI &lt; 18.5) and obese (BMI ≥ 30) adults were 1.30 (95% confidence interval, 1.05-1.62) and 2.31 (2.11-2.52) for PM, 1.20 (0.96-1.50) and 1.63 (1.49-1.79) for LMF, 2.02 (1.66-2.46) and 1.40 (1.28-1.54) for ADL, 1.96 (1.60-2.39) and 1.77 (1.62-1.93) for GMF, and 1.66 (1.37-2.02) and 1.34 (1.22-1.46) for FMF, respectively. For PM, LMF and GMF, the impact of obesity appeared more pronounced in women, whereas that of underweight more pronounced in men.\nCONCLUSIONS: Proper weight management during aging is crucial in preventing functional limitations in middle-aged and older adults.","container-title":"Disability and Health Journal","DOI":"10.1016/j.dhjo.2015.02.003","ISSN":"1876-7583","issue":"3","journalAbbreviation":"Disabil Health J","language":"eng","note":"PMID: 25863703","page":"336-344","source":"PubMed","title":"Body weight status and onset of functional limitations in U.S. middle-aged and older adults","volume":"8","author":[{"family":"An","given":"Ruopeng"},{"family":"Shi","given":"Yuyan"}],"issued":{"date-parts":[["2015",7]]}}}],"schema":"https://github.com/citation-style-language/schema/raw/master/csl-citation.json"} </w:instrText>
      </w:r>
      <w:r w:rsidR="00407E34" w:rsidRPr="0036402F">
        <w:rPr>
          <w:rFonts w:ascii="Arial" w:hAnsi="Arial" w:cs="Arial"/>
          <w:sz w:val="24"/>
          <w:szCs w:val="24"/>
          <w:lang w:val="en-US"/>
        </w:rPr>
        <w:fldChar w:fldCharType="separate"/>
      </w:r>
      <w:r w:rsidR="009456CE" w:rsidRPr="0036402F">
        <w:rPr>
          <w:rFonts w:ascii="Arial" w:hAnsi="Arial" w:cs="Arial"/>
          <w:noProof/>
          <w:sz w:val="24"/>
          <w:szCs w:val="24"/>
          <w:lang w:val="en-US"/>
        </w:rPr>
        <w:t>[40]</w:t>
      </w:r>
      <w:r w:rsidR="00407E34" w:rsidRPr="0036402F">
        <w:rPr>
          <w:rFonts w:ascii="Arial" w:hAnsi="Arial" w:cs="Arial"/>
          <w:sz w:val="24"/>
          <w:szCs w:val="24"/>
          <w:lang w:val="en-US"/>
        </w:rPr>
        <w:fldChar w:fldCharType="end"/>
      </w:r>
      <w:r w:rsidR="00407E34" w:rsidRPr="0036402F">
        <w:rPr>
          <w:rFonts w:ascii="Arial" w:hAnsi="Arial" w:cs="Arial"/>
          <w:sz w:val="24"/>
          <w:szCs w:val="24"/>
          <w:lang w:val="en-US"/>
        </w:rPr>
        <w:t>, and</w:t>
      </w:r>
      <w:r w:rsidR="003642F2" w:rsidRPr="0036402F">
        <w:rPr>
          <w:rFonts w:ascii="Arial" w:hAnsi="Arial" w:cs="Arial"/>
          <w:sz w:val="24"/>
          <w:szCs w:val="24"/>
          <w:lang w:val="en-US"/>
        </w:rPr>
        <w:t xml:space="preserve"> midlife function limitations positively predict the occurrence of dementia </w:t>
      </w:r>
      <w:r w:rsidR="003642F2"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{"citationID":"lqpVMcfi","properties":{"formattedCitation":"[41]","plainCitation":"[41]","noteIndex":0},"citationItems":[{"id":22940,"uris":["http://zotero.org/users/local/hhPVnw6l/items/B4MRJ334"],"itemData":{"id":22940,"type":"article-journal","abstract":"BACKGROUND: Life-course approaches to identify and help improve modifiable risk factors, particularly in midlife, may mitigate cognitive aging.\nOBJECTIVE: We examined how midlife self-rated physical functioning and health may predict cognitive health in older age.\nMETHODS: We used data from the Health and Retirement Study (1998-2016; unweighted-N = 4,685). We used survey multinomial logistic regression and latent growth curve models to examine how midlife (age 50-64 years) activities of daily living (ADL), physical function, and self-reported health affect cognitive trajectories and cognitive impairment not dementia (CIND) and dementia status 18 years later. Then, we tested for sex and racial/ethnic modifications.\nRESULTS: After covariates-adjustment, worse instrumental ADL (IADL) functioning, mobility, and self-reported health were associated with both CIND and dementia. Hispanics were more likely to meet criteria for dementia than non-Hispanic Whites given increasing IADL impairment.\nCONCLUSION: Midlife health, activities limitations, and difficulties with mobility are predictive of dementia in later life. Hispanics may be more susceptible to dementia in the presence of midlife IADLs. Assessing midlife physical function and general health with brief questionnaires may be useful for predicting cognitive impairment and dementia in later life.","container-title":"Journal of Alzheimer's disease: JAD","DOI":"10.3233/JAD-215192","ISSN":"1875-8908","journalAbbreviation":"J Alzheimers Dis","language":"eng","note":"PMID: 34958028","source":"PubMed","title":"Associations Between Midlife Functional Limitations and Self-Reported Health and Cognitive Status: Results from the 1998-2016 Health and Retirement Study","title-short":"Associations Between Midlife Functional Limitations and Self-Reported Health and Cognitive Status","author":[{"family":"Wu","given":"Benson"},{"family":"Toseef","given":"Mohammad Usama"},{"family":"Stickel","given":"Ariana M."},{"family":"González","given":"Hector M."},{"family":"Tarraf","given":"Wassim"}],"issued":{"date-parts":[["2021",12,22]]}}}],"schema":"https://github.com/citation-style-language/schema/raw/master/csl-citation.json"} </w:instrText>
      </w:r>
      <w:r w:rsidR="003642F2" w:rsidRPr="0036402F">
        <w:rPr>
          <w:rFonts w:ascii="Arial" w:hAnsi="Arial" w:cs="Arial"/>
          <w:sz w:val="24"/>
          <w:szCs w:val="24"/>
          <w:lang w:val="en-US"/>
        </w:rPr>
        <w:fldChar w:fldCharType="separate"/>
      </w:r>
      <w:r w:rsidR="009456CE" w:rsidRPr="0036402F">
        <w:rPr>
          <w:rFonts w:ascii="Arial" w:hAnsi="Arial" w:cs="Arial"/>
          <w:noProof/>
          <w:sz w:val="24"/>
          <w:szCs w:val="24"/>
          <w:lang w:val="en-US"/>
        </w:rPr>
        <w:t>[41]</w:t>
      </w:r>
      <w:r w:rsidR="003642F2" w:rsidRPr="0036402F">
        <w:rPr>
          <w:rFonts w:ascii="Arial" w:hAnsi="Arial" w:cs="Arial"/>
          <w:sz w:val="24"/>
          <w:szCs w:val="24"/>
          <w:lang w:val="en-US"/>
        </w:rPr>
        <w:fldChar w:fldCharType="end"/>
      </w:r>
      <w:r w:rsidR="003642F2" w:rsidRPr="0036402F">
        <w:rPr>
          <w:rFonts w:ascii="Arial" w:hAnsi="Arial" w:cs="Arial"/>
          <w:sz w:val="24"/>
          <w:szCs w:val="24"/>
          <w:lang w:val="en-US"/>
        </w:rPr>
        <w:t>.</w:t>
      </w:r>
      <w:r w:rsidR="000B23A1" w:rsidRPr="0036402F">
        <w:rPr>
          <w:rFonts w:ascii="Arial" w:hAnsi="Arial" w:cs="Arial"/>
          <w:sz w:val="24"/>
          <w:szCs w:val="24"/>
          <w:lang w:val="en-US"/>
        </w:rPr>
        <w:t xml:space="preserve"> </w:t>
      </w:r>
      <w:r w:rsidR="002377E7" w:rsidRPr="0036402F">
        <w:rPr>
          <w:rFonts w:ascii="Arial" w:hAnsi="Arial" w:cs="Arial"/>
          <w:sz w:val="24"/>
          <w:szCs w:val="24"/>
          <w:lang w:val="en-US"/>
        </w:rPr>
        <w:t>Besides, b</w:t>
      </w:r>
      <w:r w:rsidR="00CE7FFB" w:rsidRPr="0036402F">
        <w:rPr>
          <w:rFonts w:ascii="Arial" w:hAnsi="Arial" w:cs="Arial"/>
          <w:sz w:val="24"/>
          <w:szCs w:val="24"/>
          <w:lang w:val="en-US"/>
        </w:rPr>
        <w:t xml:space="preserve">eing </w:t>
      </w:r>
      <w:r w:rsidR="002064B5" w:rsidRPr="0036402F">
        <w:rPr>
          <w:rFonts w:ascii="Arial" w:hAnsi="Arial" w:cs="Arial"/>
          <w:sz w:val="24"/>
          <w:szCs w:val="24"/>
          <w:lang w:val="en-US"/>
        </w:rPr>
        <w:t xml:space="preserve">underweight </w:t>
      </w:r>
      <w:r w:rsidR="0042624A" w:rsidRPr="0036402F">
        <w:rPr>
          <w:rFonts w:ascii="Arial" w:hAnsi="Arial" w:cs="Arial"/>
          <w:sz w:val="24"/>
          <w:szCs w:val="24"/>
          <w:lang w:val="en-US"/>
        </w:rPr>
        <w:t xml:space="preserve">increases </w:t>
      </w:r>
      <w:r w:rsidR="00162AD5" w:rsidRPr="0036402F">
        <w:rPr>
          <w:rFonts w:ascii="Arial" w:hAnsi="Arial" w:cs="Arial"/>
          <w:sz w:val="24"/>
          <w:szCs w:val="24"/>
          <w:lang w:val="en-US"/>
        </w:rPr>
        <w:t>medical and pharmacy costs</w:t>
      </w:r>
      <w:r w:rsidR="00083EF2" w:rsidRPr="0036402F">
        <w:rPr>
          <w:rFonts w:ascii="Arial" w:hAnsi="Arial" w:cs="Arial"/>
          <w:sz w:val="24"/>
          <w:szCs w:val="24"/>
          <w:lang w:val="en-US"/>
        </w:rPr>
        <w:t xml:space="preserve"> at </w:t>
      </w:r>
      <w:r w:rsidR="004003BD" w:rsidRPr="0036402F">
        <w:rPr>
          <w:rFonts w:ascii="Arial" w:hAnsi="Arial" w:cs="Arial"/>
          <w:sz w:val="24"/>
          <w:szCs w:val="24"/>
          <w:lang w:val="en-US"/>
        </w:rPr>
        <w:t xml:space="preserve">an </w:t>
      </w:r>
      <w:r w:rsidR="00083EF2" w:rsidRPr="0036402F">
        <w:rPr>
          <w:rFonts w:ascii="Arial" w:hAnsi="Arial" w:cs="Arial"/>
          <w:sz w:val="24"/>
          <w:szCs w:val="24"/>
          <w:lang w:val="en-US"/>
        </w:rPr>
        <w:t>older age</w:t>
      </w:r>
      <w:r w:rsidR="0080464B" w:rsidRPr="0036402F">
        <w:rPr>
          <w:rFonts w:ascii="Arial" w:hAnsi="Arial" w:cs="Arial"/>
          <w:sz w:val="24"/>
          <w:szCs w:val="24"/>
          <w:lang w:val="en-US"/>
        </w:rPr>
        <w:t xml:space="preserve"> </w:t>
      </w:r>
      <w:r w:rsidR="0080464B"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{"citationID":"Lv5LqEvo","properties":{"formattedCitation":"[42]","plainCitation":"[42]","noteIndex":0},"citationItems":[{"id":23387,"uris":["http://zotero.org/users/local/hhPVnw6l/items/6NUAVVAA"],"itemData":{"id":23387,"type":"article-journal","abstract":"OBJECTIVE: To identify the extent that sex, age and body mass index (BMI) is associated with medical and pharmacy costs.\nDESIGN: Retrospective cohort.\nSETTING: A school district in the Western USA involving 2531 workers continuously employed during 2011-2014.\nMAIN OUTCOME MEASURES: Medical and pharmacy costs and BMI.\nRESULTS: Approximately 84% of employees participated in wellness screening. Participants were 1.03 (95% CI 1.01 to 1.06) times more likely to be women and younger (M=47.8 vs 49.8, p&lt;0.001). Median medical and pharmacy costs were higher for women than men, increased with age, and were greater in morbidly obese individuals (p&lt;0.001). Annual pharmacy claims were 18% more likely to be filed by women than men, 23% more likely filed by those aged ≥60 versus &lt;40 years, and 6% more likely filed by morbidly obese individuals than of normal weight (p&lt;0.001) individuals. Greater medical and pharmacy costs in older age were most pronounced in underweight and morbidly obese groups. Higher use of medication among women than men was primarily because of drugs involving birth control, osteoporosis, thyroid disease and urinary tract infection. Higher medication use in older age was primarily related to medications used to treat gastrointestinal problems. Medication use was positively associated with BMI weight classifications for most of the 33 drug types considered, with exceptions involving birth control, herpes and osteoporosis. A J-shape relationship was observed between BMI and medication use for acne, antibiotic, cold/influenza/allergy, eye infection, oedema, muscle spasms, pain and ulcers.\nCONCLUSIONS: Medications associated with higher medical and pharmacy costs among women, older age and underweight or obese individuals are identified. Lowering medical and pharmacy costs requires weight management in older ages, particularly for underweight and obese. Higher pharmacy costs for certain drugs among underweight individuals may be associated with poorer nutrition.","container-title":"BMJ open","DOI":"10.1136/bmjopen-2018-024078","ISSN":"2044-6055","issue":"5","journalAbbreviation":"BMJ Open","language":"eng","note":"PMID: 31142517\nPMCID: PMC6549653","page":"e024078","source":"PubMed","title":"To what extent does sex, age and BMI impact medical and pharmacy costs? A retrospective cohort study involving employees in a large school district in the USA","title-short":"To what extent does sex, age and BMI impact medical and pharmacy costs?","volume":"9","author":[{"family":"Merrill","given":"Ray M."},{"family":"Fowers","given":"Rylan"}],"issued":{"date-parts":[["2019",5,28]]}}}],"schema":"https://github.com/citation-style-language/schema/raw/master/csl-citation.json"} </w:instrText>
      </w:r>
      <w:r w:rsidR="0080464B" w:rsidRPr="0036402F">
        <w:rPr>
          <w:rFonts w:ascii="Arial" w:hAnsi="Arial" w:cs="Arial"/>
          <w:sz w:val="24"/>
          <w:szCs w:val="24"/>
          <w:lang w:val="en-US"/>
        </w:rPr>
        <w:fldChar w:fldCharType="separate"/>
      </w:r>
      <w:r w:rsidR="009456CE" w:rsidRPr="0036402F">
        <w:rPr>
          <w:rFonts w:ascii="Arial" w:hAnsi="Arial" w:cs="Arial"/>
          <w:noProof/>
          <w:sz w:val="24"/>
          <w:szCs w:val="24"/>
          <w:lang w:val="en-US"/>
        </w:rPr>
        <w:t>[42]</w:t>
      </w:r>
      <w:r w:rsidR="0080464B" w:rsidRPr="0036402F">
        <w:rPr>
          <w:rFonts w:ascii="Arial" w:hAnsi="Arial" w:cs="Arial"/>
          <w:sz w:val="24"/>
          <w:szCs w:val="24"/>
          <w:lang w:val="en-US"/>
        </w:rPr>
        <w:fldChar w:fldCharType="end"/>
      </w:r>
      <w:r w:rsidR="00162AD5" w:rsidRPr="0036402F">
        <w:rPr>
          <w:rFonts w:ascii="Arial" w:hAnsi="Arial" w:cs="Arial"/>
          <w:sz w:val="24"/>
          <w:szCs w:val="24"/>
          <w:lang w:val="en-US"/>
        </w:rPr>
        <w:t>,</w:t>
      </w:r>
      <w:r w:rsidR="00083EF2" w:rsidRPr="0036402F">
        <w:rPr>
          <w:rFonts w:ascii="Arial" w:hAnsi="Arial" w:cs="Arial"/>
          <w:sz w:val="24"/>
          <w:szCs w:val="24"/>
          <w:lang w:val="en-US"/>
        </w:rPr>
        <w:t xml:space="preserve"> and financial difficulties </w:t>
      </w:r>
      <w:r w:rsidR="004003BD" w:rsidRPr="0036402F">
        <w:rPr>
          <w:rFonts w:ascii="Arial" w:hAnsi="Arial" w:cs="Arial"/>
          <w:sz w:val="24"/>
          <w:szCs w:val="24"/>
          <w:lang w:val="en-US"/>
        </w:rPr>
        <w:t xml:space="preserve">are </w:t>
      </w:r>
      <w:r w:rsidR="00A8049C" w:rsidRPr="0036402F">
        <w:rPr>
          <w:rFonts w:ascii="Arial" w:hAnsi="Arial" w:cs="Arial"/>
          <w:sz w:val="24"/>
          <w:szCs w:val="24"/>
          <w:lang w:val="en-US"/>
        </w:rPr>
        <w:t xml:space="preserve">associated </w:t>
      </w:r>
      <w:r w:rsidR="005E29E7" w:rsidRPr="0036402F">
        <w:rPr>
          <w:rFonts w:ascii="Arial" w:hAnsi="Arial" w:cs="Arial"/>
          <w:sz w:val="24"/>
          <w:szCs w:val="24"/>
          <w:lang w:val="en-US"/>
        </w:rPr>
        <w:t xml:space="preserve">with memory decline in </w:t>
      </w:r>
      <w:r w:rsidR="004003BD" w:rsidRPr="0036402F">
        <w:rPr>
          <w:rFonts w:ascii="Arial" w:hAnsi="Arial" w:cs="Arial"/>
          <w:sz w:val="24"/>
          <w:szCs w:val="24"/>
          <w:lang w:val="en-US"/>
        </w:rPr>
        <w:t xml:space="preserve">the </w:t>
      </w:r>
      <w:r w:rsidR="005E29E7" w:rsidRPr="0036402F">
        <w:rPr>
          <w:rFonts w:ascii="Arial" w:hAnsi="Arial" w:cs="Arial"/>
          <w:sz w:val="24"/>
          <w:szCs w:val="24"/>
          <w:lang w:val="en-US"/>
        </w:rPr>
        <w:t>male elderly</w:t>
      </w:r>
      <w:r w:rsidR="004003BD" w:rsidRPr="0036402F">
        <w:rPr>
          <w:rFonts w:ascii="Arial" w:hAnsi="Arial" w:cs="Arial"/>
          <w:sz w:val="24"/>
          <w:szCs w:val="24"/>
          <w:lang w:val="en-US"/>
        </w:rPr>
        <w:t xml:space="preserve"> population</w:t>
      </w:r>
      <w:r w:rsidR="000E765F" w:rsidRPr="0036402F">
        <w:rPr>
          <w:rFonts w:ascii="Arial" w:hAnsi="Arial" w:cs="Arial"/>
          <w:sz w:val="24"/>
          <w:szCs w:val="24"/>
          <w:lang w:val="en-US"/>
        </w:rPr>
        <w:t xml:space="preserve"> </w:t>
      </w:r>
      <w:r w:rsidR="000E765F"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{"citationID":"VBxfv9zB","properties":{"formattedCitation":"[43]","plainCitation":"[43]","noteIndex":0},"citationItems":[{"id":23390,"uris":["http://zotero.org/users/local/hhPVnw6l/items/SPPD9W2T"],"itemData":{"id":23390,"type":"article-journal","abstract":"Sex differences in late-life memory decline may be explained by sex differences in dementia risk factors. Episodic memory and dementia risk factors were assessed in young, middle-aged and older adults over 12 years in a population-based sample (N = 7485). For men in midlife and old age, physical, cognitive and social activities were associated with less memory decline, and financial hardship was associated with more. APOE e4 and vascular risk factors were associated with memory decline for women in midlife. Depression, cognitive and physical activity were associated with memory change in older women. Incident midlife hypertension (β = - 0.48, 95% CI - 0.87, - 0.09, p = 0.02) was associated with greater memory decline in women and incident late-life stroke accounted for greater memory decline in men (β = - 0.56, 95% CI - 1.12, - 0.01), p = 0.05). Women have fewer modifiable risk factors than men. Stroke and hypertension explained sex differences in memory decline for men and women respectively.","container-title":"Scientific Reports","DOI":"10.1038/s41598-021-86397-7","ISSN":"2045-2322","issue":"1","journalAbbreviation":"Sci Rep","language":"eng","note":"PMID: 33833259\nPMCID: PMC8032756","page":"7710","source":"PubMed","title":"Association of sex differences in dementia risk factors with sex differences in memory decline in a population-based cohort spanning 20-76 years","volume":"11","author":[{"family":"Anstey","given":"Kaarin J."},{"family":"Peters","given":"Ruth"},{"family":"Mortby","given":"Moyra E."},{"family":"Kiely","given":"Kim M."},{"family":"Eramudugolla","given":"Ranmalee"},{"family":"Cherbuin","given":"Nicolas"},{"family":"Huque","given":"Md Hamidul"},{"family":"Dixon","given":"Roger A."}],"issued":{"date-parts":[["2021",4,8]]}}}],"schema":"https://github.com/citation-style-language/schema/raw/master/csl-citation.json"} </w:instrText>
      </w:r>
      <w:r w:rsidR="000E765F" w:rsidRPr="0036402F">
        <w:rPr>
          <w:rFonts w:ascii="Arial" w:hAnsi="Arial" w:cs="Arial"/>
          <w:sz w:val="24"/>
          <w:szCs w:val="24"/>
          <w:lang w:val="en-US"/>
        </w:rPr>
        <w:fldChar w:fldCharType="separate"/>
      </w:r>
      <w:r w:rsidR="009456CE" w:rsidRPr="0036402F">
        <w:rPr>
          <w:rFonts w:ascii="Arial" w:hAnsi="Arial" w:cs="Arial"/>
          <w:noProof/>
          <w:sz w:val="24"/>
          <w:szCs w:val="24"/>
          <w:lang w:val="en-US"/>
        </w:rPr>
        <w:t>[43]</w:t>
      </w:r>
      <w:r w:rsidR="000E765F" w:rsidRPr="0036402F">
        <w:rPr>
          <w:rFonts w:ascii="Arial" w:hAnsi="Arial" w:cs="Arial"/>
          <w:sz w:val="24"/>
          <w:szCs w:val="24"/>
          <w:lang w:val="en-US"/>
        </w:rPr>
        <w:fldChar w:fldCharType="end"/>
      </w:r>
      <w:r w:rsidR="005E29E7" w:rsidRPr="0036402F">
        <w:rPr>
          <w:rFonts w:ascii="Arial" w:hAnsi="Arial" w:cs="Arial"/>
          <w:sz w:val="24"/>
          <w:szCs w:val="24"/>
          <w:lang w:val="en-US"/>
        </w:rPr>
        <w:t>.</w:t>
      </w:r>
      <w:r w:rsidR="00E62D64" w:rsidRPr="0036402F">
        <w:rPr>
          <w:rFonts w:ascii="Arial" w:hAnsi="Arial" w:cs="Arial"/>
          <w:sz w:val="24"/>
          <w:szCs w:val="24"/>
          <w:lang w:val="en-US"/>
        </w:rPr>
        <w:t xml:space="preserve"> Finally, the differential association between BMI and the incidence of dementia in men and women may involve social factors </w:t>
      </w:r>
      <w:r w:rsidR="00E62D64"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{"citationID":"kcvpp649","properties":{"formattedCitation":"[44]","plainCitation":"[44]","noteIndex":0},"citationItems":[{"id":23399,"uris":["http://zotero.org/users/local/hhPVnw6l/items/MBLHU3FL"],"itemData":{"id":23399,"type":"article-journal","abstract":"The majority of people living with Alzheimer disease (AD) and related dementias are women. Longer life expectancy is one factor thought to contribute to this observation, but possible sex-specific biological mechanisms have received considerable attention from the research community. In the current issue of the Journal, Buckley et al. (Am J Epidemiol. 2019;188(7):1213-1223) use death certificate information on all deaths occurring among adults aged ≥60 years in Australia between 2006 and 2014 to evaluate sex/gender differences in rates of death with dementia (all types), AD dementia, and vascular dementia listed on the death certificate. The paper by Buckley et al. highlights several important methodological challenges for research examining sex/gender differences in risk of AD and related dementias, including challenges in measurement, survival bias and competing risks, and selection bias arising from sample selection. The current evidence on possible sex-specific biological risk factors for AD is intriguing, but there are numerous alternative explanations for differences in AD dementia and AD biomarkers between women and men. Triangulation of evidence from study designs with different strengths and weaknesses and transdisciplinary collaboration will be vital to generating conclusive evidence about sex/gender differences in risk of AD and related dementias.","container-title":"American Journal of Epidemiology","DOI":"10.1093/aje/kwz047","ISSN":"1476-6256","issue":"7","journalAbbreviation":"Am J Epidemiol","language":"eng","note":"PMID: 30824902\nPMCID: PMC6601521","page":"1224-1227","source":"PubMed","title":"Invited Commentary: Examining Sex/Gender Differences in Risk of Alzheimer Disease and Related Dementias-Challenges and Future Directions","title-short":"Invited Commentary","volume":"188","author":[{"family":"Mayeda","given":"Elizabeth Rose"}],"issued":{"date-parts":[["2019",7,1]]}}}],"schema":"https://github.com/citation-style-language/schema/raw/master/csl-citation.json"} </w:instrText>
      </w:r>
      <w:r w:rsidR="00E62D64" w:rsidRPr="0036402F">
        <w:rPr>
          <w:rFonts w:ascii="Arial" w:hAnsi="Arial" w:cs="Arial"/>
          <w:sz w:val="24"/>
          <w:szCs w:val="24"/>
          <w:lang w:val="en-US"/>
        </w:rPr>
        <w:fldChar w:fldCharType="separate"/>
      </w:r>
      <w:r w:rsidR="009456CE" w:rsidRPr="0036402F">
        <w:rPr>
          <w:rFonts w:ascii="Arial" w:hAnsi="Arial" w:cs="Arial"/>
          <w:noProof/>
          <w:sz w:val="24"/>
          <w:szCs w:val="24"/>
          <w:lang w:val="en-US"/>
        </w:rPr>
        <w:t>[44]</w:t>
      </w:r>
      <w:r w:rsidR="00E62D64" w:rsidRPr="0036402F">
        <w:rPr>
          <w:rFonts w:ascii="Arial" w:hAnsi="Arial" w:cs="Arial"/>
          <w:sz w:val="24"/>
          <w:szCs w:val="24"/>
          <w:lang w:val="en-US"/>
        </w:rPr>
        <w:fldChar w:fldCharType="end"/>
      </w:r>
      <w:r w:rsidR="00E62D64" w:rsidRPr="0036402F">
        <w:rPr>
          <w:rFonts w:ascii="Arial" w:hAnsi="Arial" w:cs="Arial"/>
          <w:sz w:val="24"/>
          <w:szCs w:val="24"/>
          <w:lang w:val="en-US"/>
        </w:rPr>
        <w:t xml:space="preserve">. </w:t>
      </w:r>
      <w:r w:rsidR="00536A22" w:rsidRPr="0036402F">
        <w:rPr>
          <w:rFonts w:ascii="Arial" w:hAnsi="Arial" w:cs="Arial"/>
          <w:sz w:val="24"/>
          <w:szCs w:val="24"/>
          <w:lang w:val="en-US"/>
        </w:rPr>
        <w:t xml:space="preserve">As a matter of fact, there is some literature suggesting that marital status may impact BMI </w:t>
      </w:r>
      <w:r w:rsidR="00536A22"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{"citationID":"AS6BTKop","properties":{"formattedCitation":"[45]","plainCitation":"[45]","noteIndex":0},"citationItems":[{"id":23402,"uris":["http://zotero.org/users/local/hhPVnw6l/items/54L26459"],"itemData":{"id":23402,"type":"article-journal","abstract":"BACKGROUND: Obesity continues to be an important public health problem worldwide. The objective of this study was to determine the association of body mass index and abdominal obesity with current marital status among the adult population of Iran.\nMETHODS: A nation-wide cross-sectional survey was conducted from December 2004 through February 2005.The subjects were selected by stratified probability cluster sampling through household family members in Iran. Weight, height, waist circumference, and marital status of 89,404 men and women aged 15 - 65 (mean: 39.2) years were recorded. Four classes of body mass index, i.e., &lt;18.5, 18.5 - 24.9, 25 - 29.9, and &gt; or =30 kg/cm2, and three marital status, i.e., currently-, formerly-, and never-married were used. Abdominal obesity was defined as waist circumference &gt; or =102 cm in men and &gt; or =88 cm in women.\nRESULTS: The prevalence of overweight was twofold higher in married men (OR: 2.24; 95% CI: 2.08 - 2.41) and women (OR: 2.36; 95% CI: 2.20 - 2.53) than never-married men and women, even when age, educational level, leisure time physical activity, smoking habits, and place of residence were controlled. The multivariate OR of obesity was increased about threefold in married men (2.82; 95% CI: 2.51 - 3.18) and women (3.64; 95% CI: 3.31 - 3.99). The prevalence of abdominal obesity was twofold higher among married men (2.02; 95% CI: 1.79 - 2.29) and about threefold higher among married women (2.87; 95% CI: 2.69 - 3.06).\nCONCLUSION: The marital status appears to influence the likelihood of developing overweight, obesity, and abdominal obesity in both men and women in Iran.","container-title":"Archives of Iranian Medicine","DOI":"08113/AIM.008","ISSN":"1029-2977","issue":"3","journalAbbreviation":"Arch Iran Med","language":"eng","note":"PMID: 18426318","page":"274-281","source":"PubMed","title":"Association of body mass index and abdominal obesity with marital status in adults","volume":"11","author":[{"family":"Janghorbani","given":"Mohsen"},{"family":"Amini","given":"Masoud"},{"family":"Rezvanian","given":"Hasan"},{"family":"Gouya","given":"Mohammad-Mehdi"},{"family":"Delavari","given":"Alireza"},{"family":"Alikhani","given":"Siamak"},{"family":"Mahdavi","given":"Alireza"}],"issued":{"date-parts":[["2008",5]]}}}],"schema":"https://github.com/citation-style-language/schema/raw/master/csl-citation.json"} </w:instrText>
      </w:r>
      <w:r w:rsidR="00536A22" w:rsidRPr="0036402F">
        <w:rPr>
          <w:rFonts w:ascii="Arial" w:hAnsi="Arial" w:cs="Arial"/>
          <w:sz w:val="24"/>
          <w:szCs w:val="24"/>
          <w:lang w:val="en-US"/>
        </w:rPr>
        <w:fldChar w:fldCharType="separate"/>
      </w:r>
      <w:r w:rsidR="009456CE" w:rsidRPr="0036402F">
        <w:rPr>
          <w:rFonts w:ascii="Arial" w:hAnsi="Arial" w:cs="Arial"/>
          <w:noProof/>
          <w:sz w:val="24"/>
          <w:szCs w:val="24"/>
          <w:lang w:val="en-US"/>
        </w:rPr>
        <w:t>[45]</w:t>
      </w:r>
      <w:r w:rsidR="00536A22" w:rsidRPr="0036402F">
        <w:rPr>
          <w:rFonts w:ascii="Arial" w:hAnsi="Arial" w:cs="Arial"/>
          <w:sz w:val="24"/>
          <w:szCs w:val="24"/>
          <w:lang w:val="en-US"/>
        </w:rPr>
        <w:fldChar w:fldCharType="end"/>
      </w:r>
      <w:r w:rsidR="00536A22" w:rsidRPr="0036402F">
        <w:rPr>
          <w:rFonts w:ascii="Arial" w:hAnsi="Arial" w:cs="Arial"/>
          <w:sz w:val="24"/>
          <w:szCs w:val="24"/>
          <w:lang w:val="en-US"/>
        </w:rPr>
        <w:t>,</w:t>
      </w:r>
      <w:r w:rsidR="00443B02" w:rsidRPr="0036402F">
        <w:rPr>
          <w:rFonts w:ascii="Arial" w:hAnsi="Arial" w:cs="Arial"/>
          <w:sz w:val="24"/>
          <w:szCs w:val="24"/>
          <w:lang w:val="en-US"/>
        </w:rPr>
        <w:t xml:space="preserve"> while data suggest that </w:t>
      </w:r>
      <w:r w:rsidR="00927834" w:rsidRPr="0036402F">
        <w:rPr>
          <w:rFonts w:ascii="Arial" w:hAnsi="Arial" w:cs="Arial"/>
          <w:sz w:val="24"/>
          <w:szCs w:val="24"/>
          <w:lang w:val="en-US"/>
        </w:rPr>
        <w:t xml:space="preserve">being not married is a risk factor for incident dementia in men but not in women </w:t>
      </w:r>
      <w:r w:rsidR="00927834"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{"citationID":"ACzfi8yz","properties":{"formattedCitation":"[46]","plainCitation":"[46]","noteIndex":0},"citationItems":[{"id":23404,"uris":["http://zotero.org/users/local/hhPVnw6l/items/Q97WQ9IJ"],"itemData":{"id":23404,"type":"article-journal","abstract":"BACKGROUND: The modifying effect of sex on the relation between marital status and dementia has yet to be determined.\nOBJECTIVE: To examine if sex modifies the association between marital status and incident dementia.\nMETHODS: Population-based samples from the Mayo Clinic Study of Aging (MCSA, N = 3,471) and the Gothenburg H70 Birth Cohort Study (H70-study, N = 913) were used. A multiplicative interaction term was used to analyze the modifying effect of sex on the relation between marital status (married versus not married) and incident dementia using Cox regression models. Further, risk of dementia by marital status was also evaluated in models separated by sex.\nRESULTS: In the MCSA, there was an interaction between marital status and sex in relation to dementia (p = 0.015). In contrast, in the H70-study, no significant interaction was observed (p = 0.28). Nevertheless, in both studies, not married men had increased risk of dementia compared to married men in models adjusted for age, education, and number of children (H70-study: 1.99; 1.06-3.76, MCSA: 1.43; 1.08-1.89). Associations remained similar after additional adjustment for depression, BMI, hypertension, dyslipidemia, and diabetes mellitus (H70-study: 2.00; 1.05-3.82, MCSA: 1.32; 0.99-1.76). Further, no significant association was observed between marital status and dementia in women (H70-study: 1.24; 0.82-1.89, MCSA: 0.82; 0.64-1.04).\nCONCLUSION: Sex had a modifying effect on the association between marital status and incident dementia. In analyses separated by sex, not married men had an increased risk of dementia compared to married men, while no significant association was observed between marital status and risk of dementia in women.","container-title":"Journal of Alzheimer's disease: JAD","DOI":"10.3233/JAD-210246","ISSN":"1875-8908","issue":"3","journalAbbreviation":"J Alzheimers Dis","language":"eng","note":"PMID: 34420952\nPMCID: PMC8490335","page":"1269-1279","source":"PubMed","title":"Sex Difference in the Relation Between Marital Status and Dementia Risk in Two Population-Based Cohorts","volume":"83","author":[{"family":"Najar","given":"Jenna"},{"family":"Aakre","given":"Jeremiah A."},{"family":"Vassilaki","given":"Maria"},{"family":"Wetterberg","given":"Hanna"},{"family":"Rydén","given":"Lina"},{"family":"Zettergren","given":"Anna"},{"family":"Skoog","given":"Ingmar"},{"family":"Jack","given":"Clifford R."},{"family":"Knopman","given":"David S."},{"family":"Petersen","given":"Ronald C."},{"family":"Kern","given":"Silke"},{"family":"Mielke","given":"Michelle M."}],"issued":{"date-parts":[["2021"]]}}}],"schema":"https://github.com/citation-style-language/schema/raw/master/csl-citation.json"} </w:instrText>
      </w:r>
      <w:r w:rsidR="00927834" w:rsidRPr="0036402F">
        <w:rPr>
          <w:rFonts w:ascii="Arial" w:hAnsi="Arial" w:cs="Arial"/>
          <w:sz w:val="24"/>
          <w:szCs w:val="24"/>
          <w:lang w:val="en-US"/>
        </w:rPr>
        <w:fldChar w:fldCharType="separate"/>
      </w:r>
      <w:r w:rsidR="009456CE" w:rsidRPr="0036402F">
        <w:rPr>
          <w:rFonts w:ascii="Arial" w:hAnsi="Arial" w:cs="Arial"/>
          <w:noProof/>
          <w:sz w:val="24"/>
          <w:szCs w:val="24"/>
          <w:lang w:val="en-US"/>
        </w:rPr>
        <w:t>[46]</w:t>
      </w:r>
      <w:r w:rsidR="00927834" w:rsidRPr="0036402F">
        <w:rPr>
          <w:rFonts w:ascii="Arial" w:hAnsi="Arial" w:cs="Arial"/>
          <w:sz w:val="24"/>
          <w:szCs w:val="24"/>
          <w:lang w:val="en-US"/>
        </w:rPr>
        <w:fldChar w:fldCharType="end"/>
      </w:r>
      <w:r w:rsidR="00443B02" w:rsidRPr="0036402F">
        <w:rPr>
          <w:rFonts w:ascii="Arial" w:hAnsi="Arial" w:cs="Arial"/>
          <w:sz w:val="24"/>
          <w:szCs w:val="24"/>
          <w:lang w:val="en-US"/>
        </w:rPr>
        <w:t>.</w:t>
      </w:r>
    </w:p>
    <w:p w14:paraId="6B207CFF" w14:textId="77777777" w:rsidR="000B23A1" w:rsidRPr="0036402F" w:rsidRDefault="000B23A1" w:rsidP="003C41AC">
      <w:pPr>
        <w:spacing w:line="480" w:lineRule="auto"/>
        <w:jc w:val="both"/>
        <w:rPr>
          <w:rFonts w:ascii="Arial" w:hAnsi="Arial" w:cs="Arial"/>
          <w:sz w:val="24"/>
          <w:szCs w:val="24"/>
          <w:lang w:val="en-US"/>
        </w:rPr>
      </w:pPr>
    </w:p>
    <w:p w14:paraId="27B13DA2" w14:textId="06EBC6B2" w:rsidR="00B63D72" w:rsidRPr="0036402F" w:rsidRDefault="00B63D72" w:rsidP="00346A37">
      <w:pPr>
        <w:pStyle w:val="Heading2"/>
      </w:pPr>
      <w:r w:rsidRPr="0036402F">
        <w:t>Clinical implications and directions for future research</w:t>
      </w:r>
    </w:p>
    <w:p w14:paraId="1E325F13" w14:textId="55A59856" w:rsidR="00B63D72" w:rsidRPr="0036402F" w:rsidRDefault="00B63D72" w:rsidP="003C41AC">
      <w:pPr>
        <w:spacing w:line="480" w:lineRule="auto"/>
        <w:jc w:val="both"/>
        <w:rPr>
          <w:rFonts w:ascii="Arial" w:hAnsi="Arial" w:cs="Arial"/>
          <w:sz w:val="24"/>
          <w:szCs w:val="24"/>
          <w:lang w:val="en-US"/>
        </w:rPr>
      </w:pPr>
      <w:r w:rsidRPr="0036402F">
        <w:rPr>
          <w:rFonts w:ascii="Arial" w:hAnsi="Arial" w:cs="Arial"/>
          <w:sz w:val="24"/>
          <w:szCs w:val="24"/>
          <w:lang w:val="en-US"/>
        </w:rPr>
        <w:t>Based on the results of this study</w:t>
      </w:r>
      <w:r w:rsidR="005D7C28" w:rsidRPr="0036402F">
        <w:rPr>
          <w:rFonts w:ascii="Arial" w:hAnsi="Arial" w:cs="Arial"/>
          <w:sz w:val="24"/>
          <w:szCs w:val="24"/>
          <w:lang w:val="en-US"/>
        </w:rPr>
        <w:t xml:space="preserve">, there are </w:t>
      </w:r>
      <w:r w:rsidR="00A76876" w:rsidRPr="0036402F">
        <w:rPr>
          <w:rFonts w:ascii="Arial" w:hAnsi="Arial" w:cs="Arial"/>
          <w:sz w:val="24"/>
          <w:szCs w:val="24"/>
          <w:lang w:val="en-US"/>
        </w:rPr>
        <w:t>substantial</w:t>
      </w:r>
      <w:r w:rsidR="005D7C28" w:rsidRPr="0036402F">
        <w:rPr>
          <w:rFonts w:ascii="Arial" w:hAnsi="Arial" w:cs="Arial"/>
          <w:sz w:val="24"/>
          <w:szCs w:val="24"/>
          <w:lang w:val="en-US"/>
        </w:rPr>
        <w:t xml:space="preserve"> sex differences in the association between BMI and dementia. It appears that </w:t>
      </w:r>
      <w:r w:rsidR="00B5496F" w:rsidRPr="0036402F">
        <w:rPr>
          <w:rFonts w:ascii="Arial" w:hAnsi="Arial" w:cs="Arial"/>
          <w:sz w:val="24"/>
          <w:szCs w:val="24"/>
          <w:lang w:val="en-US"/>
        </w:rPr>
        <w:t xml:space="preserve">there is a strong and positive relationship between underweight and dementia in older men. In this context, </w:t>
      </w:r>
      <w:r w:rsidR="00F00173" w:rsidRPr="0036402F">
        <w:rPr>
          <w:rFonts w:ascii="Arial" w:hAnsi="Arial" w:cs="Arial"/>
          <w:sz w:val="24"/>
          <w:szCs w:val="24"/>
          <w:lang w:val="en-US"/>
        </w:rPr>
        <w:t>cognitive impairments should be regularly assessed in older male patients with BMI&lt;18.5 kg/m</w:t>
      </w:r>
      <w:r w:rsidR="00F00173" w:rsidRPr="0036402F">
        <w:rPr>
          <w:rFonts w:ascii="Arial" w:hAnsi="Arial" w:cs="Arial"/>
          <w:sz w:val="24"/>
          <w:szCs w:val="24"/>
          <w:vertAlign w:val="superscript"/>
          <w:lang w:val="en-US"/>
        </w:rPr>
        <w:t>2</w:t>
      </w:r>
      <w:r w:rsidR="00F00173" w:rsidRPr="0036402F">
        <w:rPr>
          <w:rFonts w:ascii="Arial" w:hAnsi="Arial" w:cs="Arial"/>
          <w:sz w:val="24"/>
          <w:szCs w:val="24"/>
          <w:lang w:val="en-US"/>
        </w:rPr>
        <w:t>.</w:t>
      </w:r>
      <w:r w:rsidR="00854050" w:rsidRPr="0036402F">
        <w:rPr>
          <w:rFonts w:ascii="Arial" w:hAnsi="Arial" w:cs="Arial"/>
          <w:sz w:val="24"/>
          <w:szCs w:val="24"/>
          <w:lang w:val="en-US"/>
        </w:rPr>
        <w:t xml:space="preserve"> </w:t>
      </w:r>
      <w:r w:rsidR="00AE3080" w:rsidRPr="0036402F">
        <w:rPr>
          <w:rFonts w:ascii="Arial" w:hAnsi="Arial" w:cs="Arial"/>
          <w:sz w:val="24"/>
          <w:szCs w:val="24"/>
          <w:lang w:val="en-US"/>
        </w:rPr>
        <w:t xml:space="preserve"> Furthermore, interventions aiming at weight gain should be implemented in this population, and these interventions may include nutritional supplements, high-energy snacks and community support services </w:t>
      </w:r>
      <w:r w:rsidR="00AE3080"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{"citationID":"WTcwvNX4","properties":{"formattedCitation":"[47]","plainCitation":"[47]","noteIndex":0},"citationItems":[{"id":22942,"uris":["http://zotero.org/users/local/hhPVnw6l/items/PHIQ7KR8"],"itemData":{"id":22942,"type":"article-journal","abstract":"Unintentional weight loss, or the involuntary decline in total body weight over time, is common among elderly people who live at home. Weight loss in elderly people can have a deleterious effect on the ability to function and on quality of life and is associated with an increase in mortality over a 12-month period. A variety of physical, psychological and social conditions, along with age-related changes, can lead to weight loss, but there may be no identifiable cause in up to one-quarter of patients. We review the incidence and prevalence of weight loss in elderly patients, its impact on morbidity and mortality, the common causes of unintentional weight loss and a clinical approach to diagnosis. Screening tools to detect malnutrition are highlighted, and nonpharmacologic and pharmacologic strategies to minimize or reverse weight loss in older adults are discussed.","container-title":"CMAJ: Canadian Medical Association journal = journal de l'Association medicale canadienne","DOI":"10.1503/cmaj.1031527","ISSN":"1488-2329","issue":"6","journalAbbreviation":"CMAJ","language":"eng","note":"PMID: 15767612\nPMCID: PMC552892","page":"773-780","source":"PubMed","title":"An approach to the management of unintentional weight loss in elderly people","volume":"172","author":[{"family":"Alibhai","given":"Shabbir M. H."},{"family":"Greenwood","given":"Carol"},{"family":"Payette","given":"Hélène"}],"issued":{"date-parts":[["2005",3,15]]}}}],"schema":"https://github.com/citation-style-language/schema/raw/master/csl-citation.json"} </w:instrText>
      </w:r>
      <w:r w:rsidR="00AE3080" w:rsidRPr="0036402F">
        <w:rPr>
          <w:rFonts w:ascii="Arial" w:hAnsi="Arial" w:cs="Arial"/>
          <w:sz w:val="24"/>
          <w:szCs w:val="24"/>
          <w:lang w:val="en-US"/>
        </w:rPr>
        <w:fldChar w:fldCharType="separate"/>
      </w:r>
      <w:r w:rsidR="009456CE" w:rsidRPr="0036402F">
        <w:rPr>
          <w:rFonts w:ascii="Arial" w:hAnsi="Arial" w:cs="Arial"/>
          <w:noProof/>
          <w:sz w:val="24"/>
          <w:szCs w:val="24"/>
          <w:lang w:val="en-US"/>
        </w:rPr>
        <w:t>[47]</w:t>
      </w:r>
      <w:r w:rsidR="00AE3080" w:rsidRPr="0036402F">
        <w:rPr>
          <w:rFonts w:ascii="Arial" w:hAnsi="Arial" w:cs="Arial"/>
          <w:sz w:val="24"/>
          <w:szCs w:val="24"/>
          <w:lang w:val="en-US"/>
        </w:rPr>
        <w:fldChar w:fldCharType="end"/>
      </w:r>
      <w:r w:rsidR="00AE3080" w:rsidRPr="0036402F">
        <w:rPr>
          <w:rFonts w:ascii="Arial" w:hAnsi="Arial" w:cs="Arial"/>
          <w:sz w:val="24"/>
          <w:szCs w:val="24"/>
          <w:lang w:val="en-US"/>
        </w:rPr>
        <w:t xml:space="preserve">. </w:t>
      </w:r>
      <w:r w:rsidR="00D442E9" w:rsidRPr="0036402F">
        <w:rPr>
          <w:rFonts w:ascii="Arial" w:hAnsi="Arial" w:cs="Arial"/>
          <w:sz w:val="24"/>
          <w:szCs w:val="24"/>
          <w:lang w:val="en-US"/>
        </w:rPr>
        <w:t xml:space="preserve">On the other hand, </w:t>
      </w:r>
      <w:r w:rsidR="002A694C" w:rsidRPr="0036402F">
        <w:rPr>
          <w:rFonts w:ascii="Arial" w:hAnsi="Arial" w:cs="Arial"/>
          <w:sz w:val="24"/>
          <w:szCs w:val="24"/>
          <w:lang w:val="en-US"/>
        </w:rPr>
        <w:t xml:space="preserve">overweight may protect against </w:t>
      </w:r>
      <w:r w:rsidR="00AE3080" w:rsidRPr="0036402F">
        <w:rPr>
          <w:rFonts w:ascii="Arial" w:hAnsi="Arial" w:cs="Arial"/>
          <w:sz w:val="24"/>
          <w:szCs w:val="24"/>
          <w:lang w:val="en-US"/>
        </w:rPr>
        <w:t>dementia</w:t>
      </w:r>
      <w:r w:rsidR="00D442E9" w:rsidRPr="0036402F">
        <w:rPr>
          <w:rFonts w:ascii="Arial" w:hAnsi="Arial" w:cs="Arial"/>
          <w:sz w:val="24"/>
          <w:szCs w:val="24"/>
          <w:lang w:val="en-US"/>
        </w:rPr>
        <w:t xml:space="preserve"> in older women</w:t>
      </w:r>
      <w:r w:rsidR="00C72124" w:rsidRPr="0036402F">
        <w:rPr>
          <w:rFonts w:ascii="Arial" w:hAnsi="Arial" w:cs="Arial"/>
          <w:sz w:val="24"/>
          <w:szCs w:val="24"/>
          <w:lang w:val="en-US"/>
        </w:rPr>
        <w:t xml:space="preserve">, suggesting that a moderate weight excess </w:t>
      </w:r>
      <w:r w:rsidR="00C72124" w:rsidRPr="0036402F">
        <w:rPr>
          <w:rFonts w:ascii="Arial" w:hAnsi="Arial" w:cs="Arial"/>
          <w:sz w:val="24"/>
          <w:szCs w:val="24"/>
          <w:lang w:val="en-US"/>
        </w:rPr>
        <w:lastRenderedPageBreak/>
        <w:t>in late life may be acceptable from a cognitive perspective.</w:t>
      </w:r>
      <w:r w:rsidR="00C54A2C" w:rsidRPr="0036402F">
        <w:rPr>
          <w:rFonts w:ascii="Arial" w:hAnsi="Arial" w:cs="Arial"/>
          <w:sz w:val="24"/>
          <w:szCs w:val="24"/>
          <w:lang w:val="en-US"/>
        </w:rPr>
        <w:t xml:space="preserve"> In terms of future research, </w:t>
      </w:r>
      <w:r w:rsidR="00BB2DA7" w:rsidRPr="0036402F">
        <w:rPr>
          <w:rFonts w:ascii="Arial" w:hAnsi="Arial" w:cs="Arial"/>
          <w:sz w:val="24"/>
          <w:szCs w:val="24"/>
          <w:lang w:val="en-US"/>
        </w:rPr>
        <w:t xml:space="preserve">more </w:t>
      </w:r>
      <w:r w:rsidR="001A024A" w:rsidRPr="0036402F">
        <w:rPr>
          <w:rFonts w:ascii="Arial" w:hAnsi="Arial" w:cs="Arial"/>
          <w:sz w:val="24"/>
          <w:szCs w:val="24"/>
          <w:lang w:val="en-US"/>
        </w:rPr>
        <w:t xml:space="preserve">studies are needed to corroborate or invalidate these findings in other countries and settings. </w:t>
      </w:r>
      <w:r w:rsidR="0023152B" w:rsidRPr="0036402F">
        <w:rPr>
          <w:rFonts w:ascii="Arial" w:hAnsi="Arial" w:cs="Arial"/>
          <w:sz w:val="24"/>
          <w:szCs w:val="24"/>
          <w:lang w:val="en-US"/>
        </w:rPr>
        <w:t>Moreover</w:t>
      </w:r>
      <w:r w:rsidR="001A024A" w:rsidRPr="0036402F">
        <w:rPr>
          <w:rFonts w:ascii="Arial" w:hAnsi="Arial" w:cs="Arial"/>
          <w:sz w:val="24"/>
          <w:szCs w:val="24"/>
          <w:lang w:val="en-US"/>
        </w:rPr>
        <w:t xml:space="preserve">, </w:t>
      </w:r>
      <w:r w:rsidR="00BB2DA7" w:rsidRPr="0036402F">
        <w:rPr>
          <w:rFonts w:ascii="Arial" w:hAnsi="Arial" w:cs="Arial"/>
          <w:sz w:val="24"/>
          <w:szCs w:val="24"/>
          <w:lang w:val="en-US"/>
        </w:rPr>
        <w:t>further</w:t>
      </w:r>
      <w:r w:rsidR="00C54A2C" w:rsidRPr="0036402F">
        <w:rPr>
          <w:rFonts w:ascii="Arial" w:hAnsi="Arial" w:cs="Arial"/>
          <w:sz w:val="24"/>
          <w:szCs w:val="24"/>
          <w:lang w:val="en-US"/>
        </w:rPr>
        <w:t xml:space="preserve"> data are warranted to </w:t>
      </w:r>
      <w:r w:rsidR="003D4AFB" w:rsidRPr="0036402F">
        <w:rPr>
          <w:rFonts w:ascii="Arial" w:hAnsi="Arial" w:cs="Arial"/>
          <w:sz w:val="24"/>
          <w:szCs w:val="24"/>
          <w:lang w:val="en-US"/>
        </w:rPr>
        <w:t xml:space="preserve">understand </w:t>
      </w:r>
      <w:r w:rsidR="00C54A2C" w:rsidRPr="0036402F">
        <w:rPr>
          <w:rFonts w:ascii="Arial" w:hAnsi="Arial" w:cs="Arial"/>
          <w:sz w:val="24"/>
          <w:szCs w:val="24"/>
          <w:lang w:val="en-US"/>
        </w:rPr>
        <w:t xml:space="preserve">better the underlying reasons for these sex differences in </w:t>
      </w:r>
      <w:r w:rsidR="0023152B" w:rsidRPr="0036402F">
        <w:rPr>
          <w:rFonts w:ascii="Arial" w:hAnsi="Arial" w:cs="Arial"/>
          <w:sz w:val="24"/>
          <w:szCs w:val="24"/>
          <w:lang w:val="en-US"/>
        </w:rPr>
        <w:t xml:space="preserve">associations </w:t>
      </w:r>
      <w:r w:rsidR="001A024A" w:rsidRPr="0036402F">
        <w:rPr>
          <w:rFonts w:ascii="Arial" w:hAnsi="Arial" w:cs="Arial"/>
          <w:sz w:val="24"/>
          <w:szCs w:val="24"/>
          <w:lang w:val="en-US"/>
        </w:rPr>
        <w:t xml:space="preserve">between BMI in late life and dementia, and to </w:t>
      </w:r>
      <w:r w:rsidR="003D4AFB" w:rsidRPr="0036402F">
        <w:rPr>
          <w:rFonts w:ascii="Arial" w:hAnsi="Arial" w:cs="Arial"/>
          <w:sz w:val="24"/>
          <w:szCs w:val="24"/>
          <w:lang w:val="en-US"/>
        </w:rPr>
        <w:t xml:space="preserve">characterize </w:t>
      </w:r>
      <w:r w:rsidR="001A024A" w:rsidRPr="0036402F">
        <w:rPr>
          <w:rFonts w:ascii="Arial" w:hAnsi="Arial" w:cs="Arial"/>
          <w:sz w:val="24"/>
          <w:szCs w:val="24"/>
          <w:lang w:val="en-US"/>
        </w:rPr>
        <w:t xml:space="preserve">better the exact role played by female hormones.  </w:t>
      </w:r>
    </w:p>
    <w:p w14:paraId="73869C03" w14:textId="0E1C0452" w:rsidR="004E2D0D" w:rsidRPr="0036402F" w:rsidRDefault="004E2D0D" w:rsidP="003C41AC">
      <w:pPr>
        <w:spacing w:line="480" w:lineRule="auto"/>
        <w:jc w:val="both"/>
        <w:rPr>
          <w:rFonts w:ascii="Arial" w:hAnsi="Arial" w:cs="Arial"/>
          <w:sz w:val="24"/>
          <w:szCs w:val="24"/>
          <w:lang w:val="en-US"/>
        </w:rPr>
      </w:pPr>
    </w:p>
    <w:p w14:paraId="63DE808C" w14:textId="0BFFD7DE" w:rsidR="004E2D0D" w:rsidRPr="0036402F" w:rsidRDefault="004E2D0D" w:rsidP="00346A37">
      <w:pPr>
        <w:pStyle w:val="Heading2"/>
      </w:pPr>
      <w:r w:rsidRPr="0036402F">
        <w:t>Strengths and limitations</w:t>
      </w:r>
    </w:p>
    <w:p w14:paraId="27CE4351" w14:textId="26E0BCC3" w:rsidR="00A3571D" w:rsidRPr="0036402F" w:rsidRDefault="004E2D0D" w:rsidP="003C41AC">
      <w:pPr>
        <w:spacing w:line="480" w:lineRule="auto"/>
        <w:jc w:val="both"/>
        <w:rPr>
          <w:rFonts w:ascii="Arial" w:hAnsi="Arial" w:cs="Arial"/>
          <w:sz w:val="24"/>
          <w:szCs w:val="24"/>
          <w:lang w:val="en-US"/>
        </w:rPr>
      </w:pPr>
      <w:r w:rsidRPr="0036402F">
        <w:rPr>
          <w:rFonts w:ascii="Arial" w:hAnsi="Arial" w:cs="Arial"/>
          <w:sz w:val="24"/>
          <w:szCs w:val="24"/>
          <w:lang w:val="en-US"/>
        </w:rPr>
        <w:t>The two major strengths of this study are the large sample size and the use of longitudinal data obtained in general practices.</w:t>
      </w:r>
      <w:r w:rsidR="00713AEB" w:rsidRPr="0036402F">
        <w:rPr>
          <w:rFonts w:ascii="Arial" w:hAnsi="Arial" w:cs="Arial"/>
          <w:sz w:val="24"/>
          <w:szCs w:val="24"/>
          <w:lang w:val="en-US"/>
        </w:rPr>
        <w:t xml:space="preserve"> However, the results of the study should be interpreted in the light of several limitations. </w:t>
      </w:r>
      <w:r w:rsidR="00A829AD" w:rsidRPr="0036402F">
        <w:rPr>
          <w:rFonts w:ascii="Arial" w:hAnsi="Arial" w:cs="Arial"/>
          <w:sz w:val="24"/>
          <w:szCs w:val="24"/>
          <w:lang w:val="en-US"/>
        </w:rPr>
        <w:t xml:space="preserve">First, data on BMI were unavailable for the majority of patients followed </w:t>
      </w:r>
      <w:r w:rsidR="00A37286" w:rsidRPr="0036402F">
        <w:rPr>
          <w:rFonts w:ascii="Arial" w:hAnsi="Arial" w:cs="Arial"/>
          <w:sz w:val="24"/>
          <w:szCs w:val="24"/>
          <w:lang w:val="en-US"/>
        </w:rPr>
        <w:t>in general practices between January 2006 and December 2019, and this may have biased the study findings.</w:t>
      </w:r>
      <w:r w:rsidR="00BD6682" w:rsidRPr="0036402F">
        <w:rPr>
          <w:rFonts w:ascii="Arial" w:hAnsi="Arial" w:cs="Arial"/>
          <w:sz w:val="24"/>
          <w:szCs w:val="24"/>
          <w:lang w:val="en-US"/>
        </w:rPr>
        <w:t xml:space="preserve"> </w:t>
      </w:r>
      <w:r w:rsidR="00691B40" w:rsidRPr="0036402F">
        <w:rPr>
          <w:rFonts w:ascii="Arial" w:hAnsi="Arial" w:cs="Arial"/>
          <w:sz w:val="24"/>
          <w:szCs w:val="24"/>
          <w:lang w:val="en-US"/>
        </w:rPr>
        <w:t xml:space="preserve">Second, </w:t>
      </w:r>
      <w:r w:rsidR="00F90A66" w:rsidRPr="0036402F">
        <w:rPr>
          <w:rFonts w:ascii="Arial" w:hAnsi="Arial" w:cs="Arial"/>
          <w:sz w:val="24"/>
          <w:szCs w:val="24"/>
          <w:lang w:val="en-US"/>
        </w:rPr>
        <w:t>BM</w:t>
      </w:r>
      <w:r w:rsidR="00366E7F" w:rsidRPr="0036402F">
        <w:rPr>
          <w:rFonts w:ascii="Arial" w:hAnsi="Arial" w:cs="Arial"/>
          <w:sz w:val="24"/>
          <w:szCs w:val="24"/>
          <w:lang w:val="en-US"/>
        </w:rPr>
        <w:t xml:space="preserve">I may not </w:t>
      </w:r>
      <w:r w:rsidR="00DE7003" w:rsidRPr="0036402F">
        <w:rPr>
          <w:rFonts w:ascii="Arial" w:hAnsi="Arial" w:cs="Arial"/>
          <w:sz w:val="24"/>
          <w:szCs w:val="24"/>
          <w:lang w:val="en-US"/>
        </w:rPr>
        <w:t>be a reliable measure of underweight, overweight and obesity</w:t>
      </w:r>
      <w:r w:rsidR="00625900" w:rsidRPr="0036402F">
        <w:rPr>
          <w:rFonts w:ascii="Arial" w:hAnsi="Arial" w:cs="Arial"/>
          <w:sz w:val="24"/>
          <w:szCs w:val="24"/>
          <w:lang w:val="en-US"/>
        </w:rPr>
        <w:t xml:space="preserve"> </w:t>
      </w:r>
      <w:r w:rsidR="00625900" w:rsidRPr="0036402F">
        <w:rPr>
          <w:rFonts w:ascii="Arial" w:hAnsi="Arial" w:cs="Arial"/>
          <w:sz w:val="24"/>
          <w:szCs w:val="24"/>
          <w:lang w:val="en-US"/>
        </w:rPr>
        <w:fldChar w:fldCharType="begin"/>
      </w:r>
      <w:r w:rsidR="009456CE" w:rsidRPr="0036402F">
        <w:rPr>
          <w:rFonts w:ascii="Arial" w:hAnsi="Arial" w:cs="Arial"/>
          <w:sz w:val="24"/>
          <w:szCs w:val="24"/>
          <w:lang w:val="en-US"/>
        </w:rPr>
        <w:instrText xml:space="preserve"> ADDIN ZOTERO_ITEM CSL_CITATION {"citationID":"pKZyPvmr","properties":{"formattedCitation":"[48]","plainCitation":"[48]","noteIndex":0},"citationItems":[{"id":23393,"uris":["http://zotero.org/users/local/hhPVnw6l/items/LESFBLDF"],"itemData":{"id":23393,"type":"article-journal","abstract":"Alzheimer's disease (AD) is a progressive neurodegenerative disorder, for which a number of genetic, environmental, and lifestyle risk factors have been identified. A significant modifiable risk factor is obesity in mid-life. Interestingly, both obesity and AD exhibit sex differences and are regulated by sex steroid hormones. Accumulating evidence suggests interactions between obesity and sex in regulation of AD risk, although the pathways underlying this relationship are unclear. Inflammation and the E4 allele of apolipoprotein E have been identified as independent risk factors for AD and both interact with obesity and sex steroid hormones. We review the individual and cooperative effects of obesity and sex on development of AD and examine the potential contributions of apolipoprotein E, inflammation, and their interactions to this relationship.","container-title":"Neuroscience and Biobehavioral Reviews","DOI":"10.1016/j.neubiorev.2015.08.021","ISSN":"1873-7528","journalAbbreviation":"Neurosci Biobehav Rev","language":"eng","note":"PMID: 26708713\nPMCID: PMC4912955","page":"102-118","source":"PubMed","title":"Obesity and sex interact in the regulation of Alzheimer's disease","volume":"67","author":[{"family":"Moser","given":"V. Alexandra"},{"family":"Pike","given":"Christian J."}],"issued":{"date-parts":[["2016",8]]}}}],"schema":"https://github.com/citation-style-language/schema/raw/master/csl-citation.json"} </w:instrText>
      </w:r>
      <w:r w:rsidR="00625900" w:rsidRPr="0036402F">
        <w:rPr>
          <w:rFonts w:ascii="Arial" w:hAnsi="Arial" w:cs="Arial"/>
          <w:sz w:val="24"/>
          <w:szCs w:val="24"/>
          <w:lang w:val="en-US"/>
        </w:rPr>
        <w:fldChar w:fldCharType="separate"/>
      </w:r>
      <w:r w:rsidR="009456CE" w:rsidRPr="0036402F">
        <w:rPr>
          <w:rFonts w:ascii="Arial" w:hAnsi="Arial" w:cs="Arial"/>
          <w:noProof/>
          <w:sz w:val="24"/>
          <w:szCs w:val="24"/>
          <w:lang w:val="en-US"/>
        </w:rPr>
        <w:t>[48]</w:t>
      </w:r>
      <w:r w:rsidR="00625900" w:rsidRPr="0036402F">
        <w:rPr>
          <w:rFonts w:ascii="Arial" w:hAnsi="Arial" w:cs="Arial"/>
          <w:sz w:val="24"/>
          <w:szCs w:val="24"/>
          <w:lang w:val="en-US"/>
        </w:rPr>
        <w:fldChar w:fldCharType="end"/>
      </w:r>
      <w:r w:rsidR="00DE7003" w:rsidRPr="0036402F">
        <w:rPr>
          <w:rFonts w:ascii="Arial" w:hAnsi="Arial" w:cs="Arial"/>
          <w:sz w:val="24"/>
          <w:szCs w:val="24"/>
          <w:lang w:val="en-US"/>
        </w:rPr>
        <w:t>, and the use of other parameters such as waist circumference may have allowed more accurate analyses.</w:t>
      </w:r>
      <w:r w:rsidR="00F32CF4" w:rsidRPr="0036402F">
        <w:rPr>
          <w:rFonts w:ascii="Arial" w:hAnsi="Arial" w:cs="Arial"/>
          <w:sz w:val="24"/>
          <w:szCs w:val="24"/>
          <w:lang w:val="en-US"/>
        </w:rPr>
        <w:t xml:space="preserve"> </w:t>
      </w:r>
      <w:r w:rsidR="00DE7003" w:rsidRPr="0036402F">
        <w:rPr>
          <w:rFonts w:ascii="Arial" w:hAnsi="Arial" w:cs="Arial"/>
          <w:sz w:val="24"/>
          <w:szCs w:val="24"/>
          <w:lang w:val="en-US"/>
        </w:rPr>
        <w:t>Third</w:t>
      </w:r>
      <w:r w:rsidR="00BD6682" w:rsidRPr="0036402F">
        <w:rPr>
          <w:rFonts w:ascii="Arial" w:hAnsi="Arial" w:cs="Arial"/>
          <w:sz w:val="24"/>
          <w:szCs w:val="24"/>
          <w:lang w:val="en-US"/>
        </w:rPr>
        <w:t xml:space="preserve">, dementia may have been diagnosed in specialized practices such as neuropsychiatric and geriatric practices, and therefore the incidence of dementia may have been underestimated. </w:t>
      </w:r>
      <w:r w:rsidR="00DE7003" w:rsidRPr="0036402F">
        <w:rPr>
          <w:rFonts w:ascii="Arial" w:hAnsi="Arial" w:cs="Arial"/>
          <w:sz w:val="24"/>
          <w:szCs w:val="24"/>
          <w:lang w:val="en-US"/>
        </w:rPr>
        <w:t>Fourth</w:t>
      </w:r>
      <w:r w:rsidR="00BD6682" w:rsidRPr="0036402F">
        <w:rPr>
          <w:rFonts w:ascii="Arial" w:hAnsi="Arial" w:cs="Arial"/>
          <w:sz w:val="24"/>
          <w:szCs w:val="24"/>
          <w:lang w:val="en-US"/>
        </w:rPr>
        <w:t>, there was no information in the database on physical activity and diet, although these two factors are associated with both BMI and dementia</w:t>
      </w:r>
      <w:r w:rsidR="00946406" w:rsidRPr="0036402F">
        <w:rPr>
          <w:rFonts w:ascii="Arial" w:hAnsi="Arial" w:cs="Arial"/>
          <w:sz w:val="24"/>
          <w:szCs w:val="24"/>
          <w:lang w:val="en-US"/>
        </w:rPr>
        <w:t xml:space="preserve">. </w:t>
      </w:r>
      <w:r w:rsidR="00DE7003" w:rsidRPr="0036402F">
        <w:rPr>
          <w:rFonts w:ascii="Arial" w:hAnsi="Arial" w:cs="Arial"/>
          <w:sz w:val="24"/>
          <w:szCs w:val="24"/>
          <w:lang w:val="en-US"/>
        </w:rPr>
        <w:t>Fifth</w:t>
      </w:r>
      <w:r w:rsidR="00946406" w:rsidRPr="0036402F">
        <w:rPr>
          <w:rFonts w:ascii="Arial" w:hAnsi="Arial" w:cs="Arial"/>
          <w:sz w:val="24"/>
          <w:szCs w:val="24"/>
          <w:lang w:val="en-US"/>
        </w:rPr>
        <w:t>,</w:t>
      </w:r>
      <w:r w:rsidR="00ED539B" w:rsidRPr="0036402F">
        <w:rPr>
          <w:rFonts w:ascii="Arial" w:hAnsi="Arial" w:cs="Arial"/>
          <w:sz w:val="24"/>
          <w:szCs w:val="24"/>
          <w:lang w:val="en-US"/>
        </w:rPr>
        <w:t xml:space="preserve"> participants </w:t>
      </w:r>
      <w:r w:rsidR="00864CD1" w:rsidRPr="0036402F">
        <w:rPr>
          <w:rFonts w:ascii="Arial" w:hAnsi="Arial" w:cs="Arial"/>
          <w:sz w:val="24"/>
          <w:szCs w:val="24"/>
          <w:lang w:val="en-US"/>
        </w:rPr>
        <w:t xml:space="preserve">with underweight </w:t>
      </w:r>
      <w:r w:rsidR="00DE222A" w:rsidRPr="0036402F">
        <w:rPr>
          <w:rFonts w:ascii="Arial" w:hAnsi="Arial" w:cs="Arial"/>
          <w:sz w:val="24"/>
          <w:szCs w:val="24"/>
          <w:lang w:val="en-US"/>
        </w:rPr>
        <w:t>were</w:t>
      </w:r>
      <w:r w:rsidR="00864CD1" w:rsidRPr="0036402F">
        <w:rPr>
          <w:rFonts w:ascii="Arial" w:hAnsi="Arial" w:cs="Arial"/>
          <w:sz w:val="24"/>
          <w:szCs w:val="24"/>
          <w:lang w:val="en-US"/>
        </w:rPr>
        <w:t xml:space="preserve"> significantly </w:t>
      </w:r>
      <w:r w:rsidR="00DE222A" w:rsidRPr="0036402F">
        <w:rPr>
          <w:rFonts w:ascii="Arial" w:hAnsi="Arial" w:cs="Arial"/>
          <w:sz w:val="24"/>
          <w:szCs w:val="24"/>
          <w:lang w:val="en-US"/>
        </w:rPr>
        <w:t>older</w:t>
      </w:r>
      <w:r w:rsidR="00353F70" w:rsidRPr="0036402F">
        <w:rPr>
          <w:rFonts w:ascii="Arial" w:hAnsi="Arial" w:cs="Arial"/>
          <w:sz w:val="24"/>
          <w:szCs w:val="24"/>
          <w:lang w:val="en-US"/>
        </w:rPr>
        <w:t xml:space="preserve"> than</w:t>
      </w:r>
      <w:r w:rsidR="00DE222A" w:rsidRPr="0036402F">
        <w:rPr>
          <w:rFonts w:ascii="Arial" w:hAnsi="Arial" w:cs="Arial"/>
          <w:sz w:val="24"/>
          <w:szCs w:val="24"/>
          <w:lang w:val="en-US"/>
        </w:rPr>
        <w:t xml:space="preserve"> those in other BMI categories and</w:t>
      </w:r>
      <w:r w:rsidR="00715DB3" w:rsidRPr="0036402F">
        <w:rPr>
          <w:rFonts w:ascii="Arial" w:hAnsi="Arial" w:cs="Arial"/>
          <w:sz w:val="24"/>
          <w:szCs w:val="24"/>
          <w:lang w:val="en-US"/>
        </w:rPr>
        <w:t xml:space="preserve">, although age was included in </w:t>
      </w:r>
      <w:r w:rsidR="00061EDB" w:rsidRPr="0036402F">
        <w:rPr>
          <w:rFonts w:ascii="Arial" w:hAnsi="Arial" w:cs="Arial"/>
          <w:sz w:val="24"/>
          <w:szCs w:val="24"/>
          <w:lang w:val="en-US"/>
        </w:rPr>
        <w:t xml:space="preserve">the </w:t>
      </w:r>
      <w:r w:rsidR="00715DB3" w:rsidRPr="0036402F">
        <w:rPr>
          <w:rFonts w:ascii="Arial" w:hAnsi="Arial" w:cs="Arial"/>
          <w:sz w:val="24"/>
          <w:szCs w:val="24"/>
          <w:lang w:val="en-US"/>
        </w:rPr>
        <w:t xml:space="preserve">Cox regression analyses, </w:t>
      </w:r>
      <w:r w:rsidR="00E73E7C" w:rsidRPr="0036402F">
        <w:rPr>
          <w:rFonts w:ascii="Arial" w:hAnsi="Arial" w:cs="Arial"/>
          <w:sz w:val="24"/>
          <w:szCs w:val="24"/>
          <w:lang w:val="en-US"/>
        </w:rPr>
        <w:t>this difference may have impacted the results of these analyses.</w:t>
      </w:r>
    </w:p>
    <w:p w14:paraId="0B139227" w14:textId="77777777" w:rsidR="00ED539B" w:rsidRPr="0036402F" w:rsidRDefault="00ED539B" w:rsidP="003C41AC">
      <w:pPr>
        <w:spacing w:line="480" w:lineRule="auto"/>
        <w:jc w:val="both"/>
        <w:rPr>
          <w:rFonts w:ascii="Arial" w:hAnsi="Arial" w:cs="Arial"/>
          <w:sz w:val="24"/>
          <w:szCs w:val="24"/>
          <w:lang w:val="en-US"/>
        </w:rPr>
      </w:pPr>
    </w:p>
    <w:p w14:paraId="2A541238" w14:textId="3E93A87D" w:rsidR="00A3571D" w:rsidRPr="0036402F" w:rsidRDefault="00A3571D" w:rsidP="00346A37">
      <w:pPr>
        <w:pStyle w:val="Heading2"/>
      </w:pPr>
      <w:r w:rsidRPr="0036402F">
        <w:t>Conclusions</w:t>
      </w:r>
    </w:p>
    <w:p w14:paraId="41B3A2F2" w14:textId="1C36EBE8" w:rsidR="00A3571D" w:rsidRPr="0036402F" w:rsidRDefault="00A3571D" w:rsidP="003C41AC">
      <w:pPr>
        <w:spacing w:line="480" w:lineRule="auto"/>
        <w:jc w:val="both"/>
        <w:rPr>
          <w:rFonts w:ascii="Arial" w:hAnsi="Arial" w:cs="Arial"/>
          <w:sz w:val="24"/>
          <w:szCs w:val="24"/>
          <w:lang w:val="en-US"/>
        </w:rPr>
      </w:pPr>
      <w:r w:rsidRPr="0036402F">
        <w:rPr>
          <w:rFonts w:ascii="Arial" w:hAnsi="Arial" w:cs="Arial"/>
          <w:sz w:val="24"/>
          <w:szCs w:val="24"/>
          <w:lang w:val="en-US"/>
        </w:rPr>
        <w:t>Overall, this study of 296,767 older adults from Germany identified major sex differences in association</w:t>
      </w:r>
      <w:r w:rsidR="0023152B" w:rsidRPr="0036402F">
        <w:rPr>
          <w:rFonts w:ascii="Arial" w:hAnsi="Arial" w:cs="Arial"/>
          <w:sz w:val="24"/>
          <w:szCs w:val="24"/>
          <w:lang w:val="en-US"/>
        </w:rPr>
        <w:t>s</w:t>
      </w:r>
      <w:r w:rsidRPr="0036402F">
        <w:rPr>
          <w:rFonts w:ascii="Arial" w:hAnsi="Arial" w:cs="Arial"/>
          <w:sz w:val="24"/>
          <w:szCs w:val="24"/>
          <w:lang w:val="en-US"/>
        </w:rPr>
        <w:t xml:space="preserve"> between BMI and dementia. Underweight was positively </w:t>
      </w:r>
      <w:r w:rsidRPr="0036402F">
        <w:rPr>
          <w:rFonts w:ascii="Arial" w:hAnsi="Arial" w:cs="Arial"/>
          <w:sz w:val="24"/>
          <w:szCs w:val="24"/>
          <w:lang w:val="en-US"/>
        </w:rPr>
        <w:lastRenderedPageBreak/>
        <w:t xml:space="preserve">associated with dementia in male patients, whereas there was a negative and significant </w:t>
      </w:r>
      <w:r w:rsidR="0023152B" w:rsidRPr="0036402F">
        <w:rPr>
          <w:rFonts w:ascii="Arial" w:hAnsi="Arial" w:cs="Arial"/>
          <w:sz w:val="24"/>
          <w:szCs w:val="24"/>
          <w:lang w:val="en-US"/>
        </w:rPr>
        <w:t>association</w:t>
      </w:r>
      <w:r w:rsidRPr="0036402F">
        <w:rPr>
          <w:rFonts w:ascii="Arial" w:hAnsi="Arial" w:cs="Arial"/>
          <w:sz w:val="24"/>
          <w:szCs w:val="24"/>
          <w:lang w:val="en-US"/>
        </w:rPr>
        <w:t xml:space="preserve"> between overweight and dementia in women. More research is warranted to confirm or refute these findings in other countries and settings. </w:t>
      </w:r>
    </w:p>
    <w:p w14:paraId="597025A1" w14:textId="77777777" w:rsidR="00E06B90" w:rsidRPr="0036402F" w:rsidRDefault="00E06B90" w:rsidP="003C41AC">
      <w:pPr>
        <w:spacing w:line="480" w:lineRule="auto"/>
        <w:jc w:val="both"/>
        <w:rPr>
          <w:rFonts w:ascii="Arial" w:hAnsi="Arial" w:cs="Arial"/>
          <w:sz w:val="24"/>
          <w:szCs w:val="24"/>
          <w:lang w:val="en-US"/>
        </w:rPr>
      </w:pPr>
    </w:p>
    <w:p w14:paraId="21DC6D24" w14:textId="77777777" w:rsidR="00860DFE" w:rsidRPr="0036402F" w:rsidRDefault="00860DFE" w:rsidP="00346A37">
      <w:pPr>
        <w:pStyle w:val="Heading1"/>
      </w:pPr>
      <w:r w:rsidRPr="0036402F">
        <w:t>Conflict of interest</w:t>
      </w:r>
    </w:p>
    <w:p w14:paraId="2053BA3F" w14:textId="77777777" w:rsidR="00860DFE" w:rsidRPr="0036402F" w:rsidRDefault="00860DFE" w:rsidP="00860DFE">
      <w:pPr>
        <w:spacing w:line="480" w:lineRule="auto"/>
        <w:jc w:val="both"/>
        <w:rPr>
          <w:rFonts w:ascii="Arial" w:hAnsi="Arial" w:cs="Arial"/>
          <w:sz w:val="24"/>
          <w:szCs w:val="24"/>
          <w:lang w:val="en-US"/>
        </w:rPr>
      </w:pPr>
      <w:r w:rsidRPr="0036402F">
        <w:rPr>
          <w:rFonts w:ascii="Arial" w:hAnsi="Arial" w:cs="Arial"/>
          <w:sz w:val="24"/>
          <w:szCs w:val="24"/>
          <w:lang w:val="en-US"/>
        </w:rPr>
        <w:t>The authors declare no conflict of interest.</w:t>
      </w:r>
    </w:p>
    <w:p w14:paraId="471CD742" w14:textId="77777777" w:rsidR="00860DFE" w:rsidRPr="0036402F" w:rsidRDefault="00860DFE" w:rsidP="00860DFE">
      <w:pPr>
        <w:spacing w:line="480" w:lineRule="auto"/>
        <w:jc w:val="both"/>
        <w:rPr>
          <w:rFonts w:ascii="Arial" w:hAnsi="Arial" w:cs="Arial"/>
          <w:sz w:val="24"/>
          <w:szCs w:val="24"/>
          <w:lang w:val="en-US"/>
        </w:rPr>
      </w:pPr>
    </w:p>
    <w:p w14:paraId="387AC6AF" w14:textId="77777777" w:rsidR="00860DFE" w:rsidRPr="0036402F" w:rsidRDefault="00860DFE" w:rsidP="00346A37">
      <w:pPr>
        <w:pStyle w:val="Heading1"/>
      </w:pPr>
      <w:r w:rsidRPr="0036402F">
        <w:t>Funding</w:t>
      </w:r>
    </w:p>
    <w:p w14:paraId="5924FAE5" w14:textId="05BB1C09" w:rsidR="00860DFE" w:rsidRPr="0036402F" w:rsidRDefault="00860DFE" w:rsidP="00860DFE">
      <w:pPr>
        <w:spacing w:line="480" w:lineRule="auto"/>
        <w:jc w:val="both"/>
        <w:rPr>
          <w:rFonts w:ascii="Arial" w:hAnsi="Arial" w:cs="Arial"/>
          <w:sz w:val="24"/>
          <w:szCs w:val="24"/>
          <w:lang w:val="en-US"/>
        </w:rPr>
      </w:pPr>
      <w:r w:rsidRPr="0036402F">
        <w:rPr>
          <w:rFonts w:ascii="Arial" w:hAnsi="Arial" w:cs="Arial"/>
          <w:sz w:val="24"/>
          <w:szCs w:val="24"/>
          <w:lang w:val="en-US"/>
        </w:rPr>
        <w:t>This research did not receive any specific grant from funding agencies in the public, commercial, or not-for-profit sectors.</w:t>
      </w:r>
    </w:p>
    <w:p w14:paraId="762F2BDB" w14:textId="0AB25F4E" w:rsidR="006570A7" w:rsidRPr="0036402F" w:rsidRDefault="006570A7" w:rsidP="00860DFE">
      <w:pPr>
        <w:spacing w:line="480" w:lineRule="auto"/>
        <w:jc w:val="both"/>
        <w:rPr>
          <w:rFonts w:ascii="Arial" w:hAnsi="Arial" w:cs="Arial"/>
          <w:sz w:val="24"/>
          <w:szCs w:val="24"/>
          <w:lang w:val="en-US"/>
        </w:rPr>
      </w:pPr>
    </w:p>
    <w:p w14:paraId="6C73A51C" w14:textId="77777777" w:rsidR="006570A7" w:rsidRPr="0036402F" w:rsidRDefault="006570A7" w:rsidP="00346A37">
      <w:pPr>
        <w:pStyle w:val="Heading1"/>
      </w:pPr>
      <w:r w:rsidRPr="0036402F">
        <w:t>Author contributions</w:t>
      </w:r>
    </w:p>
    <w:p w14:paraId="77FEF8CB" w14:textId="650E9973" w:rsidR="006570A7" w:rsidRPr="0036402F" w:rsidRDefault="006570A7" w:rsidP="006570A7">
      <w:pPr>
        <w:spacing w:line="480" w:lineRule="auto"/>
        <w:jc w:val="both"/>
        <w:rPr>
          <w:rFonts w:ascii="Arial" w:hAnsi="Arial" w:cs="Arial"/>
          <w:sz w:val="24"/>
          <w:szCs w:val="24"/>
          <w:lang w:val="en-US"/>
        </w:rPr>
      </w:pPr>
      <w:r w:rsidRPr="0036402F">
        <w:rPr>
          <w:rFonts w:ascii="Arial" w:hAnsi="Arial" w:cs="Arial"/>
          <w:sz w:val="24"/>
          <w:szCs w:val="24"/>
          <w:lang w:val="en-US"/>
        </w:rPr>
        <w:t xml:space="preserve">Louis Jacob contributed to the design of the study, managed the literature searches, wrote the first draft of the manuscript, and corrected the manuscript. Lee Smith, </w:t>
      </w:r>
      <w:r w:rsidR="0062286E" w:rsidRPr="0036402F">
        <w:rPr>
          <w:rFonts w:ascii="Arial" w:hAnsi="Arial" w:cs="Arial"/>
          <w:sz w:val="24"/>
          <w:szCs w:val="24"/>
          <w:lang w:val="en-US"/>
        </w:rPr>
        <w:t xml:space="preserve">Ai </w:t>
      </w:r>
      <w:proofErr w:type="spellStart"/>
      <w:r w:rsidR="0062286E" w:rsidRPr="0036402F">
        <w:rPr>
          <w:rFonts w:ascii="Arial" w:hAnsi="Arial" w:cs="Arial"/>
          <w:sz w:val="24"/>
          <w:szCs w:val="24"/>
          <w:lang w:val="en-US"/>
        </w:rPr>
        <w:t>Koyanagi</w:t>
      </w:r>
      <w:proofErr w:type="spellEnd"/>
      <w:r w:rsidR="0062286E" w:rsidRPr="0036402F">
        <w:rPr>
          <w:rFonts w:ascii="Arial" w:hAnsi="Arial" w:cs="Arial"/>
          <w:sz w:val="24"/>
          <w:szCs w:val="24"/>
          <w:lang w:val="en-US"/>
        </w:rPr>
        <w:t>, Marcel Konrad</w:t>
      </w:r>
      <w:r w:rsidRPr="0036402F">
        <w:rPr>
          <w:rFonts w:ascii="Arial" w:hAnsi="Arial" w:cs="Arial"/>
          <w:sz w:val="24"/>
          <w:szCs w:val="24"/>
          <w:lang w:val="en-US"/>
        </w:rPr>
        <w:t xml:space="preserve">, </w:t>
      </w:r>
      <w:proofErr w:type="spellStart"/>
      <w:r w:rsidRPr="0036402F">
        <w:rPr>
          <w:rFonts w:ascii="Arial" w:hAnsi="Arial" w:cs="Arial"/>
          <w:sz w:val="24"/>
          <w:szCs w:val="24"/>
          <w:lang w:val="en-US"/>
        </w:rPr>
        <w:t>Josep</w:t>
      </w:r>
      <w:proofErr w:type="spellEnd"/>
      <w:r w:rsidRPr="0036402F">
        <w:rPr>
          <w:rFonts w:ascii="Arial" w:hAnsi="Arial" w:cs="Arial"/>
          <w:sz w:val="24"/>
          <w:szCs w:val="24"/>
          <w:lang w:val="en-US"/>
        </w:rPr>
        <w:t xml:space="preserve"> Maria </w:t>
      </w:r>
      <w:proofErr w:type="spellStart"/>
      <w:r w:rsidRPr="0036402F">
        <w:rPr>
          <w:rFonts w:ascii="Arial" w:hAnsi="Arial" w:cs="Arial"/>
          <w:sz w:val="24"/>
          <w:szCs w:val="24"/>
          <w:lang w:val="en-US"/>
        </w:rPr>
        <w:t>Haro</w:t>
      </w:r>
      <w:proofErr w:type="spellEnd"/>
      <w:r w:rsidR="0062286E" w:rsidRPr="0036402F">
        <w:rPr>
          <w:rFonts w:ascii="Arial" w:hAnsi="Arial" w:cs="Arial"/>
          <w:sz w:val="24"/>
          <w:szCs w:val="24"/>
          <w:lang w:val="en-US"/>
        </w:rPr>
        <w:t>, and Jae Il Shin</w:t>
      </w:r>
      <w:r w:rsidRPr="0036402F">
        <w:rPr>
          <w:rFonts w:ascii="Arial" w:hAnsi="Arial" w:cs="Arial"/>
          <w:sz w:val="24"/>
          <w:szCs w:val="24"/>
          <w:lang w:val="en-US"/>
        </w:rPr>
        <w:t xml:space="preserve"> corrected the manuscript. Karel </w:t>
      </w:r>
      <w:proofErr w:type="spellStart"/>
      <w:r w:rsidRPr="0036402F">
        <w:rPr>
          <w:rFonts w:ascii="Arial" w:hAnsi="Arial" w:cs="Arial"/>
          <w:sz w:val="24"/>
          <w:szCs w:val="24"/>
          <w:lang w:val="en-US"/>
        </w:rPr>
        <w:t>Kostev</w:t>
      </w:r>
      <w:proofErr w:type="spellEnd"/>
      <w:r w:rsidRPr="0036402F">
        <w:rPr>
          <w:rFonts w:ascii="Arial" w:hAnsi="Arial" w:cs="Arial"/>
          <w:sz w:val="24"/>
          <w:szCs w:val="24"/>
          <w:lang w:val="en-US"/>
        </w:rPr>
        <w:t xml:space="preserve"> contributed to the design of the study, performed the statistical analyses, and corrected the manuscript. All authors contributed to and have approved the final manuscript.</w:t>
      </w:r>
    </w:p>
    <w:p w14:paraId="7AB9FC6E" w14:textId="77777777" w:rsidR="00860DFE" w:rsidRPr="0036402F" w:rsidRDefault="00860DFE" w:rsidP="00860DFE">
      <w:pPr>
        <w:spacing w:line="480" w:lineRule="auto"/>
        <w:jc w:val="both"/>
        <w:rPr>
          <w:rFonts w:ascii="Arial" w:hAnsi="Arial" w:cs="Arial"/>
          <w:sz w:val="24"/>
          <w:szCs w:val="24"/>
          <w:lang w:val="en-US"/>
        </w:rPr>
      </w:pPr>
    </w:p>
    <w:p w14:paraId="4C15EE9D" w14:textId="77777777" w:rsidR="00860DFE" w:rsidRPr="0036402F" w:rsidRDefault="00860DFE" w:rsidP="00346A37">
      <w:pPr>
        <w:pStyle w:val="Heading1"/>
      </w:pPr>
      <w:r w:rsidRPr="0036402F">
        <w:t>Acknowledgments</w:t>
      </w:r>
    </w:p>
    <w:p w14:paraId="3743BF11" w14:textId="7CA2DFC6" w:rsidR="00C40880" w:rsidRPr="0036402F" w:rsidRDefault="00860DFE" w:rsidP="00304E31">
      <w:pPr>
        <w:spacing w:line="480" w:lineRule="auto"/>
        <w:jc w:val="both"/>
        <w:rPr>
          <w:rFonts w:ascii="Arial" w:hAnsi="Arial" w:cs="Arial"/>
          <w:sz w:val="24"/>
          <w:szCs w:val="24"/>
          <w:lang w:val="en-US"/>
        </w:rPr>
      </w:pPr>
      <w:r w:rsidRPr="0036402F">
        <w:rPr>
          <w:rFonts w:ascii="Arial" w:hAnsi="Arial" w:cs="Arial"/>
          <w:sz w:val="24"/>
          <w:szCs w:val="24"/>
          <w:lang w:val="en-US"/>
        </w:rPr>
        <w:t>None.</w:t>
      </w:r>
    </w:p>
    <w:p w14:paraId="37718F7A" w14:textId="1B787905" w:rsidR="00D32495" w:rsidRPr="0036402F" w:rsidRDefault="00D32495" w:rsidP="008429A3">
      <w:pPr>
        <w:spacing w:line="480" w:lineRule="auto"/>
        <w:jc w:val="both"/>
        <w:rPr>
          <w:rFonts w:ascii="Arial" w:hAnsi="Arial" w:cs="Arial"/>
          <w:sz w:val="24"/>
          <w:szCs w:val="24"/>
          <w:lang w:val="en-US"/>
        </w:rPr>
      </w:pPr>
    </w:p>
    <w:p w14:paraId="23219C8A" w14:textId="5B7F1E64" w:rsidR="001B79D6" w:rsidRPr="0036402F" w:rsidRDefault="001B79D6" w:rsidP="003C41AC">
      <w:pPr>
        <w:spacing w:line="480" w:lineRule="auto"/>
        <w:jc w:val="both"/>
        <w:rPr>
          <w:rFonts w:ascii="Arial" w:hAnsi="Arial" w:cs="Arial"/>
          <w:sz w:val="24"/>
          <w:szCs w:val="24"/>
          <w:lang w:val="en-US"/>
        </w:rPr>
      </w:pPr>
    </w:p>
    <w:p w14:paraId="59A1975F" w14:textId="77777777" w:rsidR="001B79D6" w:rsidRPr="0036402F" w:rsidRDefault="001B79D6">
      <w:pPr>
        <w:rPr>
          <w:rFonts w:ascii="Arial" w:hAnsi="Arial" w:cs="Arial"/>
          <w:b/>
          <w:bCs/>
          <w:sz w:val="24"/>
          <w:szCs w:val="24"/>
          <w:lang w:val="en-US"/>
        </w:rPr>
      </w:pPr>
      <w:r w:rsidRPr="0036402F">
        <w:rPr>
          <w:rFonts w:ascii="Arial" w:hAnsi="Arial" w:cs="Arial"/>
          <w:b/>
          <w:bCs/>
          <w:sz w:val="24"/>
          <w:szCs w:val="24"/>
          <w:lang w:val="en-US"/>
        </w:rPr>
        <w:br w:type="page"/>
      </w:r>
    </w:p>
    <w:p w14:paraId="36BDCE60" w14:textId="6A08408F" w:rsidR="001B79D6" w:rsidRPr="0036402F" w:rsidRDefault="001B79D6" w:rsidP="00346A37">
      <w:pPr>
        <w:pStyle w:val="Heading1"/>
      </w:pPr>
      <w:r w:rsidRPr="0036402F">
        <w:lastRenderedPageBreak/>
        <w:t>References</w:t>
      </w:r>
    </w:p>
    <w:p w14:paraId="369F1ABF" w14:textId="10D1D3B4" w:rsidR="001B79D6" w:rsidRPr="0036402F" w:rsidRDefault="001B79D6" w:rsidP="00D33DD7">
      <w:pPr>
        <w:spacing w:line="480" w:lineRule="auto"/>
        <w:jc w:val="both"/>
        <w:rPr>
          <w:rFonts w:ascii="Arial" w:hAnsi="Arial" w:cs="Arial"/>
          <w:sz w:val="24"/>
          <w:szCs w:val="24"/>
          <w:lang w:val="en-US"/>
        </w:rPr>
      </w:pPr>
    </w:p>
    <w:p w14:paraId="469B0755" w14:textId="77777777" w:rsidR="009456CE" w:rsidRPr="0036402F" w:rsidRDefault="001B79D6" w:rsidP="00D33DD7">
      <w:pPr>
        <w:widowControl w:val="0"/>
        <w:autoSpaceDE w:val="0"/>
        <w:autoSpaceDN w:val="0"/>
        <w:adjustRightInd w:val="0"/>
        <w:jc w:val="both"/>
        <w:rPr>
          <w:rFonts w:ascii="Arial" w:hAnsi="Arial" w:cs="Arial"/>
          <w:sz w:val="24"/>
          <w:lang w:val="en-US"/>
        </w:rPr>
      </w:pPr>
      <w:r w:rsidRPr="0036402F">
        <w:fldChar w:fldCharType="begin"/>
      </w:r>
      <w:r w:rsidR="00143F1B" w:rsidRPr="0036402F">
        <w:rPr>
          <w:lang w:val="en-US"/>
        </w:rPr>
        <w:instrText xml:space="preserve"> ADDIN ZOTERO_BIBL {"uncited":[],"omitted":[],"custom":[]} CSL_BIBLIOGRAPHY </w:instrText>
      </w:r>
      <w:r w:rsidRPr="0036402F">
        <w:fldChar w:fldCharType="separate"/>
      </w:r>
      <w:r w:rsidR="009456CE" w:rsidRPr="0036402F">
        <w:rPr>
          <w:rFonts w:ascii="Arial" w:hAnsi="Arial" w:cs="Arial"/>
          <w:sz w:val="24"/>
          <w:lang w:val="en-US"/>
        </w:rPr>
        <w:t xml:space="preserve">[1] </w:t>
      </w:r>
      <w:r w:rsidR="009456CE" w:rsidRPr="0036402F">
        <w:rPr>
          <w:rFonts w:ascii="Arial" w:hAnsi="Arial" w:cs="Arial"/>
          <w:sz w:val="24"/>
          <w:lang w:val="en-US"/>
        </w:rPr>
        <w:tab/>
        <w:t xml:space="preserve">Dening T, Sandilyan MB (2015) Dementia: definitions and types. </w:t>
      </w:r>
      <w:r w:rsidR="009456CE" w:rsidRPr="0036402F">
        <w:rPr>
          <w:rFonts w:ascii="Arial" w:hAnsi="Arial" w:cs="Arial"/>
          <w:i/>
          <w:iCs/>
          <w:sz w:val="24"/>
          <w:lang w:val="en-US"/>
        </w:rPr>
        <w:t>Nurs Stand</w:t>
      </w:r>
      <w:r w:rsidR="009456CE" w:rsidRPr="0036402F">
        <w:rPr>
          <w:rFonts w:ascii="Arial" w:hAnsi="Arial" w:cs="Arial"/>
          <w:sz w:val="24"/>
          <w:lang w:val="en-US"/>
        </w:rPr>
        <w:t xml:space="preserve"> </w:t>
      </w:r>
      <w:r w:rsidR="009456CE" w:rsidRPr="0036402F">
        <w:rPr>
          <w:rFonts w:ascii="Arial" w:hAnsi="Arial" w:cs="Arial"/>
          <w:b/>
          <w:bCs/>
          <w:sz w:val="24"/>
          <w:lang w:val="en-US"/>
        </w:rPr>
        <w:t>29</w:t>
      </w:r>
      <w:r w:rsidR="009456CE" w:rsidRPr="0036402F">
        <w:rPr>
          <w:rFonts w:ascii="Arial" w:hAnsi="Arial" w:cs="Arial"/>
          <w:sz w:val="24"/>
          <w:lang w:val="en-US"/>
        </w:rPr>
        <w:t>, 37–42.</w:t>
      </w:r>
    </w:p>
    <w:p w14:paraId="44751FEB"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 </w:t>
      </w:r>
      <w:r w:rsidRPr="0036402F">
        <w:rPr>
          <w:rFonts w:ascii="Arial" w:hAnsi="Arial" w:cs="Arial"/>
          <w:sz w:val="24"/>
          <w:lang w:val="en-US"/>
        </w:rPr>
        <w:tab/>
        <w:t xml:space="preserve">Cao Q, Tan C-C, Xu W, Hu H, Cao X-P, Dong Q, Tan L, Yu J-T (2020) The Prevalence of Dementia: A Systematic Review and Meta-Analysis. </w:t>
      </w:r>
      <w:r w:rsidRPr="0036402F">
        <w:rPr>
          <w:rFonts w:ascii="Arial" w:hAnsi="Arial" w:cs="Arial"/>
          <w:i/>
          <w:iCs/>
          <w:sz w:val="24"/>
          <w:lang w:val="en-US"/>
        </w:rPr>
        <w:t>J Alzheimers Dis</w:t>
      </w:r>
      <w:r w:rsidRPr="0036402F">
        <w:rPr>
          <w:rFonts w:ascii="Arial" w:hAnsi="Arial" w:cs="Arial"/>
          <w:sz w:val="24"/>
          <w:lang w:val="en-US"/>
        </w:rPr>
        <w:t xml:space="preserve"> </w:t>
      </w:r>
      <w:r w:rsidRPr="0036402F">
        <w:rPr>
          <w:rFonts w:ascii="Arial" w:hAnsi="Arial" w:cs="Arial"/>
          <w:b/>
          <w:bCs/>
          <w:sz w:val="24"/>
          <w:lang w:val="en-US"/>
        </w:rPr>
        <w:t>73</w:t>
      </w:r>
      <w:r w:rsidRPr="0036402F">
        <w:rPr>
          <w:rFonts w:ascii="Arial" w:hAnsi="Arial" w:cs="Arial"/>
          <w:sz w:val="24"/>
          <w:lang w:val="en-US"/>
        </w:rPr>
        <w:t>, 1157–1166.</w:t>
      </w:r>
    </w:p>
    <w:p w14:paraId="5C56649E"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 </w:t>
      </w:r>
      <w:r w:rsidRPr="0036402F">
        <w:rPr>
          <w:rFonts w:ascii="Arial" w:hAnsi="Arial" w:cs="Arial"/>
          <w:sz w:val="24"/>
          <w:lang w:val="en-US"/>
        </w:rPr>
        <w:tab/>
        <w:t xml:space="preserve">GBD 2016 Dementia Collaborators (2019) Global, regional, and national burden of Alzheimer’s disease and other dementias, 1990-2016: a systematic analysis for the Global Burden of Disease Study 2016. </w:t>
      </w:r>
      <w:r w:rsidRPr="0036402F">
        <w:rPr>
          <w:rFonts w:ascii="Arial" w:hAnsi="Arial" w:cs="Arial"/>
          <w:i/>
          <w:iCs/>
          <w:sz w:val="24"/>
          <w:lang w:val="en-US"/>
        </w:rPr>
        <w:t>Lancet Neurol</w:t>
      </w:r>
      <w:r w:rsidRPr="0036402F">
        <w:rPr>
          <w:rFonts w:ascii="Arial" w:hAnsi="Arial" w:cs="Arial"/>
          <w:sz w:val="24"/>
          <w:lang w:val="en-US"/>
        </w:rPr>
        <w:t xml:space="preserve"> </w:t>
      </w:r>
      <w:r w:rsidRPr="0036402F">
        <w:rPr>
          <w:rFonts w:ascii="Arial" w:hAnsi="Arial" w:cs="Arial"/>
          <w:b/>
          <w:bCs/>
          <w:sz w:val="24"/>
          <w:lang w:val="en-US"/>
        </w:rPr>
        <w:t>18</w:t>
      </w:r>
      <w:r w:rsidRPr="0036402F">
        <w:rPr>
          <w:rFonts w:ascii="Arial" w:hAnsi="Arial" w:cs="Arial"/>
          <w:sz w:val="24"/>
          <w:lang w:val="en-US"/>
        </w:rPr>
        <w:t>, 88–106.</w:t>
      </w:r>
    </w:p>
    <w:p w14:paraId="795EF0F7"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 </w:t>
      </w:r>
      <w:r w:rsidRPr="0036402F">
        <w:rPr>
          <w:rFonts w:ascii="Arial" w:hAnsi="Arial" w:cs="Arial"/>
          <w:sz w:val="24"/>
          <w:lang w:val="en-US"/>
        </w:rPr>
        <w:tab/>
        <w:t xml:space="preserve">Kuring JK, Mathias JL, Ward L (2018) Prevalence of Depression, Anxiety and PTSD in People with Dementia: a Systematic Review and Meta-Analysis. </w:t>
      </w:r>
      <w:r w:rsidRPr="0036402F">
        <w:rPr>
          <w:rFonts w:ascii="Arial" w:hAnsi="Arial" w:cs="Arial"/>
          <w:i/>
          <w:iCs/>
          <w:sz w:val="24"/>
          <w:lang w:val="en-US"/>
        </w:rPr>
        <w:t>Neuropsychol Rev</w:t>
      </w:r>
      <w:r w:rsidRPr="0036402F">
        <w:rPr>
          <w:rFonts w:ascii="Arial" w:hAnsi="Arial" w:cs="Arial"/>
          <w:sz w:val="24"/>
          <w:lang w:val="en-US"/>
        </w:rPr>
        <w:t xml:space="preserve"> </w:t>
      </w:r>
      <w:r w:rsidRPr="0036402F">
        <w:rPr>
          <w:rFonts w:ascii="Arial" w:hAnsi="Arial" w:cs="Arial"/>
          <w:b/>
          <w:bCs/>
          <w:sz w:val="24"/>
          <w:lang w:val="en-US"/>
        </w:rPr>
        <w:t>28</w:t>
      </w:r>
      <w:r w:rsidRPr="0036402F">
        <w:rPr>
          <w:rFonts w:ascii="Arial" w:hAnsi="Arial" w:cs="Arial"/>
          <w:sz w:val="24"/>
          <w:lang w:val="en-US"/>
        </w:rPr>
        <w:t>, 393–416.</w:t>
      </w:r>
    </w:p>
    <w:p w14:paraId="4A4F1F54"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[5] </w:t>
      </w:r>
      <w:r w:rsidRPr="0036402F">
        <w:rPr>
          <w:rFonts w:ascii="Arial" w:hAnsi="Arial" w:cs="Arial"/>
          <w:sz w:val="24"/>
          <w:lang w:val="en-US"/>
        </w:rPr>
        <w:tab/>
        <w:t xml:space="preserve">Tori K, Kalligeros M, Nanda A, Shehadeh F, van Aalst R, Chit A, Mylonakis E (2020) Association between dementia and psychiatric disorders in long-term care residents: An observational clinical study. </w:t>
      </w:r>
      <w:r w:rsidRPr="0036402F">
        <w:rPr>
          <w:rFonts w:ascii="Arial" w:hAnsi="Arial" w:cs="Arial"/>
          <w:i/>
          <w:iCs/>
          <w:sz w:val="24"/>
          <w:lang w:val="en-US"/>
        </w:rPr>
        <w:t>Medicine (Baltimore)</w:t>
      </w:r>
      <w:r w:rsidRPr="0036402F">
        <w:rPr>
          <w:rFonts w:ascii="Arial" w:hAnsi="Arial" w:cs="Arial"/>
          <w:sz w:val="24"/>
          <w:lang w:val="en-US"/>
        </w:rPr>
        <w:t xml:space="preserve"> </w:t>
      </w:r>
      <w:r w:rsidRPr="0036402F">
        <w:rPr>
          <w:rFonts w:ascii="Arial" w:hAnsi="Arial" w:cs="Arial"/>
          <w:b/>
          <w:bCs/>
          <w:sz w:val="24"/>
          <w:lang w:val="en-US"/>
        </w:rPr>
        <w:t>99</w:t>
      </w:r>
      <w:r w:rsidRPr="0036402F">
        <w:rPr>
          <w:rFonts w:ascii="Arial" w:hAnsi="Arial" w:cs="Arial"/>
          <w:sz w:val="24"/>
          <w:lang w:val="en-US"/>
        </w:rPr>
        <w:t>, e21412.</w:t>
      </w:r>
    </w:p>
    <w:p w14:paraId="5871AD0F"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[6] </w:t>
      </w:r>
      <w:r w:rsidRPr="0036402F">
        <w:rPr>
          <w:rFonts w:ascii="Arial" w:hAnsi="Arial" w:cs="Arial"/>
          <w:sz w:val="24"/>
          <w:lang w:val="en-US"/>
        </w:rPr>
        <w:tab/>
        <w:t xml:space="preserve">Sauvaget C, Yamada M, Fujiwara S, Sasaki H, Mimori Y (2002) Dementia as a predictor of functional disability: a four-year follow-up study. </w:t>
      </w:r>
      <w:r w:rsidRPr="0036402F">
        <w:rPr>
          <w:rFonts w:ascii="Arial" w:hAnsi="Arial" w:cs="Arial"/>
          <w:i/>
          <w:iCs/>
          <w:sz w:val="24"/>
          <w:lang w:val="en-US"/>
        </w:rPr>
        <w:t>Gerontology</w:t>
      </w:r>
      <w:r w:rsidRPr="0036402F">
        <w:rPr>
          <w:rFonts w:ascii="Arial" w:hAnsi="Arial" w:cs="Arial"/>
          <w:sz w:val="24"/>
          <w:lang w:val="en-US"/>
        </w:rPr>
        <w:t xml:space="preserve"> </w:t>
      </w:r>
      <w:r w:rsidRPr="0036402F">
        <w:rPr>
          <w:rFonts w:ascii="Arial" w:hAnsi="Arial" w:cs="Arial"/>
          <w:b/>
          <w:bCs/>
          <w:sz w:val="24"/>
          <w:lang w:val="en-US"/>
        </w:rPr>
        <w:t>48</w:t>
      </w:r>
      <w:r w:rsidRPr="0036402F">
        <w:rPr>
          <w:rFonts w:ascii="Arial" w:hAnsi="Arial" w:cs="Arial"/>
          <w:sz w:val="24"/>
          <w:lang w:val="en-US"/>
        </w:rPr>
        <w:t>, 226–233.</w:t>
      </w:r>
    </w:p>
    <w:p w14:paraId="1C090699"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[7] </w:t>
      </w:r>
      <w:r w:rsidRPr="0036402F">
        <w:rPr>
          <w:rFonts w:ascii="Arial" w:hAnsi="Arial" w:cs="Arial"/>
          <w:sz w:val="24"/>
          <w:lang w:val="en-US"/>
        </w:rPr>
        <w:tab/>
        <w:t xml:space="preserve">Todd S, Barr S, Roberts M, Passmore AP (2013) Survival in dementia and predictors of mortality: a review. </w:t>
      </w:r>
      <w:r w:rsidRPr="0036402F">
        <w:rPr>
          <w:rFonts w:ascii="Arial" w:hAnsi="Arial" w:cs="Arial"/>
          <w:i/>
          <w:iCs/>
          <w:sz w:val="24"/>
          <w:lang w:val="en-US"/>
        </w:rPr>
        <w:t>Int J Geriatr Psychiatry</w:t>
      </w:r>
      <w:r w:rsidRPr="0036402F">
        <w:rPr>
          <w:rFonts w:ascii="Arial" w:hAnsi="Arial" w:cs="Arial"/>
          <w:sz w:val="24"/>
          <w:lang w:val="en-US"/>
        </w:rPr>
        <w:t xml:space="preserve"> </w:t>
      </w:r>
      <w:r w:rsidRPr="0036402F">
        <w:rPr>
          <w:rFonts w:ascii="Arial" w:hAnsi="Arial" w:cs="Arial"/>
          <w:b/>
          <w:bCs/>
          <w:sz w:val="24"/>
          <w:lang w:val="en-US"/>
        </w:rPr>
        <w:t>28</w:t>
      </w:r>
      <w:r w:rsidRPr="0036402F">
        <w:rPr>
          <w:rFonts w:ascii="Arial" w:hAnsi="Arial" w:cs="Arial"/>
          <w:sz w:val="24"/>
          <w:lang w:val="en-US"/>
        </w:rPr>
        <w:t>, 1109–1124.</w:t>
      </w:r>
    </w:p>
    <w:p w14:paraId="214ECF82"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[8] </w:t>
      </w:r>
      <w:r w:rsidRPr="0036402F">
        <w:rPr>
          <w:rFonts w:ascii="Arial" w:hAnsi="Arial" w:cs="Arial"/>
          <w:sz w:val="24"/>
          <w:lang w:val="en-US"/>
        </w:rPr>
        <w:tab/>
        <w:t xml:space="preserve">Arvanitakis Z, Shah RC, Bennett DA (2019) Diagnosis and Management of Dementia: Review. </w:t>
      </w:r>
      <w:r w:rsidRPr="0036402F">
        <w:rPr>
          <w:rFonts w:ascii="Arial" w:hAnsi="Arial" w:cs="Arial"/>
          <w:i/>
          <w:iCs/>
          <w:sz w:val="24"/>
          <w:lang w:val="en-US"/>
        </w:rPr>
        <w:t>JAMA</w:t>
      </w:r>
      <w:r w:rsidRPr="0036402F">
        <w:rPr>
          <w:rFonts w:ascii="Arial" w:hAnsi="Arial" w:cs="Arial"/>
          <w:sz w:val="24"/>
          <w:lang w:val="en-US"/>
        </w:rPr>
        <w:t xml:space="preserve"> </w:t>
      </w:r>
      <w:r w:rsidRPr="0036402F">
        <w:rPr>
          <w:rFonts w:ascii="Arial" w:hAnsi="Arial" w:cs="Arial"/>
          <w:b/>
          <w:bCs/>
          <w:sz w:val="24"/>
          <w:lang w:val="en-US"/>
        </w:rPr>
        <w:t>322</w:t>
      </w:r>
      <w:r w:rsidRPr="0036402F">
        <w:rPr>
          <w:rFonts w:ascii="Arial" w:hAnsi="Arial" w:cs="Arial"/>
          <w:sz w:val="24"/>
          <w:lang w:val="en-US"/>
        </w:rPr>
        <w:t>, 1589–1599.</w:t>
      </w:r>
    </w:p>
    <w:p w14:paraId="677B8358"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[9] </w:t>
      </w:r>
      <w:r w:rsidRPr="0036402F">
        <w:rPr>
          <w:rFonts w:ascii="Arial" w:hAnsi="Arial" w:cs="Arial"/>
          <w:sz w:val="24"/>
          <w:lang w:val="en-US"/>
        </w:rPr>
        <w:tab/>
        <w:t xml:space="preserve">Cantarero-Prieto D, Leon PL, Blazquez-Fernandez C, Juan PS, Cobo CS (2020) The economic cost of dementia: A systematic review. </w:t>
      </w:r>
      <w:r w:rsidRPr="0036402F">
        <w:rPr>
          <w:rFonts w:ascii="Arial" w:hAnsi="Arial" w:cs="Arial"/>
          <w:i/>
          <w:iCs/>
          <w:sz w:val="24"/>
          <w:lang w:val="en-US"/>
        </w:rPr>
        <w:t>Dementia (London)</w:t>
      </w:r>
      <w:r w:rsidRPr="0036402F">
        <w:rPr>
          <w:rFonts w:ascii="Arial" w:hAnsi="Arial" w:cs="Arial"/>
          <w:sz w:val="24"/>
          <w:lang w:val="en-US"/>
        </w:rPr>
        <w:t xml:space="preserve"> </w:t>
      </w:r>
      <w:r w:rsidRPr="0036402F">
        <w:rPr>
          <w:rFonts w:ascii="Arial" w:hAnsi="Arial" w:cs="Arial"/>
          <w:b/>
          <w:bCs/>
          <w:sz w:val="24"/>
          <w:lang w:val="en-US"/>
        </w:rPr>
        <w:t>19</w:t>
      </w:r>
      <w:r w:rsidRPr="0036402F">
        <w:rPr>
          <w:rFonts w:ascii="Arial" w:hAnsi="Arial" w:cs="Arial"/>
          <w:sz w:val="24"/>
          <w:lang w:val="en-US"/>
        </w:rPr>
        <w:t>, 2637–2657.</w:t>
      </w:r>
    </w:p>
    <w:p w14:paraId="086AAE00"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[10] </w:t>
      </w:r>
      <w:r w:rsidRPr="0036402F">
        <w:rPr>
          <w:rFonts w:ascii="Arial" w:hAnsi="Arial" w:cs="Arial"/>
          <w:sz w:val="24"/>
          <w:lang w:val="en-US"/>
        </w:rPr>
        <w:tab/>
        <w:t xml:space="preserve">Bell SP, Liu D, Samuels LR, Shah AS, Gifford KA, Hohman TJ, Jefferson AL (2017) Late-Life Body Mass Index, Rapid Weight Loss, Apolipoprotein E </w:t>
      </w:r>
      <w:r w:rsidRPr="0036402F">
        <w:rPr>
          <w:rFonts w:ascii="Arial" w:hAnsi="Arial" w:cs="Arial"/>
          <w:sz w:val="24"/>
        </w:rPr>
        <w:t>ε</w:t>
      </w:r>
      <w:r w:rsidRPr="0036402F">
        <w:rPr>
          <w:rFonts w:ascii="Arial" w:hAnsi="Arial" w:cs="Arial"/>
          <w:sz w:val="24"/>
          <w:lang w:val="en-US"/>
        </w:rPr>
        <w:t xml:space="preserve">4 and the Risk of Cognitive Decline and Incident Dementia. </w:t>
      </w:r>
      <w:r w:rsidRPr="0036402F">
        <w:rPr>
          <w:rFonts w:ascii="Arial" w:hAnsi="Arial" w:cs="Arial"/>
          <w:i/>
          <w:iCs/>
          <w:sz w:val="24"/>
          <w:lang w:val="en-US"/>
        </w:rPr>
        <w:t>J Nutr Health Aging</w:t>
      </w:r>
      <w:r w:rsidRPr="0036402F">
        <w:rPr>
          <w:rFonts w:ascii="Arial" w:hAnsi="Arial" w:cs="Arial"/>
          <w:sz w:val="24"/>
          <w:lang w:val="en-US"/>
        </w:rPr>
        <w:t xml:space="preserve"> </w:t>
      </w:r>
      <w:r w:rsidRPr="0036402F">
        <w:rPr>
          <w:rFonts w:ascii="Arial" w:hAnsi="Arial" w:cs="Arial"/>
          <w:b/>
          <w:bCs/>
          <w:sz w:val="24"/>
          <w:lang w:val="en-US"/>
        </w:rPr>
        <w:t>21</w:t>
      </w:r>
      <w:r w:rsidRPr="0036402F">
        <w:rPr>
          <w:rFonts w:ascii="Arial" w:hAnsi="Arial" w:cs="Arial"/>
          <w:sz w:val="24"/>
          <w:lang w:val="en-US"/>
        </w:rPr>
        <w:t>, 1259–1267.</w:t>
      </w:r>
    </w:p>
    <w:p w14:paraId="7FA1E01B"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[11] </w:t>
      </w:r>
      <w:r w:rsidRPr="0036402F">
        <w:rPr>
          <w:rFonts w:ascii="Arial" w:hAnsi="Arial" w:cs="Arial"/>
          <w:sz w:val="24"/>
          <w:lang w:val="en-US"/>
        </w:rPr>
        <w:tab/>
        <w:t xml:space="preserve">Hessler JB, Ander K-H, Brönner M, Etgen T, Förstl H, Poppert H, Sander D, Bickel H (2016) Predicting dementia in primary care patients with a cardiovascular health metric: a prospective population-based study. </w:t>
      </w:r>
      <w:r w:rsidRPr="0036402F">
        <w:rPr>
          <w:rFonts w:ascii="Arial" w:hAnsi="Arial" w:cs="Arial"/>
          <w:i/>
          <w:iCs/>
          <w:sz w:val="24"/>
          <w:lang w:val="en-US"/>
        </w:rPr>
        <w:t>BMC Neurol</w:t>
      </w:r>
      <w:r w:rsidRPr="0036402F">
        <w:rPr>
          <w:rFonts w:ascii="Arial" w:hAnsi="Arial" w:cs="Arial"/>
          <w:sz w:val="24"/>
          <w:lang w:val="en-US"/>
        </w:rPr>
        <w:t xml:space="preserve"> </w:t>
      </w:r>
      <w:r w:rsidRPr="0036402F">
        <w:rPr>
          <w:rFonts w:ascii="Arial" w:hAnsi="Arial" w:cs="Arial"/>
          <w:b/>
          <w:bCs/>
          <w:sz w:val="24"/>
          <w:lang w:val="en-US"/>
        </w:rPr>
        <w:t>16</w:t>
      </w:r>
      <w:r w:rsidRPr="0036402F">
        <w:rPr>
          <w:rFonts w:ascii="Arial" w:hAnsi="Arial" w:cs="Arial"/>
          <w:sz w:val="24"/>
          <w:lang w:val="en-US"/>
        </w:rPr>
        <w:t>, 116.</w:t>
      </w:r>
    </w:p>
    <w:p w14:paraId="001F6F2A"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[12] </w:t>
      </w:r>
      <w:r w:rsidRPr="0036402F">
        <w:rPr>
          <w:rFonts w:ascii="Arial" w:hAnsi="Arial" w:cs="Arial"/>
          <w:sz w:val="24"/>
          <w:lang w:val="en-US"/>
        </w:rPr>
        <w:tab/>
        <w:t xml:space="preserve">Hughes TF, Borenstein AR, Schofield E, Wu Y, Larson EB (2009) Association between late-life body mass index and dementia: The Kame Project. </w:t>
      </w:r>
      <w:r w:rsidRPr="0036402F">
        <w:rPr>
          <w:rFonts w:ascii="Arial" w:hAnsi="Arial" w:cs="Arial"/>
          <w:i/>
          <w:iCs/>
          <w:sz w:val="24"/>
          <w:lang w:val="en-US"/>
        </w:rPr>
        <w:t>Neurology</w:t>
      </w:r>
      <w:r w:rsidRPr="0036402F">
        <w:rPr>
          <w:rFonts w:ascii="Arial" w:hAnsi="Arial" w:cs="Arial"/>
          <w:sz w:val="24"/>
          <w:lang w:val="en-US"/>
        </w:rPr>
        <w:t xml:space="preserve"> </w:t>
      </w:r>
      <w:r w:rsidRPr="0036402F">
        <w:rPr>
          <w:rFonts w:ascii="Arial" w:hAnsi="Arial" w:cs="Arial"/>
          <w:b/>
          <w:bCs/>
          <w:sz w:val="24"/>
          <w:lang w:val="en-US"/>
        </w:rPr>
        <w:t>72</w:t>
      </w:r>
      <w:r w:rsidRPr="0036402F">
        <w:rPr>
          <w:rFonts w:ascii="Arial" w:hAnsi="Arial" w:cs="Arial"/>
          <w:sz w:val="24"/>
          <w:lang w:val="en-US"/>
        </w:rPr>
        <w:t>, 1741–1746.</w:t>
      </w:r>
    </w:p>
    <w:p w14:paraId="50F83B67"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[13] </w:t>
      </w:r>
      <w:r w:rsidRPr="0036402F">
        <w:rPr>
          <w:rFonts w:ascii="Arial" w:hAnsi="Arial" w:cs="Arial"/>
          <w:sz w:val="24"/>
          <w:lang w:val="en-US"/>
        </w:rPr>
        <w:tab/>
        <w:t xml:space="preserve">Kivimäki M, Luukkonen R, Batty GD, Ferrie JE, Pentti J, Nyberg ST, Shipley MJ, Alfredsson L, Fransson EI, Goldberg M, Knutsson A, Koskenvuo M, Kuosma E, Nordin M, Suominen SB, Theorell T, Vuoksimaa E, Westerholm P, Westerlund H, Zins M, Kivipelto M, Vahtera J, Kaprio J, Singh-Manoux A, Jokela M (2018) Body mass index and risk of dementia: Analysis of individual-level data from 1.3 million individuals. </w:t>
      </w:r>
      <w:r w:rsidRPr="0036402F">
        <w:rPr>
          <w:rFonts w:ascii="Arial" w:hAnsi="Arial" w:cs="Arial"/>
          <w:i/>
          <w:iCs/>
          <w:sz w:val="24"/>
          <w:lang w:val="en-US"/>
        </w:rPr>
        <w:t>Alzheimers Dement</w:t>
      </w:r>
      <w:r w:rsidRPr="0036402F">
        <w:rPr>
          <w:rFonts w:ascii="Arial" w:hAnsi="Arial" w:cs="Arial"/>
          <w:sz w:val="24"/>
          <w:lang w:val="en-US"/>
        </w:rPr>
        <w:t xml:space="preserve"> </w:t>
      </w:r>
      <w:r w:rsidRPr="0036402F">
        <w:rPr>
          <w:rFonts w:ascii="Arial" w:hAnsi="Arial" w:cs="Arial"/>
          <w:b/>
          <w:bCs/>
          <w:sz w:val="24"/>
          <w:lang w:val="en-US"/>
        </w:rPr>
        <w:t>14</w:t>
      </w:r>
      <w:r w:rsidRPr="0036402F">
        <w:rPr>
          <w:rFonts w:ascii="Arial" w:hAnsi="Arial" w:cs="Arial"/>
          <w:sz w:val="24"/>
          <w:lang w:val="en-US"/>
        </w:rPr>
        <w:t>, 601–609.</w:t>
      </w:r>
    </w:p>
    <w:p w14:paraId="5E0BD182"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[14] </w:t>
      </w:r>
      <w:r w:rsidRPr="0036402F">
        <w:rPr>
          <w:rFonts w:ascii="Arial" w:hAnsi="Arial" w:cs="Arial"/>
          <w:sz w:val="24"/>
          <w:lang w:val="en-US"/>
        </w:rPr>
        <w:tab/>
        <w:t xml:space="preserve">Neergaard JS, Dragsbæk K, Hansen HB, Henriksen K, Christiansen C, Karsdal MA (2016) Late-Life Risk Factors for All-Cause Dementia and Differential Dementia Diagnoses in Women: A Prospective Cohort Study. </w:t>
      </w:r>
      <w:r w:rsidRPr="0036402F">
        <w:rPr>
          <w:rFonts w:ascii="Arial" w:hAnsi="Arial" w:cs="Arial"/>
          <w:i/>
          <w:iCs/>
          <w:sz w:val="24"/>
          <w:lang w:val="en-US"/>
        </w:rPr>
        <w:t>Medicine (Baltimore)</w:t>
      </w:r>
      <w:r w:rsidRPr="0036402F">
        <w:rPr>
          <w:rFonts w:ascii="Arial" w:hAnsi="Arial" w:cs="Arial"/>
          <w:sz w:val="24"/>
          <w:lang w:val="en-US"/>
        </w:rPr>
        <w:t xml:space="preserve"> </w:t>
      </w:r>
      <w:r w:rsidRPr="0036402F">
        <w:rPr>
          <w:rFonts w:ascii="Arial" w:hAnsi="Arial" w:cs="Arial"/>
          <w:b/>
          <w:bCs/>
          <w:sz w:val="24"/>
          <w:lang w:val="en-US"/>
        </w:rPr>
        <w:t>95</w:t>
      </w:r>
      <w:r w:rsidRPr="0036402F">
        <w:rPr>
          <w:rFonts w:ascii="Arial" w:hAnsi="Arial" w:cs="Arial"/>
          <w:sz w:val="24"/>
          <w:lang w:val="en-US"/>
        </w:rPr>
        <w:t>, e3112.</w:t>
      </w:r>
    </w:p>
    <w:p w14:paraId="06715075"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[15] </w:t>
      </w:r>
      <w:r w:rsidRPr="0036402F">
        <w:rPr>
          <w:rFonts w:ascii="Arial" w:hAnsi="Arial" w:cs="Arial"/>
          <w:sz w:val="24"/>
          <w:lang w:val="en-US"/>
        </w:rPr>
        <w:tab/>
        <w:t xml:space="preserve">Qu Y, Hu H-Y, Ou Y-N, Shen X-N, Xu W, Wang Z-T, Dong Q, Tan L, Yu J-T (2020) Association of body mass index with risk of cognitive impairment and dementia: A systematic review and meta-analysis of prospective studies. </w:t>
      </w:r>
      <w:r w:rsidRPr="0036402F">
        <w:rPr>
          <w:rFonts w:ascii="Arial" w:hAnsi="Arial" w:cs="Arial"/>
          <w:i/>
          <w:iCs/>
          <w:sz w:val="24"/>
          <w:lang w:val="en-US"/>
        </w:rPr>
        <w:t>Neurosci Biobehav Rev</w:t>
      </w:r>
      <w:r w:rsidRPr="0036402F">
        <w:rPr>
          <w:rFonts w:ascii="Arial" w:hAnsi="Arial" w:cs="Arial"/>
          <w:sz w:val="24"/>
          <w:lang w:val="en-US"/>
        </w:rPr>
        <w:t xml:space="preserve"> </w:t>
      </w:r>
      <w:r w:rsidRPr="0036402F">
        <w:rPr>
          <w:rFonts w:ascii="Arial" w:hAnsi="Arial" w:cs="Arial"/>
          <w:b/>
          <w:bCs/>
          <w:sz w:val="24"/>
          <w:lang w:val="en-US"/>
        </w:rPr>
        <w:t>115</w:t>
      </w:r>
      <w:r w:rsidRPr="0036402F">
        <w:rPr>
          <w:rFonts w:ascii="Arial" w:hAnsi="Arial" w:cs="Arial"/>
          <w:sz w:val="24"/>
          <w:lang w:val="en-US"/>
        </w:rPr>
        <w:t>, 189–198.</w:t>
      </w:r>
    </w:p>
    <w:p w14:paraId="44283F04"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[16] </w:t>
      </w:r>
      <w:r w:rsidRPr="0036402F">
        <w:rPr>
          <w:rFonts w:ascii="Arial" w:hAnsi="Arial" w:cs="Arial"/>
          <w:sz w:val="24"/>
          <w:lang w:val="en-US"/>
        </w:rPr>
        <w:tab/>
        <w:t xml:space="preserve">Johansson M, Stomrud E, Lindberg O, Westman E, Johansson PM, van Westen </w:t>
      </w:r>
      <w:r w:rsidRPr="0036402F">
        <w:rPr>
          <w:rFonts w:ascii="Arial" w:hAnsi="Arial" w:cs="Arial"/>
          <w:sz w:val="24"/>
          <w:lang w:val="en-US"/>
        </w:rPr>
        <w:lastRenderedPageBreak/>
        <w:t xml:space="preserve">D, Mattsson N, Hansson O (2020) Apathy and anxiety are early markers of Alzheimer’s disease. </w:t>
      </w:r>
      <w:r w:rsidRPr="0036402F">
        <w:rPr>
          <w:rFonts w:ascii="Arial" w:hAnsi="Arial" w:cs="Arial"/>
          <w:i/>
          <w:iCs/>
          <w:sz w:val="24"/>
          <w:lang w:val="en-US"/>
        </w:rPr>
        <w:t>Neurobiol Aging</w:t>
      </w:r>
      <w:r w:rsidRPr="0036402F">
        <w:rPr>
          <w:rFonts w:ascii="Arial" w:hAnsi="Arial" w:cs="Arial"/>
          <w:sz w:val="24"/>
          <w:lang w:val="en-US"/>
        </w:rPr>
        <w:t xml:space="preserve"> </w:t>
      </w:r>
      <w:r w:rsidRPr="0036402F">
        <w:rPr>
          <w:rFonts w:ascii="Arial" w:hAnsi="Arial" w:cs="Arial"/>
          <w:b/>
          <w:bCs/>
          <w:sz w:val="24"/>
          <w:lang w:val="en-US"/>
        </w:rPr>
        <w:t>85</w:t>
      </w:r>
      <w:r w:rsidRPr="0036402F">
        <w:rPr>
          <w:rFonts w:ascii="Arial" w:hAnsi="Arial" w:cs="Arial"/>
          <w:sz w:val="24"/>
          <w:lang w:val="en-US"/>
        </w:rPr>
        <w:t>, 74–82.</w:t>
      </w:r>
    </w:p>
    <w:p w14:paraId="5706643A"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[17] </w:t>
      </w:r>
      <w:r w:rsidRPr="0036402F">
        <w:rPr>
          <w:rFonts w:ascii="Arial" w:hAnsi="Arial" w:cs="Arial"/>
          <w:sz w:val="24"/>
          <w:lang w:val="en-US"/>
        </w:rPr>
        <w:tab/>
        <w:t xml:space="preserve">Takahashi K, Amemiya K, Nakatsuka M, Nakamura K, Kasai M, Meguro K (2019) Impaired Eating and Swallowing Function in Older Adults in the Community: The Kurihara Project. </w:t>
      </w:r>
      <w:r w:rsidRPr="0036402F">
        <w:rPr>
          <w:rFonts w:ascii="Arial" w:hAnsi="Arial" w:cs="Arial"/>
          <w:i/>
          <w:iCs/>
          <w:sz w:val="24"/>
          <w:lang w:val="en-US"/>
        </w:rPr>
        <w:t>Int J Environ Res Public Health</w:t>
      </w:r>
      <w:r w:rsidRPr="0036402F">
        <w:rPr>
          <w:rFonts w:ascii="Arial" w:hAnsi="Arial" w:cs="Arial"/>
          <w:sz w:val="24"/>
          <w:lang w:val="en-US"/>
        </w:rPr>
        <w:t xml:space="preserve"> </w:t>
      </w:r>
      <w:r w:rsidRPr="0036402F">
        <w:rPr>
          <w:rFonts w:ascii="Arial" w:hAnsi="Arial" w:cs="Arial"/>
          <w:b/>
          <w:bCs/>
          <w:sz w:val="24"/>
          <w:lang w:val="en-US"/>
        </w:rPr>
        <w:t>16</w:t>
      </w:r>
      <w:r w:rsidRPr="0036402F">
        <w:rPr>
          <w:rFonts w:ascii="Arial" w:hAnsi="Arial" w:cs="Arial"/>
          <w:sz w:val="24"/>
          <w:lang w:val="en-US"/>
        </w:rPr>
        <w:t>, E4040.</w:t>
      </w:r>
    </w:p>
    <w:p w14:paraId="2B3FF4DD"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[18] </w:t>
      </w:r>
      <w:r w:rsidRPr="0036402F">
        <w:rPr>
          <w:rFonts w:ascii="Arial" w:hAnsi="Arial" w:cs="Arial"/>
          <w:sz w:val="24"/>
          <w:lang w:val="en-US"/>
        </w:rPr>
        <w:tab/>
        <w:t xml:space="preserve">Djordjevic J, Jones-Gotman M, De Sousa K, Chertkow H (2008) Olfaction in patients with mild cognitive impairment and Alzheimer’s disease. </w:t>
      </w:r>
      <w:r w:rsidRPr="0036402F">
        <w:rPr>
          <w:rFonts w:ascii="Arial" w:hAnsi="Arial" w:cs="Arial"/>
          <w:i/>
          <w:iCs/>
          <w:sz w:val="24"/>
          <w:lang w:val="en-US"/>
        </w:rPr>
        <w:t>Neurobiol Aging</w:t>
      </w:r>
      <w:r w:rsidRPr="0036402F">
        <w:rPr>
          <w:rFonts w:ascii="Arial" w:hAnsi="Arial" w:cs="Arial"/>
          <w:sz w:val="24"/>
          <w:lang w:val="en-US"/>
        </w:rPr>
        <w:t xml:space="preserve"> </w:t>
      </w:r>
      <w:r w:rsidRPr="0036402F">
        <w:rPr>
          <w:rFonts w:ascii="Arial" w:hAnsi="Arial" w:cs="Arial"/>
          <w:b/>
          <w:bCs/>
          <w:sz w:val="24"/>
          <w:lang w:val="en-US"/>
        </w:rPr>
        <w:t>29</w:t>
      </w:r>
      <w:r w:rsidRPr="0036402F">
        <w:rPr>
          <w:rFonts w:ascii="Arial" w:hAnsi="Arial" w:cs="Arial"/>
          <w:sz w:val="24"/>
          <w:lang w:val="en-US"/>
        </w:rPr>
        <w:t>, 693–706.</w:t>
      </w:r>
    </w:p>
    <w:p w14:paraId="4FA19C6C"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[19] </w:t>
      </w:r>
      <w:r w:rsidRPr="0036402F">
        <w:rPr>
          <w:rFonts w:ascii="Arial" w:hAnsi="Arial" w:cs="Arial"/>
          <w:sz w:val="24"/>
          <w:lang w:val="en-US"/>
        </w:rPr>
        <w:tab/>
        <w:t xml:space="preserve">Petrovska S, Dejanova B, Jurisic V (2012) Estrogens: mechanisms of neuroprotective effects. </w:t>
      </w:r>
      <w:r w:rsidRPr="0036402F">
        <w:rPr>
          <w:rFonts w:ascii="Arial" w:hAnsi="Arial" w:cs="Arial"/>
          <w:i/>
          <w:iCs/>
          <w:sz w:val="24"/>
          <w:lang w:val="en-US"/>
        </w:rPr>
        <w:t>J Physiol Biochem</w:t>
      </w:r>
      <w:r w:rsidRPr="0036402F">
        <w:rPr>
          <w:rFonts w:ascii="Arial" w:hAnsi="Arial" w:cs="Arial"/>
          <w:sz w:val="24"/>
          <w:lang w:val="en-US"/>
        </w:rPr>
        <w:t xml:space="preserve"> </w:t>
      </w:r>
      <w:r w:rsidRPr="0036402F">
        <w:rPr>
          <w:rFonts w:ascii="Arial" w:hAnsi="Arial" w:cs="Arial"/>
          <w:b/>
          <w:bCs/>
          <w:sz w:val="24"/>
          <w:lang w:val="en-US"/>
        </w:rPr>
        <w:t>68</w:t>
      </w:r>
      <w:r w:rsidRPr="0036402F">
        <w:rPr>
          <w:rFonts w:ascii="Arial" w:hAnsi="Arial" w:cs="Arial"/>
          <w:sz w:val="24"/>
          <w:lang w:val="en-US"/>
        </w:rPr>
        <w:t>, 455–460.</w:t>
      </w:r>
    </w:p>
    <w:p w14:paraId="05FAC8C9"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[20] </w:t>
      </w:r>
      <w:r w:rsidRPr="0036402F">
        <w:rPr>
          <w:rFonts w:ascii="Arial" w:hAnsi="Arial" w:cs="Arial"/>
          <w:sz w:val="24"/>
          <w:lang w:val="en-US"/>
        </w:rPr>
        <w:tab/>
        <w:t xml:space="preserve">Rathmann W, Bongaerts B, Carius H-J, Kruppert S, Kostev K (2018) Basic characteristics and representativeness of the German Disease Analyzer database. </w:t>
      </w:r>
      <w:r w:rsidRPr="0036402F">
        <w:rPr>
          <w:rFonts w:ascii="Arial" w:hAnsi="Arial" w:cs="Arial"/>
          <w:i/>
          <w:iCs/>
          <w:sz w:val="24"/>
          <w:lang w:val="en-US"/>
        </w:rPr>
        <w:t>Int J Clin Pharmacol Ther</w:t>
      </w:r>
      <w:r w:rsidRPr="0036402F">
        <w:rPr>
          <w:rFonts w:ascii="Arial" w:hAnsi="Arial" w:cs="Arial"/>
          <w:sz w:val="24"/>
          <w:lang w:val="en-US"/>
        </w:rPr>
        <w:t xml:space="preserve"> </w:t>
      </w:r>
      <w:r w:rsidRPr="0036402F">
        <w:rPr>
          <w:rFonts w:ascii="Arial" w:hAnsi="Arial" w:cs="Arial"/>
          <w:b/>
          <w:bCs/>
          <w:sz w:val="24"/>
          <w:lang w:val="en-US"/>
        </w:rPr>
        <w:t>56</w:t>
      </w:r>
      <w:r w:rsidRPr="0036402F">
        <w:rPr>
          <w:rFonts w:ascii="Arial" w:hAnsi="Arial" w:cs="Arial"/>
          <w:sz w:val="24"/>
          <w:lang w:val="en-US"/>
        </w:rPr>
        <w:t>, 459–466.</w:t>
      </w:r>
    </w:p>
    <w:p w14:paraId="00F56991" w14:textId="48432335"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[21] </w:t>
      </w:r>
      <w:r w:rsidRPr="0036402F">
        <w:rPr>
          <w:rFonts w:ascii="Arial" w:hAnsi="Arial" w:cs="Arial"/>
          <w:sz w:val="24"/>
          <w:lang w:val="en-US"/>
        </w:rPr>
        <w:tab/>
        <w:t>Body mass index - BMI, Accessed on 2022</w:t>
      </w:r>
      <w:r w:rsidR="00D33DD7" w:rsidRPr="0036402F">
        <w:rPr>
          <w:rFonts w:ascii="Arial" w:hAnsi="Arial" w:cs="Arial"/>
          <w:sz w:val="24"/>
          <w:lang w:val="en-US"/>
        </w:rPr>
        <w:t>, https://www.euro.who.int/en/health-topics/disease-prevention/nutrition/a-healthy-lifestyle/body-mass-index-bmi</w:t>
      </w:r>
      <w:r w:rsidRPr="0036402F">
        <w:rPr>
          <w:rFonts w:ascii="Arial" w:hAnsi="Arial" w:cs="Arial"/>
          <w:sz w:val="24"/>
          <w:lang w:val="en-US"/>
        </w:rPr>
        <w:t>.</w:t>
      </w:r>
    </w:p>
    <w:p w14:paraId="61DF8909"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[22] </w:t>
      </w:r>
      <w:r w:rsidRPr="0036402F">
        <w:rPr>
          <w:rFonts w:ascii="Arial" w:hAnsi="Arial" w:cs="Arial"/>
          <w:sz w:val="24"/>
          <w:lang w:val="en-US"/>
        </w:rPr>
        <w:tab/>
        <w:t xml:space="preserve">Al Maskari MY, Alnaqdy AA (2006) Correlation between Serum Leptin Levels, Body Mass Index and Obesity in Omanis. </w:t>
      </w:r>
      <w:r w:rsidRPr="0036402F">
        <w:rPr>
          <w:rFonts w:ascii="Arial" w:hAnsi="Arial" w:cs="Arial"/>
          <w:i/>
          <w:iCs/>
          <w:sz w:val="24"/>
          <w:lang w:val="en-US"/>
        </w:rPr>
        <w:t>Sultan Qaboos Univ Med J</w:t>
      </w:r>
      <w:r w:rsidRPr="0036402F">
        <w:rPr>
          <w:rFonts w:ascii="Arial" w:hAnsi="Arial" w:cs="Arial"/>
          <w:sz w:val="24"/>
          <w:lang w:val="en-US"/>
        </w:rPr>
        <w:t xml:space="preserve"> </w:t>
      </w:r>
      <w:r w:rsidRPr="0036402F">
        <w:rPr>
          <w:rFonts w:ascii="Arial" w:hAnsi="Arial" w:cs="Arial"/>
          <w:b/>
          <w:bCs/>
          <w:sz w:val="24"/>
          <w:lang w:val="en-US"/>
        </w:rPr>
        <w:t>6</w:t>
      </w:r>
      <w:r w:rsidRPr="0036402F">
        <w:rPr>
          <w:rFonts w:ascii="Arial" w:hAnsi="Arial" w:cs="Arial"/>
          <w:sz w:val="24"/>
          <w:lang w:val="en-US"/>
        </w:rPr>
        <w:t>, 27–31.</w:t>
      </w:r>
    </w:p>
    <w:p w14:paraId="5799024D"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[23] </w:t>
      </w:r>
      <w:r w:rsidRPr="0036402F">
        <w:rPr>
          <w:rFonts w:ascii="Arial" w:hAnsi="Arial" w:cs="Arial"/>
          <w:sz w:val="24"/>
          <w:lang w:val="en-US"/>
        </w:rPr>
        <w:tab/>
        <w:t xml:space="preserve">Paul RF, Hassan M, Nazar HS, Gillani S, Afzal N, Qayyum I (2011) Effect of body mass index on serum leptin levels. </w:t>
      </w:r>
      <w:r w:rsidRPr="0036402F">
        <w:rPr>
          <w:rFonts w:ascii="Arial" w:hAnsi="Arial" w:cs="Arial"/>
          <w:i/>
          <w:iCs/>
          <w:sz w:val="24"/>
          <w:lang w:val="en-US"/>
        </w:rPr>
        <w:t>J Ayub Med Coll Abbottabad</w:t>
      </w:r>
      <w:r w:rsidRPr="0036402F">
        <w:rPr>
          <w:rFonts w:ascii="Arial" w:hAnsi="Arial" w:cs="Arial"/>
          <w:sz w:val="24"/>
          <w:lang w:val="en-US"/>
        </w:rPr>
        <w:t xml:space="preserve"> </w:t>
      </w:r>
      <w:r w:rsidRPr="0036402F">
        <w:rPr>
          <w:rFonts w:ascii="Arial" w:hAnsi="Arial" w:cs="Arial"/>
          <w:b/>
          <w:bCs/>
          <w:sz w:val="24"/>
          <w:lang w:val="en-US"/>
        </w:rPr>
        <w:t>23</w:t>
      </w:r>
      <w:r w:rsidRPr="0036402F">
        <w:rPr>
          <w:rFonts w:ascii="Arial" w:hAnsi="Arial" w:cs="Arial"/>
          <w:sz w:val="24"/>
          <w:lang w:val="en-US"/>
        </w:rPr>
        <w:t>, 40–43.</w:t>
      </w:r>
    </w:p>
    <w:p w14:paraId="23FA15B9"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[24] </w:t>
      </w:r>
      <w:r w:rsidRPr="0036402F">
        <w:rPr>
          <w:rFonts w:ascii="Arial" w:hAnsi="Arial" w:cs="Arial"/>
          <w:sz w:val="24"/>
          <w:lang w:val="en-US"/>
        </w:rPr>
        <w:tab/>
        <w:t xml:space="preserve">McGregor G, Harvey J (2018) Regulation of Hippocampal Synaptic Function by the Metabolic Hormone, Leptin: Implications for Health and Neurodegenerative Disease. </w:t>
      </w:r>
      <w:r w:rsidRPr="0036402F">
        <w:rPr>
          <w:rFonts w:ascii="Arial" w:hAnsi="Arial" w:cs="Arial"/>
          <w:i/>
          <w:iCs/>
          <w:sz w:val="24"/>
          <w:lang w:val="en-US"/>
        </w:rPr>
        <w:t>Front Cell Neurosci</w:t>
      </w:r>
      <w:r w:rsidRPr="0036402F">
        <w:rPr>
          <w:rFonts w:ascii="Arial" w:hAnsi="Arial" w:cs="Arial"/>
          <w:sz w:val="24"/>
          <w:lang w:val="en-US"/>
        </w:rPr>
        <w:t xml:space="preserve"> </w:t>
      </w:r>
      <w:r w:rsidRPr="0036402F">
        <w:rPr>
          <w:rFonts w:ascii="Arial" w:hAnsi="Arial" w:cs="Arial"/>
          <w:b/>
          <w:bCs/>
          <w:sz w:val="24"/>
          <w:lang w:val="en-US"/>
        </w:rPr>
        <w:t>12</w:t>
      </w:r>
      <w:r w:rsidRPr="0036402F">
        <w:rPr>
          <w:rFonts w:ascii="Arial" w:hAnsi="Arial" w:cs="Arial"/>
          <w:sz w:val="24"/>
          <w:lang w:val="en-US"/>
        </w:rPr>
        <w:t>, 340.</w:t>
      </w:r>
    </w:p>
    <w:p w14:paraId="4C201433"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[25] </w:t>
      </w:r>
      <w:r w:rsidRPr="0036402F">
        <w:rPr>
          <w:rFonts w:ascii="Arial" w:hAnsi="Arial" w:cs="Arial"/>
          <w:sz w:val="24"/>
          <w:lang w:val="en-US"/>
        </w:rPr>
        <w:tab/>
        <w:t xml:space="preserve">Weingarten MFJ, Scholz M, Wohland T, Horn K, Stumvoll M, Kovacs P, Tönjes A (2019) Circulating Oxytocin Is Genetically Determined and Associated With Obesity and Impaired Glucose Tolerance. </w:t>
      </w:r>
      <w:r w:rsidRPr="0036402F">
        <w:rPr>
          <w:rFonts w:ascii="Arial" w:hAnsi="Arial" w:cs="Arial"/>
          <w:i/>
          <w:iCs/>
          <w:sz w:val="24"/>
          <w:lang w:val="en-US"/>
        </w:rPr>
        <w:t>J Clin Endocrinol Metab</w:t>
      </w:r>
      <w:r w:rsidRPr="0036402F">
        <w:rPr>
          <w:rFonts w:ascii="Arial" w:hAnsi="Arial" w:cs="Arial"/>
          <w:sz w:val="24"/>
          <w:lang w:val="en-US"/>
        </w:rPr>
        <w:t xml:space="preserve"> </w:t>
      </w:r>
      <w:r w:rsidRPr="0036402F">
        <w:rPr>
          <w:rFonts w:ascii="Arial" w:hAnsi="Arial" w:cs="Arial"/>
          <w:b/>
          <w:bCs/>
          <w:sz w:val="24"/>
          <w:lang w:val="en-US"/>
        </w:rPr>
        <w:t>104</w:t>
      </w:r>
      <w:r w:rsidRPr="0036402F">
        <w:rPr>
          <w:rFonts w:ascii="Arial" w:hAnsi="Arial" w:cs="Arial"/>
          <w:sz w:val="24"/>
          <w:lang w:val="en-US"/>
        </w:rPr>
        <w:t>, 5621–5632.</w:t>
      </w:r>
    </w:p>
    <w:p w14:paraId="05B3D900"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[26] </w:t>
      </w:r>
      <w:r w:rsidRPr="0036402F">
        <w:rPr>
          <w:rFonts w:ascii="Arial" w:hAnsi="Arial" w:cs="Arial"/>
          <w:sz w:val="24"/>
          <w:lang w:val="en-US"/>
        </w:rPr>
        <w:tab/>
        <w:t xml:space="preserve">Orihashi R, Mizoguchi Y, Imamura Y, Yamada S, Ueno T, Monji A (2020) Oxytocin and elderly MRI-based hippocampus and amygdala volume: a 7-year follow-up study. </w:t>
      </w:r>
      <w:r w:rsidRPr="0036402F">
        <w:rPr>
          <w:rFonts w:ascii="Arial" w:hAnsi="Arial" w:cs="Arial"/>
          <w:i/>
          <w:iCs/>
          <w:sz w:val="24"/>
          <w:lang w:val="en-US"/>
        </w:rPr>
        <w:t>Brain Commun</w:t>
      </w:r>
      <w:r w:rsidRPr="0036402F">
        <w:rPr>
          <w:rFonts w:ascii="Arial" w:hAnsi="Arial" w:cs="Arial"/>
          <w:sz w:val="24"/>
          <w:lang w:val="en-US"/>
        </w:rPr>
        <w:t xml:space="preserve"> </w:t>
      </w:r>
      <w:r w:rsidRPr="0036402F">
        <w:rPr>
          <w:rFonts w:ascii="Arial" w:hAnsi="Arial" w:cs="Arial"/>
          <w:b/>
          <w:bCs/>
          <w:sz w:val="24"/>
          <w:lang w:val="en-US"/>
        </w:rPr>
        <w:t>2</w:t>
      </w:r>
      <w:r w:rsidRPr="0036402F">
        <w:rPr>
          <w:rFonts w:ascii="Arial" w:hAnsi="Arial" w:cs="Arial"/>
          <w:sz w:val="24"/>
          <w:lang w:val="en-US"/>
        </w:rPr>
        <w:t>, fcaa081.</w:t>
      </w:r>
    </w:p>
    <w:p w14:paraId="5F987AC3"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[27] </w:t>
      </w:r>
      <w:r w:rsidRPr="0036402F">
        <w:rPr>
          <w:rFonts w:ascii="Arial" w:hAnsi="Arial" w:cs="Arial"/>
          <w:sz w:val="24"/>
          <w:lang w:val="en-US"/>
        </w:rPr>
        <w:tab/>
        <w:t xml:space="preserve">Wagner M, Helmer C, Tzourio C, Berr C, Proust-Lima C, Samieri C (2018) Evaluation of the Concurrent Trajectories of Cardiometabolic Risk Factors in the 14 Years Before Dementia. </w:t>
      </w:r>
      <w:r w:rsidRPr="0036402F">
        <w:rPr>
          <w:rFonts w:ascii="Arial" w:hAnsi="Arial" w:cs="Arial"/>
          <w:i/>
          <w:iCs/>
          <w:sz w:val="24"/>
          <w:lang w:val="en-US"/>
        </w:rPr>
        <w:t>JAMA Psychiatry</w:t>
      </w:r>
      <w:r w:rsidRPr="0036402F">
        <w:rPr>
          <w:rFonts w:ascii="Arial" w:hAnsi="Arial" w:cs="Arial"/>
          <w:sz w:val="24"/>
          <w:lang w:val="en-US"/>
        </w:rPr>
        <w:t xml:space="preserve"> </w:t>
      </w:r>
      <w:r w:rsidRPr="0036402F">
        <w:rPr>
          <w:rFonts w:ascii="Arial" w:hAnsi="Arial" w:cs="Arial"/>
          <w:b/>
          <w:bCs/>
          <w:sz w:val="24"/>
          <w:lang w:val="en-US"/>
        </w:rPr>
        <w:t>75</w:t>
      </w:r>
      <w:r w:rsidRPr="0036402F">
        <w:rPr>
          <w:rFonts w:ascii="Arial" w:hAnsi="Arial" w:cs="Arial"/>
          <w:sz w:val="24"/>
          <w:lang w:val="en-US"/>
        </w:rPr>
        <w:t>, 1033–1042.</w:t>
      </w:r>
    </w:p>
    <w:p w14:paraId="77AA79A8"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[28] </w:t>
      </w:r>
      <w:r w:rsidRPr="0036402F">
        <w:rPr>
          <w:rFonts w:ascii="Arial" w:hAnsi="Arial" w:cs="Arial"/>
          <w:sz w:val="24"/>
          <w:lang w:val="en-US"/>
        </w:rPr>
        <w:tab/>
        <w:t xml:space="preserve">Yokomichi H, Kondo K, Nagamine Y, Yamagata Z, Kondo N (2020) Dementia risk by combinations of metabolic diseases and body mass index: Japan Gerontological Evaluation Study Cohort Study. </w:t>
      </w:r>
      <w:r w:rsidRPr="0036402F">
        <w:rPr>
          <w:rFonts w:ascii="Arial" w:hAnsi="Arial" w:cs="Arial"/>
          <w:i/>
          <w:iCs/>
          <w:sz w:val="24"/>
          <w:lang w:val="en-US"/>
        </w:rPr>
        <w:t>J Diabetes Investig</w:t>
      </w:r>
      <w:r w:rsidRPr="0036402F">
        <w:rPr>
          <w:rFonts w:ascii="Arial" w:hAnsi="Arial" w:cs="Arial"/>
          <w:sz w:val="24"/>
          <w:lang w:val="en-US"/>
        </w:rPr>
        <w:t xml:space="preserve"> </w:t>
      </w:r>
      <w:r w:rsidRPr="0036402F">
        <w:rPr>
          <w:rFonts w:ascii="Arial" w:hAnsi="Arial" w:cs="Arial"/>
          <w:b/>
          <w:bCs/>
          <w:sz w:val="24"/>
          <w:lang w:val="en-US"/>
        </w:rPr>
        <w:t>11</w:t>
      </w:r>
      <w:r w:rsidRPr="0036402F">
        <w:rPr>
          <w:rFonts w:ascii="Arial" w:hAnsi="Arial" w:cs="Arial"/>
          <w:sz w:val="24"/>
          <w:lang w:val="en-US"/>
        </w:rPr>
        <w:t>, 206–215.</w:t>
      </w:r>
    </w:p>
    <w:p w14:paraId="620A14AB"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[29] </w:t>
      </w:r>
      <w:r w:rsidRPr="0036402F">
        <w:rPr>
          <w:rFonts w:ascii="Arial" w:hAnsi="Arial" w:cs="Arial"/>
          <w:sz w:val="24"/>
          <w:lang w:val="en-US"/>
        </w:rPr>
        <w:tab/>
        <w:t xml:space="preserve">Lavoie HB, Taylor AE, Sharpless JL, Anderson EJ, Strauss CC, Hall JE (1999) Effects of short-term hormone replacement on serum leptin levels in postmenopausal women. </w:t>
      </w:r>
      <w:r w:rsidRPr="0036402F">
        <w:rPr>
          <w:rFonts w:ascii="Arial" w:hAnsi="Arial" w:cs="Arial"/>
          <w:i/>
          <w:iCs/>
          <w:sz w:val="24"/>
          <w:lang w:val="en-US"/>
        </w:rPr>
        <w:t>Clin Endocrinol (Oxf)</w:t>
      </w:r>
      <w:r w:rsidRPr="0036402F">
        <w:rPr>
          <w:rFonts w:ascii="Arial" w:hAnsi="Arial" w:cs="Arial"/>
          <w:sz w:val="24"/>
          <w:lang w:val="en-US"/>
        </w:rPr>
        <w:t xml:space="preserve"> </w:t>
      </w:r>
      <w:r w:rsidRPr="0036402F">
        <w:rPr>
          <w:rFonts w:ascii="Arial" w:hAnsi="Arial" w:cs="Arial"/>
          <w:b/>
          <w:bCs/>
          <w:sz w:val="24"/>
          <w:lang w:val="en-US"/>
        </w:rPr>
        <w:t>51</w:t>
      </w:r>
      <w:r w:rsidRPr="0036402F">
        <w:rPr>
          <w:rFonts w:ascii="Arial" w:hAnsi="Arial" w:cs="Arial"/>
          <w:sz w:val="24"/>
          <w:lang w:val="en-US"/>
        </w:rPr>
        <w:t>, 415–422.</w:t>
      </w:r>
    </w:p>
    <w:p w14:paraId="37C7E107"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[30] </w:t>
      </w:r>
      <w:r w:rsidRPr="0036402F">
        <w:rPr>
          <w:rFonts w:ascii="Arial" w:hAnsi="Arial" w:cs="Arial"/>
          <w:sz w:val="24"/>
          <w:lang w:val="en-US"/>
        </w:rPr>
        <w:tab/>
        <w:t xml:space="preserve">Mannucci E, Ognibene A, Becorpi A, Cremasco F, Pellegrini S, Ottanelli S, Rizzello SM, Massi G, Messeri G, Rotella CM (1998) Relationship between leptin and oestrogens in healthy women. </w:t>
      </w:r>
      <w:r w:rsidRPr="0036402F">
        <w:rPr>
          <w:rFonts w:ascii="Arial" w:hAnsi="Arial" w:cs="Arial"/>
          <w:i/>
          <w:iCs/>
          <w:sz w:val="24"/>
          <w:lang w:val="en-US"/>
        </w:rPr>
        <w:t>Eur J Endocrinol</w:t>
      </w:r>
      <w:r w:rsidRPr="0036402F">
        <w:rPr>
          <w:rFonts w:ascii="Arial" w:hAnsi="Arial" w:cs="Arial"/>
          <w:sz w:val="24"/>
          <w:lang w:val="en-US"/>
        </w:rPr>
        <w:t xml:space="preserve"> </w:t>
      </w:r>
      <w:r w:rsidRPr="0036402F">
        <w:rPr>
          <w:rFonts w:ascii="Arial" w:hAnsi="Arial" w:cs="Arial"/>
          <w:b/>
          <w:bCs/>
          <w:sz w:val="24"/>
          <w:lang w:val="en-US"/>
        </w:rPr>
        <w:t>139</w:t>
      </w:r>
      <w:r w:rsidRPr="0036402F">
        <w:rPr>
          <w:rFonts w:ascii="Arial" w:hAnsi="Arial" w:cs="Arial"/>
          <w:sz w:val="24"/>
          <w:lang w:val="en-US"/>
        </w:rPr>
        <w:t>, 198–201.</w:t>
      </w:r>
    </w:p>
    <w:p w14:paraId="0A109B85"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[31] </w:t>
      </w:r>
      <w:r w:rsidRPr="0036402F">
        <w:rPr>
          <w:rFonts w:ascii="Arial" w:hAnsi="Arial" w:cs="Arial"/>
          <w:sz w:val="24"/>
          <w:lang w:val="en-US"/>
        </w:rPr>
        <w:tab/>
        <w:t xml:space="preserve">Gao Q, Horvath TL (2008) Cross-talk between estrogen and leptin signaling in the hypothalamus. </w:t>
      </w:r>
      <w:r w:rsidRPr="0036402F">
        <w:rPr>
          <w:rFonts w:ascii="Arial" w:hAnsi="Arial" w:cs="Arial"/>
          <w:i/>
          <w:iCs/>
          <w:sz w:val="24"/>
          <w:lang w:val="en-US"/>
        </w:rPr>
        <w:t>Am J Physiol Endocrinol Metab</w:t>
      </w:r>
      <w:r w:rsidRPr="0036402F">
        <w:rPr>
          <w:rFonts w:ascii="Arial" w:hAnsi="Arial" w:cs="Arial"/>
          <w:sz w:val="24"/>
          <w:lang w:val="en-US"/>
        </w:rPr>
        <w:t xml:space="preserve"> </w:t>
      </w:r>
      <w:r w:rsidRPr="0036402F">
        <w:rPr>
          <w:rFonts w:ascii="Arial" w:hAnsi="Arial" w:cs="Arial"/>
          <w:b/>
          <w:bCs/>
          <w:sz w:val="24"/>
          <w:lang w:val="en-US"/>
        </w:rPr>
        <w:t>294</w:t>
      </w:r>
      <w:r w:rsidRPr="0036402F">
        <w:rPr>
          <w:rFonts w:ascii="Arial" w:hAnsi="Arial" w:cs="Arial"/>
          <w:sz w:val="24"/>
          <w:lang w:val="en-US"/>
        </w:rPr>
        <w:t>, E817-826.</w:t>
      </w:r>
    </w:p>
    <w:p w14:paraId="3A2AE5DA"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[32] </w:t>
      </w:r>
      <w:r w:rsidRPr="0036402F">
        <w:rPr>
          <w:rFonts w:ascii="Arial" w:hAnsi="Arial" w:cs="Arial"/>
          <w:sz w:val="24"/>
          <w:lang w:val="en-US"/>
        </w:rPr>
        <w:tab/>
        <w:t xml:space="preserve">Mecawi AS, Vilhena-Franco T, Araujo IG, Reis LC, Elias LLK, Antunes-Rodrigues J (2011) Estradiol potentiates hypothalamic vasopressin and oxytocin neuron activation and hormonal secretion induced by hypovolemic shock. </w:t>
      </w:r>
      <w:r w:rsidRPr="0036402F">
        <w:rPr>
          <w:rFonts w:ascii="Arial" w:hAnsi="Arial" w:cs="Arial"/>
          <w:i/>
          <w:iCs/>
          <w:sz w:val="24"/>
          <w:lang w:val="en-US"/>
        </w:rPr>
        <w:t>Am J Physiol Regul Integr Comp Physiol</w:t>
      </w:r>
      <w:r w:rsidRPr="0036402F">
        <w:rPr>
          <w:rFonts w:ascii="Arial" w:hAnsi="Arial" w:cs="Arial"/>
          <w:sz w:val="24"/>
          <w:lang w:val="en-US"/>
        </w:rPr>
        <w:t xml:space="preserve"> </w:t>
      </w:r>
      <w:r w:rsidRPr="0036402F">
        <w:rPr>
          <w:rFonts w:ascii="Arial" w:hAnsi="Arial" w:cs="Arial"/>
          <w:b/>
          <w:bCs/>
          <w:sz w:val="24"/>
          <w:lang w:val="en-US"/>
        </w:rPr>
        <w:t>301</w:t>
      </w:r>
      <w:r w:rsidRPr="0036402F">
        <w:rPr>
          <w:rFonts w:ascii="Arial" w:hAnsi="Arial" w:cs="Arial"/>
          <w:sz w:val="24"/>
          <w:lang w:val="en-US"/>
        </w:rPr>
        <w:t>, R905-915.</w:t>
      </w:r>
    </w:p>
    <w:p w14:paraId="1AC0C04D"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[33] </w:t>
      </w:r>
      <w:r w:rsidRPr="0036402F">
        <w:rPr>
          <w:rFonts w:ascii="Arial" w:hAnsi="Arial" w:cs="Arial"/>
          <w:sz w:val="24"/>
          <w:lang w:val="en-US"/>
        </w:rPr>
        <w:tab/>
        <w:t xml:space="preserve">Wang H, Ward AR, Morris JF (1995) Oestradiol acutely stimulates exocytosis of oxytocin and vasopressin from dendrites and somata of hypothalamic magnocellular neurons. </w:t>
      </w:r>
      <w:r w:rsidRPr="0036402F">
        <w:rPr>
          <w:rFonts w:ascii="Arial" w:hAnsi="Arial" w:cs="Arial"/>
          <w:i/>
          <w:iCs/>
          <w:sz w:val="24"/>
          <w:lang w:val="en-US"/>
        </w:rPr>
        <w:t>Neuroscience</w:t>
      </w:r>
      <w:r w:rsidRPr="0036402F">
        <w:rPr>
          <w:rFonts w:ascii="Arial" w:hAnsi="Arial" w:cs="Arial"/>
          <w:sz w:val="24"/>
          <w:lang w:val="en-US"/>
        </w:rPr>
        <w:t xml:space="preserve"> </w:t>
      </w:r>
      <w:r w:rsidRPr="0036402F">
        <w:rPr>
          <w:rFonts w:ascii="Arial" w:hAnsi="Arial" w:cs="Arial"/>
          <w:b/>
          <w:bCs/>
          <w:sz w:val="24"/>
          <w:lang w:val="en-US"/>
        </w:rPr>
        <w:t>68</w:t>
      </w:r>
      <w:r w:rsidRPr="0036402F">
        <w:rPr>
          <w:rFonts w:ascii="Arial" w:hAnsi="Arial" w:cs="Arial"/>
          <w:sz w:val="24"/>
          <w:lang w:val="en-US"/>
        </w:rPr>
        <w:t>, 1179–1188.</w:t>
      </w:r>
    </w:p>
    <w:p w14:paraId="6F9E1739"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[34] </w:t>
      </w:r>
      <w:r w:rsidRPr="0036402F">
        <w:rPr>
          <w:rFonts w:ascii="Arial" w:hAnsi="Arial" w:cs="Arial"/>
          <w:sz w:val="24"/>
          <w:lang w:val="en-US"/>
        </w:rPr>
        <w:tab/>
        <w:t xml:space="preserve">Kaze AD, Rosen HN, Paik JM (2018) A meta-analysis of the association </w:t>
      </w:r>
      <w:r w:rsidRPr="0036402F">
        <w:rPr>
          <w:rFonts w:ascii="Arial" w:hAnsi="Arial" w:cs="Arial"/>
          <w:sz w:val="24"/>
          <w:lang w:val="en-US"/>
        </w:rPr>
        <w:lastRenderedPageBreak/>
        <w:t xml:space="preserve">between body mass index and risk of vertebral fracture. </w:t>
      </w:r>
      <w:r w:rsidRPr="0036402F">
        <w:rPr>
          <w:rFonts w:ascii="Arial" w:hAnsi="Arial" w:cs="Arial"/>
          <w:i/>
          <w:iCs/>
          <w:sz w:val="24"/>
          <w:lang w:val="en-US"/>
        </w:rPr>
        <w:t>Osteoporos Int</w:t>
      </w:r>
      <w:r w:rsidRPr="0036402F">
        <w:rPr>
          <w:rFonts w:ascii="Arial" w:hAnsi="Arial" w:cs="Arial"/>
          <w:sz w:val="24"/>
          <w:lang w:val="en-US"/>
        </w:rPr>
        <w:t xml:space="preserve"> </w:t>
      </w:r>
      <w:r w:rsidRPr="0036402F">
        <w:rPr>
          <w:rFonts w:ascii="Arial" w:hAnsi="Arial" w:cs="Arial"/>
          <w:b/>
          <w:bCs/>
          <w:sz w:val="24"/>
          <w:lang w:val="en-US"/>
        </w:rPr>
        <w:t>29</w:t>
      </w:r>
      <w:r w:rsidRPr="0036402F">
        <w:rPr>
          <w:rFonts w:ascii="Arial" w:hAnsi="Arial" w:cs="Arial"/>
          <w:sz w:val="24"/>
          <w:lang w:val="en-US"/>
        </w:rPr>
        <w:t>, 31–39.</w:t>
      </w:r>
    </w:p>
    <w:p w14:paraId="1EEDC9F7"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[35] </w:t>
      </w:r>
      <w:r w:rsidRPr="0036402F">
        <w:rPr>
          <w:rFonts w:ascii="Arial" w:hAnsi="Arial" w:cs="Arial"/>
          <w:sz w:val="24"/>
          <w:lang w:val="en-US"/>
        </w:rPr>
        <w:tab/>
        <w:t xml:space="preserve">Shiomoto K, Babazono A, Harano Y, Fujita T, Jiang P, Kim S-A, Nakashima Y (2021) Effect of body mass index on vertebral and hip fractures in older people and differences according to sex: a retrospective Japanese cohort study. </w:t>
      </w:r>
      <w:r w:rsidRPr="0036402F">
        <w:rPr>
          <w:rFonts w:ascii="Arial" w:hAnsi="Arial" w:cs="Arial"/>
          <w:i/>
          <w:iCs/>
          <w:sz w:val="24"/>
          <w:lang w:val="en-US"/>
        </w:rPr>
        <w:t>BMJ Open</w:t>
      </w:r>
      <w:r w:rsidRPr="0036402F">
        <w:rPr>
          <w:rFonts w:ascii="Arial" w:hAnsi="Arial" w:cs="Arial"/>
          <w:sz w:val="24"/>
          <w:lang w:val="en-US"/>
        </w:rPr>
        <w:t xml:space="preserve"> </w:t>
      </w:r>
      <w:r w:rsidRPr="0036402F">
        <w:rPr>
          <w:rFonts w:ascii="Arial" w:hAnsi="Arial" w:cs="Arial"/>
          <w:b/>
          <w:bCs/>
          <w:sz w:val="24"/>
          <w:lang w:val="en-US"/>
        </w:rPr>
        <w:t>11</w:t>
      </w:r>
      <w:r w:rsidRPr="0036402F">
        <w:rPr>
          <w:rFonts w:ascii="Arial" w:hAnsi="Arial" w:cs="Arial"/>
          <w:sz w:val="24"/>
          <w:lang w:val="en-US"/>
        </w:rPr>
        <w:t>, e049157.</w:t>
      </w:r>
    </w:p>
    <w:p w14:paraId="2369BDB5"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[36] </w:t>
      </w:r>
      <w:r w:rsidRPr="0036402F">
        <w:rPr>
          <w:rFonts w:ascii="Arial" w:hAnsi="Arial" w:cs="Arial"/>
          <w:sz w:val="24"/>
          <w:lang w:val="en-US"/>
        </w:rPr>
        <w:tab/>
        <w:t xml:space="preserve">Tsai C-H, Chuang C-S, Hung C-H, Lin C-L, Sung F-C, Tang C-H, Hsu H-C, Chung C-J (2014) Fracture as an independent risk factor of dementia: a nationwide population-based cohort study. </w:t>
      </w:r>
      <w:r w:rsidRPr="0036402F">
        <w:rPr>
          <w:rFonts w:ascii="Arial" w:hAnsi="Arial" w:cs="Arial"/>
          <w:i/>
          <w:iCs/>
          <w:sz w:val="24"/>
          <w:lang w:val="en-US"/>
        </w:rPr>
        <w:t>Medicine (Baltimore)</w:t>
      </w:r>
      <w:r w:rsidRPr="0036402F">
        <w:rPr>
          <w:rFonts w:ascii="Arial" w:hAnsi="Arial" w:cs="Arial"/>
          <w:sz w:val="24"/>
          <w:lang w:val="en-US"/>
        </w:rPr>
        <w:t xml:space="preserve"> </w:t>
      </w:r>
      <w:r w:rsidRPr="0036402F">
        <w:rPr>
          <w:rFonts w:ascii="Arial" w:hAnsi="Arial" w:cs="Arial"/>
          <w:b/>
          <w:bCs/>
          <w:sz w:val="24"/>
          <w:lang w:val="en-US"/>
        </w:rPr>
        <w:t>93</w:t>
      </w:r>
      <w:r w:rsidRPr="0036402F">
        <w:rPr>
          <w:rFonts w:ascii="Arial" w:hAnsi="Arial" w:cs="Arial"/>
          <w:sz w:val="24"/>
          <w:lang w:val="en-US"/>
        </w:rPr>
        <w:t>, e188.</w:t>
      </w:r>
    </w:p>
    <w:p w14:paraId="2A9F8C57"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[37] </w:t>
      </w:r>
      <w:r w:rsidRPr="0036402F">
        <w:rPr>
          <w:rFonts w:ascii="Arial" w:hAnsi="Arial" w:cs="Arial"/>
          <w:sz w:val="24"/>
          <w:lang w:val="en-US"/>
        </w:rPr>
        <w:tab/>
        <w:t xml:space="preserve">Kang M, Sohn S-J, Shin M-H (2020) Association between Body Mass Index and Prevalence of Asthma in Korean Adults. </w:t>
      </w:r>
      <w:r w:rsidRPr="0036402F">
        <w:rPr>
          <w:rFonts w:ascii="Arial" w:hAnsi="Arial" w:cs="Arial"/>
          <w:i/>
          <w:iCs/>
          <w:sz w:val="24"/>
          <w:lang w:val="en-US"/>
        </w:rPr>
        <w:t>Chonnam Med J</w:t>
      </w:r>
      <w:r w:rsidRPr="0036402F">
        <w:rPr>
          <w:rFonts w:ascii="Arial" w:hAnsi="Arial" w:cs="Arial"/>
          <w:sz w:val="24"/>
          <w:lang w:val="en-US"/>
        </w:rPr>
        <w:t xml:space="preserve"> </w:t>
      </w:r>
      <w:r w:rsidRPr="0036402F">
        <w:rPr>
          <w:rFonts w:ascii="Arial" w:hAnsi="Arial" w:cs="Arial"/>
          <w:b/>
          <w:bCs/>
          <w:sz w:val="24"/>
          <w:lang w:val="en-US"/>
        </w:rPr>
        <w:t>56</w:t>
      </w:r>
      <w:r w:rsidRPr="0036402F">
        <w:rPr>
          <w:rFonts w:ascii="Arial" w:hAnsi="Arial" w:cs="Arial"/>
          <w:sz w:val="24"/>
          <w:lang w:val="en-US"/>
        </w:rPr>
        <w:t>, 62–67.</w:t>
      </w:r>
    </w:p>
    <w:p w14:paraId="45D7B94D"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[38] </w:t>
      </w:r>
      <w:r w:rsidRPr="0036402F">
        <w:rPr>
          <w:rFonts w:ascii="Arial" w:hAnsi="Arial" w:cs="Arial"/>
          <w:sz w:val="24"/>
          <w:lang w:val="en-US"/>
        </w:rPr>
        <w:tab/>
        <w:t xml:space="preserve">Park S, Jung S-Y, Kwon J-W (2019) Sex differences in the association between asthma incidence and modifiable risk factors in Korean middle-aged and older adults: NHIS-HEALS 10-year cohort. </w:t>
      </w:r>
      <w:r w:rsidRPr="0036402F">
        <w:rPr>
          <w:rFonts w:ascii="Arial" w:hAnsi="Arial" w:cs="Arial"/>
          <w:i/>
          <w:iCs/>
          <w:sz w:val="24"/>
          <w:lang w:val="en-US"/>
        </w:rPr>
        <w:t>BMC Pulm Med</w:t>
      </w:r>
      <w:r w:rsidRPr="0036402F">
        <w:rPr>
          <w:rFonts w:ascii="Arial" w:hAnsi="Arial" w:cs="Arial"/>
          <w:sz w:val="24"/>
          <w:lang w:val="en-US"/>
        </w:rPr>
        <w:t xml:space="preserve"> </w:t>
      </w:r>
      <w:r w:rsidRPr="0036402F">
        <w:rPr>
          <w:rFonts w:ascii="Arial" w:hAnsi="Arial" w:cs="Arial"/>
          <w:b/>
          <w:bCs/>
          <w:sz w:val="24"/>
          <w:lang w:val="en-US"/>
        </w:rPr>
        <w:t>19</w:t>
      </w:r>
      <w:r w:rsidRPr="0036402F">
        <w:rPr>
          <w:rFonts w:ascii="Arial" w:hAnsi="Arial" w:cs="Arial"/>
          <w:sz w:val="24"/>
          <w:lang w:val="en-US"/>
        </w:rPr>
        <w:t>, 248.</w:t>
      </w:r>
    </w:p>
    <w:p w14:paraId="7FEC94B0"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[39] </w:t>
      </w:r>
      <w:r w:rsidRPr="0036402F">
        <w:rPr>
          <w:rFonts w:ascii="Arial" w:hAnsi="Arial" w:cs="Arial"/>
          <w:sz w:val="24"/>
          <w:lang w:val="en-US"/>
        </w:rPr>
        <w:tab/>
        <w:t xml:space="preserve">Chen M-H, Li C-T, Tsai C-F, Lin W-C, Chang W-H, Chen T-J, Pan T-L, Su T-P, Bai Y-M (2014) Risk of dementia among patients with asthma: a nationwide longitudinal study. </w:t>
      </w:r>
      <w:r w:rsidRPr="0036402F">
        <w:rPr>
          <w:rFonts w:ascii="Arial" w:hAnsi="Arial" w:cs="Arial"/>
          <w:i/>
          <w:iCs/>
          <w:sz w:val="24"/>
          <w:lang w:val="en-US"/>
        </w:rPr>
        <w:t>J Am Med Dir Assoc</w:t>
      </w:r>
      <w:r w:rsidRPr="0036402F">
        <w:rPr>
          <w:rFonts w:ascii="Arial" w:hAnsi="Arial" w:cs="Arial"/>
          <w:sz w:val="24"/>
          <w:lang w:val="en-US"/>
        </w:rPr>
        <w:t xml:space="preserve"> </w:t>
      </w:r>
      <w:r w:rsidRPr="0036402F">
        <w:rPr>
          <w:rFonts w:ascii="Arial" w:hAnsi="Arial" w:cs="Arial"/>
          <w:b/>
          <w:bCs/>
          <w:sz w:val="24"/>
          <w:lang w:val="en-US"/>
        </w:rPr>
        <w:t>15</w:t>
      </w:r>
      <w:r w:rsidRPr="0036402F">
        <w:rPr>
          <w:rFonts w:ascii="Arial" w:hAnsi="Arial" w:cs="Arial"/>
          <w:sz w:val="24"/>
          <w:lang w:val="en-US"/>
        </w:rPr>
        <w:t>, 763–767.</w:t>
      </w:r>
    </w:p>
    <w:p w14:paraId="32111C59"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[40] </w:t>
      </w:r>
      <w:r w:rsidRPr="0036402F">
        <w:rPr>
          <w:rFonts w:ascii="Arial" w:hAnsi="Arial" w:cs="Arial"/>
          <w:sz w:val="24"/>
          <w:lang w:val="en-US"/>
        </w:rPr>
        <w:tab/>
        <w:t xml:space="preserve">An R, Shi Y (2015) Body weight status and onset of functional limitations in U.S. middle-aged and older adults. </w:t>
      </w:r>
      <w:r w:rsidRPr="0036402F">
        <w:rPr>
          <w:rFonts w:ascii="Arial" w:hAnsi="Arial" w:cs="Arial"/>
          <w:i/>
          <w:iCs/>
          <w:sz w:val="24"/>
          <w:lang w:val="en-US"/>
        </w:rPr>
        <w:t>Disabil Health J</w:t>
      </w:r>
      <w:r w:rsidRPr="0036402F">
        <w:rPr>
          <w:rFonts w:ascii="Arial" w:hAnsi="Arial" w:cs="Arial"/>
          <w:sz w:val="24"/>
          <w:lang w:val="en-US"/>
        </w:rPr>
        <w:t xml:space="preserve"> </w:t>
      </w:r>
      <w:r w:rsidRPr="0036402F">
        <w:rPr>
          <w:rFonts w:ascii="Arial" w:hAnsi="Arial" w:cs="Arial"/>
          <w:b/>
          <w:bCs/>
          <w:sz w:val="24"/>
          <w:lang w:val="en-US"/>
        </w:rPr>
        <w:t>8</w:t>
      </w:r>
      <w:r w:rsidRPr="0036402F">
        <w:rPr>
          <w:rFonts w:ascii="Arial" w:hAnsi="Arial" w:cs="Arial"/>
          <w:sz w:val="24"/>
          <w:lang w:val="en-US"/>
        </w:rPr>
        <w:t>, 336–344.</w:t>
      </w:r>
    </w:p>
    <w:p w14:paraId="55795846"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[41] </w:t>
      </w:r>
      <w:r w:rsidRPr="0036402F">
        <w:rPr>
          <w:rFonts w:ascii="Arial" w:hAnsi="Arial" w:cs="Arial"/>
          <w:sz w:val="24"/>
          <w:lang w:val="en-US"/>
        </w:rPr>
        <w:tab/>
        <w:t xml:space="preserve">Wu B, Toseef MU, Stickel AM, González HM, Tarraf W (2021) Associations Between Midlife Functional Limitations and Self-Reported Health and Cognitive Status: Results from the 1998-2016 Health and Retirement Study. </w:t>
      </w:r>
      <w:r w:rsidRPr="0036402F">
        <w:rPr>
          <w:rFonts w:ascii="Arial" w:hAnsi="Arial" w:cs="Arial"/>
          <w:i/>
          <w:iCs/>
          <w:sz w:val="24"/>
          <w:lang w:val="en-US"/>
        </w:rPr>
        <w:t>J Alzheimers Dis</w:t>
      </w:r>
      <w:r w:rsidRPr="0036402F">
        <w:rPr>
          <w:rFonts w:ascii="Arial" w:hAnsi="Arial" w:cs="Arial"/>
          <w:sz w:val="24"/>
          <w:lang w:val="en-US"/>
        </w:rPr>
        <w:t>.</w:t>
      </w:r>
    </w:p>
    <w:p w14:paraId="2B3C5C62"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[42] </w:t>
      </w:r>
      <w:r w:rsidRPr="0036402F">
        <w:rPr>
          <w:rFonts w:ascii="Arial" w:hAnsi="Arial" w:cs="Arial"/>
          <w:sz w:val="24"/>
          <w:lang w:val="en-US"/>
        </w:rPr>
        <w:tab/>
        <w:t xml:space="preserve">Merrill RM, Fowers R (2019) To what extent does sex, age and BMI impact medical and pharmacy costs? A retrospective cohort study involving employees in a large school district in the USA. </w:t>
      </w:r>
      <w:r w:rsidRPr="0036402F">
        <w:rPr>
          <w:rFonts w:ascii="Arial" w:hAnsi="Arial" w:cs="Arial"/>
          <w:i/>
          <w:iCs/>
          <w:sz w:val="24"/>
          <w:lang w:val="en-US"/>
        </w:rPr>
        <w:t>BMJ Open</w:t>
      </w:r>
      <w:r w:rsidRPr="0036402F">
        <w:rPr>
          <w:rFonts w:ascii="Arial" w:hAnsi="Arial" w:cs="Arial"/>
          <w:sz w:val="24"/>
          <w:lang w:val="en-US"/>
        </w:rPr>
        <w:t xml:space="preserve"> </w:t>
      </w:r>
      <w:r w:rsidRPr="0036402F">
        <w:rPr>
          <w:rFonts w:ascii="Arial" w:hAnsi="Arial" w:cs="Arial"/>
          <w:b/>
          <w:bCs/>
          <w:sz w:val="24"/>
          <w:lang w:val="en-US"/>
        </w:rPr>
        <w:t>9</w:t>
      </w:r>
      <w:r w:rsidRPr="0036402F">
        <w:rPr>
          <w:rFonts w:ascii="Arial" w:hAnsi="Arial" w:cs="Arial"/>
          <w:sz w:val="24"/>
          <w:lang w:val="en-US"/>
        </w:rPr>
        <w:t>, e024078.</w:t>
      </w:r>
    </w:p>
    <w:p w14:paraId="45B0E51B"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[43] </w:t>
      </w:r>
      <w:r w:rsidRPr="0036402F">
        <w:rPr>
          <w:rFonts w:ascii="Arial" w:hAnsi="Arial" w:cs="Arial"/>
          <w:sz w:val="24"/>
          <w:lang w:val="en-US"/>
        </w:rPr>
        <w:tab/>
        <w:t xml:space="preserve">Anstey KJ, Peters R, Mortby ME, Kiely KM, Eramudugolla R, Cherbuin N, Huque MH, Dixon RA (2021) Association of sex differences in dementia risk factors with sex differences in memory decline in a population-based cohort spanning 20-76 years. </w:t>
      </w:r>
      <w:r w:rsidRPr="0036402F">
        <w:rPr>
          <w:rFonts w:ascii="Arial" w:hAnsi="Arial" w:cs="Arial"/>
          <w:i/>
          <w:iCs/>
          <w:sz w:val="24"/>
          <w:lang w:val="en-US"/>
        </w:rPr>
        <w:t>Sci Rep</w:t>
      </w:r>
      <w:r w:rsidRPr="0036402F">
        <w:rPr>
          <w:rFonts w:ascii="Arial" w:hAnsi="Arial" w:cs="Arial"/>
          <w:sz w:val="24"/>
          <w:lang w:val="en-US"/>
        </w:rPr>
        <w:t xml:space="preserve"> </w:t>
      </w:r>
      <w:r w:rsidRPr="0036402F">
        <w:rPr>
          <w:rFonts w:ascii="Arial" w:hAnsi="Arial" w:cs="Arial"/>
          <w:b/>
          <w:bCs/>
          <w:sz w:val="24"/>
          <w:lang w:val="en-US"/>
        </w:rPr>
        <w:t>11</w:t>
      </w:r>
      <w:r w:rsidRPr="0036402F">
        <w:rPr>
          <w:rFonts w:ascii="Arial" w:hAnsi="Arial" w:cs="Arial"/>
          <w:sz w:val="24"/>
          <w:lang w:val="en-US"/>
        </w:rPr>
        <w:t>, 7710.</w:t>
      </w:r>
    </w:p>
    <w:p w14:paraId="2E521DEB"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[44] </w:t>
      </w:r>
      <w:r w:rsidRPr="0036402F">
        <w:rPr>
          <w:rFonts w:ascii="Arial" w:hAnsi="Arial" w:cs="Arial"/>
          <w:sz w:val="24"/>
          <w:lang w:val="en-US"/>
        </w:rPr>
        <w:tab/>
        <w:t xml:space="preserve">Mayeda ER (2019) Invited Commentary: Examining Sex/Gender Differences in Risk of Alzheimer Disease and Related Dementias-Challenges and Future Directions. </w:t>
      </w:r>
      <w:r w:rsidRPr="0036402F">
        <w:rPr>
          <w:rFonts w:ascii="Arial" w:hAnsi="Arial" w:cs="Arial"/>
          <w:i/>
          <w:iCs/>
          <w:sz w:val="24"/>
          <w:lang w:val="en-US"/>
        </w:rPr>
        <w:t>Am J Epidemiol</w:t>
      </w:r>
      <w:r w:rsidRPr="0036402F">
        <w:rPr>
          <w:rFonts w:ascii="Arial" w:hAnsi="Arial" w:cs="Arial"/>
          <w:sz w:val="24"/>
          <w:lang w:val="en-US"/>
        </w:rPr>
        <w:t xml:space="preserve"> </w:t>
      </w:r>
      <w:r w:rsidRPr="0036402F">
        <w:rPr>
          <w:rFonts w:ascii="Arial" w:hAnsi="Arial" w:cs="Arial"/>
          <w:b/>
          <w:bCs/>
          <w:sz w:val="24"/>
          <w:lang w:val="en-US"/>
        </w:rPr>
        <w:t>188</w:t>
      </w:r>
      <w:r w:rsidRPr="0036402F">
        <w:rPr>
          <w:rFonts w:ascii="Arial" w:hAnsi="Arial" w:cs="Arial"/>
          <w:sz w:val="24"/>
          <w:lang w:val="en-US"/>
        </w:rPr>
        <w:t>, 1224–1227.</w:t>
      </w:r>
    </w:p>
    <w:p w14:paraId="1F52836F"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[45] </w:t>
      </w:r>
      <w:r w:rsidRPr="0036402F">
        <w:rPr>
          <w:rFonts w:ascii="Arial" w:hAnsi="Arial" w:cs="Arial"/>
          <w:sz w:val="24"/>
          <w:lang w:val="en-US"/>
        </w:rPr>
        <w:tab/>
        <w:t xml:space="preserve">Janghorbani M, Amini M, Rezvanian H, Gouya M-M, Delavari A, Alikhani S, Mahdavi A (2008) Association of body mass index and abdominal obesity with marital status in adults. </w:t>
      </w:r>
      <w:r w:rsidRPr="0036402F">
        <w:rPr>
          <w:rFonts w:ascii="Arial" w:hAnsi="Arial" w:cs="Arial"/>
          <w:i/>
          <w:iCs/>
          <w:sz w:val="24"/>
          <w:lang w:val="en-US"/>
        </w:rPr>
        <w:t>Arch Iran Med</w:t>
      </w:r>
      <w:r w:rsidRPr="0036402F">
        <w:rPr>
          <w:rFonts w:ascii="Arial" w:hAnsi="Arial" w:cs="Arial"/>
          <w:sz w:val="24"/>
          <w:lang w:val="en-US"/>
        </w:rPr>
        <w:t xml:space="preserve"> </w:t>
      </w:r>
      <w:r w:rsidRPr="0036402F">
        <w:rPr>
          <w:rFonts w:ascii="Arial" w:hAnsi="Arial" w:cs="Arial"/>
          <w:b/>
          <w:bCs/>
          <w:sz w:val="24"/>
          <w:lang w:val="en-US"/>
        </w:rPr>
        <w:t>11</w:t>
      </w:r>
      <w:r w:rsidRPr="0036402F">
        <w:rPr>
          <w:rFonts w:ascii="Arial" w:hAnsi="Arial" w:cs="Arial"/>
          <w:sz w:val="24"/>
          <w:lang w:val="en-US"/>
        </w:rPr>
        <w:t>, 274–281.</w:t>
      </w:r>
    </w:p>
    <w:p w14:paraId="3B89029B"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[46] </w:t>
      </w:r>
      <w:r w:rsidRPr="0036402F">
        <w:rPr>
          <w:rFonts w:ascii="Arial" w:hAnsi="Arial" w:cs="Arial"/>
          <w:sz w:val="24"/>
          <w:lang w:val="en-US"/>
        </w:rPr>
        <w:tab/>
        <w:t xml:space="preserve">Najar J, Aakre JA, Vassilaki M, Wetterberg H, Rydén L, Zettergren A, Skoog I, Jack CR, Knopman DS, Petersen RC, Kern S, Mielke MM (2021) Sex Difference in the Relation Between Marital Status and Dementia Risk in Two Population-Based Cohorts. </w:t>
      </w:r>
      <w:r w:rsidRPr="0036402F">
        <w:rPr>
          <w:rFonts w:ascii="Arial" w:hAnsi="Arial" w:cs="Arial"/>
          <w:i/>
          <w:iCs/>
          <w:sz w:val="24"/>
          <w:lang w:val="en-US"/>
        </w:rPr>
        <w:t>J Alzheimers Dis</w:t>
      </w:r>
      <w:r w:rsidRPr="0036402F">
        <w:rPr>
          <w:rFonts w:ascii="Arial" w:hAnsi="Arial" w:cs="Arial"/>
          <w:sz w:val="24"/>
          <w:lang w:val="en-US"/>
        </w:rPr>
        <w:t xml:space="preserve"> </w:t>
      </w:r>
      <w:r w:rsidRPr="0036402F">
        <w:rPr>
          <w:rFonts w:ascii="Arial" w:hAnsi="Arial" w:cs="Arial"/>
          <w:b/>
          <w:bCs/>
          <w:sz w:val="24"/>
          <w:lang w:val="en-US"/>
        </w:rPr>
        <w:t>83</w:t>
      </w:r>
      <w:r w:rsidRPr="0036402F">
        <w:rPr>
          <w:rFonts w:ascii="Arial" w:hAnsi="Arial" w:cs="Arial"/>
          <w:sz w:val="24"/>
          <w:lang w:val="en-US"/>
        </w:rPr>
        <w:t>, 1269–1279.</w:t>
      </w:r>
    </w:p>
    <w:p w14:paraId="1235C084" w14:textId="77777777" w:rsidR="009456CE" w:rsidRPr="0036402F" w:rsidRDefault="009456CE" w:rsidP="00D33DD7">
      <w:pPr>
        <w:widowControl w:val="0"/>
        <w:autoSpaceDE w:val="0"/>
        <w:autoSpaceDN w:val="0"/>
        <w:adjustRightInd w:val="0"/>
        <w:jc w:val="both"/>
        <w:rPr>
          <w:rFonts w:ascii="Arial" w:hAnsi="Arial" w:cs="Arial"/>
          <w:sz w:val="24"/>
          <w:lang w:val="en-US"/>
        </w:rPr>
      </w:pPr>
      <w:r w:rsidRPr="0036402F">
        <w:rPr>
          <w:rFonts w:ascii="Arial" w:hAnsi="Arial" w:cs="Arial"/>
          <w:sz w:val="24"/>
          <w:lang w:val="en-US"/>
        </w:rPr>
        <w:t xml:space="preserve">[47] </w:t>
      </w:r>
      <w:r w:rsidRPr="0036402F">
        <w:rPr>
          <w:rFonts w:ascii="Arial" w:hAnsi="Arial" w:cs="Arial"/>
          <w:sz w:val="24"/>
          <w:lang w:val="en-US"/>
        </w:rPr>
        <w:tab/>
        <w:t xml:space="preserve">Alibhai SMH, Greenwood C, Payette H (2005) An approach to the management of unintentional weight loss in elderly people. </w:t>
      </w:r>
      <w:r w:rsidRPr="0036402F">
        <w:rPr>
          <w:rFonts w:ascii="Arial" w:hAnsi="Arial" w:cs="Arial"/>
          <w:i/>
          <w:iCs/>
          <w:sz w:val="24"/>
          <w:lang w:val="en-US"/>
        </w:rPr>
        <w:t>CMAJ</w:t>
      </w:r>
      <w:r w:rsidRPr="0036402F">
        <w:rPr>
          <w:rFonts w:ascii="Arial" w:hAnsi="Arial" w:cs="Arial"/>
          <w:sz w:val="24"/>
          <w:lang w:val="en-US"/>
        </w:rPr>
        <w:t xml:space="preserve"> </w:t>
      </w:r>
      <w:r w:rsidRPr="0036402F">
        <w:rPr>
          <w:rFonts w:ascii="Arial" w:hAnsi="Arial" w:cs="Arial"/>
          <w:b/>
          <w:bCs/>
          <w:sz w:val="24"/>
          <w:lang w:val="en-US"/>
        </w:rPr>
        <w:t>172</w:t>
      </w:r>
      <w:r w:rsidRPr="0036402F">
        <w:rPr>
          <w:rFonts w:ascii="Arial" w:hAnsi="Arial" w:cs="Arial"/>
          <w:sz w:val="24"/>
          <w:lang w:val="en-US"/>
        </w:rPr>
        <w:t>, 773–780.</w:t>
      </w:r>
    </w:p>
    <w:p w14:paraId="33273104" w14:textId="77777777" w:rsidR="009456CE" w:rsidRPr="0036402F" w:rsidRDefault="009456CE" w:rsidP="00D33DD7">
      <w:pPr>
        <w:widowControl w:val="0"/>
        <w:autoSpaceDE w:val="0"/>
        <w:autoSpaceDN w:val="0"/>
        <w:adjustRightInd w:val="0"/>
        <w:jc w:val="both"/>
        <w:rPr>
          <w:rFonts w:ascii="Arial" w:hAnsi="Arial" w:cs="Arial"/>
          <w:sz w:val="24"/>
        </w:rPr>
      </w:pPr>
      <w:r w:rsidRPr="0036402F">
        <w:rPr>
          <w:rFonts w:ascii="Arial" w:hAnsi="Arial" w:cs="Arial"/>
          <w:sz w:val="24"/>
          <w:lang w:val="en-US"/>
        </w:rPr>
        <w:t xml:space="preserve">[48] </w:t>
      </w:r>
      <w:r w:rsidRPr="0036402F">
        <w:rPr>
          <w:rFonts w:ascii="Arial" w:hAnsi="Arial" w:cs="Arial"/>
          <w:sz w:val="24"/>
          <w:lang w:val="en-US"/>
        </w:rPr>
        <w:tab/>
        <w:t xml:space="preserve">Moser VA, Pike CJ (2016) Obesity and sex interact in the regulation of Alzheimer’s disease. </w:t>
      </w:r>
      <w:r w:rsidRPr="0036402F">
        <w:rPr>
          <w:rFonts w:ascii="Arial" w:hAnsi="Arial" w:cs="Arial"/>
          <w:i/>
          <w:iCs/>
          <w:sz w:val="24"/>
        </w:rPr>
        <w:t>Neurosci Biobehav Rev</w:t>
      </w:r>
      <w:r w:rsidRPr="0036402F">
        <w:rPr>
          <w:rFonts w:ascii="Arial" w:hAnsi="Arial" w:cs="Arial"/>
          <w:sz w:val="24"/>
        </w:rPr>
        <w:t xml:space="preserve"> </w:t>
      </w:r>
      <w:r w:rsidRPr="0036402F">
        <w:rPr>
          <w:rFonts w:ascii="Arial" w:hAnsi="Arial" w:cs="Arial"/>
          <w:b/>
          <w:bCs/>
          <w:sz w:val="24"/>
        </w:rPr>
        <w:t>67</w:t>
      </w:r>
      <w:r w:rsidRPr="0036402F">
        <w:rPr>
          <w:rFonts w:ascii="Arial" w:hAnsi="Arial" w:cs="Arial"/>
          <w:sz w:val="24"/>
        </w:rPr>
        <w:t>, 102–118.</w:t>
      </w:r>
    </w:p>
    <w:p w14:paraId="7923FF1E" w14:textId="5E09EECC" w:rsidR="00C73999" w:rsidRPr="0036402F" w:rsidRDefault="001B79D6" w:rsidP="00D33DD7">
      <w:pPr>
        <w:spacing w:line="480" w:lineRule="auto"/>
        <w:jc w:val="both"/>
        <w:rPr>
          <w:rFonts w:ascii="Arial" w:hAnsi="Arial" w:cs="Arial"/>
          <w:sz w:val="24"/>
          <w:szCs w:val="24"/>
          <w:lang w:val="en-US"/>
        </w:rPr>
      </w:pPr>
      <w:r w:rsidRPr="0036402F">
        <w:rPr>
          <w:rFonts w:ascii="Arial" w:hAnsi="Arial" w:cs="Arial"/>
          <w:sz w:val="24"/>
          <w:szCs w:val="24"/>
          <w:lang w:val="en-US"/>
        </w:rPr>
        <w:fldChar w:fldCharType="end"/>
      </w:r>
    </w:p>
    <w:p w14:paraId="7B252D41" w14:textId="77777777" w:rsidR="00C73999" w:rsidRPr="0036402F" w:rsidRDefault="00C73999" w:rsidP="00D33DD7">
      <w:pPr>
        <w:jc w:val="both"/>
        <w:rPr>
          <w:rFonts w:ascii="Arial" w:hAnsi="Arial" w:cs="Arial"/>
          <w:sz w:val="24"/>
          <w:szCs w:val="24"/>
          <w:lang w:val="en-US"/>
        </w:rPr>
      </w:pPr>
      <w:r w:rsidRPr="0036402F">
        <w:rPr>
          <w:rFonts w:ascii="Arial" w:hAnsi="Arial" w:cs="Arial"/>
          <w:sz w:val="24"/>
          <w:szCs w:val="24"/>
          <w:lang w:val="en-US"/>
        </w:rPr>
        <w:br w:type="page"/>
      </w:r>
    </w:p>
    <w:p w14:paraId="3E16CF1C" w14:textId="77777777" w:rsidR="00346A37" w:rsidRDefault="00346A37" w:rsidP="00346A37">
      <w:pPr>
        <w:pStyle w:val="Heading1"/>
      </w:pPr>
      <w:r>
        <w:lastRenderedPageBreak/>
        <w:t>Tables and Figures</w:t>
      </w:r>
    </w:p>
    <w:p w14:paraId="2AEF3881" w14:textId="5980D276" w:rsidR="00F44002" w:rsidRPr="0036402F" w:rsidRDefault="00F44002" w:rsidP="00F86165">
      <w:pPr>
        <w:spacing w:line="480" w:lineRule="auto"/>
        <w:jc w:val="both"/>
        <w:rPr>
          <w:rFonts w:ascii="Arial" w:hAnsi="Arial" w:cs="Arial"/>
          <w:sz w:val="24"/>
          <w:szCs w:val="24"/>
          <w:lang w:val="en-US"/>
        </w:rPr>
      </w:pPr>
      <w:r w:rsidRPr="0036402F">
        <w:rPr>
          <w:rFonts w:ascii="Arial" w:hAnsi="Arial" w:cs="Arial"/>
          <w:b/>
          <w:sz w:val="24"/>
          <w:szCs w:val="24"/>
          <w:lang w:val="en-US"/>
        </w:rPr>
        <w:t>Table 1</w:t>
      </w:r>
      <w:r w:rsidR="00F3206E" w:rsidRPr="0036402F">
        <w:rPr>
          <w:rFonts w:ascii="Arial" w:hAnsi="Arial" w:cs="Arial"/>
          <w:b/>
          <w:sz w:val="24"/>
          <w:szCs w:val="24"/>
          <w:lang w:val="en-US"/>
        </w:rPr>
        <w:t>.</w:t>
      </w:r>
      <w:r w:rsidRPr="0036402F">
        <w:rPr>
          <w:rFonts w:ascii="Arial" w:hAnsi="Arial" w:cs="Arial"/>
          <w:sz w:val="24"/>
          <w:szCs w:val="24"/>
          <w:lang w:val="en-US"/>
        </w:rPr>
        <w:t xml:space="preserve"> Characteristics of study patient</w:t>
      </w:r>
      <w:r w:rsidR="00197FB0" w:rsidRPr="0036402F">
        <w:rPr>
          <w:rFonts w:ascii="Arial" w:hAnsi="Arial" w:cs="Arial"/>
          <w:sz w:val="24"/>
          <w:szCs w:val="24"/>
          <w:lang w:val="en-US"/>
        </w:rPr>
        <w:t>s</w:t>
      </w:r>
      <w:r w:rsidRPr="0036402F">
        <w:rPr>
          <w:rFonts w:ascii="Arial" w:hAnsi="Arial" w:cs="Arial"/>
          <w:sz w:val="24"/>
          <w:szCs w:val="24"/>
          <w:lang w:val="en-US"/>
        </w:rPr>
        <w:t xml:space="preserve"> </w:t>
      </w:r>
    </w:p>
    <w:tbl>
      <w:tblPr>
        <w:tblW w:w="10098" w:type="dxa"/>
        <w:tblBorders>
          <w:top w:val="single" w:sz="4" w:space="0" w:color="auto"/>
          <w:bottom w:val="single" w:sz="4" w:space="0" w:color="auto"/>
          <w:insideH w:val="single" w:sz="4" w:space="0" w:color="auto"/>
        </w:tblBorders>
        <w:tblLook w:val="00A0" w:firstRow="1" w:lastRow="0" w:firstColumn="1" w:lastColumn="0" w:noHBand="0" w:noVBand="0"/>
      </w:tblPr>
      <w:tblGrid>
        <w:gridCol w:w="1640"/>
        <w:gridCol w:w="1450"/>
        <w:gridCol w:w="1552"/>
        <w:gridCol w:w="1599"/>
        <w:gridCol w:w="1616"/>
        <w:gridCol w:w="1304"/>
        <w:gridCol w:w="937"/>
      </w:tblGrid>
      <w:tr w:rsidR="0036402F" w:rsidRPr="0036402F" w14:paraId="7709F9FB" w14:textId="77777777" w:rsidTr="00C73999">
        <w:trPr>
          <w:trHeight w:val="535"/>
        </w:trPr>
        <w:tc>
          <w:tcPr>
            <w:tcW w:w="1640" w:type="dxa"/>
            <w:tcBorders>
              <w:bottom w:val="single" w:sz="4" w:space="0" w:color="auto"/>
            </w:tcBorders>
          </w:tcPr>
          <w:p w14:paraId="36576CA1" w14:textId="77777777" w:rsidR="00F44002" w:rsidRPr="0036402F" w:rsidRDefault="00F44002" w:rsidP="002F29D4">
            <w:pPr>
              <w:rPr>
                <w:rFonts w:ascii="Arial" w:hAnsi="Arial" w:cs="Arial"/>
                <w:b/>
                <w:bCs/>
                <w:sz w:val="20"/>
                <w:szCs w:val="20"/>
                <w:lang w:val="en-US"/>
              </w:rPr>
            </w:pPr>
            <w:r w:rsidRPr="0036402F">
              <w:rPr>
                <w:rFonts w:ascii="Arial" w:hAnsi="Arial" w:cs="Arial"/>
                <w:b/>
                <w:bCs/>
                <w:sz w:val="20"/>
                <w:szCs w:val="20"/>
                <w:lang w:val="en-US"/>
              </w:rPr>
              <w:t>Variable</w:t>
            </w:r>
          </w:p>
        </w:tc>
        <w:tc>
          <w:tcPr>
            <w:tcW w:w="1450" w:type="dxa"/>
            <w:tcBorders>
              <w:bottom w:val="single" w:sz="4" w:space="0" w:color="auto"/>
            </w:tcBorders>
          </w:tcPr>
          <w:p w14:paraId="52EF2611" w14:textId="58D129A3" w:rsidR="00F44002" w:rsidRPr="0036402F" w:rsidRDefault="00F44002" w:rsidP="002F29D4">
            <w:pPr>
              <w:jc w:val="center"/>
              <w:rPr>
                <w:rFonts w:ascii="Arial" w:hAnsi="Arial" w:cs="Arial"/>
                <w:b/>
                <w:bCs/>
                <w:sz w:val="20"/>
                <w:szCs w:val="20"/>
                <w:lang w:val="en-US"/>
              </w:rPr>
            </w:pPr>
            <w:r w:rsidRPr="0036402F">
              <w:rPr>
                <w:rFonts w:ascii="Arial" w:hAnsi="Arial" w:cs="Arial"/>
                <w:b/>
                <w:bCs/>
                <w:sz w:val="20"/>
                <w:szCs w:val="20"/>
                <w:lang w:val="en-US"/>
              </w:rPr>
              <w:t>All patients</w:t>
            </w:r>
            <w:r w:rsidR="00197FB0" w:rsidRPr="0036402F">
              <w:rPr>
                <w:rFonts w:ascii="Arial" w:hAnsi="Arial" w:cs="Arial"/>
                <w:b/>
                <w:bCs/>
                <w:sz w:val="20"/>
                <w:szCs w:val="20"/>
                <w:lang w:val="en-US"/>
              </w:rPr>
              <w:t xml:space="preserve"> (N=296,767)</w:t>
            </w:r>
          </w:p>
        </w:tc>
        <w:tc>
          <w:tcPr>
            <w:tcW w:w="1552" w:type="dxa"/>
            <w:tcBorders>
              <w:bottom w:val="single" w:sz="4" w:space="0" w:color="auto"/>
            </w:tcBorders>
          </w:tcPr>
          <w:p w14:paraId="3B944240" w14:textId="121AF253" w:rsidR="00F44002" w:rsidRPr="0036402F" w:rsidRDefault="00F44002" w:rsidP="002F29D4">
            <w:pPr>
              <w:jc w:val="center"/>
              <w:rPr>
                <w:rFonts w:ascii="Arial" w:hAnsi="Arial" w:cs="Arial"/>
                <w:b/>
                <w:bCs/>
                <w:sz w:val="20"/>
                <w:szCs w:val="20"/>
                <w:lang w:val="en-US"/>
              </w:rPr>
            </w:pPr>
            <w:r w:rsidRPr="0036402F">
              <w:rPr>
                <w:rFonts w:ascii="Arial" w:hAnsi="Arial" w:cs="Arial"/>
                <w:b/>
                <w:bCs/>
                <w:sz w:val="20"/>
                <w:szCs w:val="20"/>
                <w:lang w:val="en-US"/>
              </w:rPr>
              <w:t xml:space="preserve">Underweight </w:t>
            </w:r>
            <w:r w:rsidR="00197FB0" w:rsidRPr="0036402F">
              <w:rPr>
                <w:rFonts w:ascii="Arial" w:hAnsi="Arial" w:cs="Arial"/>
                <w:b/>
                <w:bCs/>
                <w:sz w:val="20"/>
                <w:szCs w:val="20"/>
                <w:lang w:val="en-US"/>
              </w:rPr>
              <w:t>(n=2,667)</w:t>
            </w:r>
          </w:p>
        </w:tc>
        <w:tc>
          <w:tcPr>
            <w:tcW w:w="1599" w:type="dxa"/>
            <w:tcBorders>
              <w:bottom w:val="single" w:sz="4" w:space="0" w:color="auto"/>
            </w:tcBorders>
          </w:tcPr>
          <w:p w14:paraId="41BE768E" w14:textId="77777777" w:rsidR="00F44002" w:rsidRPr="0036402F" w:rsidRDefault="00F44002" w:rsidP="002F29D4">
            <w:pPr>
              <w:jc w:val="center"/>
              <w:rPr>
                <w:rFonts w:ascii="Arial" w:hAnsi="Arial" w:cs="Arial"/>
                <w:b/>
                <w:bCs/>
                <w:sz w:val="20"/>
                <w:szCs w:val="20"/>
                <w:lang w:val="en-US"/>
              </w:rPr>
            </w:pPr>
            <w:r w:rsidRPr="0036402F">
              <w:rPr>
                <w:rFonts w:ascii="Arial" w:hAnsi="Arial" w:cs="Arial"/>
                <w:b/>
                <w:bCs/>
                <w:sz w:val="20"/>
                <w:szCs w:val="20"/>
                <w:lang w:val="en-US"/>
              </w:rPr>
              <w:t>Normal weight</w:t>
            </w:r>
          </w:p>
          <w:p w14:paraId="42D6EF3E" w14:textId="19937921" w:rsidR="00F44002" w:rsidRPr="0036402F" w:rsidRDefault="00197FB0" w:rsidP="002F29D4">
            <w:pPr>
              <w:jc w:val="center"/>
              <w:rPr>
                <w:rFonts w:ascii="Arial" w:hAnsi="Arial" w:cs="Arial"/>
                <w:b/>
                <w:bCs/>
                <w:sz w:val="20"/>
                <w:szCs w:val="20"/>
                <w:lang w:val="en-US"/>
              </w:rPr>
            </w:pPr>
            <w:r w:rsidRPr="0036402F">
              <w:rPr>
                <w:rFonts w:ascii="Arial" w:hAnsi="Arial" w:cs="Arial"/>
                <w:b/>
                <w:bCs/>
                <w:sz w:val="20"/>
                <w:szCs w:val="20"/>
                <w:lang w:val="en-US"/>
              </w:rPr>
              <w:t>(n=75,651)</w:t>
            </w:r>
          </w:p>
        </w:tc>
        <w:tc>
          <w:tcPr>
            <w:tcW w:w="1616" w:type="dxa"/>
            <w:tcBorders>
              <w:bottom w:val="single" w:sz="4" w:space="0" w:color="auto"/>
            </w:tcBorders>
          </w:tcPr>
          <w:p w14:paraId="4AA4E634" w14:textId="18E50568" w:rsidR="00F44002" w:rsidRPr="0036402F" w:rsidRDefault="00F44002" w:rsidP="002F29D4">
            <w:pPr>
              <w:jc w:val="center"/>
              <w:rPr>
                <w:rFonts w:ascii="Arial" w:hAnsi="Arial" w:cs="Arial"/>
                <w:b/>
                <w:bCs/>
                <w:sz w:val="20"/>
                <w:szCs w:val="20"/>
                <w:lang w:val="en-US"/>
              </w:rPr>
            </w:pPr>
            <w:r w:rsidRPr="0036402F">
              <w:rPr>
                <w:rFonts w:ascii="Arial" w:hAnsi="Arial" w:cs="Arial"/>
                <w:b/>
                <w:bCs/>
                <w:sz w:val="20"/>
                <w:szCs w:val="20"/>
                <w:lang w:val="en-US"/>
              </w:rPr>
              <w:t>Overweight</w:t>
            </w:r>
            <w:r w:rsidR="00197FB0" w:rsidRPr="0036402F">
              <w:rPr>
                <w:rFonts w:ascii="Arial" w:hAnsi="Arial" w:cs="Arial"/>
                <w:b/>
                <w:bCs/>
                <w:sz w:val="20"/>
                <w:szCs w:val="20"/>
                <w:lang w:val="en-US"/>
              </w:rPr>
              <w:t xml:space="preserve"> (n=123,299)</w:t>
            </w:r>
          </w:p>
        </w:tc>
        <w:tc>
          <w:tcPr>
            <w:tcW w:w="1304" w:type="dxa"/>
            <w:tcBorders>
              <w:bottom w:val="single" w:sz="4" w:space="0" w:color="auto"/>
            </w:tcBorders>
          </w:tcPr>
          <w:p w14:paraId="33203A13" w14:textId="5B95FBDB" w:rsidR="00F44002" w:rsidRPr="0036402F" w:rsidRDefault="00F44002" w:rsidP="002F29D4">
            <w:pPr>
              <w:jc w:val="center"/>
              <w:rPr>
                <w:rFonts w:ascii="Arial" w:hAnsi="Arial" w:cs="Arial"/>
                <w:b/>
                <w:bCs/>
                <w:sz w:val="20"/>
                <w:szCs w:val="20"/>
                <w:lang w:val="en-US"/>
              </w:rPr>
            </w:pPr>
            <w:r w:rsidRPr="0036402F">
              <w:rPr>
                <w:rFonts w:ascii="Arial" w:hAnsi="Arial" w:cs="Arial"/>
                <w:b/>
                <w:bCs/>
                <w:sz w:val="20"/>
                <w:szCs w:val="20"/>
                <w:lang w:val="en-US"/>
              </w:rPr>
              <w:t xml:space="preserve">Obesity </w:t>
            </w:r>
            <w:r w:rsidR="00197FB0" w:rsidRPr="0036402F">
              <w:rPr>
                <w:rFonts w:ascii="Arial" w:hAnsi="Arial" w:cs="Arial"/>
                <w:b/>
                <w:bCs/>
                <w:sz w:val="20"/>
                <w:szCs w:val="20"/>
                <w:lang w:val="en-US"/>
              </w:rPr>
              <w:t>(n=95,150)</w:t>
            </w:r>
          </w:p>
        </w:tc>
        <w:tc>
          <w:tcPr>
            <w:tcW w:w="937" w:type="dxa"/>
            <w:tcBorders>
              <w:bottom w:val="single" w:sz="4" w:space="0" w:color="auto"/>
            </w:tcBorders>
          </w:tcPr>
          <w:p w14:paraId="7660B4EE" w14:textId="0576F89F" w:rsidR="00F44002" w:rsidRPr="0036402F" w:rsidRDefault="00F44002" w:rsidP="002F29D4">
            <w:pPr>
              <w:jc w:val="center"/>
              <w:rPr>
                <w:rFonts w:ascii="Arial" w:hAnsi="Arial" w:cs="Arial"/>
                <w:b/>
                <w:bCs/>
                <w:sz w:val="20"/>
                <w:szCs w:val="20"/>
                <w:lang w:val="en-US"/>
              </w:rPr>
            </w:pPr>
            <w:r w:rsidRPr="0036402F">
              <w:rPr>
                <w:rFonts w:ascii="Arial" w:hAnsi="Arial" w:cs="Arial"/>
                <w:b/>
                <w:bCs/>
                <w:sz w:val="20"/>
                <w:szCs w:val="20"/>
                <w:lang w:val="en-US"/>
              </w:rPr>
              <w:t>P</w:t>
            </w:r>
            <w:r w:rsidR="00DB3F09" w:rsidRPr="0036402F">
              <w:rPr>
                <w:rFonts w:ascii="Arial" w:hAnsi="Arial" w:cs="Arial"/>
                <w:b/>
                <w:bCs/>
                <w:sz w:val="20"/>
                <w:szCs w:val="20"/>
                <w:lang w:val="en-US"/>
              </w:rPr>
              <w:t>-</w:t>
            </w:r>
            <w:r w:rsidRPr="0036402F">
              <w:rPr>
                <w:rFonts w:ascii="Arial" w:hAnsi="Arial" w:cs="Arial"/>
                <w:b/>
                <w:bCs/>
                <w:sz w:val="20"/>
                <w:szCs w:val="20"/>
                <w:lang w:val="en-US"/>
              </w:rPr>
              <w:t>value</w:t>
            </w:r>
          </w:p>
        </w:tc>
      </w:tr>
      <w:tr w:rsidR="0036402F" w:rsidRPr="0036402F" w14:paraId="6C4EE3AE" w14:textId="77777777" w:rsidTr="00C73999">
        <w:trPr>
          <w:trHeight w:val="314"/>
        </w:trPr>
        <w:tc>
          <w:tcPr>
            <w:tcW w:w="10098" w:type="dxa"/>
            <w:gridSpan w:val="7"/>
            <w:tcBorders>
              <w:top w:val="nil"/>
              <w:bottom w:val="nil"/>
            </w:tcBorders>
          </w:tcPr>
          <w:p w14:paraId="11EDD69C" w14:textId="647ADCCC" w:rsidR="008B5868" w:rsidRPr="0036402F" w:rsidRDefault="008B5868" w:rsidP="008B5868">
            <w:pPr>
              <w:rPr>
                <w:rFonts w:ascii="Arial" w:hAnsi="Arial" w:cs="Arial"/>
                <w:i/>
                <w:iCs/>
                <w:sz w:val="20"/>
                <w:szCs w:val="20"/>
                <w:lang w:val="en-US"/>
              </w:rPr>
            </w:pPr>
            <w:r w:rsidRPr="0036402F">
              <w:rPr>
                <w:rFonts w:ascii="Arial" w:hAnsi="Arial" w:cs="Arial"/>
                <w:i/>
                <w:iCs/>
                <w:sz w:val="20"/>
                <w:szCs w:val="20"/>
                <w:lang w:val="en-US"/>
              </w:rPr>
              <w:t>Age (in years)</w:t>
            </w:r>
          </w:p>
        </w:tc>
      </w:tr>
      <w:tr w:rsidR="0036402F" w:rsidRPr="0036402F" w14:paraId="6A7DEFED" w14:textId="77777777" w:rsidTr="00C73999">
        <w:trPr>
          <w:trHeight w:val="314"/>
        </w:trPr>
        <w:tc>
          <w:tcPr>
            <w:tcW w:w="1640" w:type="dxa"/>
            <w:tcBorders>
              <w:top w:val="nil"/>
              <w:bottom w:val="nil"/>
            </w:tcBorders>
          </w:tcPr>
          <w:p w14:paraId="0B80C87E" w14:textId="4B8FBC79" w:rsidR="00F44002" w:rsidRPr="0036402F" w:rsidRDefault="008B5868" w:rsidP="002F29D4">
            <w:pPr>
              <w:rPr>
                <w:rFonts w:ascii="Arial" w:hAnsi="Arial" w:cs="Arial"/>
                <w:sz w:val="20"/>
                <w:szCs w:val="20"/>
                <w:lang w:val="en-US"/>
              </w:rPr>
            </w:pPr>
            <w:r w:rsidRPr="0036402F">
              <w:rPr>
                <w:rFonts w:ascii="Arial" w:hAnsi="Arial" w:cs="Arial"/>
                <w:sz w:val="20"/>
                <w:szCs w:val="20"/>
                <w:lang w:val="en-US"/>
              </w:rPr>
              <w:t>M</w:t>
            </w:r>
            <w:r w:rsidR="00F44002" w:rsidRPr="0036402F">
              <w:rPr>
                <w:rFonts w:ascii="Arial" w:hAnsi="Arial" w:cs="Arial"/>
                <w:sz w:val="20"/>
                <w:szCs w:val="20"/>
                <w:lang w:val="en-US"/>
              </w:rPr>
              <w:t>ean</w:t>
            </w:r>
            <w:r w:rsidRPr="0036402F">
              <w:rPr>
                <w:rFonts w:ascii="Arial" w:hAnsi="Arial" w:cs="Arial"/>
                <w:sz w:val="20"/>
                <w:szCs w:val="20"/>
                <w:lang w:val="en-US"/>
              </w:rPr>
              <w:t xml:space="preserve"> (</w:t>
            </w:r>
            <w:r w:rsidR="00F44002" w:rsidRPr="0036402F">
              <w:rPr>
                <w:rFonts w:ascii="Arial" w:hAnsi="Arial" w:cs="Arial"/>
                <w:sz w:val="20"/>
                <w:szCs w:val="20"/>
                <w:lang w:val="en-US"/>
              </w:rPr>
              <w:t>SD)</w:t>
            </w:r>
          </w:p>
        </w:tc>
        <w:tc>
          <w:tcPr>
            <w:tcW w:w="1450" w:type="dxa"/>
            <w:tcBorders>
              <w:top w:val="nil"/>
              <w:bottom w:val="nil"/>
            </w:tcBorders>
          </w:tcPr>
          <w:p w14:paraId="66984DCE" w14:textId="77777777" w:rsidR="00F44002" w:rsidRPr="0036402F" w:rsidRDefault="00F44002" w:rsidP="002F29D4">
            <w:pPr>
              <w:jc w:val="center"/>
              <w:rPr>
                <w:rFonts w:ascii="Arial" w:hAnsi="Arial" w:cs="Arial"/>
                <w:sz w:val="20"/>
                <w:szCs w:val="20"/>
                <w:lang w:val="en-US"/>
              </w:rPr>
            </w:pPr>
            <w:r w:rsidRPr="0036402F">
              <w:rPr>
                <w:rFonts w:ascii="Arial" w:hAnsi="Arial" w:cs="Arial"/>
                <w:sz w:val="20"/>
                <w:szCs w:val="20"/>
                <w:lang w:val="en-US"/>
              </w:rPr>
              <w:t>70.2 (5.9)</w:t>
            </w:r>
          </w:p>
        </w:tc>
        <w:tc>
          <w:tcPr>
            <w:tcW w:w="1552" w:type="dxa"/>
            <w:tcBorders>
              <w:top w:val="nil"/>
              <w:bottom w:val="nil"/>
            </w:tcBorders>
          </w:tcPr>
          <w:p w14:paraId="7BEDD556" w14:textId="77777777" w:rsidR="00F44002" w:rsidRPr="0036402F" w:rsidRDefault="00F44002" w:rsidP="002F29D4">
            <w:pPr>
              <w:jc w:val="center"/>
              <w:rPr>
                <w:rFonts w:ascii="Arial" w:hAnsi="Arial" w:cs="Arial"/>
                <w:sz w:val="20"/>
                <w:szCs w:val="20"/>
                <w:lang w:val="en-US"/>
              </w:rPr>
            </w:pPr>
            <w:r w:rsidRPr="0036402F">
              <w:rPr>
                <w:rFonts w:ascii="Arial" w:hAnsi="Arial" w:cs="Arial"/>
                <w:sz w:val="20"/>
                <w:szCs w:val="20"/>
                <w:lang w:val="en-US"/>
              </w:rPr>
              <w:t>71.9 (6.9)</w:t>
            </w:r>
          </w:p>
        </w:tc>
        <w:tc>
          <w:tcPr>
            <w:tcW w:w="1599" w:type="dxa"/>
            <w:tcBorders>
              <w:top w:val="nil"/>
              <w:bottom w:val="nil"/>
            </w:tcBorders>
          </w:tcPr>
          <w:p w14:paraId="6E1E4DF5" w14:textId="77777777" w:rsidR="00F44002" w:rsidRPr="0036402F" w:rsidRDefault="00F44002" w:rsidP="002F29D4">
            <w:pPr>
              <w:jc w:val="center"/>
              <w:rPr>
                <w:rFonts w:ascii="Arial" w:hAnsi="Arial" w:cs="Arial"/>
                <w:sz w:val="20"/>
                <w:szCs w:val="20"/>
                <w:lang w:val="en-US"/>
              </w:rPr>
            </w:pPr>
            <w:r w:rsidRPr="0036402F">
              <w:rPr>
                <w:rFonts w:ascii="Arial" w:hAnsi="Arial" w:cs="Arial"/>
                <w:sz w:val="20"/>
                <w:szCs w:val="20"/>
                <w:lang w:val="en-US"/>
              </w:rPr>
              <w:t>70.7 (6.3)</w:t>
            </w:r>
          </w:p>
        </w:tc>
        <w:tc>
          <w:tcPr>
            <w:tcW w:w="1616" w:type="dxa"/>
            <w:tcBorders>
              <w:top w:val="nil"/>
              <w:bottom w:val="nil"/>
            </w:tcBorders>
          </w:tcPr>
          <w:p w14:paraId="1BA1AAD0" w14:textId="77777777" w:rsidR="00F44002" w:rsidRPr="0036402F" w:rsidRDefault="00F44002" w:rsidP="002F29D4">
            <w:pPr>
              <w:jc w:val="center"/>
              <w:rPr>
                <w:rFonts w:ascii="Arial" w:hAnsi="Arial" w:cs="Arial"/>
                <w:sz w:val="20"/>
                <w:szCs w:val="20"/>
                <w:lang w:val="en-US"/>
              </w:rPr>
            </w:pPr>
            <w:r w:rsidRPr="0036402F">
              <w:rPr>
                <w:rFonts w:ascii="Arial" w:hAnsi="Arial" w:cs="Arial"/>
                <w:sz w:val="20"/>
                <w:szCs w:val="20"/>
                <w:lang w:val="en-US"/>
              </w:rPr>
              <w:t>70.3 (5.9)</w:t>
            </w:r>
          </w:p>
        </w:tc>
        <w:tc>
          <w:tcPr>
            <w:tcW w:w="1304" w:type="dxa"/>
            <w:tcBorders>
              <w:top w:val="nil"/>
              <w:bottom w:val="nil"/>
            </w:tcBorders>
          </w:tcPr>
          <w:p w14:paraId="2422BC50" w14:textId="77777777" w:rsidR="00F44002" w:rsidRPr="0036402F" w:rsidRDefault="00F44002" w:rsidP="002F29D4">
            <w:pPr>
              <w:jc w:val="center"/>
              <w:rPr>
                <w:rFonts w:ascii="Arial" w:hAnsi="Arial" w:cs="Arial"/>
                <w:sz w:val="20"/>
                <w:szCs w:val="20"/>
                <w:lang w:val="en-US"/>
              </w:rPr>
            </w:pPr>
            <w:r w:rsidRPr="0036402F">
              <w:rPr>
                <w:rFonts w:ascii="Arial" w:hAnsi="Arial" w:cs="Arial"/>
                <w:sz w:val="20"/>
                <w:szCs w:val="20"/>
                <w:lang w:val="en-US"/>
              </w:rPr>
              <w:t>68.5 (5.4)</w:t>
            </w:r>
          </w:p>
        </w:tc>
        <w:tc>
          <w:tcPr>
            <w:tcW w:w="937" w:type="dxa"/>
            <w:tcBorders>
              <w:top w:val="nil"/>
              <w:bottom w:val="nil"/>
            </w:tcBorders>
          </w:tcPr>
          <w:p w14:paraId="639F1F3A" w14:textId="77777777" w:rsidR="00F44002" w:rsidRPr="0036402F" w:rsidRDefault="00F44002" w:rsidP="002F29D4">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455310F9" w14:textId="77777777" w:rsidTr="00C73999">
        <w:trPr>
          <w:trHeight w:val="294"/>
        </w:trPr>
        <w:tc>
          <w:tcPr>
            <w:tcW w:w="1640" w:type="dxa"/>
            <w:tcBorders>
              <w:top w:val="nil"/>
              <w:bottom w:val="nil"/>
            </w:tcBorders>
          </w:tcPr>
          <w:p w14:paraId="7C6A3A99" w14:textId="7857A1D4" w:rsidR="00A048C1" w:rsidRPr="0036402F" w:rsidRDefault="00A048C1" w:rsidP="002F29D4">
            <w:pPr>
              <w:rPr>
                <w:rFonts w:ascii="Arial" w:hAnsi="Arial" w:cs="Arial"/>
                <w:sz w:val="20"/>
                <w:szCs w:val="20"/>
                <w:lang w:val="en-US"/>
              </w:rPr>
            </w:pPr>
            <w:r w:rsidRPr="0036402F">
              <w:rPr>
                <w:rFonts w:ascii="Arial" w:hAnsi="Arial" w:cs="Arial"/>
                <w:sz w:val="20"/>
                <w:szCs w:val="20"/>
                <w:lang w:val="en-US"/>
              </w:rPr>
              <w:t>65-69</w:t>
            </w:r>
          </w:p>
        </w:tc>
        <w:tc>
          <w:tcPr>
            <w:tcW w:w="1450" w:type="dxa"/>
            <w:tcBorders>
              <w:top w:val="nil"/>
              <w:bottom w:val="nil"/>
            </w:tcBorders>
          </w:tcPr>
          <w:p w14:paraId="1257082E"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57.0</w:t>
            </w:r>
          </w:p>
        </w:tc>
        <w:tc>
          <w:tcPr>
            <w:tcW w:w="1552" w:type="dxa"/>
            <w:tcBorders>
              <w:top w:val="nil"/>
              <w:bottom w:val="nil"/>
            </w:tcBorders>
          </w:tcPr>
          <w:p w14:paraId="2FE18548"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47.8</w:t>
            </w:r>
          </w:p>
        </w:tc>
        <w:tc>
          <w:tcPr>
            <w:tcW w:w="1599" w:type="dxa"/>
            <w:tcBorders>
              <w:top w:val="nil"/>
              <w:bottom w:val="nil"/>
            </w:tcBorders>
          </w:tcPr>
          <w:p w14:paraId="79C2FA50"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54.0</w:t>
            </w:r>
          </w:p>
        </w:tc>
        <w:tc>
          <w:tcPr>
            <w:tcW w:w="1616" w:type="dxa"/>
            <w:tcBorders>
              <w:top w:val="nil"/>
              <w:bottom w:val="nil"/>
            </w:tcBorders>
          </w:tcPr>
          <w:p w14:paraId="4809C320"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55.8</w:t>
            </w:r>
          </w:p>
        </w:tc>
        <w:tc>
          <w:tcPr>
            <w:tcW w:w="1304" w:type="dxa"/>
            <w:tcBorders>
              <w:top w:val="nil"/>
              <w:bottom w:val="nil"/>
            </w:tcBorders>
          </w:tcPr>
          <w:p w14:paraId="398F8A67"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61.1</w:t>
            </w:r>
          </w:p>
        </w:tc>
        <w:tc>
          <w:tcPr>
            <w:tcW w:w="937" w:type="dxa"/>
            <w:vMerge w:val="restart"/>
            <w:tcBorders>
              <w:top w:val="nil"/>
            </w:tcBorders>
          </w:tcPr>
          <w:p w14:paraId="52BD5AD9" w14:textId="77777777" w:rsidR="00A048C1" w:rsidRPr="0036402F" w:rsidRDefault="00A048C1" w:rsidP="002F29D4">
            <w:pPr>
              <w:jc w:val="center"/>
              <w:rPr>
                <w:rFonts w:ascii="Arial" w:hAnsi="Arial" w:cs="Arial"/>
                <w:sz w:val="20"/>
                <w:szCs w:val="20"/>
                <w:highlight w:val="yellow"/>
                <w:lang w:val="en-US"/>
              </w:rPr>
            </w:pPr>
            <w:r w:rsidRPr="0036402F">
              <w:rPr>
                <w:rFonts w:ascii="Arial" w:hAnsi="Arial" w:cs="Arial"/>
                <w:sz w:val="20"/>
                <w:szCs w:val="20"/>
                <w:lang w:val="en-US"/>
              </w:rPr>
              <w:t>&lt;0.001</w:t>
            </w:r>
          </w:p>
        </w:tc>
      </w:tr>
      <w:tr w:rsidR="0036402F" w:rsidRPr="0036402F" w14:paraId="21E547FE" w14:textId="77777777" w:rsidTr="00C73999">
        <w:trPr>
          <w:trHeight w:val="294"/>
        </w:trPr>
        <w:tc>
          <w:tcPr>
            <w:tcW w:w="1640" w:type="dxa"/>
            <w:tcBorders>
              <w:top w:val="nil"/>
              <w:bottom w:val="nil"/>
            </w:tcBorders>
          </w:tcPr>
          <w:p w14:paraId="1EBEE7A4" w14:textId="5ABA3EC2" w:rsidR="00A048C1" w:rsidRPr="0036402F" w:rsidRDefault="00A048C1" w:rsidP="002F29D4">
            <w:pPr>
              <w:rPr>
                <w:rFonts w:ascii="Arial" w:hAnsi="Arial" w:cs="Arial"/>
                <w:sz w:val="20"/>
                <w:szCs w:val="20"/>
                <w:lang w:val="en-US"/>
              </w:rPr>
            </w:pPr>
            <w:r w:rsidRPr="0036402F">
              <w:rPr>
                <w:rFonts w:ascii="Arial" w:hAnsi="Arial" w:cs="Arial"/>
                <w:sz w:val="20"/>
                <w:szCs w:val="20"/>
                <w:lang w:val="en-US"/>
              </w:rPr>
              <w:t>70-74</w:t>
            </w:r>
          </w:p>
        </w:tc>
        <w:tc>
          <w:tcPr>
            <w:tcW w:w="1450" w:type="dxa"/>
            <w:tcBorders>
              <w:top w:val="nil"/>
              <w:bottom w:val="nil"/>
            </w:tcBorders>
          </w:tcPr>
          <w:p w14:paraId="1CC9477C"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20.0</w:t>
            </w:r>
          </w:p>
        </w:tc>
        <w:tc>
          <w:tcPr>
            <w:tcW w:w="1552" w:type="dxa"/>
            <w:tcBorders>
              <w:top w:val="nil"/>
              <w:bottom w:val="nil"/>
            </w:tcBorders>
          </w:tcPr>
          <w:p w14:paraId="70C82FC5"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20.0</w:t>
            </w:r>
          </w:p>
        </w:tc>
        <w:tc>
          <w:tcPr>
            <w:tcW w:w="1599" w:type="dxa"/>
            <w:tcBorders>
              <w:top w:val="nil"/>
              <w:bottom w:val="nil"/>
            </w:tcBorders>
          </w:tcPr>
          <w:p w14:paraId="4ADD7C98"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19.7</w:t>
            </w:r>
          </w:p>
        </w:tc>
        <w:tc>
          <w:tcPr>
            <w:tcW w:w="1616" w:type="dxa"/>
            <w:tcBorders>
              <w:top w:val="nil"/>
              <w:bottom w:val="nil"/>
            </w:tcBorders>
          </w:tcPr>
          <w:p w14:paraId="2E01BFF1"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20.5</w:t>
            </w:r>
          </w:p>
        </w:tc>
        <w:tc>
          <w:tcPr>
            <w:tcW w:w="1304" w:type="dxa"/>
            <w:tcBorders>
              <w:top w:val="nil"/>
              <w:bottom w:val="nil"/>
            </w:tcBorders>
          </w:tcPr>
          <w:p w14:paraId="142D4989"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19.8</w:t>
            </w:r>
          </w:p>
        </w:tc>
        <w:tc>
          <w:tcPr>
            <w:tcW w:w="937" w:type="dxa"/>
            <w:vMerge/>
          </w:tcPr>
          <w:p w14:paraId="286ABD1A" w14:textId="5FD35977" w:rsidR="00A048C1" w:rsidRPr="0036402F" w:rsidRDefault="00A048C1" w:rsidP="002F29D4">
            <w:pPr>
              <w:jc w:val="center"/>
              <w:rPr>
                <w:rFonts w:ascii="Arial" w:hAnsi="Arial" w:cs="Arial"/>
                <w:sz w:val="20"/>
                <w:szCs w:val="20"/>
                <w:highlight w:val="yellow"/>
                <w:lang w:val="en-US"/>
              </w:rPr>
            </w:pPr>
          </w:p>
        </w:tc>
      </w:tr>
      <w:tr w:rsidR="0036402F" w:rsidRPr="0036402F" w14:paraId="625BFF2C" w14:textId="77777777" w:rsidTr="00C73999">
        <w:trPr>
          <w:trHeight w:val="294"/>
        </w:trPr>
        <w:tc>
          <w:tcPr>
            <w:tcW w:w="1640" w:type="dxa"/>
            <w:tcBorders>
              <w:top w:val="nil"/>
              <w:bottom w:val="nil"/>
            </w:tcBorders>
          </w:tcPr>
          <w:p w14:paraId="7407A1EE" w14:textId="2229A593" w:rsidR="00A048C1" w:rsidRPr="0036402F" w:rsidRDefault="00A048C1" w:rsidP="002F29D4">
            <w:pPr>
              <w:rPr>
                <w:rFonts w:ascii="Arial" w:hAnsi="Arial" w:cs="Arial"/>
                <w:sz w:val="20"/>
                <w:szCs w:val="20"/>
                <w:lang w:val="en-US"/>
              </w:rPr>
            </w:pPr>
            <w:r w:rsidRPr="0036402F">
              <w:rPr>
                <w:rFonts w:ascii="Arial" w:hAnsi="Arial" w:cs="Arial"/>
                <w:sz w:val="20"/>
                <w:szCs w:val="20"/>
                <w:lang w:val="en-US"/>
              </w:rPr>
              <w:t>75-80</w:t>
            </w:r>
          </w:p>
        </w:tc>
        <w:tc>
          <w:tcPr>
            <w:tcW w:w="1450" w:type="dxa"/>
            <w:tcBorders>
              <w:top w:val="nil"/>
              <w:bottom w:val="nil"/>
            </w:tcBorders>
          </w:tcPr>
          <w:p w14:paraId="63DC0C50"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15.5</w:t>
            </w:r>
          </w:p>
        </w:tc>
        <w:tc>
          <w:tcPr>
            <w:tcW w:w="1552" w:type="dxa"/>
            <w:tcBorders>
              <w:top w:val="nil"/>
              <w:bottom w:val="nil"/>
            </w:tcBorders>
          </w:tcPr>
          <w:p w14:paraId="0BD145C9"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18.1</w:t>
            </w:r>
          </w:p>
        </w:tc>
        <w:tc>
          <w:tcPr>
            <w:tcW w:w="1599" w:type="dxa"/>
            <w:tcBorders>
              <w:top w:val="nil"/>
              <w:bottom w:val="nil"/>
            </w:tcBorders>
          </w:tcPr>
          <w:p w14:paraId="766EF8FF"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16.4</w:t>
            </w:r>
          </w:p>
        </w:tc>
        <w:tc>
          <w:tcPr>
            <w:tcW w:w="1616" w:type="dxa"/>
            <w:tcBorders>
              <w:top w:val="nil"/>
              <w:bottom w:val="nil"/>
            </w:tcBorders>
          </w:tcPr>
          <w:p w14:paraId="1A534BB2"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16.1</w:t>
            </w:r>
          </w:p>
        </w:tc>
        <w:tc>
          <w:tcPr>
            <w:tcW w:w="1304" w:type="dxa"/>
            <w:tcBorders>
              <w:top w:val="nil"/>
              <w:bottom w:val="nil"/>
            </w:tcBorders>
          </w:tcPr>
          <w:p w14:paraId="088BA54A"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13.9</w:t>
            </w:r>
          </w:p>
        </w:tc>
        <w:tc>
          <w:tcPr>
            <w:tcW w:w="937" w:type="dxa"/>
            <w:vMerge/>
          </w:tcPr>
          <w:p w14:paraId="7050AF25" w14:textId="6D03D7EA" w:rsidR="00A048C1" w:rsidRPr="0036402F" w:rsidRDefault="00A048C1" w:rsidP="00ED2BAD">
            <w:pPr>
              <w:rPr>
                <w:rFonts w:ascii="Arial" w:hAnsi="Arial" w:cs="Arial"/>
                <w:sz w:val="20"/>
                <w:szCs w:val="20"/>
                <w:highlight w:val="yellow"/>
                <w:lang w:val="en-US"/>
              </w:rPr>
            </w:pPr>
          </w:p>
        </w:tc>
      </w:tr>
      <w:tr w:rsidR="0036402F" w:rsidRPr="0036402F" w14:paraId="09A571D8" w14:textId="77777777" w:rsidTr="00C73999">
        <w:trPr>
          <w:trHeight w:val="294"/>
        </w:trPr>
        <w:tc>
          <w:tcPr>
            <w:tcW w:w="1640" w:type="dxa"/>
            <w:tcBorders>
              <w:top w:val="nil"/>
              <w:bottom w:val="nil"/>
            </w:tcBorders>
          </w:tcPr>
          <w:p w14:paraId="7E592800" w14:textId="5424FD42" w:rsidR="00A048C1" w:rsidRPr="0036402F" w:rsidRDefault="00A048C1" w:rsidP="002F29D4">
            <w:pPr>
              <w:rPr>
                <w:rFonts w:ascii="Arial" w:hAnsi="Arial" w:cs="Arial"/>
                <w:sz w:val="20"/>
                <w:szCs w:val="20"/>
                <w:lang w:val="en-US"/>
              </w:rPr>
            </w:pPr>
            <w:r w:rsidRPr="0036402F">
              <w:rPr>
                <w:rFonts w:ascii="Arial" w:hAnsi="Arial" w:cs="Arial"/>
                <w:sz w:val="20"/>
                <w:szCs w:val="20"/>
                <w:lang w:val="en-US"/>
              </w:rPr>
              <w:t>&gt;80</w:t>
            </w:r>
          </w:p>
        </w:tc>
        <w:tc>
          <w:tcPr>
            <w:tcW w:w="1450" w:type="dxa"/>
            <w:tcBorders>
              <w:top w:val="nil"/>
              <w:bottom w:val="nil"/>
            </w:tcBorders>
          </w:tcPr>
          <w:p w14:paraId="3D609338"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7.5</w:t>
            </w:r>
          </w:p>
        </w:tc>
        <w:tc>
          <w:tcPr>
            <w:tcW w:w="1552" w:type="dxa"/>
            <w:tcBorders>
              <w:top w:val="nil"/>
              <w:bottom w:val="nil"/>
            </w:tcBorders>
          </w:tcPr>
          <w:p w14:paraId="3CFC91B4"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14.1</w:t>
            </w:r>
          </w:p>
        </w:tc>
        <w:tc>
          <w:tcPr>
            <w:tcW w:w="1599" w:type="dxa"/>
            <w:tcBorders>
              <w:top w:val="nil"/>
              <w:bottom w:val="nil"/>
            </w:tcBorders>
          </w:tcPr>
          <w:p w14:paraId="406E6F5F"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9.9</w:t>
            </w:r>
          </w:p>
        </w:tc>
        <w:tc>
          <w:tcPr>
            <w:tcW w:w="1616" w:type="dxa"/>
            <w:tcBorders>
              <w:top w:val="nil"/>
              <w:bottom w:val="nil"/>
            </w:tcBorders>
          </w:tcPr>
          <w:p w14:paraId="67B36634"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7.6</w:t>
            </w:r>
          </w:p>
        </w:tc>
        <w:tc>
          <w:tcPr>
            <w:tcW w:w="1304" w:type="dxa"/>
            <w:tcBorders>
              <w:top w:val="nil"/>
              <w:bottom w:val="nil"/>
            </w:tcBorders>
          </w:tcPr>
          <w:p w14:paraId="6864B8CC" w14:textId="77777777" w:rsidR="00A048C1" w:rsidRPr="0036402F" w:rsidRDefault="00A048C1" w:rsidP="002F29D4">
            <w:pPr>
              <w:jc w:val="center"/>
              <w:rPr>
                <w:rFonts w:ascii="Arial" w:hAnsi="Arial" w:cs="Arial"/>
                <w:sz w:val="20"/>
                <w:szCs w:val="20"/>
                <w:lang w:val="en-US"/>
              </w:rPr>
            </w:pPr>
            <w:r w:rsidRPr="0036402F">
              <w:rPr>
                <w:rFonts w:ascii="Arial" w:hAnsi="Arial" w:cs="Arial"/>
                <w:sz w:val="20"/>
                <w:szCs w:val="20"/>
                <w:lang w:val="en-US"/>
              </w:rPr>
              <w:t>5.2</w:t>
            </w:r>
          </w:p>
        </w:tc>
        <w:tc>
          <w:tcPr>
            <w:tcW w:w="937" w:type="dxa"/>
            <w:vMerge/>
            <w:tcBorders>
              <w:bottom w:val="nil"/>
            </w:tcBorders>
          </w:tcPr>
          <w:p w14:paraId="7B125720" w14:textId="59AAE9B3" w:rsidR="00A048C1" w:rsidRPr="0036402F" w:rsidRDefault="00A048C1" w:rsidP="002F29D4">
            <w:pPr>
              <w:jc w:val="center"/>
              <w:rPr>
                <w:rFonts w:ascii="Arial" w:hAnsi="Arial" w:cs="Arial"/>
                <w:sz w:val="20"/>
                <w:szCs w:val="20"/>
                <w:highlight w:val="yellow"/>
                <w:lang w:val="en-US"/>
              </w:rPr>
            </w:pPr>
          </w:p>
        </w:tc>
      </w:tr>
      <w:tr w:rsidR="0036402F" w:rsidRPr="0036402F" w14:paraId="7DBC2DA2" w14:textId="77777777" w:rsidTr="00C73999">
        <w:trPr>
          <w:trHeight w:val="294"/>
        </w:trPr>
        <w:tc>
          <w:tcPr>
            <w:tcW w:w="10098" w:type="dxa"/>
            <w:gridSpan w:val="7"/>
            <w:tcBorders>
              <w:top w:val="nil"/>
              <w:bottom w:val="nil"/>
            </w:tcBorders>
          </w:tcPr>
          <w:p w14:paraId="269D5B16" w14:textId="4A5C0A40" w:rsidR="00802B84" w:rsidRPr="0036402F" w:rsidRDefault="00802B84" w:rsidP="00802B84">
            <w:pPr>
              <w:rPr>
                <w:rFonts w:ascii="Arial" w:hAnsi="Arial" w:cs="Arial"/>
                <w:i/>
                <w:iCs/>
                <w:sz w:val="20"/>
                <w:szCs w:val="20"/>
                <w:lang w:val="en-US"/>
              </w:rPr>
            </w:pPr>
            <w:r w:rsidRPr="0036402F">
              <w:rPr>
                <w:rFonts w:ascii="Arial" w:hAnsi="Arial" w:cs="Arial"/>
                <w:i/>
                <w:iCs/>
                <w:sz w:val="20"/>
                <w:szCs w:val="20"/>
                <w:lang w:val="en-US"/>
              </w:rPr>
              <w:t>Sex</w:t>
            </w:r>
          </w:p>
        </w:tc>
      </w:tr>
      <w:tr w:rsidR="0036402F" w:rsidRPr="0036402F" w14:paraId="140414F3" w14:textId="77777777" w:rsidTr="00C73999">
        <w:trPr>
          <w:trHeight w:val="294"/>
        </w:trPr>
        <w:tc>
          <w:tcPr>
            <w:tcW w:w="1640" w:type="dxa"/>
            <w:tcBorders>
              <w:top w:val="nil"/>
              <w:bottom w:val="nil"/>
            </w:tcBorders>
          </w:tcPr>
          <w:p w14:paraId="0CFAC957" w14:textId="31A6E8E6" w:rsidR="00802B84" w:rsidRPr="0036402F" w:rsidRDefault="00802B84" w:rsidP="002F29D4">
            <w:pPr>
              <w:rPr>
                <w:rFonts w:ascii="Arial" w:hAnsi="Arial" w:cs="Arial"/>
                <w:sz w:val="20"/>
                <w:szCs w:val="20"/>
                <w:lang w:val="en-US"/>
              </w:rPr>
            </w:pPr>
            <w:r w:rsidRPr="0036402F">
              <w:rPr>
                <w:rFonts w:ascii="Arial" w:hAnsi="Arial" w:cs="Arial"/>
                <w:sz w:val="20"/>
                <w:szCs w:val="20"/>
                <w:lang w:val="en-US"/>
              </w:rPr>
              <w:t>Female</w:t>
            </w:r>
          </w:p>
        </w:tc>
        <w:tc>
          <w:tcPr>
            <w:tcW w:w="1450" w:type="dxa"/>
            <w:tcBorders>
              <w:top w:val="nil"/>
              <w:bottom w:val="nil"/>
            </w:tcBorders>
          </w:tcPr>
          <w:p w14:paraId="0C0AC648" w14:textId="7F846061"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54.3</w:t>
            </w:r>
          </w:p>
        </w:tc>
        <w:tc>
          <w:tcPr>
            <w:tcW w:w="1552" w:type="dxa"/>
            <w:tcBorders>
              <w:top w:val="nil"/>
              <w:bottom w:val="nil"/>
            </w:tcBorders>
          </w:tcPr>
          <w:p w14:paraId="14656A10" w14:textId="13E9A2E3"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81.7</w:t>
            </w:r>
          </w:p>
        </w:tc>
        <w:tc>
          <w:tcPr>
            <w:tcW w:w="1599" w:type="dxa"/>
            <w:tcBorders>
              <w:top w:val="nil"/>
              <w:bottom w:val="nil"/>
            </w:tcBorders>
          </w:tcPr>
          <w:p w14:paraId="11A29A3E" w14:textId="7E2A40EF"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62.5</w:t>
            </w:r>
          </w:p>
        </w:tc>
        <w:tc>
          <w:tcPr>
            <w:tcW w:w="1616" w:type="dxa"/>
            <w:tcBorders>
              <w:top w:val="nil"/>
              <w:bottom w:val="nil"/>
            </w:tcBorders>
          </w:tcPr>
          <w:p w14:paraId="2603F95E" w14:textId="037824A7"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47.8</w:t>
            </w:r>
          </w:p>
        </w:tc>
        <w:tc>
          <w:tcPr>
            <w:tcW w:w="1304" w:type="dxa"/>
            <w:tcBorders>
              <w:top w:val="nil"/>
              <w:bottom w:val="nil"/>
            </w:tcBorders>
          </w:tcPr>
          <w:p w14:paraId="01825183" w14:textId="60F79E23"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55.6</w:t>
            </w:r>
          </w:p>
        </w:tc>
        <w:tc>
          <w:tcPr>
            <w:tcW w:w="937" w:type="dxa"/>
            <w:vMerge w:val="restart"/>
            <w:tcBorders>
              <w:top w:val="nil"/>
            </w:tcBorders>
            <w:vAlign w:val="center"/>
          </w:tcPr>
          <w:p w14:paraId="7F7DB134" w14:textId="73742020" w:rsidR="00802B84" w:rsidRPr="0036402F" w:rsidRDefault="00802B84" w:rsidP="00802B84">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0CFE9DE2" w14:textId="77777777" w:rsidTr="00C73999">
        <w:trPr>
          <w:trHeight w:val="294"/>
        </w:trPr>
        <w:tc>
          <w:tcPr>
            <w:tcW w:w="1640" w:type="dxa"/>
            <w:tcBorders>
              <w:top w:val="nil"/>
              <w:bottom w:val="nil"/>
            </w:tcBorders>
          </w:tcPr>
          <w:p w14:paraId="2B0D31D4" w14:textId="14725A29" w:rsidR="00802B84" w:rsidRPr="0036402F" w:rsidRDefault="00802B84" w:rsidP="002F29D4">
            <w:pPr>
              <w:rPr>
                <w:rFonts w:ascii="Arial" w:hAnsi="Arial" w:cs="Arial"/>
                <w:sz w:val="20"/>
                <w:szCs w:val="20"/>
                <w:lang w:val="en-US"/>
              </w:rPr>
            </w:pPr>
            <w:r w:rsidRPr="0036402F">
              <w:rPr>
                <w:rFonts w:ascii="Arial" w:hAnsi="Arial" w:cs="Arial"/>
                <w:sz w:val="20"/>
                <w:szCs w:val="20"/>
                <w:lang w:val="en-US"/>
              </w:rPr>
              <w:t>Male</w:t>
            </w:r>
          </w:p>
        </w:tc>
        <w:tc>
          <w:tcPr>
            <w:tcW w:w="1450" w:type="dxa"/>
            <w:tcBorders>
              <w:top w:val="nil"/>
              <w:bottom w:val="nil"/>
            </w:tcBorders>
          </w:tcPr>
          <w:p w14:paraId="343D5AFF" w14:textId="77777777"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45.7</w:t>
            </w:r>
          </w:p>
        </w:tc>
        <w:tc>
          <w:tcPr>
            <w:tcW w:w="1552" w:type="dxa"/>
            <w:tcBorders>
              <w:top w:val="nil"/>
              <w:bottom w:val="nil"/>
            </w:tcBorders>
          </w:tcPr>
          <w:p w14:paraId="30D8BF54" w14:textId="77777777"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18.3</w:t>
            </w:r>
          </w:p>
        </w:tc>
        <w:tc>
          <w:tcPr>
            <w:tcW w:w="1599" w:type="dxa"/>
            <w:tcBorders>
              <w:top w:val="nil"/>
              <w:bottom w:val="nil"/>
            </w:tcBorders>
          </w:tcPr>
          <w:p w14:paraId="0630D96D" w14:textId="77777777"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37.5</w:t>
            </w:r>
          </w:p>
        </w:tc>
        <w:tc>
          <w:tcPr>
            <w:tcW w:w="1616" w:type="dxa"/>
            <w:tcBorders>
              <w:top w:val="nil"/>
              <w:bottom w:val="nil"/>
            </w:tcBorders>
          </w:tcPr>
          <w:p w14:paraId="1B11F142" w14:textId="77777777"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52.2</w:t>
            </w:r>
          </w:p>
        </w:tc>
        <w:tc>
          <w:tcPr>
            <w:tcW w:w="1304" w:type="dxa"/>
            <w:tcBorders>
              <w:top w:val="nil"/>
              <w:bottom w:val="nil"/>
            </w:tcBorders>
          </w:tcPr>
          <w:p w14:paraId="1A612F78" w14:textId="77777777" w:rsidR="00802B84" w:rsidRPr="0036402F" w:rsidRDefault="00802B84" w:rsidP="002F29D4">
            <w:pPr>
              <w:jc w:val="center"/>
              <w:rPr>
                <w:rFonts w:ascii="Arial" w:hAnsi="Arial" w:cs="Arial"/>
                <w:sz w:val="20"/>
                <w:szCs w:val="20"/>
                <w:lang w:val="en-US"/>
              </w:rPr>
            </w:pPr>
            <w:r w:rsidRPr="0036402F">
              <w:rPr>
                <w:rFonts w:ascii="Arial" w:hAnsi="Arial" w:cs="Arial"/>
                <w:sz w:val="20"/>
                <w:szCs w:val="20"/>
                <w:lang w:val="en-US"/>
              </w:rPr>
              <w:t>44.4</w:t>
            </w:r>
          </w:p>
        </w:tc>
        <w:tc>
          <w:tcPr>
            <w:tcW w:w="937" w:type="dxa"/>
            <w:vMerge/>
            <w:tcBorders>
              <w:bottom w:val="nil"/>
            </w:tcBorders>
          </w:tcPr>
          <w:p w14:paraId="1D66D4CE" w14:textId="01F3724A" w:rsidR="00802B84" w:rsidRPr="0036402F" w:rsidRDefault="00802B84" w:rsidP="002F29D4">
            <w:pPr>
              <w:jc w:val="center"/>
              <w:rPr>
                <w:rFonts w:ascii="Arial" w:hAnsi="Arial" w:cs="Arial"/>
                <w:sz w:val="20"/>
                <w:szCs w:val="20"/>
                <w:lang w:val="en-US"/>
              </w:rPr>
            </w:pPr>
          </w:p>
        </w:tc>
      </w:tr>
      <w:tr w:rsidR="0036402F" w:rsidRPr="0036402F" w14:paraId="77717650" w14:textId="77777777" w:rsidTr="00C73999">
        <w:trPr>
          <w:trHeight w:val="269"/>
        </w:trPr>
        <w:tc>
          <w:tcPr>
            <w:tcW w:w="10098" w:type="dxa"/>
            <w:gridSpan w:val="7"/>
            <w:tcBorders>
              <w:top w:val="nil"/>
              <w:bottom w:val="nil"/>
            </w:tcBorders>
          </w:tcPr>
          <w:p w14:paraId="10646B34" w14:textId="5D60576A" w:rsidR="00802B84" w:rsidRPr="0036402F" w:rsidRDefault="00802B84" w:rsidP="00802B84">
            <w:pPr>
              <w:rPr>
                <w:rFonts w:ascii="Arial" w:hAnsi="Arial" w:cs="Arial"/>
                <w:sz w:val="20"/>
                <w:szCs w:val="20"/>
                <w:lang w:val="en-US"/>
              </w:rPr>
            </w:pPr>
            <w:r w:rsidRPr="0036402F">
              <w:rPr>
                <w:rFonts w:ascii="Arial" w:hAnsi="Arial" w:cs="Arial"/>
                <w:i/>
                <w:sz w:val="20"/>
                <w:szCs w:val="20"/>
                <w:lang w:val="en-US"/>
              </w:rPr>
              <w:t>Co</w:t>
            </w:r>
            <w:r w:rsidR="000D0436" w:rsidRPr="0036402F">
              <w:rPr>
                <w:rFonts w:ascii="Arial" w:hAnsi="Arial" w:cs="Arial"/>
                <w:i/>
                <w:sz w:val="20"/>
                <w:szCs w:val="20"/>
                <w:lang w:val="en-US"/>
              </w:rPr>
              <w:t>morbidities</w:t>
            </w:r>
            <w:r w:rsidR="005368D8" w:rsidRPr="0036402F">
              <w:rPr>
                <w:rFonts w:ascii="Arial" w:hAnsi="Arial" w:cs="Arial"/>
                <w:i/>
                <w:sz w:val="20"/>
                <w:szCs w:val="20"/>
                <w:lang w:val="en-US"/>
              </w:rPr>
              <w:t xml:space="preserve"> documented in the five years prior to the diagnosis of dementia or the end of follow-up</w:t>
            </w:r>
          </w:p>
        </w:tc>
      </w:tr>
      <w:tr w:rsidR="0036402F" w:rsidRPr="0036402F" w14:paraId="49BF0CA3" w14:textId="77777777" w:rsidTr="00C73999">
        <w:trPr>
          <w:trHeight w:val="276"/>
        </w:trPr>
        <w:tc>
          <w:tcPr>
            <w:tcW w:w="1640" w:type="dxa"/>
            <w:tcBorders>
              <w:top w:val="nil"/>
              <w:bottom w:val="nil"/>
            </w:tcBorders>
          </w:tcPr>
          <w:p w14:paraId="5D8B24C3" w14:textId="116F932B" w:rsidR="00757CD5" w:rsidRPr="0036402F" w:rsidRDefault="00757CD5" w:rsidP="00757CD5">
            <w:pPr>
              <w:rPr>
                <w:rFonts w:ascii="Arial" w:hAnsi="Arial" w:cs="Arial"/>
                <w:sz w:val="20"/>
                <w:szCs w:val="20"/>
                <w:lang w:val="en-US"/>
              </w:rPr>
            </w:pPr>
            <w:r w:rsidRPr="0036402F">
              <w:rPr>
                <w:rFonts w:ascii="Arial" w:hAnsi="Arial" w:cs="Arial"/>
                <w:sz w:val="20"/>
                <w:szCs w:val="20"/>
                <w:lang w:val="en-US"/>
              </w:rPr>
              <w:t>Hypertension</w:t>
            </w:r>
          </w:p>
        </w:tc>
        <w:tc>
          <w:tcPr>
            <w:tcW w:w="1450" w:type="dxa"/>
            <w:tcBorders>
              <w:top w:val="nil"/>
              <w:bottom w:val="nil"/>
            </w:tcBorders>
          </w:tcPr>
          <w:p w14:paraId="3E0E257B" w14:textId="006D959E" w:rsidR="00757CD5" w:rsidRPr="0036402F" w:rsidRDefault="00757CD5" w:rsidP="00757CD5">
            <w:pPr>
              <w:jc w:val="center"/>
              <w:rPr>
                <w:rFonts w:ascii="Arial" w:hAnsi="Arial" w:cs="Arial"/>
                <w:sz w:val="20"/>
                <w:szCs w:val="20"/>
                <w:lang w:val="en-US"/>
              </w:rPr>
            </w:pPr>
            <w:r w:rsidRPr="0036402F">
              <w:rPr>
                <w:rFonts w:ascii="Arial" w:hAnsi="Arial" w:cs="Arial"/>
                <w:sz w:val="20"/>
                <w:szCs w:val="20"/>
                <w:lang w:val="en-US"/>
              </w:rPr>
              <w:t>76.9</w:t>
            </w:r>
          </w:p>
        </w:tc>
        <w:tc>
          <w:tcPr>
            <w:tcW w:w="1552" w:type="dxa"/>
            <w:tcBorders>
              <w:top w:val="nil"/>
              <w:bottom w:val="nil"/>
            </w:tcBorders>
          </w:tcPr>
          <w:p w14:paraId="3FC0B4F4" w14:textId="07117C55" w:rsidR="00757CD5" w:rsidRPr="0036402F" w:rsidRDefault="00757CD5" w:rsidP="00757CD5">
            <w:pPr>
              <w:jc w:val="center"/>
              <w:rPr>
                <w:rFonts w:ascii="Arial" w:hAnsi="Arial" w:cs="Arial"/>
                <w:sz w:val="20"/>
                <w:szCs w:val="20"/>
                <w:lang w:val="en-US"/>
              </w:rPr>
            </w:pPr>
            <w:r w:rsidRPr="0036402F">
              <w:rPr>
                <w:rFonts w:ascii="Arial" w:hAnsi="Arial" w:cs="Arial"/>
                <w:sz w:val="20"/>
                <w:szCs w:val="20"/>
                <w:lang w:val="en-US"/>
              </w:rPr>
              <w:t>54.9</w:t>
            </w:r>
          </w:p>
        </w:tc>
        <w:tc>
          <w:tcPr>
            <w:tcW w:w="1599" w:type="dxa"/>
            <w:tcBorders>
              <w:top w:val="nil"/>
              <w:bottom w:val="nil"/>
            </w:tcBorders>
          </w:tcPr>
          <w:p w14:paraId="5EEAC33D" w14:textId="44DB899E" w:rsidR="00757CD5" w:rsidRPr="0036402F" w:rsidRDefault="00757CD5" w:rsidP="00757CD5">
            <w:pPr>
              <w:jc w:val="center"/>
              <w:rPr>
                <w:rFonts w:ascii="Arial" w:hAnsi="Arial" w:cs="Arial"/>
                <w:sz w:val="20"/>
                <w:szCs w:val="20"/>
                <w:lang w:val="en-US"/>
              </w:rPr>
            </w:pPr>
            <w:r w:rsidRPr="0036402F">
              <w:rPr>
                <w:rFonts w:ascii="Arial" w:hAnsi="Arial" w:cs="Arial"/>
                <w:sz w:val="20"/>
                <w:szCs w:val="20"/>
                <w:lang w:val="en-US"/>
              </w:rPr>
              <w:t>65.8</w:t>
            </w:r>
          </w:p>
        </w:tc>
        <w:tc>
          <w:tcPr>
            <w:tcW w:w="1616" w:type="dxa"/>
            <w:tcBorders>
              <w:top w:val="nil"/>
              <w:bottom w:val="nil"/>
            </w:tcBorders>
          </w:tcPr>
          <w:p w14:paraId="6F50E9C0" w14:textId="353B5558" w:rsidR="00757CD5" w:rsidRPr="0036402F" w:rsidRDefault="00757CD5" w:rsidP="00757CD5">
            <w:pPr>
              <w:jc w:val="center"/>
              <w:rPr>
                <w:rFonts w:ascii="Arial" w:hAnsi="Arial" w:cs="Arial"/>
                <w:sz w:val="20"/>
                <w:szCs w:val="20"/>
                <w:lang w:val="en-US"/>
              </w:rPr>
            </w:pPr>
            <w:r w:rsidRPr="0036402F">
              <w:rPr>
                <w:rFonts w:ascii="Arial" w:hAnsi="Arial" w:cs="Arial"/>
                <w:sz w:val="20"/>
                <w:szCs w:val="20"/>
                <w:lang w:val="en-US"/>
              </w:rPr>
              <w:t>77.5</w:t>
            </w:r>
          </w:p>
        </w:tc>
        <w:tc>
          <w:tcPr>
            <w:tcW w:w="1304" w:type="dxa"/>
            <w:tcBorders>
              <w:top w:val="nil"/>
              <w:bottom w:val="nil"/>
            </w:tcBorders>
          </w:tcPr>
          <w:p w14:paraId="0E246EDA" w14:textId="4045D228" w:rsidR="00757CD5" w:rsidRPr="0036402F" w:rsidRDefault="00757CD5" w:rsidP="00757CD5">
            <w:pPr>
              <w:jc w:val="center"/>
              <w:rPr>
                <w:rFonts w:ascii="Arial" w:hAnsi="Arial" w:cs="Arial"/>
                <w:sz w:val="20"/>
                <w:szCs w:val="20"/>
                <w:lang w:val="en-US"/>
              </w:rPr>
            </w:pPr>
            <w:r w:rsidRPr="0036402F">
              <w:rPr>
                <w:rFonts w:ascii="Arial" w:hAnsi="Arial" w:cs="Arial"/>
                <w:sz w:val="20"/>
                <w:szCs w:val="20"/>
                <w:lang w:val="en-US"/>
              </w:rPr>
              <w:t>85.5</w:t>
            </w:r>
          </w:p>
        </w:tc>
        <w:tc>
          <w:tcPr>
            <w:tcW w:w="937" w:type="dxa"/>
            <w:tcBorders>
              <w:top w:val="nil"/>
              <w:bottom w:val="nil"/>
            </w:tcBorders>
          </w:tcPr>
          <w:p w14:paraId="26BD5DAA" w14:textId="519C236B" w:rsidR="00757CD5" w:rsidRPr="0036402F" w:rsidRDefault="00757CD5" w:rsidP="00757CD5">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6582859B" w14:textId="77777777" w:rsidTr="00C73999">
        <w:trPr>
          <w:trHeight w:val="276"/>
        </w:trPr>
        <w:tc>
          <w:tcPr>
            <w:tcW w:w="1640" w:type="dxa"/>
            <w:tcBorders>
              <w:top w:val="nil"/>
              <w:bottom w:val="nil"/>
            </w:tcBorders>
          </w:tcPr>
          <w:p w14:paraId="041DD9D2" w14:textId="2234FE91" w:rsidR="00093360" w:rsidRPr="0036402F" w:rsidRDefault="00093360" w:rsidP="00093360">
            <w:pPr>
              <w:rPr>
                <w:rFonts w:ascii="Arial" w:hAnsi="Arial" w:cs="Arial"/>
                <w:sz w:val="20"/>
                <w:szCs w:val="20"/>
                <w:lang w:val="en-US"/>
              </w:rPr>
            </w:pPr>
            <w:r w:rsidRPr="0036402F">
              <w:rPr>
                <w:rFonts w:ascii="Arial" w:hAnsi="Arial" w:cs="Arial"/>
                <w:sz w:val="20"/>
                <w:szCs w:val="20"/>
                <w:lang w:val="en-US"/>
              </w:rPr>
              <w:t>Lipid metabolism disorders</w:t>
            </w:r>
          </w:p>
        </w:tc>
        <w:tc>
          <w:tcPr>
            <w:tcW w:w="1450" w:type="dxa"/>
            <w:tcBorders>
              <w:top w:val="nil"/>
              <w:bottom w:val="nil"/>
            </w:tcBorders>
          </w:tcPr>
          <w:p w14:paraId="0839F634" w14:textId="6616BDF7" w:rsidR="00093360" w:rsidRPr="0036402F" w:rsidRDefault="00093360" w:rsidP="00093360">
            <w:pPr>
              <w:jc w:val="center"/>
              <w:rPr>
                <w:rFonts w:ascii="Arial" w:hAnsi="Arial" w:cs="Arial"/>
                <w:sz w:val="20"/>
                <w:szCs w:val="20"/>
                <w:lang w:val="en-US"/>
              </w:rPr>
            </w:pPr>
            <w:r w:rsidRPr="0036402F">
              <w:rPr>
                <w:rFonts w:ascii="Arial" w:hAnsi="Arial" w:cs="Arial"/>
                <w:sz w:val="20"/>
                <w:szCs w:val="20"/>
                <w:lang w:val="en-US"/>
              </w:rPr>
              <w:t>52.3</w:t>
            </w:r>
          </w:p>
        </w:tc>
        <w:tc>
          <w:tcPr>
            <w:tcW w:w="1552" w:type="dxa"/>
            <w:tcBorders>
              <w:top w:val="nil"/>
              <w:bottom w:val="nil"/>
            </w:tcBorders>
          </w:tcPr>
          <w:p w14:paraId="32A6E31C" w14:textId="11829CE7" w:rsidR="00093360" w:rsidRPr="0036402F" w:rsidRDefault="00093360" w:rsidP="00093360">
            <w:pPr>
              <w:jc w:val="center"/>
              <w:rPr>
                <w:rFonts w:ascii="Arial" w:hAnsi="Arial" w:cs="Arial"/>
                <w:sz w:val="20"/>
                <w:szCs w:val="20"/>
                <w:lang w:val="en-US"/>
              </w:rPr>
            </w:pPr>
            <w:r w:rsidRPr="0036402F">
              <w:rPr>
                <w:rFonts w:ascii="Arial" w:hAnsi="Arial" w:cs="Arial"/>
                <w:sz w:val="20"/>
                <w:szCs w:val="20"/>
                <w:lang w:val="en-US"/>
              </w:rPr>
              <w:t>36.2</w:t>
            </w:r>
          </w:p>
        </w:tc>
        <w:tc>
          <w:tcPr>
            <w:tcW w:w="1599" w:type="dxa"/>
            <w:tcBorders>
              <w:top w:val="nil"/>
              <w:bottom w:val="nil"/>
            </w:tcBorders>
          </w:tcPr>
          <w:p w14:paraId="4763882E" w14:textId="5AC9FA2C" w:rsidR="00093360" w:rsidRPr="0036402F" w:rsidRDefault="00093360" w:rsidP="00093360">
            <w:pPr>
              <w:jc w:val="center"/>
              <w:rPr>
                <w:rFonts w:ascii="Arial" w:hAnsi="Arial" w:cs="Arial"/>
                <w:sz w:val="20"/>
                <w:szCs w:val="20"/>
                <w:lang w:val="en-US"/>
              </w:rPr>
            </w:pPr>
            <w:r w:rsidRPr="0036402F">
              <w:rPr>
                <w:rFonts w:ascii="Arial" w:hAnsi="Arial" w:cs="Arial"/>
                <w:sz w:val="20"/>
                <w:szCs w:val="20"/>
                <w:lang w:val="en-US"/>
              </w:rPr>
              <w:t>48.1</w:t>
            </w:r>
          </w:p>
        </w:tc>
        <w:tc>
          <w:tcPr>
            <w:tcW w:w="1616" w:type="dxa"/>
            <w:tcBorders>
              <w:top w:val="nil"/>
              <w:bottom w:val="nil"/>
            </w:tcBorders>
          </w:tcPr>
          <w:p w14:paraId="506C32D6" w14:textId="118F42ED" w:rsidR="00093360" w:rsidRPr="0036402F" w:rsidRDefault="00093360" w:rsidP="00093360">
            <w:pPr>
              <w:jc w:val="center"/>
              <w:rPr>
                <w:rFonts w:ascii="Arial" w:hAnsi="Arial" w:cs="Arial"/>
                <w:sz w:val="20"/>
                <w:szCs w:val="20"/>
                <w:lang w:val="en-US"/>
              </w:rPr>
            </w:pPr>
            <w:r w:rsidRPr="0036402F">
              <w:rPr>
                <w:rFonts w:ascii="Arial" w:hAnsi="Arial" w:cs="Arial"/>
                <w:sz w:val="20"/>
                <w:szCs w:val="20"/>
                <w:lang w:val="en-US"/>
              </w:rPr>
              <w:t>53.7</w:t>
            </w:r>
          </w:p>
        </w:tc>
        <w:tc>
          <w:tcPr>
            <w:tcW w:w="1304" w:type="dxa"/>
            <w:tcBorders>
              <w:top w:val="nil"/>
              <w:bottom w:val="nil"/>
            </w:tcBorders>
          </w:tcPr>
          <w:p w14:paraId="61E72BAF" w14:textId="400748E0" w:rsidR="00093360" w:rsidRPr="0036402F" w:rsidRDefault="00093360" w:rsidP="00093360">
            <w:pPr>
              <w:jc w:val="center"/>
              <w:rPr>
                <w:rFonts w:ascii="Arial" w:hAnsi="Arial" w:cs="Arial"/>
                <w:sz w:val="20"/>
                <w:szCs w:val="20"/>
                <w:lang w:val="en-US"/>
              </w:rPr>
            </w:pPr>
            <w:r w:rsidRPr="0036402F">
              <w:rPr>
                <w:rFonts w:ascii="Arial" w:hAnsi="Arial" w:cs="Arial"/>
                <w:sz w:val="20"/>
                <w:szCs w:val="20"/>
                <w:lang w:val="en-US"/>
              </w:rPr>
              <w:t>54.2</w:t>
            </w:r>
          </w:p>
        </w:tc>
        <w:tc>
          <w:tcPr>
            <w:tcW w:w="937" w:type="dxa"/>
            <w:tcBorders>
              <w:top w:val="nil"/>
              <w:bottom w:val="nil"/>
            </w:tcBorders>
          </w:tcPr>
          <w:p w14:paraId="7C83C0A5" w14:textId="72839DDA" w:rsidR="00093360" w:rsidRPr="0036402F" w:rsidRDefault="00093360" w:rsidP="00093360">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7AA59F33" w14:textId="77777777" w:rsidTr="00C73999">
        <w:trPr>
          <w:trHeight w:val="276"/>
        </w:trPr>
        <w:tc>
          <w:tcPr>
            <w:tcW w:w="1640" w:type="dxa"/>
            <w:tcBorders>
              <w:top w:val="nil"/>
              <w:bottom w:val="nil"/>
            </w:tcBorders>
          </w:tcPr>
          <w:p w14:paraId="00AE7F8E" w14:textId="3DBDD5BD" w:rsidR="007F1FBD" w:rsidRPr="0036402F" w:rsidRDefault="007F1FBD" w:rsidP="007F1FBD">
            <w:pPr>
              <w:rPr>
                <w:rFonts w:ascii="Arial" w:hAnsi="Arial" w:cs="Arial"/>
                <w:sz w:val="20"/>
                <w:szCs w:val="20"/>
                <w:lang w:val="en-US"/>
              </w:rPr>
            </w:pPr>
            <w:r w:rsidRPr="0036402F">
              <w:rPr>
                <w:rFonts w:ascii="Arial" w:hAnsi="Arial" w:cs="Arial"/>
                <w:sz w:val="20"/>
                <w:szCs w:val="20"/>
                <w:lang w:val="en-US"/>
              </w:rPr>
              <w:t>Diabetes mellitus</w:t>
            </w:r>
          </w:p>
        </w:tc>
        <w:tc>
          <w:tcPr>
            <w:tcW w:w="1450" w:type="dxa"/>
            <w:tcBorders>
              <w:top w:val="nil"/>
              <w:bottom w:val="nil"/>
            </w:tcBorders>
          </w:tcPr>
          <w:p w14:paraId="41601645" w14:textId="36BD8D46"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39.7</w:t>
            </w:r>
          </w:p>
        </w:tc>
        <w:tc>
          <w:tcPr>
            <w:tcW w:w="1552" w:type="dxa"/>
            <w:tcBorders>
              <w:top w:val="nil"/>
              <w:bottom w:val="nil"/>
            </w:tcBorders>
          </w:tcPr>
          <w:p w14:paraId="1E432AF0" w14:textId="20E19990"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15.3</w:t>
            </w:r>
          </w:p>
        </w:tc>
        <w:tc>
          <w:tcPr>
            <w:tcW w:w="1599" w:type="dxa"/>
            <w:tcBorders>
              <w:top w:val="nil"/>
              <w:bottom w:val="nil"/>
            </w:tcBorders>
          </w:tcPr>
          <w:p w14:paraId="11D2FE46" w14:textId="09CCE8B5"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23.3</w:t>
            </w:r>
          </w:p>
        </w:tc>
        <w:tc>
          <w:tcPr>
            <w:tcW w:w="1616" w:type="dxa"/>
            <w:tcBorders>
              <w:top w:val="nil"/>
              <w:bottom w:val="nil"/>
            </w:tcBorders>
          </w:tcPr>
          <w:p w14:paraId="66718909" w14:textId="15080E7F"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37.3</w:t>
            </w:r>
          </w:p>
        </w:tc>
        <w:tc>
          <w:tcPr>
            <w:tcW w:w="1304" w:type="dxa"/>
            <w:tcBorders>
              <w:top w:val="nil"/>
              <w:bottom w:val="nil"/>
            </w:tcBorders>
          </w:tcPr>
          <w:p w14:paraId="2CA314A8" w14:textId="7120CE17"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56.5</w:t>
            </w:r>
          </w:p>
        </w:tc>
        <w:tc>
          <w:tcPr>
            <w:tcW w:w="937" w:type="dxa"/>
            <w:tcBorders>
              <w:top w:val="nil"/>
              <w:bottom w:val="nil"/>
            </w:tcBorders>
          </w:tcPr>
          <w:p w14:paraId="075C4A93" w14:textId="128F2BCA"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4ECA8E88" w14:textId="77777777" w:rsidTr="00C73999">
        <w:trPr>
          <w:trHeight w:val="276"/>
        </w:trPr>
        <w:tc>
          <w:tcPr>
            <w:tcW w:w="1640" w:type="dxa"/>
            <w:tcBorders>
              <w:top w:val="nil"/>
              <w:bottom w:val="nil"/>
            </w:tcBorders>
          </w:tcPr>
          <w:p w14:paraId="7D88E28E" w14:textId="6B50E8F0" w:rsidR="007F1FBD" w:rsidRPr="0036402F" w:rsidRDefault="007F1FBD" w:rsidP="007F1FBD">
            <w:pPr>
              <w:rPr>
                <w:rFonts w:ascii="Arial" w:hAnsi="Arial" w:cs="Arial"/>
                <w:sz w:val="20"/>
                <w:szCs w:val="20"/>
                <w:lang w:val="en-US"/>
              </w:rPr>
            </w:pPr>
            <w:r w:rsidRPr="0036402F">
              <w:rPr>
                <w:rFonts w:ascii="Arial" w:hAnsi="Arial" w:cs="Arial"/>
                <w:sz w:val="20"/>
                <w:szCs w:val="20"/>
                <w:lang w:val="en-US"/>
              </w:rPr>
              <w:t>Ischemic heart diseases</w:t>
            </w:r>
          </w:p>
        </w:tc>
        <w:tc>
          <w:tcPr>
            <w:tcW w:w="1450" w:type="dxa"/>
            <w:tcBorders>
              <w:top w:val="nil"/>
              <w:bottom w:val="nil"/>
            </w:tcBorders>
          </w:tcPr>
          <w:p w14:paraId="07686E28" w14:textId="1A052B50"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29.2</w:t>
            </w:r>
          </w:p>
        </w:tc>
        <w:tc>
          <w:tcPr>
            <w:tcW w:w="1552" w:type="dxa"/>
            <w:tcBorders>
              <w:top w:val="nil"/>
              <w:bottom w:val="nil"/>
            </w:tcBorders>
          </w:tcPr>
          <w:p w14:paraId="4C569EB7" w14:textId="535B53BC"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20.5</w:t>
            </w:r>
          </w:p>
        </w:tc>
        <w:tc>
          <w:tcPr>
            <w:tcW w:w="1599" w:type="dxa"/>
            <w:tcBorders>
              <w:top w:val="nil"/>
              <w:bottom w:val="nil"/>
            </w:tcBorders>
          </w:tcPr>
          <w:p w14:paraId="3213B670" w14:textId="71A82B8F"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24.1</w:t>
            </w:r>
          </w:p>
        </w:tc>
        <w:tc>
          <w:tcPr>
            <w:tcW w:w="1616" w:type="dxa"/>
            <w:tcBorders>
              <w:top w:val="nil"/>
              <w:bottom w:val="nil"/>
            </w:tcBorders>
          </w:tcPr>
          <w:p w14:paraId="394AA601" w14:textId="5B9C0C1A"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30.3</w:t>
            </w:r>
          </w:p>
        </w:tc>
        <w:tc>
          <w:tcPr>
            <w:tcW w:w="1304" w:type="dxa"/>
            <w:tcBorders>
              <w:top w:val="nil"/>
              <w:bottom w:val="nil"/>
            </w:tcBorders>
          </w:tcPr>
          <w:p w14:paraId="7FCF3A7E" w14:textId="0C8924BB"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32.0</w:t>
            </w:r>
          </w:p>
        </w:tc>
        <w:tc>
          <w:tcPr>
            <w:tcW w:w="937" w:type="dxa"/>
            <w:tcBorders>
              <w:top w:val="nil"/>
              <w:bottom w:val="nil"/>
            </w:tcBorders>
          </w:tcPr>
          <w:p w14:paraId="4C03F493" w14:textId="0452C0E6" w:rsidR="007F1FBD" w:rsidRPr="0036402F" w:rsidRDefault="007F1FBD" w:rsidP="007F1FBD">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318D86EE" w14:textId="77777777" w:rsidTr="00C73999">
        <w:trPr>
          <w:trHeight w:val="276"/>
        </w:trPr>
        <w:tc>
          <w:tcPr>
            <w:tcW w:w="1640" w:type="dxa"/>
            <w:tcBorders>
              <w:top w:val="nil"/>
              <w:bottom w:val="nil"/>
            </w:tcBorders>
          </w:tcPr>
          <w:p w14:paraId="510E52E2" w14:textId="71F776A5" w:rsidR="00D0335D" w:rsidRPr="0036402F" w:rsidRDefault="00D0335D" w:rsidP="00D0335D">
            <w:pPr>
              <w:rPr>
                <w:rFonts w:ascii="Arial" w:hAnsi="Arial" w:cs="Arial"/>
                <w:sz w:val="20"/>
                <w:szCs w:val="20"/>
                <w:lang w:val="en-US"/>
              </w:rPr>
            </w:pPr>
            <w:r w:rsidRPr="0036402F">
              <w:rPr>
                <w:rFonts w:ascii="Arial" w:hAnsi="Arial" w:cs="Arial"/>
                <w:sz w:val="20"/>
                <w:szCs w:val="20"/>
                <w:lang w:val="en-US"/>
              </w:rPr>
              <w:t>Depression</w:t>
            </w:r>
          </w:p>
        </w:tc>
        <w:tc>
          <w:tcPr>
            <w:tcW w:w="1450" w:type="dxa"/>
            <w:tcBorders>
              <w:top w:val="nil"/>
              <w:bottom w:val="nil"/>
            </w:tcBorders>
          </w:tcPr>
          <w:p w14:paraId="2D8E810B" w14:textId="3D8F8EEE" w:rsidR="00D0335D" w:rsidRPr="0036402F" w:rsidRDefault="00D0335D" w:rsidP="00D0335D">
            <w:pPr>
              <w:jc w:val="center"/>
              <w:rPr>
                <w:rFonts w:ascii="Arial" w:hAnsi="Arial" w:cs="Arial"/>
                <w:sz w:val="20"/>
                <w:szCs w:val="20"/>
                <w:lang w:val="en-US"/>
              </w:rPr>
            </w:pPr>
            <w:r w:rsidRPr="0036402F">
              <w:rPr>
                <w:rFonts w:ascii="Arial" w:hAnsi="Arial" w:cs="Arial"/>
                <w:sz w:val="20"/>
                <w:szCs w:val="20"/>
                <w:lang w:val="en-US"/>
              </w:rPr>
              <w:t>23.7</w:t>
            </w:r>
          </w:p>
        </w:tc>
        <w:tc>
          <w:tcPr>
            <w:tcW w:w="1552" w:type="dxa"/>
            <w:tcBorders>
              <w:top w:val="nil"/>
              <w:bottom w:val="nil"/>
            </w:tcBorders>
          </w:tcPr>
          <w:p w14:paraId="4EF94DC6" w14:textId="476B0505" w:rsidR="00D0335D" w:rsidRPr="0036402F" w:rsidRDefault="00D0335D" w:rsidP="00D0335D">
            <w:pPr>
              <w:jc w:val="center"/>
              <w:rPr>
                <w:rFonts w:ascii="Arial" w:hAnsi="Arial" w:cs="Arial"/>
                <w:sz w:val="20"/>
                <w:szCs w:val="20"/>
                <w:lang w:val="en-US"/>
              </w:rPr>
            </w:pPr>
            <w:r w:rsidRPr="0036402F">
              <w:rPr>
                <w:rFonts w:ascii="Arial" w:hAnsi="Arial" w:cs="Arial"/>
                <w:sz w:val="20"/>
                <w:szCs w:val="20"/>
                <w:lang w:val="en-US"/>
              </w:rPr>
              <w:t>28.7</w:t>
            </w:r>
          </w:p>
        </w:tc>
        <w:tc>
          <w:tcPr>
            <w:tcW w:w="1599" w:type="dxa"/>
            <w:tcBorders>
              <w:top w:val="nil"/>
              <w:bottom w:val="nil"/>
            </w:tcBorders>
          </w:tcPr>
          <w:p w14:paraId="4D298968" w14:textId="6FAC725F" w:rsidR="00D0335D" w:rsidRPr="0036402F" w:rsidRDefault="00D0335D" w:rsidP="00D0335D">
            <w:pPr>
              <w:jc w:val="center"/>
              <w:rPr>
                <w:rFonts w:ascii="Arial" w:hAnsi="Arial" w:cs="Arial"/>
                <w:sz w:val="20"/>
                <w:szCs w:val="20"/>
                <w:lang w:val="en-US"/>
              </w:rPr>
            </w:pPr>
            <w:r w:rsidRPr="0036402F">
              <w:rPr>
                <w:rFonts w:ascii="Arial" w:hAnsi="Arial" w:cs="Arial"/>
                <w:sz w:val="20"/>
                <w:szCs w:val="20"/>
                <w:lang w:val="en-US"/>
              </w:rPr>
              <w:t>24.4</w:t>
            </w:r>
          </w:p>
        </w:tc>
        <w:tc>
          <w:tcPr>
            <w:tcW w:w="1616" w:type="dxa"/>
            <w:tcBorders>
              <w:top w:val="nil"/>
              <w:bottom w:val="nil"/>
            </w:tcBorders>
          </w:tcPr>
          <w:p w14:paraId="4D894AE0" w14:textId="45AC9362" w:rsidR="00D0335D" w:rsidRPr="0036402F" w:rsidRDefault="00D0335D" w:rsidP="00D0335D">
            <w:pPr>
              <w:jc w:val="center"/>
              <w:rPr>
                <w:rFonts w:ascii="Arial" w:hAnsi="Arial" w:cs="Arial"/>
                <w:sz w:val="20"/>
                <w:szCs w:val="20"/>
                <w:lang w:val="en-US"/>
              </w:rPr>
            </w:pPr>
            <w:r w:rsidRPr="0036402F">
              <w:rPr>
                <w:rFonts w:ascii="Arial" w:hAnsi="Arial" w:cs="Arial"/>
                <w:sz w:val="20"/>
                <w:szCs w:val="20"/>
                <w:lang w:val="en-US"/>
              </w:rPr>
              <w:t>22.8</w:t>
            </w:r>
          </w:p>
        </w:tc>
        <w:tc>
          <w:tcPr>
            <w:tcW w:w="1304" w:type="dxa"/>
            <w:tcBorders>
              <w:top w:val="nil"/>
              <w:bottom w:val="nil"/>
            </w:tcBorders>
          </w:tcPr>
          <w:p w14:paraId="270A4307" w14:textId="089EED99" w:rsidR="00D0335D" w:rsidRPr="0036402F" w:rsidRDefault="00D0335D" w:rsidP="00D0335D">
            <w:pPr>
              <w:jc w:val="center"/>
              <w:rPr>
                <w:rFonts w:ascii="Arial" w:hAnsi="Arial" w:cs="Arial"/>
                <w:sz w:val="20"/>
                <w:szCs w:val="20"/>
                <w:lang w:val="en-US"/>
              </w:rPr>
            </w:pPr>
            <w:r w:rsidRPr="0036402F">
              <w:rPr>
                <w:rFonts w:ascii="Arial" w:hAnsi="Arial" w:cs="Arial"/>
                <w:sz w:val="20"/>
                <w:szCs w:val="20"/>
                <w:lang w:val="en-US"/>
              </w:rPr>
              <w:t>24.2</w:t>
            </w:r>
          </w:p>
        </w:tc>
        <w:tc>
          <w:tcPr>
            <w:tcW w:w="937" w:type="dxa"/>
            <w:tcBorders>
              <w:top w:val="nil"/>
              <w:bottom w:val="nil"/>
            </w:tcBorders>
          </w:tcPr>
          <w:p w14:paraId="4FBA1A3D" w14:textId="540DB5A3" w:rsidR="00D0335D" w:rsidRPr="0036402F" w:rsidRDefault="00D0335D" w:rsidP="00D0335D">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50583305" w14:textId="77777777" w:rsidTr="00C73999">
        <w:trPr>
          <w:trHeight w:val="276"/>
        </w:trPr>
        <w:tc>
          <w:tcPr>
            <w:tcW w:w="1640" w:type="dxa"/>
            <w:tcBorders>
              <w:top w:val="nil"/>
              <w:bottom w:val="nil"/>
            </w:tcBorders>
          </w:tcPr>
          <w:p w14:paraId="11D2C956" w14:textId="62D86716" w:rsidR="003540E5" w:rsidRPr="0036402F" w:rsidRDefault="003540E5" w:rsidP="003540E5">
            <w:pPr>
              <w:rPr>
                <w:rFonts w:ascii="Arial" w:hAnsi="Arial" w:cs="Arial"/>
                <w:sz w:val="20"/>
                <w:szCs w:val="20"/>
                <w:lang w:val="en-US"/>
              </w:rPr>
            </w:pPr>
            <w:r w:rsidRPr="0036402F">
              <w:rPr>
                <w:rFonts w:ascii="Arial" w:hAnsi="Arial" w:cs="Arial"/>
                <w:sz w:val="20"/>
                <w:szCs w:val="20"/>
                <w:lang w:val="en-US"/>
              </w:rPr>
              <w:t>Stroke or transient ischemic attack</w:t>
            </w:r>
          </w:p>
        </w:tc>
        <w:tc>
          <w:tcPr>
            <w:tcW w:w="1450" w:type="dxa"/>
            <w:tcBorders>
              <w:top w:val="nil"/>
              <w:bottom w:val="nil"/>
            </w:tcBorders>
          </w:tcPr>
          <w:p w14:paraId="5E8296C5" w14:textId="22F7B386" w:rsidR="003540E5" w:rsidRPr="0036402F" w:rsidRDefault="003540E5" w:rsidP="003540E5">
            <w:pPr>
              <w:jc w:val="center"/>
              <w:rPr>
                <w:rFonts w:ascii="Arial" w:hAnsi="Arial" w:cs="Arial"/>
                <w:sz w:val="20"/>
                <w:szCs w:val="20"/>
                <w:lang w:val="en-US"/>
              </w:rPr>
            </w:pPr>
            <w:r w:rsidRPr="0036402F">
              <w:rPr>
                <w:rFonts w:ascii="Arial" w:hAnsi="Arial" w:cs="Arial"/>
                <w:sz w:val="20"/>
                <w:szCs w:val="20"/>
                <w:lang w:val="en-US"/>
              </w:rPr>
              <w:t>20.3</w:t>
            </w:r>
          </w:p>
        </w:tc>
        <w:tc>
          <w:tcPr>
            <w:tcW w:w="1552" w:type="dxa"/>
            <w:tcBorders>
              <w:top w:val="nil"/>
              <w:bottom w:val="nil"/>
            </w:tcBorders>
          </w:tcPr>
          <w:p w14:paraId="52DEFC0D" w14:textId="13AEF12D" w:rsidR="003540E5" w:rsidRPr="0036402F" w:rsidRDefault="003540E5" w:rsidP="003540E5">
            <w:pPr>
              <w:jc w:val="center"/>
              <w:rPr>
                <w:rFonts w:ascii="Arial" w:hAnsi="Arial" w:cs="Arial"/>
                <w:sz w:val="20"/>
                <w:szCs w:val="20"/>
                <w:lang w:val="en-US"/>
              </w:rPr>
            </w:pPr>
            <w:r w:rsidRPr="0036402F">
              <w:rPr>
                <w:rFonts w:ascii="Arial" w:hAnsi="Arial" w:cs="Arial"/>
                <w:sz w:val="20"/>
                <w:szCs w:val="20"/>
                <w:lang w:val="en-US"/>
              </w:rPr>
              <w:t>19.0</w:t>
            </w:r>
          </w:p>
        </w:tc>
        <w:tc>
          <w:tcPr>
            <w:tcW w:w="1599" w:type="dxa"/>
            <w:tcBorders>
              <w:top w:val="nil"/>
              <w:bottom w:val="nil"/>
            </w:tcBorders>
          </w:tcPr>
          <w:p w14:paraId="4F785B8F" w14:textId="3967087D" w:rsidR="003540E5" w:rsidRPr="0036402F" w:rsidRDefault="003540E5" w:rsidP="003540E5">
            <w:pPr>
              <w:jc w:val="center"/>
              <w:rPr>
                <w:rFonts w:ascii="Arial" w:hAnsi="Arial" w:cs="Arial"/>
                <w:sz w:val="20"/>
                <w:szCs w:val="20"/>
                <w:lang w:val="en-US"/>
              </w:rPr>
            </w:pPr>
            <w:r w:rsidRPr="0036402F">
              <w:rPr>
                <w:rFonts w:ascii="Arial" w:hAnsi="Arial" w:cs="Arial"/>
                <w:sz w:val="20"/>
                <w:szCs w:val="20"/>
                <w:lang w:val="en-US"/>
              </w:rPr>
              <w:t>20.2</w:t>
            </w:r>
          </w:p>
        </w:tc>
        <w:tc>
          <w:tcPr>
            <w:tcW w:w="1616" w:type="dxa"/>
            <w:tcBorders>
              <w:top w:val="nil"/>
              <w:bottom w:val="nil"/>
            </w:tcBorders>
          </w:tcPr>
          <w:p w14:paraId="575D58CF" w14:textId="40BD85A4" w:rsidR="003540E5" w:rsidRPr="0036402F" w:rsidRDefault="003540E5" w:rsidP="003540E5">
            <w:pPr>
              <w:jc w:val="center"/>
              <w:rPr>
                <w:rFonts w:ascii="Arial" w:hAnsi="Arial" w:cs="Arial"/>
                <w:sz w:val="20"/>
                <w:szCs w:val="20"/>
                <w:lang w:val="en-US"/>
              </w:rPr>
            </w:pPr>
            <w:r w:rsidRPr="0036402F">
              <w:rPr>
                <w:rFonts w:ascii="Arial" w:hAnsi="Arial" w:cs="Arial"/>
                <w:sz w:val="20"/>
                <w:szCs w:val="20"/>
                <w:lang w:val="en-US"/>
              </w:rPr>
              <w:t>21.2</w:t>
            </w:r>
          </w:p>
        </w:tc>
        <w:tc>
          <w:tcPr>
            <w:tcW w:w="1304" w:type="dxa"/>
            <w:tcBorders>
              <w:top w:val="nil"/>
              <w:bottom w:val="nil"/>
            </w:tcBorders>
          </w:tcPr>
          <w:p w14:paraId="3324F190" w14:textId="41BCC370" w:rsidR="003540E5" w:rsidRPr="0036402F" w:rsidRDefault="003540E5" w:rsidP="003540E5">
            <w:pPr>
              <w:jc w:val="center"/>
              <w:rPr>
                <w:rFonts w:ascii="Arial" w:hAnsi="Arial" w:cs="Arial"/>
                <w:sz w:val="20"/>
                <w:szCs w:val="20"/>
                <w:lang w:val="en-US"/>
              </w:rPr>
            </w:pPr>
            <w:r w:rsidRPr="0036402F">
              <w:rPr>
                <w:rFonts w:ascii="Arial" w:hAnsi="Arial" w:cs="Arial"/>
                <w:sz w:val="20"/>
                <w:szCs w:val="20"/>
                <w:lang w:val="en-US"/>
              </w:rPr>
              <w:t>19.2</w:t>
            </w:r>
          </w:p>
        </w:tc>
        <w:tc>
          <w:tcPr>
            <w:tcW w:w="937" w:type="dxa"/>
            <w:tcBorders>
              <w:top w:val="nil"/>
              <w:bottom w:val="nil"/>
            </w:tcBorders>
          </w:tcPr>
          <w:p w14:paraId="2B53FE86" w14:textId="01A277E2" w:rsidR="003540E5" w:rsidRPr="0036402F" w:rsidRDefault="003540E5" w:rsidP="003540E5">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671E714D" w14:textId="77777777" w:rsidTr="00C73999">
        <w:trPr>
          <w:trHeight w:val="276"/>
        </w:trPr>
        <w:tc>
          <w:tcPr>
            <w:tcW w:w="1640" w:type="dxa"/>
            <w:tcBorders>
              <w:top w:val="nil"/>
              <w:bottom w:val="nil"/>
            </w:tcBorders>
          </w:tcPr>
          <w:p w14:paraId="345BE3E5" w14:textId="06764693" w:rsidR="00B6050E" w:rsidRPr="0036402F" w:rsidRDefault="00B6050E" w:rsidP="00B6050E">
            <w:pPr>
              <w:rPr>
                <w:rFonts w:ascii="Arial" w:hAnsi="Arial" w:cs="Arial"/>
                <w:sz w:val="20"/>
                <w:szCs w:val="20"/>
                <w:lang w:val="en-US"/>
              </w:rPr>
            </w:pPr>
            <w:r w:rsidRPr="0036402F">
              <w:rPr>
                <w:rFonts w:ascii="Arial" w:hAnsi="Arial" w:cs="Arial"/>
                <w:sz w:val="20"/>
                <w:szCs w:val="20"/>
                <w:lang w:val="en-US"/>
              </w:rPr>
              <w:t>Chronic obstructive bronchitis or lung disease</w:t>
            </w:r>
          </w:p>
        </w:tc>
        <w:tc>
          <w:tcPr>
            <w:tcW w:w="1450" w:type="dxa"/>
            <w:tcBorders>
              <w:top w:val="nil"/>
              <w:bottom w:val="nil"/>
            </w:tcBorders>
          </w:tcPr>
          <w:p w14:paraId="44429884" w14:textId="027E2822" w:rsidR="00B6050E" w:rsidRPr="0036402F" w:rsidRDefault="00B6050E" w:rsidP="00B6050E">
            <w:pPr>
              <w:jc w:val="center"/>
              <w:rPr>
                <w:rFonts w:ascii="Arial" w:hAnsi="Arial" w:cs="Arial"/>
                <w:sz w:val="20"/>
                <w:szCs w:val="20"/>
                <w:lang w:val="en-US"/>
              </w:rPr>
            </w:pPr>
            <w:r w:rsidRPr="0036402F">
              <w:rPr>
                <w:rFonts w:ascii="Arial" w:hAnsi="Arial" w:cs="Arial"/>
                <w:sz w:val="20"/>
                <w:szCs w:val="20"/>
                <w:lang w:val="en-US"/>
              </w:rPr>
              <w:t>19.5</w:t>
            </w:r>
          </w:p>
        </w:tc>
        <w:tc>
          <w:tcPr>
            <w:tcW w:w="1552" w:type="dxa"/>
            <w:tcBorders>
              <w:top w:val="nil"/>
              <w:bottom w:val="nil"/>
            </w:tcBorders>
          </w:tcPr>
          <w:p w14:paraId="49E1CF01" w14:textId="3CD652B4" w:rsidR="00B6050E" w:rsidRPr="0036402F" w:rsidRDefault="00B6050E" w:rsidP="00B6050E">
            <w:pPr>
              <w:jc w:val="center"/>
              <w:rPr>
                <w:rFonts w:ascii="Arial" w:hAnsi="Arial" w:cs="Arial"/>
                <w:sz w:val="20"/>
                <w:szCs w:val="20"/>
                <w:lang w:val="en-US"/>
              </w:rPr>
            </w:pPr>
            <w:r w:rsidRPr="0036402F">
              <w:rPr>
                <w:rFonts w:ascii="Arial" w:hAnsi="Arial" w:cs="Arial"/>
                <w:sz w:val="20"/>
                <w:szCs w:val="20"/>
                <w:lang w:val="en-US"/>
              </w:rPr>
              <w:t>31.8</w:t>
            </w:r>
          </w:p>
        </w:tc>
        <w:tc>
          <w:tcPr>
            <w:tcW w:w="1599" w:type="dxa"/>
            <w:tcBorders>
              <w:top w:val="nil"/>
              <w:bottom w:val="nil"/>
            </w:tcBorders>
          </w:tcPr>
          <w:p w14:paraId="76CF250A" w14:textId="052F9FA2" w:rsidR="00B6050E" w:rsidRPr="0036402F" w:rsidRDefault="00B6050E" w:rsidP="00B6050E">
            <w:pPr>
              <w:jc w:val="center"/>
              <w:rPr>
                <w:rFonts w:ascii="Arial" w:hAnsi="Arial" w:cs="Arial"/>
                <w:sz w:val="20"/>
                <w:szCs w:val="20"/>
                <w:lang w:val="en-US"/>
              </w:rPr>
            </w:pPr>
            <w:r w:rsidRPr="0036402F">
              <w:rPr>
                <w:rFonts w:ascii="Arial" w:hAnsi="Arial" w:cs="Arial"/>
                <w:sz w:val="20"/>
                <w:szCs w:val="20"/>
                <w:lang w:val="en-US"/>
              </w:rPr>
              <w:t>18.4</w:t>
            </w:r>
          </w:p>
        </w:tc>
        <w:tc>
          <w:tcPr>
            <w:tcW w:w="1616" w:type="dxa"/>
            <w:tcBorders>
              <w:top w:val="nil"/>
              <w:bottom w:val="nil"/>
            </w:tcBorders>
          </w:tcPr>
          <w:p w14:paraId="03CCDC02" w14:textId="0F0BC4F9" w:rsidR="00B6050E" w:rsidRPr="0036402F" w:rsidRDefault="00B6050E" w:rsidP="00B6050E">
            <w:pPr>
              <w:jc w:val="center"/>
              <w:rPr>
                <w:rFonts w:ascii="Arial" w:hAnsi="Arial" w:cs="Arial"/>
                <w:sz w:val="20"/>
                <w:szCs w:val="20"/>
                <w:lang w:val="en-US"/>
              </w:rPr>
            </w:pPr>
            <w:r w:rsidRPr="0036402F">
              <w:rPr>
                <w:rFonts w:ascii="Arial" w:hAnsi="Arial" w:cs="Arial"/>
                <w:sz w:val="20"/>
                <w:szCs w:val="20"/>
                <w:lang w:val="en-US"/>
              </w:rPr>
              <w:t>18.3</w:t>
            </w:r>
          </w:p>
        </w:tc>
        <w:tc>
          <w:tcPr>
            <w:tcW w:w="1304" w:type="dxa"/>
            <w:tcBorders>
              <w:top w:val="nil"/>
              <w:bottom w:val="nil"/>
            </w:tcBorders>
          </w:tcPr>
          <w:p w14:paraId="6520F771" w14:textId="519043FF" w:rsidR="00B6050E" w:rsidRPr="0036402F" w:rsidRDefault="00B6050E" w:rsidP="00B6050E">
            <w:pPr>
              <w:jc w:val="center"/>
              <w:rPr>
                <w:rFonts w:ascii="Arial" w:hAnsi="Arial" w:cs="Arial"/>
                <w:sz w:val="20"/>
                <w:szCs w:val="20"/>
                <w:lang w:val="en-US"/>
              </w:rPr>
            </w:pPr>
            <w:r w:rsidRPr="0036402F">
              <w:rPr>
                <w:rFonts w:ascii="Arial" w:hAnsi="Arial" w:cs="Arial"/>
                <w:sz w:val="20"/>
                <w:szCs w:val="20"/>
                <w:lang w:val="en-US"/>
              </w:rPr>
              <w:t>21.5</w:t>
            </w:r>
          </w:p>
        </w:tc>
        <w:tc>
          <w:tcPr>
            <w:tcW w:w="937" w:type="dxa"/>
            <w:tcBorders>
              <w:top w:val="nil"/>
              <w:bottom w:val="nil"/>
            </w:tcBorders>
          </w:tcPr>
          <w:p w14:paraId="3CC1852A" w14:textId="268D68AD" w:rsidR="00B6050E" w:rsidRPr="0036402F" w:rsidRDefault="00B6050E" w:rsidP="00B6050E">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4E6A6769" w14:textId="77777777" w:rsidTr="00C73999">
        <w:trPr>
          <w:trHeight w:val="276"/>
        </w:trPr>
        <w:tc>
          <w:tcPr>
            <w:tcW w:w="1640" w:type="dxa"/>
            <w:tcBorders>
              <w:top w:val="nil"/>
              <w:bottom w:val="nil"/>
            </w:tcBorders>
          </w:tcPr>
          <w:p w14:paraId="7A4FAF15" w14:textId="23EEF434" w:rsidR="00AB043E" w:rsidRPr="0036402F" w:rsidRDefault="00AB043E" w:rsidP="00AB043E">
            <w:pPr>
              <w:rPr>
                <w:rFonts w:ascii="Arial" w:hAnsi="Arial" w:cs="Arial"/>
                <w:sz w:val="20"/>
                <w:szCs w:val="20"/>
                <w:lang w:val="en-US"/>
              </w:rPr>
            </w:pPr>
            <w:r w:rsidRPr="0036402F">
              <w:rPr>
                <w:rFonts w:ascii="Arial" w:hAnsi="Arial" w:cs="Arial"/>
                <w:sz w:val="20"/>
                <w:szCs w:val="20"/>
                <w:lang w:val="en-US"/>
              </w:rPr>
              <w:t>Heart failure</w:t>
            </w:r>
          </w:p>
        </w:tc>
        <w:tc>
          <w:tcPr>
            <w:tcW w:w="1450" w:type="dxa"/>
            <w:tcBorders>
              <w:top w:val="nil"/>
              <w:bottom w:val="nil"/>
            </w:tcBorders>
          </w:tcPr>
          <w:p w14:paraId="5DFCB888" w14:textId="211B35C6" w:rsidR="00AB043E" w:rsidRPr="0036402F" w:rsidRDefault="00AB043E" w:rsidP="00AB043E">
            <w:pPr>
              <w:jc w:val="center"/>
              <w:rPr>
                <w:rFonts w:ascii="Arial" w:hAnsi="Arial" w:cs="Arial"/>
                <w:sz w:val="20"/>
                <w:szCs w:val="20"/>
                <w:lang w:val="en-US"/>
              </w:rPr>
            </w:pPr>
            <w:r w:rsidRPr="0036402F">
              <w:rPr>
                <w:rFonts w:ascii="Arial" w:hAnsi="Arial" w:cs="Arial"/>
                <w:sz w:val="20"/>
                <w:szCs w:val="20"/>
                <w:lang w:val="en-US"/>
              </w:rPr>
              <w:t>18.5</w:t>
            </w:r>
          </w:p>
        </w:tc>
        <w:tc>
          <w:tcPr>
            <w:tcW w:w="1552" w:type="dxa"/>
            <w:tcBorders>
              <w:top w:val="nil"/>
              <w:bottom w:val="nil"/>
            </w:tcBorders>
          </w:tcPr>
          <w:p w14:paraId="434015A5" w14:textId="2BEAC054" w:rsidR="00AB043E" w:rsidRPr="0036402F" w:rsidRDefault="00AB043E" w:rsidP="00AB043E">
            <w:pPr>
              <w:jc w:val="center"/>
              <w:rPr>
                <w:rFonts w:ascii="Arial" w:hAnsi="Arial" w:cs="Arial"/>
                <w:sz w:val="20"/>
                <w:szCs w:val="20"/>
                <w:lang w:val="en-US"/>
              </w:rPr>
            </w:pPr>
            <w:r w:rsidRPr="0036402F">
              <w:rPr>
                <w:rFonts w:ascii="Arial" w:hAnsi="Arial" w:cs="Arial"/>
                <w:sz w:val="20"/>
                <w:szCs w:val="20"/>
                <w:lang w:val="en-US"/>
              </w:rPr>
              <w:t>16.0</w:t>
            </w:r>
          </w:p>
        </w:tc>
        <w:tc>
          <w:tcPr>
            <w:tcW w:w="1599" w:type="dxa"/>
            <w:tcBorders>
              <w:top w:val="nil"/>
              <w:bottom w:val="nil"/>
            </w:tcBorders>
          </w:tcPr>
          <w:p w14:paraId="0C8B256C" w14:textId="67E1105C" w:rsidR="00AB043E" w:rsidRPr="0036402F" w:rsidRDefault="00AB043E" w:rsidP="00AB043E">
            <w:pPr>
              <w:jc w:val="center"/>
              <w:rPr>
                <w:rFonts w:ascii="Arial" w:hAnsi="Arial" w:cs="Arial"/>
                <w:sz w:val="20"/>
                <w:szCs w:val="20"/>
                <w:lang w:val="en-US"/>
              </w:rPr>
            </w:pPr>
            <w:r w:rsidRPr="0036402F">
              <w:rPr>
                <w:rFonts w:ascii="Arial" w:hAnsi="Arial" w:cs="Arial"/>
                <w:sz w:val="20"/>
                <w:szCs w:val="20"/>
                <w:lang w:val="en-US"/>
              </w:rPr>
              <w:t>14.3</w:t>
            </w:r>
          </w:p>
        </w:tc>
        <w:tc>
          <w:tcPr>
            <w:tcW w:w="1616" w:type="dxa"/>
            <w:tcBorders>
              <w:top w:val="nil"/>
              <w:bottom w:val="nil"/>
            </w:tcBorders>
          </w:tcPr>
          <w:p w14:paraId="512768D7" w14:textId="403D7BF4" w:rsidR="00AB043E" w:rsidRPr="0036402F" w:rsidRDefault="00AB043E" w:rsidP="00AB043E">
            <w:pPr>
              <w:jc w:val="center"/>
              <w:rPr>
                <w:rFonts w:ascii="Arial" w:hAnsi="Arial" w:cs="Arial"/>
                <w:sz w:val="20"/>
                <w:szCs w:val="20"/>
                <w:lang w:val="en-US"/>
              </w:rPr>
            </w:pPr>
            <w:r w:rsidRPr="0036402F">
              <w:rPr>
                <w:rFonts w:ascii="Arial" w:hAnsi="Arial" w:cs="Arial"/>
                <w:sz w:val="20"/>
                <w:szCs w:val="20"/>
                <w:lang w:val="en-US"/>
              </w:rPr>
              <w:t>17.1</w:t>
            </w:r>
          </w:p>
        </w:tc>
        <w:tc>
          <w:tcPr>
            <w:tcW w:w="1304" w:type="dxa"/>
            <w:tcBorders>
              <w:top w:val="nil"/>
              <w:bottom w:val="nil"/>
            </w:tcBorders>
          </w:tcPr>
          <w:p w14:paraId="6FEDDA51" w14:textId="11C91403" w:rsidR="00AB043E" w:rsidRPr="0036402F" w:rsidRDefault="00AB043E" w:rsidP="00AB043E">
            <w:pPr>
              <w:jc w:val="center"/>
              <w:rPr>
                <w:rFonts w:ascii="Arial" w:hAnsi="Arial" w:cs="Arial"/>
                <w:sz w:val="20"/>
                <w:szCs w:val="20"/>
                <w:lang w:val="en-US"/>
              </w:rPr>
            </w:pPr>
            <w:r w:rsidRPr="0036402F">
              <w:rPr>
                <w:rFonts w:ascii="Arial" w:hAnsi="Arial" w:cs="Arial"/>
                <w:sz w:val="20"/>
                <w:szCs w:val="20"/>
                <w:lang w:val="en-US"/>
              </w:rPr>
              <w:t>23.6</w:t>
            </w:r>
          </w:p>
        </w:tc>
        <w:tc>
          <w:tcPr>
            <w:tcW w:w="937" w:type="dxa"/>
            <w:tcBorders>
              <w:top w:val="nil"/>
              <w:bottom w:val="nil"/>
            </w:tcBorders>
          </w:tcPr>
          <w:p w14:paraId="12DD49F1" w14:textId="6A117ECB" w:rsidR="00AB043E" w:rsidRPr="0036402F" w:rsidRDefault="00AB043E" w:rsidP="00AB043E">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674BE7D0" w14:textId="77777777" w:rsidTr="006153D7">
        <w:trPr>
          <w:trHeight w:val="362"/>
        </w:trPr>
        <w:tc>
          <w:tcPr>
            <w:tcW w:w="1640" w:type="dxa"/>
            <w:tcBorders>
              <w:top w:val="nil"/>
              <w:bottom w:val="nil"/>
            </w:tcBorders>
          </w:tcPr>
          <w:p w14:paraId="5B24FB36" w14:textId="77777777" w:rsidR="00027D46" w:rsidRPr="0036402F" w:rsidRDefault="00027D46" w:rsidP="006153D7">
            <w:pPr>
              <w:rPr>
                <w:rFonts w:ascii="Arial" w:hAnsi="Arial" w:cs="Arial"/>
                <w:sz w:val="20"/>
                <w:szCs w:val="20"/>
                <w:lang w:val="en-US"/>
              </w:rPr>
            </w:pPr>
            <w:r w:rsidRPr="0036402F">
              <w:rPr>
                <w:rFonts w:ascii="Arial" w:hAnsi="Arial" w:cs="Arial"/>
                <w:sz w:val="20"/>
                <w:szCs w:val="20"/>
                <w:lang w:val="en-US"/>
              </w:rPr>
              <w:t>Renal failure</w:t>
            </w:r>
          </w:p>
        </w:tc>
        <w:tc>
          <w:tcPr>
            <w:tcW w:w="1450" w:type="dxa"/>
            <w:tcBorders>
              <w:top w:val="nil"/>
              <w:bottom w:val="nil"/>
            </w:tcBorders>
          </w:tcPr>
          <w:p w14:paraId="34C631FE" w14:textId="77777777" w:rsidR="00027D46" w:rsidRPr="0036402F" w:rsidRDefault="00027D46" w:rsidP="006153D7">
            <w:pPr>
              <w:jc w:val="center"/>
              <w:rPr>
                <w:rFonts w:ascii="Arial" w:hAnsi="Arial" w:cs="Arial"/>
                <w:sz w:val="20"/>
                <w:szCs w:val="20"/>
                <w:lang w:val="en-US"/>
              </w:rPr>
            </w:pPr>
            <w:r w:rsidRPr="0036402F">
              <w:rPr>
                <w:rFonts w:ascii="Arial" w:hAnsi="Arial" w:cs="Arial"/>
                <w:sz w:val="20"/>
                <w:szCs w:val="20"/>
                <w:lang w:val="en-US"/>
              </w:rPr>
              <w:t>16.4</w:t>
            </w:r>
          </w:p>
        </w:tc>
        <w:tc>
          <w:tcPr>
            <w:tcW w:w="1552" w:type="dxa"/>
            <w:tcBorders>
              <w:top w:val="nil"/>
              <w:bottom w:val="nil"/>
            </w:tcBorders>
          </w:tcPr>
          <w:p w14:paraId="32789BEA" w14:textId="77777777" w:rsidR="00027D46" w:rsidRPr="0036402F" w:rsidRDefault="00027D46" w:rsidP="006153D7">
            <w:pPr>
              <w:jc w:val="center"/>
              <w:rPr>
                <w:rFonts w:ascii="Arial" w:hAnsi="Arial" w:cs="Arial"/>
                <w:sz w:val="20"/>
                <w:szCs w:val="20"/>
                <w:lang w:val="en-US"/>
              </w:rPr>
            </w:pPr>
            <w:r w:rsidRPr="0036402F">
              <w:rPr>
                <w:rFonts w:ascii="Arial" w:hAnsi="Arial" w:cs="Arial"/>
                <w:sz w:val="20"/>
                <w:szCs w:val="20"/>
                <w:lang w:val="en-US"/>
              </w:rPr>
              <w:t>8.6</w:t>
            </w:r>
          </w:p>
        </w:tc>
        <w:tc>
          <w:tcPr>
            <w:tcW w:w="1599" w:type="dxa"/>
            <w:tcBorders>
              <w:top w:val="nil"/>
              <w:bottom w:val="nil"/>
            </w:tcBorders>
          </w:tcPr>
          <w:p w14:paraId="58023427" w14:textId="77777777" w:rsidR="00027D46" w:rsidRPr="0036402F" w:rsidRDefault="00027D46" w:rsidP="006153D7">
            <w:pPr>
              <w:jc w:val="center"/>
              <w:rPr>
                <w:rFonts w:ascii="Arial" w:hAnsi="Arial" w:cs="Arial"/>
                <w:sz w:val="20"/>
                <w:szCs w:val="20"/>
                <w:lang w:val="en-US"/>
              </w:rPr>
            </w:pPr>
            <w:r w:rsidRPr="0036402F">
              <w:rPr>
                <w:rFonts w:ascii="Arial" w:hAnsi="Arial" w:cs="Arial"/>
                <w:sz w:val="20"/>
                <w:szCs w:val="20"/>
                <w:lang w:val="en-US"/>
              </w:rPr>
              <w:t>12.0</w:t>
            </w:r>
          </w:p>
        </w:tc>
        <w:tc>
          <w:tcPr>
            <w:tcW w:w="1616" w:type="dxa"/>
            <w:tcBorders>
              <w:top w:val="nil"/>
              <w:bottom w:val="nil"/>
            </w:tcBorders>
          </w:tcPr>
          <w:p w14:paraId="67979555" w14:textId="77777777" w:rsidR="00027D46" w:rsidRPr="0036402F" w:rsidRDefault="00027D46" w:rsidP="006153D7">
            <w:pPr>
              <w:jc w:val="center"/>
              <w:rPr>
                <w:rFonts w:ascii="Arial" w:hAnsi="Arial" w:cs="Arial"/>
                <w:sz w:val="20"/>
                <w:szCs w:val="20"/>
                <w:lang w:val="en-US"/>
              </w:rPr>
            </w:pPr>
            <w:r w:rsidRPr="0036402F">
              <w:rPr>
                <w:rFonts w:ascii="Arial" w:hAnsi="Arial" w:cs="Arial"/>
                <w:sz w:val="20"/>
                <w:szCs w:val="20"/>
                <w:lang w:val="en-US"/>
              </w:rPr>
              <w:t>16.0</w:t>
            </w:r>
          </w:p>
        </w:tc>
        <w:tc>
          <w:tcPr>
            <w:tcW w:w="1304" w:type="dxa"/>
            <w:tcBorders>
              <w:top w:val="nil"/>
              <w:bottom w:val="nil"/>
            </w:tcBorders>
          </w:tcPr>
          <w:p w14:paraId="3D48BD90" w14:textId="77777777" w:rsidR="00027D46" w:rsidRPr="0036402F" w:rsidRDefault="00027D46" w:rsidP="006153D7">
            <w:pPr>
              <w:jc w:val="center"/>
              <w:rPr>
                <w:rFonts w:ascii="Arial" w:hAnsi="Arial" w:cs="Arial"/>
                <w:sz w:val="20"/>
                <w:szCs w:val="20"/>
                <w:lang w:val="en-US"/>
              </w:rPr>
            </w:pPr>
            <w:r w:rsidRPr="0036402F">
              <w:rPr>
                <w:rFonts w:ascii="Arial" w:hAnsi="Arial" w:cs="Arial"/>
                <w:sz w:val="20"/>
                <w:szCs w:val="20"/>
                <w:lang w:val="en-US"/>
              </w:rPr>
              <w:t>20.8</w:t>
            </w:r>
          </w:p>
        </w:tc>
        <w:tc>
          <w:tcPr>
            <w:tcW w:w="937" w:type="dxa"/>
            <w:tcBorders>
              <w:top w:val="nil"/>
              <w:bottom w:val="nil"/>
            </w:tcBorders>
          </w:tcPr>
          <w:p w14:paraId="2A9D156E" w14:textId="77777777" w:rsidR="00027D46" w:rsidRPr="0036402F" w:rsidRDefault="00027D46" w:rsidP="006153D7">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7753DCFF" w14:textId="77777777" w:rsidTr="006153D7">
        <w:trPr>
          <w:trHeight w:val="362"/>
        </w:trPr>
        <w:tc>
          <w:tcPr>
            <w:tcW w:w="1640" w:type="dxa"/>
            <w:tcBorders>
              <w:top w:val="nil"/>
              <w:bottom w:val="nil"/>
            </w:tcBorders>
          </w:tcPr>
          <w:p w14:paraId="2AEA8A39" w14:textId="77777777" w:rsidR="004C758C" w:rsidRPr="0036402F" w:rsidRDefault="004C758C" w:rsidP="006153D7">
            <w:pPr>
              <w:rPr>
                <w:rFonts w:ascii="Arial" w:hAnsi="Arial" w:cs="Arial"/>
                <w:sz w:val="20"/>
                <w:szCs w:val="20"/>
                <w:lang w:val="en-US"/>
              </w:rPr>
            </w:pPr>
            <w:r w:rsidRPr="0036402F">
              <w:rPr>
                <w:rFonts w:ascii="Arial" w:hAnsi="Arial" w:cs="Arial"/>
                <w:sz w:val="20"/>
                <w:szCs w:val="20"/>
                <w:lang w:val="en-US"/>
              </w:rPr>
              <w:t>Chronic liver diseases</w:t>
            </w:r>
          </w:p>
        </w:tc>
        <w:tc>
          <w:tcPr>
            <w:tcW w:w="1450" w:type="dxa"/>
            <w:tcBorders>
              <w:top w:val="nil"/>
              <w:bottom w:val="nil"/>
            </w:tcBorders>
          </w:tcPr>
          <w:p w14:paraId="02C5880C" w14:textId="77777777" w:rsidR="004C758C" w:rsidRPr="0036402F" w:rsidRDefault="004C758C" w:rsidP="006153D7">
            <w:pPr>
              <w:jc w:val="center"/>
              <w:rPr>
                <w:rFonts w:ascii="Arial" w:hAnsi="Arial" w:cs="Arial"/>
                <w:sz w:val="20"/>
                <w:szCs w:val="20"/>
                <w:lang w:val="en-US"/>
              </w:rPr>
            </w:pPr>
            <w:r w:rsidRPr="0036402F">
              <w:rPr>
                <w:rFonts w:ascii="Arial" w:hAnsi="Arial" w:cs="Arial"/>
                <w:sz w:val="20"/>
                <w:szCs w:val="20"/>
                <w:lang w:val="en-US"/>
              </w:rPr>
              <w:t>15.8</w:t>
            </w:r>
          </w:p>
        </w:tc>
        <w:tc>
          <w:tcPr>
            <w:tcW w:w="1552" w:type="dxa"/>
            <w:tcBorders>
              <w:top w:val="nil"/>
              <w:bottom w:val="nil"/>
            </w:tcBorders>
          </w:tcPr>
          <w:p w14:paraId="6F00F7F1" w14:textId="77777777" w:rsidR="004C758C" w:rsidRPr="0036402F" w:rsidRDefault="004C758C" w:rsidP="006153D7">
            <w:pPr>
              <w:jc w:val="center"/>
              <w:rPr>
                <w:rFonts w:ascii="Arial" w:hAnsi="Arial" w:cs="Arial"/>
                <w:sz w:val="20"/>
                <w:szCs w:val="20"/>
                <w:lang w:val="en-US"/>
              </w:rPr>
            </w:pPr>
            <w:r w:rsidRPr="0036402F">
              <w:rPr>
                <w:rFonts w:ascii="Arial" w:hAnsi="Arial" w:cs="Arial"/>
                <w:sz w:val="20"/>
                <w:szCs w:val="20"/>
                <w:lang w:val="en-US"/>
              </w:rPr>
              <w:t>10.5</w:t>
            </w:r>
          </w:p>
        </w:tc>
        <w:tc>
          <w:tcPr>
            <w:tcW w:w="1599" w:type="dxa"/>
            <w:tcBorders>
              <w:top w:val="nil"/>
              <w:bottom w:val="nil"/>
            </w:tcBorders>
          </w:tcPr>
          <w:p w14:paraId="1334D29D" w14:textId="77777777" w:rsidR="004C758C" w:rsidRPr="0036402F" w:rsidRDefault="004C758C" w:rsidP="006153D7">
            <w:pPr>
              <w:jc w:val="center"/>
              <w:rPr>
                <w:rFonts w:ascii="Arial" w:hAnsi="Arial" w:cs="Arial"/>
                <w:sz w:val="20"/>
                <w:szCs w:val="20"/>
                <w:lang w:val="en-US"/>
              </w:rPr>
            </w:pPr>
            <w:r w:rsidRPr="0036402F">
              <w:rPr>
                <w:rFonts w:ascii="Arial" w:hAnsi="Arial" w:cs="Arial"/>
                <w:sz w:val="20"/>
                <w:szCs w:val="20"/>
                <w:lang w:val="en-US"/>
              </w:rPr>
              <w:t>11.6</w:t>
            </w:r>
          </w:p>
        </w:tc>
        <w:tc>
          <w:tcPr>
            <w:tcW w:w="1616" w:type="dxa"/>
            <w:tcBorders>
              <w:top w:val="nil"/>
              <w:bottom w:val="nil"/>
            </w:tcBorders>
          </w:tcPr>
          <w:p w14:paraId="6C809764" w14:textId="77777777" w:rsidR="004C758C" w:rsidRPr="0036402F" w:rsidRDefault="004C758C" w:rsidP="006153D7">
            <w:pPr>
              <w:jc w:val="center"/>
              <w:rPr>
                <w:rFonts w:ascii="Arial" w:hAnsi="Arial" w:cs="Arial"/>
                <w:sz w:val="20"/>
                <w:szCs w:val="20"/>
                <w:lang w:val="en-US"/>
              </w:rPr>
            </w:pPr>
            <w:r w:rsidRPr="0036402F">
              <w:rPr>
                <w:rFonts w:ascii="Arial" w:hAnsi="Arial" w:cs="Arial"/>
                <w:sz w:val="20"/>
                <w:szCs w:val="20"/>
                <w:lang w:val="en-US"/>
              </w:rPr>
              <w:t>15.5</w:t>
            </w:r>
          </w:p>
        </w:tc>
        <w:tc>
          <w:tcPr>
            <w:tcW w:w="1304" w:type="dxa"/>
            <w:tcBorders>
              <w:top w:val="nil"/>
              <w:bottom w:val="nil"/>
            </w:tcBorders>
          </w:tcPr>
          <w:p w14:paraId="1C3CC6AD" w14:textId="77777777" w:rsidR="004C758C" w:rsidRPr="0036402F" w:rsidRDefault="004C758C" w:rsidP="006153D7">
            <w:pPr>
              <w:jc w:val="center"/>
              <w:rPr>
                <w:rFonts w:ascii="Arial" w:hAnsi="Arial" w:cs="Arial"/>
                <w:sz w:val="20"/>
                <w:szCs w:val="20"/>
                <w:lang w:val="en-US"/>
              </w:rPr>
            </w:pPr>
            <w:r w:rsidRPr="0036402F">
              <w:rPr>
                <w:rFonts w:ascii="Arial" w:hAnsi="Arial" w:cs="Arial"/>
                <w:sz w:val="20"/>
                <w:szCs w:val="20"/>
                <w:lang w:val="en-US"/>
              </w:rPr>
              <w:t>19.5</w:t>
            </w:r>
          </w:p>
        </w:tc>
        <w:tc>
          <w:tcPr>
            <w:tcW w:w="937" w:type="dxa"/>
            <w:tcBorders>
              <w:top w:val="nil"/>
              <w:bottom w:val="nil"/>
            </w:tcBorders>
          </w:tcPr>
          <w:p w14:paraId="629E8B53" w14:textId="77777777" w:rsidR="004C758C" w:rsidRPr="0036402F" w:rsidRDefault="004C758C" w:rsidP="006153D7">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18F8B0F1" w14:textId="77777777" w:rsidTr="006153D7">
        <w:trPr>
          <w:trHeight w:val="362"/>
        </w:trPr>
        <w:tc>
          <w:tcPr>
            <w:tcW w:w="1640" w:type="dxa"/>
            <w:tcBorders>
              <w:top w:val="nil"/>
              <w:bottom w:val="nil"/>
            </w:tcBorders>
          </w:tcPr>
          <w:p w14:paraId="4DAF57DA" w14:textId="01DB2A7E" w:rsidR="00396397" w:rsidRPr="0036402F" w:rsidRDefault="00396397" w:rsidP="006153D7">
            <w:pPr>
              <w:rPr>
                <w:rFonts w:ascii="Arial" w:hAnsi="Arial" w:cs="Arial"/>
                <w:sz w:val="20"/>
                <w:szCs w:val="20"/>
                <w:lang w:val="en-US"/>
              </w:rPr>
            </w:pPr>
            <w:r w:rsidRPr="0036402F">
              <w:rPr>
                <w:rFonts w:ascii="Arial" w:hAnsi="Arial" w:cs="Arial"/>
                <w:sz w:val="20"/>
                <w:szCs w:val="20"/>
                <w:lang w:val="en-US"/>
              </w:rPr>
              <w:t>Neck o</w:t>
            </w:r>
            <w:r w:rsidR="00003148" w:rsidRPr="0036402F">
              <w:rPr>
                <w:rFonts w:ascii="Arial" w:hAnsi="Arial" w:cs="Arial"/>
                <w:sz w:val="20"/>
                <w:szCs w:val="20"/>
                <w:lang w:val="en-US"/>
              </w:rPr>
              <w:t>f</w:t>
            </w:r>
            <w:r w:rsidRPr="0036402F">
              <w:rPr>
                <w:rFonts w:ascii="Arial" w:hAnsi="Arial" w:cs="Arial"/>
                <w:sz w:val="20"/>
                <w:szCs w:val="20"/>
                <w:lang w:val="en-US"/>
              </w:rPr>
              <w:t xml:space="preserve"> femur fracture</w:t>
            </w:r>
          </w:p>
        </w:tc>
        <w:tc>
          <w:tcPr>
            <w:tcW w:w="1450" w:type="dxa"/>
            <w:tcBorders>
              <w:top w:val="nil"/>
              <w:bottom w:val="nil"/>
            </w:tcBorders>
          </w:tcPr>
          <w:p w14:paraId="5ACA1C10" w14:textId="12504BE8" w:rsidR="00396397" w:rsidRPr="0036402F" w:rsidRDefault="00D54C55" w:rsidP="006153D7">
            <w:pPr>
              <w:jc w:val="center"/>
              <w:rPr>
                <w:rFonts w:ascii="Arial" w:hAnsi="Arial" w:cs="Arial"/>
                <w:sz w:val="20"/>
                <w:szCs w:val="20"/>
                <w:lang w:val="en-US"/>
              </w:rPr>
            </w:pPr>
            <w:r w:rsidRPr="0036402F">
              <w:rPr>
                <w:rFonts w:ascii="Arial" w:hAnsi="Arial" w:cs="Arial"/>
                <w:sz w:val="20"/>
                <w:szCs w:val="20"/>
                <w:lang w:val="en-US"/>
              </w:rPr>
              <w:t>1.6</w:t>
            </w:r>
          </w:p>
        </w:tc>
        <w:tc>
          <w:tcPr>
            <w:tcW w:w="1552" w:type="dxa"/>
            <w:tcBorders>
              <w:top w:val="nil"/>
              <w:bottom w:val="nil"/>
            </w:tcBorders>
          </w:tcPr>
          <w:p w14:paraId="16A371CC" w14:textId="671134A5" w:rsidR="00396397" w:rsidRPr="0036402F" w:rsidRDefault="00741B72" w:rsidP="006153D7">
            <w:pPr>
              <w:jc w:val="center"/>
              <w:rPr>
                <w:rFonts w:ascii="Arial" w:hAnsi="Arial" w:cs="Arial"/>
                <w:sz w:val="20"/>
                <w:szCs w:val="20"/>
                <w:lang w:val="en-US"/>
              </w:rPr>
            </w:pPr>
            <w:r w:rsidRPr="0036402F">
              <w:rPr>
                <w:rFonts w:ascii="Arial" w:hAnsi="Arial" w:cs="Arial"/>
                <w:sz w:val="20"/>
                <w:szCs w:val="20"/>
                <w:lang w:val="en-US"/>
              </w:rPr>
              <w:t>4.8</w:t>
            </w:r>
          </w:p>
        </w:tc>
        <w:tc>
          <w:tcPr>
            <w:tcW w:w="1599" w:type="dxa"/>
            <w:tcBorders>
              <w:top w:val="nil"/>
              <w:bottom w:val="nil"/>
            </w:tcBorders>
          </w:tcPr>
          <w:p w14:paraId="17516CBD" w14:textId="0B1BA4A9" w:rsidR="00396397" w:rsidRPr="0036402F" w:rsidRDefault="004B4840" w:rsidP="006153D7">
            <w:pPr>
              <w:jc w:val="center"/>
              <w:rPr>
                <w:rFonts w:ascii="Arial" w:hAnsi="Arial" w:cs="Arial"/>
                <w:sz w:val="20"/>
                <w:szCs w:val="20"/>
                <w:lang w:val="en-US"/>
              </w:rPr>
            </w:pPr>
            <w:r w:rsidRPr="0036402F">
              <w:rPr>
                <w:rFonts w:ascii="Arial" w:hAnsi="Arial" w:cs="Arial"/>
                <w:sz w:val="20"/>
                <w:szCs w:val="20"/>
                <w:lang w:val="en-US"/>
              </w:rPr>
              <w:t>2.2</w:t>
            </w:r>
          </w:p>
        </w:tc>
        <w:tc>
          <w:tcPr>
            <w:tcW w:w="1616" w:type="dxa"/>
            <w:tcBorders>
              <w:top w:val="nil"/>
              <w:bottom w:val="nil"/>
            </w:tcBorders>
          </w:tcPr>
          <w:p w14:paraId="29C54908" w14:textId="35388386" w:rsidR="00396397" w:rsidRPr="0036402F" w:rsidRDefault="004B4840" w:rsidP="006153D7">
            <w:pPr>
              <w:jc w:val="center"/>
              <w:rPr>
                <w:rFonts w:ascii="Arial" w:hAnsi="Arial" w:cs="Arial"/>
                <w:sz w:val="20"/>
                <w:szCs w:val="20"/>
                <w:lang w:val="en-US"/>
              </w:rPr>
            </w:pPr>
            <w:r w:rsidRPr="0036402F">
              <w:rPr>
                <w:rFonts w:ascii="Arial" w:hAnsi="Arial" w:cs="Arial"/>
                <w:sz w:val="20"/>
                <w:szCs w:val="20"/>
                <w:lang w:val="en-US"/>
              </w:rPr>
              <w:t>1.5</w:t>
            </w:r>
          </w:p>
        </w:tc>
        <w:tc>
          <w:tcPr>
            <w:tcW w:w="1304" w:type="dxa"/>
            <w:tcBorders>
              <w:top w:val="nil"/>
              <w:bottom w:val="nil"/>
            </w:tcBorders>
          </w:tcPr>
          <w:p w14:paraId="108F7E7E" w14:textId="55EE7B0B" w:rsidR="00396397" w:rsidRPr="0036402F" w:rsidRDefault="004B4840" w:rsidP="006153D7">
            <w:pPr>
              <w:jc w:val="center"/>
              <w:rPr>
                <w:rFonts w:ascii="Arial" w:hAnsi="Arial" w:cs="Arial"/>
                <w:sz w:val="20"/>
                <w:szCs w:val="20"/>
                <w:lang w:val="en-US"/>
              </w:rPr>
            </w:pPr>
            <w:r w:rsidRPr="0036402F">
              <w:rPr>
                <w:rFonts w:ascii="Arial" w:hAnsi="Arial" w:cs="Arial"/>
                <w:sz w:val="20"/>
                <w:szCs w:val="20"/>
                <w:lang w:val="en-US"/>
              </w:rPr>
              <w:t>1.1</w:t>
            </w:r>
          </w:p>
        </w:tc>
        <w:tc>
          <w:tcPr>
            <w:tcW w:w="937" w:type="dxa"/>
            <w:tcBorders>
              <w:top w:val="nil"/>
              <w:bottom w:val="nil"/>
            </w:tcBorders>
          </w:tcPr>
          <w:p w14:paraId="6BF45F4B" w14:textId="2860DBCF" w:rsidR="00396397" w:rsidRPr="0036402F" w:rsidRDefault="00396397" w:rsidP="006153D7">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3576CCD6" w14:textId="77777777" w:rsidTr="00C73999">
        <w:trPr>
          <w:trHeight w:val="276"/>
        </w:trPr>
        <w:tc>
          <w:tcPr>
            <w:tcW w:w="1640" w:type="dxa"/>
            <w:tcBorders>
              <w:top w:val="nil"/>
              <w:bottom w:val="nil"/>
            </w:tcBorders>
          </w:tcPr>
          <w:p w14:paraId="4D2007EC" w14:textId="7616F630" w:rsidR="00396397" w:rsidRPr="0036402F" w:rsidRDefault="00396397" w:rsidP="003D3302">
            <w:pPr>
              <w:rPr>
                <w:rFonts w:ascii="Arial" w:hAnsi="Arial" w:cs="Arial"/>
                <w:sz w:val="20"/>
                <w:szCs w:val="20"/>
                <w:lang w:val="en-US"/>
              </w:rPr>
            </w:pPr>
            <w:r w:rsidRPr="0036402F">
              <w:rPr>
                <w:rFonts w:ascii="Arial" w:hAnsi="Arial" w:cs="Arial"/>
                <w:sz w:val="20"/>
                <w:szCs w:val="20"/>
                <w:lang w:val="en-US"/>
              </w:rPr>
              <w:t>Epilepsy</w:t>
            </w:r>
          </w:p>
        </w:tc>
        <w:tc>
          <w:tcPr>
            <w:tcW w:w="1450" w:type="dxa"/>
            <w:tcBorders>
              <w:top w:val="nil"/>
              <w:bottom w:val="nil"/>
            </w:tcBorders>
          </w:tcPr>
          <w:p w14:paraId="60DCCC63" w14:textId="69EF806D" w:rsidR="00396397" w:rsidRPr="0036402F" w:rsidRDefault="00396397" w:rsidP="003D3302">
            <w:pPr>
              <w:jc w:val="center"/>
              <w:rPr>
                <w:rFonts w:ascii="Arial" w:hAnsi="Arial" w:cs="Arial"/>
                <w:sz w:val="20"/>
                <w:szCs w:val="20"/>
                <w:lang w:val="en-US"/>
              </w:rPr>
            </w:pPr>
            <w:r w:rsidRPr="0036402F">
              <w:rPr>
                <w:rFonts w:ascii="Arial" w:hAnsi="Arial" w:cs="Arial"/>
                <w:sz w:val="20"/>
                <w:szCs w:val="20"/>
                <w:lang w:val="en-US"/>
              </w:rPr>
              <w:t>1.6</w:t>
            </w:r>
          </w:p>
        </w:tc>
        <w:tc>
          <w:tcPr>
            <w:tcW w:w="1552" w:type="dxa"/>
            <w:tcBorders>
              <w:top w:val="nil"/>
              <w:bottom w:val="nil"/>
            </w:tcBorders>
          </w:tcPr>
          <w:p w14:paraId="1199E223" w14:textId="241ED281" w:rsidR="00396397" w:rsidRPr="0036402F" w:rsidRDefault="00396397" w:rsidP="003D3302">
            <w:pPr>
              <w:jc w:val="center"/>
              <w:rPr>
                <w:rFonts w:ascii="Arial" w:hAnsi="Arial" w:cs="Arial"/>
                <w:sz w:val="20"/>
                <w:szCs w:val="20"/>
                <w:lang w:val="en-US"/>
              </w:rPr>
            </w:pPr>
            <w:r w:rsidRPr="0036402F">
              <w:rPr>
                <w:rFonts w:ascii="Arial" w:hAnsi="Arial" w:cs="Arial"/>
                <w:sz w:val="20"/>
                <w:szCs w:val="20"/>
                <w:lang w:val="en-US"/>
              </w:rPr>
              <w:t>2.9</w:t>
            </w:r>
          </w:p>
        </w:tc>
        <w:tc>
          <w:tcPr>
            <w:tcW w:w="1599" w:type="dxa"/>
            <w:tcBorders>
              <w:top w:val="nil"/>
              <w:bottom w:val="nil"/>
            </w:tcBorders>
          </w:tcPr>
          <w:p w14:paraId="578508F8" w14:textId="4D7E70D6" w:rsidR="00396397" w:rsidRPr="0036402F" w:rsidRDefault="00396397" w:rsidP="003D3302">
            <w:pPr>
              <w:jc w:val="center"/>
              <w:rPr>
                <w:rFonts w:ascii="Arial" w:hAnsi="Arial" w:cs="Arial"/>
                <w:sz w:val="20"/>
                <w:szCs w:val="20"/>
                <w:lang w:val="en-US"/>
              </w:rPr>
            </w:pPr>
            <w:r w:rsidRPr="0036402F">
              <w:rPr>
                <w:rFonts w:ascii="Arial" w:hAnsi="Arial" w:cs="Arial"/>
                <w:sz w:val="20"/>
                <w:szCs w:val="20"/>
                <w:lang w:val="en-US"/>
              </w:rPr>
              <w:t>1.8</w:t>
            </w:r>
          </w:p>
        </w:tc>
        <w:tc>
          <w:tcPr>
            <w:tcW w:w="1616" w:type="dxa"/>
            <w:tcBorders>
              <w:top w:val="nil"/>
              <w:bottom w:val="nil"/>
            </w:tcBorders>
          </w:tcPr>
          <w:p w14:paraId="25B5EB09" w14:textId="06BB90A5" w:rsidR="00396397" w:rsidRPr="0036402F" w:rsidRDefault="00396397" w:rsidP="003D3302">
            <w:pPr>
              <w:jc w:val="center"/>
              <w:rPr>
                <w:rFonts w:ascii="Arial" w:hAnsi="Arial" w:cs="Arial"/>
                <w:sz w:val="20"/>
                <w:szCs w:val="20"/>
                <w:lang w:val="en-US"/>
              </w:rPr>
            </w:pPr>
            <w:r w:rsidRPr="0036402F">
              <w:rPr>
                <w:rFonts w:ascii="Arial" w:hAnsi="Arial" w:cs="Arial"/>
                <w:sz w:val="20"/>
                <w:szCs w:val="20"/>
                <w:lang w:val="en-US"/>
              </w:rPr>
              <w:t>1.6</w:t>
            </w:r>
          </w:p>
        </w:tc>
        <w:tc>
          <w:tcPr>
            <w:tcW w:w="1304" w:type="dxa"/>
            <w:tcBorders>
              <w:top w:val="nil"/>
              <w:bottom w:val="nil"/>
            </w:tcBorders>
          </w:tcPr>
          <w:p w14:paraId="4F06830C" w14:textId="64A8C7AE" w:rsidR="00396397" w:rsidRPr="0036402F" w:rsidRDefault="00396397" w:rsidP="003D3302">
            <w:pPr>
              <w:jc w:val="center"/>
              <w:rPr>
                <w:rFonts w:ascii="Arial" w:hAnsi="Arial" w:cs="Arial"/>
                <w:sz w:val="20"/>
                <w:szCs w:val="20"/>
                <w:lang w:val="en-US"/>
              </w:rPr>
            </w:pPr>
            <w:r w:rsidRPr="0036402F">
              <w:rPr>
                <w:rFonts w:ascii="Arial" w:hAnsi="Arial" w:cs="Arial"/>
                <w:sz w:val="20"/>
                <w:szCs w:val="20"/>
                <w:lang w:val="en-US"/>
              </w:rPr>
              <w:t>1.6</w:t>
            </w:r>
          </w:p>
        </w:tc>
        <w:tc>
          <w:tcPr>
            <w:tcW w:w="937" w:type="dxa"/>
            <w:tcBorders>
              <w:top w:val="nil"/>
              <w:bottom w:val="nil"/>
            </w:tcBorders>
          </w:tcPr>
          <w:p w14:paraId="47DE47D7" w14:textId="3A0151D3" w:rsidR="00396397" w:rsidRPr="0036402F" w:rsidRDefault="00396397" w:rsidP="003D3302">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5AEA9BDD" w14:textId="77777777" w:rsidTr="006153D7">
        <w:trPr>
          <w:trHeight w:val="362"/>
        </w:trPr>
        <w:tc>
          <w:tcPr>
            <w:tcW w:w="1640" w:type="dxa"/>
            <w:tcBorders>
              <w:top w:val="nil"/>
              <w:bottom w:val="nil"/>
            </w:tcBorders>
          </w:tcPr>
          <w:p w14:paraId="124DF391" w14:textId="77777777" w:rsidR="00933CB9" w:rsidRPr="0036402F" w:rsidRDefault="00933CB9" w:rsidP="006153D7">
            <w:pPr>
              <w:rPr>
                <w:rFonts w:ascii="Arial" w:hAnsi="Arial" w:cs="Arial"/>
                <w:sz w:val="20"/>
                <w:szCs w:val="20"/>
                <w:lang w:val="en-US"/>
              </w:rPr>
            </w:pPr>
            <w:r w:rsidRPr="0036402F">
              <w:rPr>
                <w:rFonts w:ascii="Arial" w:hAnsi="Arial" w:cs="Arial"/>
                <w:sz w:val="20"/>
                <w:szCs w:val="20"/>
                <w:lang w:val="en-US"/>
              </w:rPr>
              <w:t>Inflammatory bowel disease</w:t>
            </w:r>
          </w:p>
        </w:tc>
        <w:tc>
          <w:tcPr>
            <w:tcW w:w="1450" w:type="dxa"/>
            <w:tcBorders>
              <w:top w:val="nil"/>
              <w:bottom w:val="nil"/>
            </w:tcBorders>
          </w:tcPr>
          <w:p w14:paraId="5385CDBA" w14:textId="77777777" w:rsidR="00933CB9" w:rsidRPr="0036402F" w:rsidRDefault="00933CB9" w:rsidP="006153D7">
            <w:pPr>
              <w:jc w:val="center"/>
              <w:rPr>
                <w:rFonts w:ascii="Arial" w:hAnsi="Arial" w:cs="Arial"/>
                <w:sz w:val="20"/>
                <w:szCs w:val="20"/>
                <w:lang w:val="en-US"/>
              </w:rPr>
            </w:pPr>
            <w:r w:rsidRPr="0036402F">
              <w:rPr>
                <w:rFonts w:ascii="Arial" w:hAnsi="Arial" w:cs="Arial"/>
                <w:sz w:val="20"/>
                <w:szCs w:val="20"/>
                <w:lang w:val="en-US"/>
              </w:rPr>
              <w:t>1.4</w:t>
            </w:r>
          </w:p>
        </w:tc>
        <w:tc>
          <w:tcPr>
            <w:tcW w:w="1552" w:type="dxa"/>
            <w:tcBorders>
              <w:top w:val="nil"/>
              <w:bottom w:val="nil"/>
            </w:tcBorders>
          </w:tcPr>
          <w:p w14:paraId="4F32406C" w14:textId="77777777" w:rsidR="00933CB9" w:rsidRPr="0036402F" w:rsidRDefault="00933CB9" w:rsidP="006153D7">
            <w:pPr>
              <w:jc w:val="center"/>
              <w:rPr>
                <w:rFonts w:ascii="Arial" w:hAnsi="Arial" w:cs="Arial"/>
                <w:sz w:val="20"/>
                <w:szCs w:val="20"/>
                <w:lang w:val="en-US"/>
              </w:rPr>
            </w:pPr>
            <w:r w:rsidRPr="0036402F">
              <w:rPr>
                <w:rFonts w:ascii="Arial" w:hAnsi="Arial" w:cs="Arial"/>
                <w:sz w:val="20"/>
                <w:szCs w:val="20"/>
                <w:lang w:val="en-US"/>
              </w:rPr>
              <w:t>2.1</w:t>
            </w:r>
          </w:p>
        </w:tc>
        <w:tc>
          <w:tcPr>
            <w:tcW w:w="1599" w:type="dxa"/>
            <w:tcBorders>
              <w:top w:val="nil"/>
              <w:bottom w:val="nil"/>
            </w:tcBorders>
          </w:tcPr>
          <w:p w14:paraId="55DE3FA2" w14:textId="77777777" w:rsidR="00933CB9" w:rsidRPr="0036402F" w:rsidRDefault="00933CB9" w:rsidP="006153D7">
            <w:pPr>
              <w:jc w:val="center"/>
              <w:rPr>
                <w:rFonts w:ascii="Arial" w:hAnsi="Arial" w:cs="Arial"/>
                <w:sz w:val="20"/>
                <w:szCs w:val="20"/>
                <w:lang w:val="en-US"/>
              </w:rPr>
            </w:pPr>
            <w:r w:rsidRPr="0036402F">
              <w:rPr>
                <w:rFonts w:ascii="Arial" w:hAnsi="Arial" w:cs="Arial"/>
                <w:sz w:val="20"/>
                <w:szCs w:val="20"/>
                <w:lang w:val="en-US"/>
              </w:rPr>
              <w:t>1.6</w:t>
            </w:r>
          </w:p>
        </w:tc>
        <w:tc>
          <w:tcPr>
            <w:tcW w:w="1616" w:type="dxa"/>
            <w:tcBorders>
              <w:top w:val="nil"/>
              <w:bottom w:val="nil"/>
            </w:tcBorders>
          </w:tcPr>
          <w:p w14:paraId="4A3BFFDE" w14:textId="77777777" w:rsidR="00933CB9" w:rsidRPr="0036402F" w:rsidRDefault="00933CB9" w:rsidP="006153D7">
            <w:pPr>
              <w:jc w:val="center"/>
              <w:rPr>
                <w:rFonts w:ascii="Arial" w:hAnsi="Arial" w:cs="Arial"/>
                <w:sz w:val="20"/>
                <w:szCs w:val="20"/>
                <w:lang w:val="en-US"/>
              </w:rPr>
            </w:pPr>
            <w:r w:rsidRPr="0036402F">
              <w:rPr>
                <w:rFonts w:ascii="Arial" w:hAnsi="Arial" w:cs="Arial"/>
                <w:sz w:val="20"/>
                <w:szCs w:val="20"/>
                <w:lang w:val="en-US"/>
              </w:rPr>
              <w:t>1.4</w:t>
            </w:r>
          </w:p>
        </w:tc>
        <w:tc>
          <w:tcPr>
            <w:tcW w:w="1304" w:type="dxa"/>
            <w:tcBorders>
              <w:top w:val="nil"/>
              <w:bottom w:val="nil"/>
            </w:tcBorders>
          </w:tcPr>
          <w:p w14:paraId="7AD3D591" w14:textId="77777777" w:rsidR="00933CB9" w:rsidRPr="0036402F" w:rsidRDefault="00933CB9" w:rsidP="006153D7">
            <w:pPr>
              <w:jc w:val="center"/>
              <w:rPr>
                <w:rFonts w:ascii="Arial" w:hAnsi="Arial" w:cs="Arial"/>
                <w:sz w:val="20"/>
                <w:szCs w:val="20"/>
                <w:lang w:val="en-US"/>
              </w:rPr>
            </w:pPr>
            <w:r w:rsidRPr="0036402F">
              <w:rPr>
                <w:rFonts w:ascii="Arial" w:hAnsi="Arial" w:cs="Arial"/>
                <w:sz w:val="20"/>
                <w:szCs w:val="20"/>
                <w:lang w:val="en-US"/>
              </w:rPr>
              <w:t>1.2</w:t>
            </w:r>
          </w:p>
        </w:tc>
        <w:tc>
          <w:tcPr>
            <w:tcW w:w="937" w:type="dxa"/>
            <w:tcBorders>
              <w:top w:val="nil"/>
              <w:bottom w:val="nil"/>
            </w:tcBorders>
          </w:tcPr>
          <w:p w14:paraId="2BB5076D" w14:textId="77777777" w:rsidR="00933CB9" w:rsidRPr="0036402F" w:rsidRDefault="00933CB9" w:rsidP="006153D7">
            <w:pPr>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1328627C" w14:textId="77777777" w:rsidTr="00C73999">
        <w:trPr>
          <w:trHeight w:val="362"/>
        </w:trPr>
        <w:tc>
          <w:tcPr>
            <w:tcW w:w="1640" w:type="dxa"/>
            <w:tcBorders>
              <w:top w:val="nil"/>
            </w:tcBorders>
          </w:tcPr>
          <w:p w14:paraId="19AB46F6" w14:textId="55A1FF49" w:rsidR="005F5FBA" w:rsidRPr="0036402F" w:rsidRDefault="005F5FBA" w:rsidP="00BC6BD4">
            <w:pPr>
              <w:rPr>
                <w:rFonts w:ascii="Arial" w:hAnsi="Arial" w:cs="Arial"/>
                <w:sz w:val="20"/>
                <w:szCs w:val="20"/>
                <w:lang w:val="en-US"/>
              </w:rPr>
            </w:pPr>
            <w:r w:rsidRPr="0036402F">
              <w:rPr>
                <w:rFonts w:ascii="Arial" w:hAnsi="Arial" w:cs="Arial"/>
                <w:sz w:val="20"/>
                <w:szCs w:val="20"/>
                <w:lang w:val="en-US"/>
              </w:rPr>
              <w:t>Mild cognitive impairment</w:t>
            </w:r>
          </w:p>
        </w:tc>
        <w:tc>
          <w:tcPr>
            <w:tcW w:w="1450" w:type="dxa"/>
            <w:tcBorders>
              <w:top w:val="nil"/>
            </w:tcBorders>
          </w:tcPr>
          <w:p w14:paraId="5ACE1997" w14:textId="5D1EF477" w:rsidR="005F5FBA" w:rsidRPr="0036402F" w:rsidRDefault="005F5FBA" w:rsidP="00BC6BD4">
            <w:pPr>
              <w:jc w:val="center"/>
              <w:rPr>
                <w:rFonts w:ascii="Arial" w:hAnsi="Arial" w:cs="Arial"/>
                <w:sz w:val="20"/>
                <w:szCs w:val="20"/>
                <w:lang w:val="en-US"/>
              </w:rPr>
            </w:pPr>
            <w:r w:rsidRPr="0036402F">
              <w:rPr>
                <w:rFonts w:ascii="Arial" w:hAnsi="Arial" w:cs="Arial"/>
                <w:sz w:val="20"/>
                <w:szCs w:val="20"/>
                <w:lang w:val="en-US"/>
              </w:rPr>
              <w:t>1.1</w:t>
            </w:r>
          </w:p>
        </w:tc>
        <w:tc>
          <w:tcPr>
            <w:tcW w:w="1552" w:type="dxa"/>
            <w:tcBorders>
              <w:top w:val="nil"/>
            </w:tcBorders>
          </w:tcPr>
          <w:p w14:paraId="2FB8A7F9" w14:textId="07955625" w:rsidR="005F5FBA" w:rsidRPr="0036402F" w:rsidRDefault="005F5FBA" w:rsidP="00BC6BD4">
            <w:pPr>
              <w:jc w:val="center"/>
              <w:rPr>
                <w:rFonts w:ascii="Arial" w:hAnsi="Arial" w:cs="Arial"/>
                <w:sz w:val="20"/>
                <w:szCs w:val="20"/>
                <w:lang w:val="en-US"/>
              </w:rPr>
            </w:pPr>
            <w:r w:rsidRPr="0036402F">
              <w:rPr>
                <w:rFonts w:ascii="Arial" w:hAnsi="Arial" w:cs="Arial"/>
                <w:sz w:val="20"/>
                <w:szCs w:val="20"/>
                <w:lang w:val="en-US"/>
              </w:rPr>
              <w:t>1.1</w:t>
            </w:r>
          </w:p>
        </w:tc>
        <w:tc>
          <w:tcPr>
            <w:tcW w:w="1599" w:type="dxa"/>
            <w:tcBorders>
              <w:top w:val="nil"/>
            </w:tcBorders>
          </w:tcPr>
          <w:p w14:paraId="5A10C76F" w14:textId="3D530CD7" w:rsidR="005F5FBA" w:rsidRPr="0036402F" w:rsidRDefault="005F5FBA" w:rsidP="00BC6BD4">
            <w:pPr>
              <w:jc w:val="center"/>
              <w:rPr>
                <w:rFonts w:ascii="Arial" w:hAnsi="Arial" w:cs="Arial"/>
                <w:sz w:val="20"/>
                <w:szCs w:val="20"/>
                <w:lang w:val="en-US"/>
              </w:rPr>
            </w:pPr>
            <w:r w:rsidRPr="0036402F">
              <w:rPr>
                <w:rFonts w:ascii="Arial" w:hAnsi="Arial" w:cs="Arial"/>
                <w:sz w:val="20"/>
                <w:szCs w:val="20"/>
                <w:lang w:val="en-US"/>
              </w:rPr>
              <w:t>1.1</w:t>
            </w:r>
          </w:p>
        </w:tc>
        <w:tc>
          <w:tcPr>
            <w:tcW w:w="1616" w:type="dxa"/>
            <w:tcBorders>
              <w:top w:val="nil"/>
            </w:tcBorders>
          </w:tcPr>
          <w:p w14:paraId="50BFCE35" w14:textId="36207A9C" w:rsidR="005F5FBA" w:rsidRPr="0036402F" w:rsidRDefault="005F5FBA" w:rsidP="00BC6BD4">
            <w:pPr>
              <w:jc w:val="center"/>
              <w:rPr>
                <w:rFonts w:ascii="Arial" w:hAnsi="Arial" w:cs="Arial"/>
                <w:sz w:val="20"/>
                <w:szCs w:val="20"/>
                <w:lang w:val="en-US"/>
              </w:rPr>
            </w:pPr>
            <w:r w:rsidRPr="0036402F">
              <w:rPr>
                <w:rFonts w:ascii="Arial" w:hAnsi="Arial" w:cs="Arial"/>
                <w:sz w:val="20"/>
                <w:szCs w:val="20"/>
                <w:lang w:val="en-US"/>
              </w:rPr>
              <w:t>1.1</w:t>
            </w:r>
          </w:p>
        </w:tc>
        <w:tc>
          <w:tcPr>
            <w:tcW w:w="1304" w:type="dxa"/>
            <w:tcBorders>
              <w:top w:val="nil"/>
            </w:tcBorders>
          </w:tcPr>
          <w:p w14:paraId="69569BC5" w14:textId="10E044F3" w:rsidR="005F5FBA" w:rsidRPr="0036402F" w:rsidRDefault="005F5FBA" w:rsidP="00BC6BD4">
            <w:pPr>
              <w:jc w:val="center"/>
              <w:rPr>
                <w:rFonts w:ascii="Arial" w:hAnsi="Arial" w:cs="Arial"/>
                <w:sz w:val="20"/>
                <w:szCs w:val="20"/>
                <w:lang w:val="en-US"/>
              </w:rPr>
            </w:pPr>
            <w:r w:rsidRPr="0036402F">
              <w:rPr>
                <w:rFonts w:ascii="Arial" w:hAnsi="Arial" w:cs="Arial"/>
                <w:sz w:val="20"/>
                <w:szCs w:val="20"/>
                <w:lang w:val="en-US"/>
              </w:rPr>
              <w:t>1.0</w:t>
            </w:r>
          </w:p>
        </w:tc>
        <w:tc>
          <w:tcPr>
            <w:tcW w:w="937" w:type="dxa"/>
            <w:tcBorders>
              <w:top w:val="nil"/>
            </w:tcBorders>
          </w:tcPr>
          <w:p w14:paraId="3AA2D093" w14:textId="06C1C685" w:rsidR="005F5FBA" w:rsidRPr="0036402F" w:rsidRDefault="005F5FBA" w:rsidP="00BC6BD4">
            <w:pPr>
              <w:jc w:val="center"/>
              <w:rPr>
                <w:rFonts w:ascii="Arial" w:hAnsi="Arial" w:cs="Arial"/>
                <w:sz w:val="20"/>
                <w:szCs w:val="20"/>
                <w:lang w:val="en-US"/>
              </w:rPr>
            </w:pPr>
            <w:r w:rsidRPr="0036402F">
              <w:rPr>
                <w:rFonts w:ascii="Arial" w:hAnsi="Arial" w:cs="Arial"/>
                <w:sz w:val="20"/>
                <w:szCs w:val="20"/>
                <w:lang w:val="en-US"/>
              </w:rPr>
              <w:t>0.078</w:t>
            </w:r>
          </w:p>
        </w:tc>
      </w:tr>
    </w:tbl>
    <w:p w14:paraId="13B60DEE" w14:textId="520DF05F" w:rsidR="00C576AA" w:rsidRPr="0036402F" w:rsidRDefault="00C576AA" w:rsidP="00F44002">
      <w:pPr>
        <w:rPr>
          <w:rFonts w:ascii="Arial" w:hAnsi="Arial" w:cs="Arial"/>
          <w:sz w:val="20"/>
          <w:szCs w:val="20"/>
          <w:lang w:val="en-US"/>
        </w:rPr>
      </w:pPr>
      <w:r w:rsidRPr="0036402F">
        <w:rPr>
          <w:rFonts w:ascii="Arial" w:hAnsi="Arial" w:cs="Arial"/>
          <w:sz w:val="20"/>
          <w:szCs w:val="20"/>
          <w:lang w:val="en-US"/>
        </w:rPr>
        <w:t>Abbreviation: SD standard deviation.</w:t>
      </w:r>
    </w:p>
    <w:p w14:paraId="29E1A568" w14:textId="7A907A70" w:rsidR="00F44002" w:rsidRPr="0036402F" w:rsidRDefault="00F44002" w:rsidP="00F44002">
      <w:pPr>
        <w:rPr>
          <w:rFonts w:ascii="Arial" w:hAnsi="Arial" w:cs="Arial"/>
          <w:sz w:val="20"/>
          <w:szCs w:val="20"/>
          <w:lang w:val="en-US"/>
        </w:rPr>
      </w:pPr>
      <w:r w:rsidRPr="0036402F">
        <w:rPr>
          <w:rFonts w:ascii="Arial" w:hAnsi="Arial" w:cs="Arial"/>
          <w:sz w:val="20"/>
          <w:szCs w:val="20"/>
          <w:lang w:val="en-US"/>
        </w:rPr>
        <w:t xml:space="preserve">Data are </w:t>
      </w:r>
      <w:r w:rsidR="003D3302" w:rsidRPr="0036402F">
        <w:rPr>
          <w:rFonts w:ascii="Arial" w:hAnsi="Arial" w:cs="Arial"/>
          <w:sz w:val="20"/>
          <w:szCs w:val="20"/>
          <w:lang w:val="en-US"/>
        </w:rPr>
        <w:t xml:space="preserve">proportion unless otherwise specified. </w:t>
      </w:r>
    </w:p>
    <w:p w14:paraId="17422814" w14:textId="77777777" w:rsidR="00947C33" w:rsidRPr="0036402F" w:rsidRDefault="00947C33" w:rsidP="00947C33">
      <w:pPr>
        <w:spacing w:line="480" w:lineRule="auto"/>
        <w:jc w:val="both"/>
        <w:rPr>
          <w:rFonts w:ascii="Arial" w:hAnsi="Arial" w:cs="Arial"/>
          <w:sz w:val="24"/>
          <w:szCs w:val="24"/>
          <w:lang w:val="en-US"/>
        </w:rPr>
      </w:pPr>
    </w:p>
    <w:p w14:paraId="386FCE65" w14:textId="77777777" w:rsidR="00A63AFF" w:rsidRPr="0036402F" w:rsidRDefault="00A63AFF" w:rsidP="003C41AC">
      <w:pPr>
        <w:spacing w:line="480" w:lineRule="auto"/>
        <w:jc w:val="both"/>
        <w:rPr>
          <w:rFonts w:ascii="Arial" w:hAnsi="Arial" w:cs="Arial"/>
          <w:sz w:val="24"/>
          <w:szCs w:val="24"/>
          <w:lang w:val="en-US"/>
        </w:rPr>
        <w:sectPr w:rsidR="00A63AFF" w:rsidRPr="0036402F">
          <w:footerReference w:type="even" r:id="rId7"/>
          <w:footerReference w:type="default" r:id="rId8"/>
          <w:pgSz w:w="11906" w:h="16838"/>
          <w:pgMar w:top="1417" w:right="1417" w:bottom="1417" w:left="1417" w:header="708" w:footer="708" w:gutter="0"/>
          <w:cols w:space="708"/>
          <w:docGrid w:linePitch="360"/>
        </w:sectPr>
      </w:pPr>
    </w:p>
    <w:p w14:paraId="4530E035" w14:textId="05E5105D" w:rsidR="00E37965" w:rsidRPr="0036402F" w:rsidRDefault="00E37965" w:rsidP="006E0C95">
      <w:pPr>
        <w:spacing w:line="480" w:lineRule="auto"/>
        <w:rPr>
          <w:rFonts w:ascii="Arial" w:hAnsi="Arial" w:cs="Arial"/>
          <w:sz w:val="24"/>
          <w:szCs w:val="24"/>
          <w:lang w:val="en-US"/>
        </w:rPr>
      </w:pPr>
      <w:r w:rsidRPr="0036402F">
        <w:rPr>
          <w:rFonts w:ascii="Arial" w:hAnsi="Arial" w:cs="Arial"/>
          <w:b/>
          <w:sz w:val="24"/>
          <w:szCs w:val="24"/>
          <w:lang w:val="en-US"/>
        </w:rPr>
        <w:lastRenderedPageBreak/>
        <w:t>Table 2.</w:t>
      </w:r>
      <w:r w:rsidRPr="0036402F">
        <w:rPr>
          <w:rFonts w:ascii="Arial" w:hAnsi="Arial" w:cs="Arial"/>
          <w:sz w:val="24"/>
          <w:szCs w:val="24"/>
          <w:lang w:val="en-US"/>
        </w:rPr>
        <w:t xml:space="preserve"> Association between body mass index categories and the incidence of dementia (</w:t>
      </w:r>
      <w:r w:rsidR="007C5B34" w:rsidRPr="0036402F">
        <w:rPr>
          <w:rFonts w:ascii="Arial" w:hAnsi="Arial" w:cs="Arial"/>
          <w:sz w:val="24"/>
          <w:szCs w:val="24"/>
          <w:lang w:val="en-US"/>
        </w:rPr>
        <w:t>adjusted</w:t>
      </w:r>
      <w:r w:rsidRPr="0036402F">
        <w:rPr>
          <w:rFonts w:ascii="Arial" w:hAnsi="Arial" w:cs="Arial"/>
          <w:sz w:val="24"/>
          <w:szCs w:val="24"/>
          <w:lang w:val="en-US"/>
        </w:rPr>
        <w:t xml:space="preserve"> Cox regression models)</w:t>
      </w:r>
    </w:p>
    <w:tbl>
      <w:tblPr>
        <w:tblW w:w="14421" w:type="dxa"/>
        <w:tblBorders>
          <w:top w:val="single" w:sz="4" w:space="0" w:color="auto"/>
          <w:bottom w:val="single" w:sz="4" w:space="0" w:color="auto"/>
          <w:insideH w:val="single" w:sz="4" w:space="0" w:color="auto"/>
        </w:tblBorders>
        <w:tblLook w:val="00A0" w:firstRow="1" w:lastRow="0" w:firstColumn="1" w:lastColumn="0" w:noHBand="0" w:noVBand="0"/>
      </w:tblPr>
      <w:tblGrid>
        <w:gridCol w:w="2297"/>
        <w:gridCol w:w="2002"/>
        <w:gridCol w:w="1054"/>
        <w:gridCol w:w="1838"/>
        <w:gridCol w:w="1139"/>
        <w:gridCol w:w="1753"/>
        <w:gridCol w:w="1446"/>
        <w:gridCol w:w="1762"/>
        <w:gridCol w:w="1130"/>
      </w:tblGrid>
      <w:tr w:rsidR="0036402F" w:rsidRPr="0036402F" w14:paraId="3EF0316A" w14:textId="77777777" w:rsidTr="00D42E19">
        <w:trPr>
          <w:trHeight w:val="278"/>
        </w:trPr>
        <w:tc>
          <w:tcPr>
            <w:tcW w:w="2297" w:type="dxa"/>
            <w:tcBorders>
              <w:bottom w:val="nil"/>
            </w:tcBorders>
          </w:tcPr>
          <w:p w14:paraId="7F1638E0" w14:textId="77777777" w:rsidR="00E37965" w:rsidRPr="0036402F" w:rsidRDefault="00E37965" w:rsidP="002F29D4">
            <w:pPr>
              <w:rPr>
                <w:rFonts w:ascii="Arial" w:hAnsi="Arial" w:cs="Arial"/>
                <w:b/>
                <w:bCs/>
                <w:sz w:val="20"/>
                <w:szCs w:val="20"/>
                <w:lang w:val="en-US"/>
              </w:rPr>
            </w:pPr>
          </w:p>
        </w:tc>
        <w:tc>
          <w:tcPr>
            <w:tcW w:w="3056" w:type="dxa"/>
            <w:gridSpan w:val="2"/>
            <w:tcBorders>
              <w:bottom w:val="nil"/>
            </w:tcBorders>
          </w:tcPr>
          <w:p w14:paraId="1290F199" w14:textId="07ADF0CF" w:rsidR="00E37965" w:rsidRPr="0036402F" w:rsidRDefault="00C576AA" w:rsidP="002F29D4">
            <w:pPr>
              <w:jc w:val="center"/>
              <w:rPr>
                <w:rFonts w:ascii="Arial" w:hAnsi="Arial" w:cs="Arial"/>
                <w:b/>
                <w:bCs/>
                <w:sz w:val="20"/>
                <w:szCs w:val="20"/>
                <w:lang w:val="en-US"/>
              </w:rPr>
            </w:pPr>
            <w:r w:rsidRPr="0036402F">
              <w:rPr>
                <w:rFonts w:ascii="Arial" w:hAnsi="Arial" w:cs="Arial"/>
                <w:b/>
                <w:bCs/>
                <w:sz w:val="20"/>
                <w:szCs w:val="20"/>
                <w:lang w:val="en-US"/>
              </w:rPr>
              <w:t>All types of d</w:t>
            </w:r>
            <w:r w:rsidR="00E37965" w:rsidRPr="0036402F">
              <w:rPr>
                <w:rFonts w:ascii="Arial" w:hAnsi="Arial" w:cs="Arial"/>
                <w:b/>
                <w:bCs/>
                <w:sz w:val="20"/>
                <w:szCs w:val="20"/>
                <w:lang w:val="en-US"/>
              </w:rPr>
              <w:t>ementia</w:t>
            </w:r>
          </w:p>
        </w:tc>
        <w:tc>
          <w:tcPr>
            <w:tcW w:w="2977" w:type="dxa"/>
            <w:gridSpan w:val="2"/>
            <w:tcBorders>
              <w:bottom w:val="nil"/>
            </w:tcBorders>
          </w:tcPr>
          <w:p w14:paraId="5D9136BF" w14:textId="569479AE"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 xml:space="preserve">Alzheimer’s </w:t>
            </w:r>
            <w:r w:rsidR="00C576AA" w:rsidRPr="0036402F">
              <w:rPr>
                <w:rFonts w:ascii="Arial" w:hAnsi="Arial" w:cs="Arial"/>
                <w:b/>
                <w:bCs/>
                <w:sz w:val="20"/>
                <w:szCs w:val="20"/>
                <w:lang w:val="en-US"/>
              </w:rPr>
              <w:t>disease</w:t>
            </w:r>
          </w:p>
        </w:tc>
        <w:tc>
          <w:tcPr>
            <w:tcW w:w="3199" w:type="dxa"/>
            <w:gridSpan w:val="2"/>
            <w:tcBorders>
              <w:bottom w:val="nil"/>
            </w:tcBorders>
          </w:tcPr>
          <w:p w14:paraId="26EE381F"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Vascular dementia</w:t>
            </w:r>
          </w:p>
        </w:tc>
        <w:tc>
          <w:tcPr>
            <w:tcW w:w="2892" w:type="dxa"/>
            <w:gridSpan w:val="2"/>
            <w:tcBorders>
              <w:bottom w:val="nil"/>
            </w:tcBorders>
          </w:tcPr>
          <w:p w14:paraId="1BEBC4F8" w14:textId="3920DB6F" w:rsidR="00E37965" w:rsidRPr="0036402F" w:rsidRDefault="00C576AA" w:rsidP="002F29D4">
            <w:pPr>
              <w:jc w:val="center"/>
              <w:rPr>
                <w:rFonts w:ascii="Arial" w:hAnsi="Arial" w:cs="Arial"/>
                <w:b/>
                <w:bCs/>
                <w:sz w:val="20"/>
                <w:szCs w:val="20"/>
                <w:lang w:val="en-US"/>
              </w:rPr>
            </w:pPr>
            <w:r w:rsidRPr="0036402F">
              <w:rPr>
                <w:rFonts w:ascii="Arial" w:hAnsi="Arial" w:cs="Arial"/>
                <w:b/>
                <w:bCs/>
                <w:sz w:val="20"/>
                <w:szCs w:val="20"/>
                <w:lang w:val="en-US"/>
              </w:rPr>
              <w:t>U</w:t>
            </w:r>
            <w:r w:rsidR="00E37965" w:rsidRPr="0036402F">
              <w:rPr>
                <w:rFonts w:ascii="Arial" w:hAnsi="Arial" w:cs="Arial"/>
                <w:b/>
                <w:bCs/>
                <w:sz w:val="20"/>
                <w:szCs w:val="20"/>
                <w:lang w:val="en-US"/>
              </w:rPr>
              <w:t>ndefined</w:t>
            </w:r>
            <w:r w:rsidRPr="0036402F">
              <w:rPr>
                <w:rFonts w:ascii="Arial" w:hAnsi="Arial" w:cs="Arial"/>
                <w:b/>
                <w:bCs/>
                <w:sz w:val="20"/>
                <w:szCs w:val="20"/>
                <w:lang w:val="en-US"/>
              </w:rPr>
              <w:t xml:space="preserve"> dementia</w:t>
            </w:r>
          </w:p>
        </w:tc>
      </w:tr>
      <w:tr w:rsidR="0036402F" w:rsidRPr="0036402F" w14:paraId="6EB6D954" w14:textId="77777777" w:rsidTr="00D42E19">
        <w:trPr>
          <w:trHeight w:val="278"/>
        </w:trPr>
        <w:tc>
          <w:tcPr>
            <w:tcW w:w="2297" w:type="dxa"/>
            <w:tcBorders>
              <w:top w:val="nil"/>
              <w:bottom w:val="single" w:sz="4" w:space="0" w:color="auto"/>
            </w:tcBorders>
          </w:tcPr>
          <w:p w14:paraId="1FA488C0" w14:textId="77777777" w:rsidR="00E37965" w:rsidRPr="0036402F" w:rsidRDefault="00E37965" w:rsidP="002F29D4">
            <w:pPr>
              <w:rPr>
                <w:rFonts w:ascii="Arial" w:hAnsi="Arial" w:cs="Arial"/>
                <w:b/>
                <w:bCs/>
                <w:sz w:val="20"/>
                <w:szCs w:val="20"/>
                <w:lang w:val="en-US"/>
              </w:rPr>
            </w:pPr>
            <w:bookmarkStart w:id="0" w:name="_Hlk91412688"/>
          </w:p>
        </w:tc>
        <w:tc>
          <w:tcPr>
            <w:tcW w:w="2002" w:type="dxa"/>
            <w:tcBorders>
              <w:top w:val="nil"/>
              <w:bottom w:val="single" w:sz="4" w:space="0" w:color="auto"/>
            </w:tcBorders>
          </w:tcPr>
          <w:p w14:paraId="061EEE0B" w14:textId="73337AE8"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HR (95% CI)</w:t>
            </w:r>
          </w:p>
        </w:tc>
        <w:tc>
          <w:tcPr>
            <w:tcW w:w="1054" w:type="dxa"/>
            <w:tcBorders>
              <w:top w:val="nil"/>
              <w:bottom w:val="single" w:sz="4" w:space="0" w:color="auto"/>
            </w:tcBorders>
          </w:tcPr>
          <w:p w14:paraId="6B9EC9A0" w14:textId="6472067B"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P</w:t>
            </w:r>
            <w:r w:rsidR="006E0C95" w:rsidRPr="0036402F">
              <w:rPr>
                <w:rFonts w:ascii="Arial" w:hAnsi="Arial" w:cs="Arial"/>
                <w:b/>
                <w:bCs/>
                <w:sz w:val="20"/>
                <w:szCs w:val="20"/>
                <w:lang w:val="en-US"/>
              </w:rPr>
              <w:t>-</w:t>
            </w:r>
            <w:r w:rsidRPr="0036402F">
              <w:rPr>
                <w:rFonts w:ascii="Arial" w:hAnsi="Arial" w:cs="Arial"/>
                <w:b/>
                <w:bCs/>
                <w:sz w:val="20"/>
                <w:szCs w:val="20"/>
                <w:lang w:val="en-US"/>
              </w:rPr>
              <w:t>value</w:t>
            </w:r>
          </w:p>
        </w:tc>
        <w:tc>
          <w:tcPr>
            <w:tcW w:w="1838" w:type="dxa"/>
            <w:tcBorders>
              <w:top w:val="nil"/>
              <w:bottom w:val="single" w:sz="4" w:space="0" w:color="auto"/>
            </w:tcBorders>
          </w:tcPr>
          <w:p w14:paraId="45A9F0B7" w14:textId="056F87C3"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HR (95% CI)</w:t>
            </w:r>
          </w:p>
        </w:tc>
        <w:tc>
          <w:tcPr>
            <w:tcW w:w="1139" w:type="dxa"/>
            <w:tcBorders>
              <w:top w:val="nil"/>
              <w:bottom w:val="single" w:sz="4" w:space="0" w:color="auto"/>
            </w:tcBorders>
          </w:tcPr>
          <w:p w14:paraId="23848468" w14:textId="74F54ADA"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P</w:t>
            </w:r>
            <w:r w:rsidR="006E0C95" w:rsidRPr="0036402F">
              <w:rPr>
                <w:rFonts w:ascii="Arial" w:hAnsi="Arial" w:cs="Arial"/>
                <w:b/>
                <w:bCs/>
                <w:sz w:val="20"/>
                <w:szCs w:val="20"/>
                <w:lang w:val="en-US"/>
              </w:rPr>
              <w:t>-</w:t>
            </w:r>
            <w:r w:rsidRPr="0036402F">
              <w:rPr>
                <w:rFonts w:ascii="Arial" w:hAnsi="Arial" w:cs="Arial"/>
                <w:b/>
                <w:bCs/>
                <w:sz w:val="20"/>
                <w:szCs w:val="20"/>
                <w:lang w:val="en-US"/>
              </w:rPr>
              <w:t>value</w:t>
            </w:r>
          </w:p>
        </w:tc>
        <w:tc>
          <w:tcPr>
            <w:tcW w:w="1753" w:type="dxa"/>
            <w:tcBorders>
              <w:top w:val="nil"/>
              <w:bottom w:val="single" w:sz="4" w:space="0" w:color="auto"/>
            </w:tcBorders>
          </w:tcPr>
          <w:p w14:paraId="2DD86126" w14:textId="01457AF8"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HR (95% CI)</w:t>
            </w:r>
          </w:p>
        </w:tc>
        <w:tc>
          <w:tcPr>
            <w:tcW w:w="1446" w:type="dxa"/>
            <w:tcBorders>
              <w:top w:val="nil"/>
              <w:bottom w:val="single" w:sz="4" w:space="0" w:color="auto"/>
            </w:tcBorders>
          </w:tcPr>
          <w:p w14:paraId="6113C0B3" w14:textId="49041211"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P</w:t>
            </w:r>
            <w:r w:rsidR="006E0C95" w:rsidRPr="0036402F">
              <w:rPr>
                <w:rFonts w:ascii="Arial" w:hAnsi="Arial" w:cs="Arial"/>
                <w:b/>
                <w:bCs/>
                <w:sz w:val="20"/>
                <w:szCs w:val="20"/>
                <w:lang w:val="en-US"/>
              </w:rPr>
              <w:t>-</w:t>
            </w:r>
            <w:r w:rsidRPr="0036402F">
              <w:rPr>
                <w:rFonts w:ascii="Arial" w:hAnsi="Arial" w:cs="Arial"/>
                <w:b/>
                <w:bCs/>
                <w:sz w:val="20"/>
                <w:szCs w:val="20"/>
                <w:lang w:val="en-US"/>
              </w:rPr>
              <w:t>value</w:t>
            </w:r>
          </w:p>
        </w:tc>
        <w:tc>
          <w:tcPr>
            <w:tcW w:w="1762" w:type="dxa"/>
            <w:tcBorders>
              <w:top w:val="nil"/>
              <w:bottom w:val="single" w:sz="4" w:space="0" w:color="auto"/>
            </w:tcBorders>
          </w:tcPr>
          <w:p w14:paraId="4DD48152" w14:textId="3C35F09D"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HR (95% CI)</w:t>
            </w:r>
          </w:p>
        </w:tc>
        <w:tc>
          <w:tcPr>
            <w:tcW w:w="1130" w:type="dxa"/>
            <w:tcBorders>
              <w:top w:val="nil"/>
              <w:bottom w:val="single" w:sz="4" w:space="0" w:color="auto"/>
            </w:tcBorders>
          </w:tcPr>
          <w:p w14:paraId="6C720F03" w14:textId="446C8D60"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P</w:t>
            </w:r>
            <w:r w:rsidR="006E0C95" w:rsidRPr="0036402F">
              <w:rPr>
                <w:rFonts w:ascii="Arial" w:hAnsi="Arial" w:cs="Arial"/>
                <w:b/>
                <w:bCs/>
                <w:sz w:val="20"/>
                <w:szCs w:val="20"/>
                <w:lang w:val="en-US"/>
              </w:rPr>
              <w:t>-</w:t>
            </w:r>
            <w:r w:rsidRPr="0036402F">
              <w:rPr>
                <w:rFonts w:ascii="Arial" w:hAnsi="Arial" w:cs="Arial"/>
                <w:b/>
                <w:bCs/>
                <w:sz w:val="20"/>
                <w:szCs w:val="20"/>
                <w:lang w:val="en-US"/>
              </w:rPr>
              <w:t>value</w:t>
            </w:r>
          </w:p>
        </w:tc>
      </w:tr>
      <w:tr w:rsidR="0036402F" w:rsidRPr="0036402F" w14:paraId="57806019" w14:textId="77777777" w:rsidTr="00D42E19">
        <w:trPr>
          <w:trHeight w:val="278"/>
        </w:trPr>
        <w:tc>
          <w:tcPr>
            <w:tcW w:w="14421" w:type="dxa"/>
            <w:gridSpan w:val="9"/>
            <w:tcBorders>
              <w:bottom w:val="nil"/>
            </w:tcBorders>
          </w:tcPr>
          <w:p w14:paraId="61FA3998" w14:textId="1AA75BFE" w:rsidR="006E0C95" w:rsidRPr="0036402F" w:rsidRDefault="006E0C95" w:rsidP="006E0C95">
            <w:pPr>
              <w:rPr>
                <w:rFonts w:ascii="Arial" w:hAnsi="Arial" w:cs="Arial"/>
                <w:i/>
                <w:iCs/>
                <w:sz w:val="20"/>
                <w:szCs w:val="20"/>
                <w:lang w:val="en-US"/>
              </w:rPr>
            </w:pPr>
            <w:r w:rsidRPr="0036402F">
              <w:rPr>
                <w:rFonts w:ascii="Arial" w:hAnsi="Arial" w:cs="Arial"/>
                <w:i/>
                <w:iCs/>
                <w:sz w:val="20"/>
                <w:szCs w:val="20"/>
                <w:lang w:val="en-US"/>
              </w:rPr>
              <w:t>All patients</w:t>
            </w:r>
          </w:p>
        </w:tc>
      </w:tr>
      <w:tr w:rsidR="0036402F" w:rsidRPr="0036402F" w14:paraId="06715404" w14:textId="77777777" w:rsidTr="00D42E19">
        <w:trPr>
          <w:trHeight w:val="278"/>
        </w:trPr>
        <w:tc>
          <w:tcPr>
            <w:tcW w:w="2297" w:type="dxa"/>
            <w:tcBorders>
              <w:top w:val="nil"/>
              <w:bottom w:val="nil"/>
            </w:tcBorders>
          </w:tcPr>
          <w:p w14:paraId="72F37DCA" w14:textId="77777777" w:rsidR="00CB03E5" w:rsidRPr="0036402F" w:rsidRDefault="00CB03E5" w:rsidP="002F29D4">
            <w:pPr>
              <w:rPr>
                <w:rFonts w:ascii="Arial" w:hAnsi="Arial" w:cs="Arial"/>
                <w:sz w:val="20"/>
                <w:szCs w:val="20"/>
                <w:lang w:val="en-US"/>
              </w:rPr>
            </w:pPr>
            <w:r w:rsidRPr="0036402F">
              <w:rPr>
                <w:rFonts w:ascii="Arial" w:hAnsi="Arial" w:cs="Arial"/>
                <w:sz w:val="20"/>
                <w:szCs w:val="20"/>
                <w:lang w:val="en-US"/>
              </w:rPr>
              <w:t>Normal weight</w:t>
            </w:r>
          </w:p>
        </w:tc>
        <w:tc>
          <w:tcPr>
            <w:tcW w:w="12124" w:type="dxa"/>
            <w:gridSpan w:val="8"/>
            <w:tcBorders>
              <w:top w:val="nil"/>
              <w:bottom w:val="nil"/>
            </w:tcBorders>
          </w:tcPr>
          <w:p w14:paraId="62CA5024" w14:textId="59AF2A28" w:rsidR="00CB03E5" w:rsidRPr="0036402F" w:rsidRDefault="00CB03E5" w:rsidP="00CB03E5">
            <w:pPr>
              <w:rPr>
                <w:rFonts w:ascii="Arial" w:hAnsi="Arial" w:cs="Arial"/>
                <w:sz w:val="20"/>
                <w:szCs w:val="20"/>
                <w:lang w:val="en-US"/>
              </w:rPr>
            </w:pPr>
            <w:r w:rsidRPr="0036402F">
              <w:rPr>
                <w:rFonts w:ascii="Arial" w:hAnsi="Arial" w:cs="Arial"/>
                <w:sz w:val="20"/>
                <w:szCs w:val="20"/>
                <w:lang w:val="en-US"/>
              </w:rPr>
              <w:t>Reference</w:t>
            </w:r>
          </w:p>
        </w:tc>
      </w:tr>
      <w:tr w:rsidR="0036402F" w:rsidRPr="0036402F" w14:paraId="1997A1A0" w14:textId="77777777" w:rsidTr="00D42E19">
        <w:trPr>
          <w:trHeight w:val="278"/>
        </w:trPr>
        <w:tc>
          <w:tcPr>
            <w:tcW w:w="2297" w:type="dxa"/>
            <w:tcBorders>
              <w:top w:val="nil"/>
              <w:bottom w:val="nil"/>
            </w:tcBorders>
          </w:tcPr>
          <w:p w14:paraId="44B0D640"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Underweight</w:t>
            </w:r>
          </w:p>
        </w:tc>
        <w:tc>
          <w:tcPr>
            <w:tcW w:w="2002" w:type="dxa"/>
            <w:tcBorders>
              <w:top w:val="nil"/>
              <w:bottom w:val="nil"/>
            </w:tcBorders>
          </w:tcPr>
          <w:p w14:paraId="4F1822F3"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1.21 (1.05-1.40)</w:t>
            </w:r>
          </w:p>
        </w:tc>
        <w:tc>
          <w:tcPr>
            <w:tcW w:w="1054" w:type="dxa"/>
            <w:tcBorders>
              <w:top w:val="nil"/>
              <w:bottom w:val="nil"/>
            </w:tcBorders>
          </w:tcPr>
          <w:p w14:paraId="6C01ABFA"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0.010</w:t>
            </w:r>
          </w:p>
        </w:tc>
        <w:tc>
          <w:tcPr>
            <w:tcW w:w="1838" w:type="dxa"/>
            <w:tcBorders>
              <w:top w:val="nil"/>
              <w:bottom w:val="nil"/>
            </w:tcBorders>
          </w:tcPr>
          <w:p w14:paraId="172F7EA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1.09 (0.74-1.60)</w:t>
            </w:r>
          </w:p>
        </w:tc>
        <w:tc>
          <w:tcPr>
            <w:tcW w:w="1139" w:type="dxa"/>
            <w:tcBorders>
              <w:top w:val="nil"/>
              <w:bottom w:val="nil"/>
            </w:tcBorders>
          </w:tcPr>
          <w:p w14:paraId="141A5E47"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0.669</w:t>
            </w:r>
          </w:p>
        </w:tc>
        <w:tc>
          <w:tcPr>
            <w:tcW w:w="1753" w:type="dxa"/>
            <w:tcBorders>
              <w:top w:val="nil"/>
              <w:bottom w:val="nil"/>
            </w:tcBorders>
          </w:tcPr>
          <w:p w14:paraId="529F9791"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0.99 (0.69-1.32)</w:t>
            </w:r>
          </w:p>
        </w:tc>
        <w:tc>
          <w:tcPr>
            <w:tcW w:w="1446" w:type="dxa"/>
            <w:tcBorders>
              <w:top w:val="nil"/>
              <w:bottom w:val="nil"/>
            </w:tcBorders>
          </w:tcPr>
          <w:p w14:paraId="4F868458"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0.940</w:t>
            </w:r>
          </w:p>
        </w:tc>
        <w:tc>
          <w:tcPr>
            <w:tcW w:w="1762" w:type="dxa"/>
            <w:tcBorders>
              <w:top w:val="nil"/>
              <w:bottom w:val="nil"/>
            </w:tcBorders>
          </w:tcPr>
          <w:p w14:paraId="769008AB"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1.31 (1.10-1.56)</w:t>
            </w:r>
          </w:p>
        </w:tc>
        <w:tc>
          <w:tcPr>
            <w:tcW w:w="1130" w:type="dxa"/>
            <w:tcBorders>
              <w:top w:val="nil"/>
              <w:bottom w:val="nil"/>
            </w:tcBorders>
          </w:tcPr>
          <w:p w14:paraId="0EA98D1F"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0.003</w:t>
            </w:r>
          </w:p>
        </w:tc>
      </w:tr>
      <w:tr w:rsidR="0036402F" w:rsidRPr="0036402F" w14:paraId="1D487091" w14:textId="77777777" w:rsidTr="00D42E19">
        <w:trPr>
          <w:trHeight w:val="278"/>
        </w:trPr>
        <w:tc>
          <w:tcPr>
            <w:tcW w:w="2297" w:type="dxa"/>
            <w:tcBorders>
              <w:top w:val="nil"/>
              <w:bottom w:val="nil"/>
            </w:tcBorders>
          </w:tcPr>
          <w:p w14:paraId="692035EA"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Overweight</w:t>
            </w:r>
          </w:p>
        </w:tc>
        <w:tc>
          <w:tcPr>
            <w:tcW w:w="2002" w:type="dxa"/>
            <w:tcBorders>
              <w:top w:val="nil"/>
              <w:bottom w:val="nil"/>
            </w:tcBorders>
          </w:tcPr>
          <w:p w14:paraId="13C13418"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0.94 (0.91-0.98)</w:t>
            </w:r>
          </w:p>
        </w:tc>
        <w:tc>
          <w:tcPr>
            <w:tcW w:w="1054" w:type="dxa"/>
            <w:tcBorders>
              <w:top w:val="nil"/>
              <w:bottom w:val="nil"/>
            </w:tcBorders>
          </w:tcPr>
          <w:p w14:paraId="75F82746"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0.001</w:t>
            </w:r>
          </w:p>
        </w:tc>
        <w:tc>
          <w:tcPr>
            <w:tcW w:w="1838" w:type="dxa"/>
            <w:tcBorders>
              <w:top w:val="nil"/>
              <w:bottom w:val="nil"/>
            </w:tcBorders>
          </w:tcPr>
          <w:p w14:paraId="4C07AF3A"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0.91 (0.83-0.99)</w:t>
            </w:r>
          </w:p>
        </w:tc>
        <w:tc>
          <w:tcPr>
            <w:tcW w:w="1139" w:type="dxa"/>
            <w:tcBorders>
              <w:top w:val="nil"/>
              <w:bottom w:val="nil"/>
            </w:tcBorders>
          </w:tcPr>
          <w:p w14:paraId="5DDA1537"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0.042</w:t>
            </w:r>
          </w:p>
        </w:tc>
        <w:tc>
          <w:tcPr>
            <w:tcW w:w="1753" w:type="dxa"/>
            <w:tcBorders>
              <w:top w:val="nil"/>
              <w:bottom w:val="nil"/>
            </w:tcBorders>
          </w:tcPr>
          <w:p w14:paraId="126CD452" w14:textId="70515B6C"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0.99 (0.91-1.07)</w:t>
            </w:r>
          </w:p>
        </w:tc>
        <w:tc>
          <w:tcPr>
            <w:tcW w:w="1446" w:type="dxa"/>
            <w:tcBorders>
              <w:top w:val="nil"/>
              <w:bottom w:val="nil"/>
            </w:tcBorders>
          </w:tcPr>
          <w:p w14:paraId="741A127F"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0.823</w:t>
            </w:r>
          </w:p>
        </w:tc>
        <w:tc>
          <w:tcPr>
            <w:tcW w:w="1762" w:type="dxa"/>
            <w:tcBorders>
              <w:top w:val="nil"/>
              <w:bottom w:val="nil"/>
            </w:tcBorders>
          </w:tcPr>
          <w:p w14:paraId="274481A2"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0.93 (0.89-0.98)</w:t>
            </w:r>
          </w:p>
        </w:tc>
        <w:tc>
          <w:tcPr>
            <w:tcW w:w="1130" w:type="dxa"/>
            <w:tcBorders>
              <w:top w:val="nil"/>
              <w:bottom w:val="nil"/>
            </w:tcBorders>
          </w:tcPr>
          <w:p w14:paraId="0A2DE21F"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0.004</w:t>
            </w:r>
          </w:p>
        </w:tc>
      </w:tr>
      <w:tr w:rsidR="0036402F" w:rsidRPr="0036402F" w14:paraId="6EAAAC40" w14:textId="77777777" w:rsidTr="00D42E19">
        <w:trPr>
          <w:trHeight w:val="278"/>
        </w:trPr>
        <w:tc>
          <w:tcPr>
            <w:tcW w:w="2297" w:type="dxa"/>
            <w:tcBorders>
              <w:top w:val="nil"/>
              <w:bottom w:val="nil"/>
            </w:tcBorders>
          </w:tcPr>
          <w:p w14:paraId="7F133214"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Obesity</w:t>
            </w:r>
          </w:p>
        </w:tc>
        <w:tc>
          <w:tcPr>
            <w:tcW w:w="2002" w:type="dxa"/>
            <w:tcBorders>
              <w:top w:val="nil"/>
              <w:bottom w:val="nil"/>
            </w:tcBorders>
          </w:tcPr>
          <w:p w14:paraId="1E752D71"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0.98 (0.94-1.02)</w:t>
            </w:r>
          </w:p>
        </w:tc>
        <w:tc>
          <w:tcPr>
            <w:tcW w:w="1054" w:type="dxa"/>
            <w:tcBorders>
              <w:top w:val="nil"/>
              <w:bottom w:val="nil"/>
            </w:tcBorders>
          </w:tcPr>
          <w:p w14:paraId="105D0B6A"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0.223</w:t>
            </w:r>
          </w:p>
        </w:tc>
        <w:tc>
          <w:tcPr>
            <w:tcW w:w="1838" w:type="dxa"/>
            <w:tcBorders>
              <w:top w:val="nil"/>
              <w:bottom w:val="nil"/>
            </w:tcBorders>
          </w:tcPr>
          <w:p w14:paraId="5C8BA04C"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0.82 (0.73-0.91)</w:t>
            </w:r>
          </w:p>
        </w:tc>
        <w:tc>
          <w:tcPr>
            <w:tcW w:w="1139" w:type="dxa"/>
            <w:tcBorders>
              <w:top w:val="nil"/>
              <w:bottom w:val="nil"/>
            </w:tcBorders>
          </w:tcPr>
          <w:p w14:paraId="739165B0"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&lt;0.001</w:t>
            </w:r>
          </w:p>
        </w:tc>
        <w:tc>
          <w:tcPr>
            <w:tcW w:w="1753" w:type="dxa"/>
            <w:tcBorders>
              <w:top w:val="nil"/>
              <w:bottom w:val="nil"/>
            </w:tcBorders>
          </w:tcPr>
          <w:p w14:paraId="2BF7083A"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1.10 (1.01-1.21)</w:t>
            </w:r>
          </w:p>
        </w:tc>
        <w:tc>
          <w:tcPr>
            <w:tcW w:w="1446" w:type="dxa"/>
            <w:tcBorders>
              <w:top w:val="nil"/>
              <w:bottom w:val="nil"/>
            </w:tcBorders>
          </w:tcPr>
          <w:p w14:paraId="3F035324"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0.027</w:t>
            </w:r>
          </w:p>
        </w:tc>
        <w:tc>
          <w:tcPr>
            <w:tcW w:w="1762" w:type="dxa"/>
            <w:tcBorders>
              <w:top w:val="nil"/>
              <w:bottom w:val="nil"/>
            </w:tcBorders>
          </w:tcPr>
          <w:p w14:paraId="7D995D2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0.97 (0.92-1.02)</w:t>
            </w:r>
          </w:p>
        </w:tc>
        <w:tc>
          <w:tcPr>
            <w:tcW w:w="1130" w:type="dxa"/>
            <w:tcBorders>
              <w:top w:val="nil"/>
              <w:bottom w:val="nil"/>
            </w:tcBorders>
          </w:tcPr>
          <w:p w14:paraId="7F97692C"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0.281</w:t>
            </w:r>
          </w:p>
        </w:tc>
      </w:tr>
      <w:tr w:rsidR="0036402F" w:rsidRPr="0036402F" w14:paraId="1AC274AB" w14:textId="77777777" w:rsidTr="00D42E19">
        <w:trPr>
          <w:trHeight w:val="278"/>
        </w:trPr>
        <w:tc>
          <w:tcPr>
            <w:tcW w:w="2297" w:type="dxa"/>
            <w:tcBorders>
              <w:top w:val="nil"/>
              <w:bottom w:val="nil"/>
            </w:tcBorders>
          </w:tcPr>
          <w:p w14:paraId="249F096A" w14:textId="77777777" w:rsidR="00E37965" w:rsidRPr="0036402F" w:rsidRDefault="00E37965" w:rsidP="002F29D4">
            <w:pPr>
              <w:rPr>
                <w:rFonts w:ascii="Arial" w:hAnsi="Arial" w:cs="Arial"/>
                <w:sz w:val="20"/>
                <w:szCs w:val="20"/>
                <w:lang w:val="en-US"/>
              </w:rPr>
            </w:pPr>
          </w:p>
        </w:tc>
        <w:tc>
          <w:tcPr>
            <w:tcW w:w="2002" w:type="dxa"/>
            <w:tcBorders>
              <w:top w:val="nil"/>
              <w:bottom w:val="nil"/>
            </w:tcBorders>
          </w:tcPr>
          <w:p w14:paraId="0438EC39" w14:textId="77777777" w:rsidR="00E37965" w:rsidRPr="0036402F" w:rsidRDefault="00E37965" w:rsidP="002F29D4">
            <w:pPr>
              <w:jc w:val="center"/>
              <w:rPr>
                <w:rFonts w:ascii="Arial" w:hAnsi="Arial" w:cs="Arial"/>
                <w:sz w:val="20"/>
                <w:szCs w:val="20"/>
                <w:lang w:val="en-US"/>
              </w:rPr>
            </w:pPr>
          </w:p>
        </w:tc>
        <w:tc>
          <w:tcPr>
            <w:tcW w:w="1054" w:type="dxa"/>
            <w:tcBorders>
              <w:top w:val="nil"/>
              <w:bottom w:val="nil"/>
            </w:tcBorders>
          </w:tcPr>
          <w:p w14:paraId="16CAE97A" w14:textId="77777777" w:rsidR="00E37965" w:rsidRPr="0036402F" w:rsidRDefault="00E37965" w:rsidP="002F29D4">
            <w:pPr>
              <w:jc w:val="center"/>
              <w:rPr>
                <w:rFonts w:ascii="Arial" w:hAnsi="Arial" w:cs="Arial"/>
                <w:sz w:val="20"/>
                <w:szCs w:val="20"/>
                <w:lang w:val="en-US"/>
              </w:rPr>
            </w:pPr>
          </w:p>
        </w:tc>
        <w:tc>
          <w:tcPr>
            <w:tcW w:w="1838" w:type="dxa"/>
            <w:tcBorders>
              <w:top w:val="nil"/>
              <w:bottom w:val="nil"/>
            </w:tcBorders>
          </w:tcPr>
          <w:p w14:paraId="016BAB97" w14:textId="77777777" w:rsidR="00E37965" w:rsidRPr="0036402F" w:rsidRDefault="00E37965" w:rsidP="002F29D4">
            <w:pPr>
              <w:jc w:val="center"/>
              <w:rPr>
                <w:rFonts w:ascii="Arial" w:hAnsi="Arial" w:cs="Arial"/>
                <w:sz w:val="20"/>
                <w:szCs w:val="20"/>
                <w:lang w:val="en-US"/>
              </w:rPr>
            </w:pPr>
          </w:p>
        </w:tc>
        <w:tc>
          <w:tcPr>
            <w:tcW w:w="1139" w:type="dxa"/>
            <w:tcBorders>
              <w:top w:val="nil"/>
              <w:bottom w:val="nil"/>
            </w:tcBorders>
          </w:tcPr>
          <w:p w14:paraId="1AA27129" w14:textId="77777777" w:rsidR="00E37965" w:rsidRPr="0036402F" w:rsidRDefault="00E37965" w:rsidP="002F29D4">
            <w:pPr>
              <w:jc w:val="center"/>
              <w:rPr>
                <w:rFonts w:ascii="Arial" w:hAnsi="Arial" w:cs="Arial"/>
                <w:sz w:val="20"/>
                <w:szCs w:val="20"/>
                <w:lang w:val="en-US"/>
              </w:rPr>
            </w:pPr>
          </w:p>
        </w:tc>
        <w:tc>
          <w:tcPr>
            <w:tcW w:w="1753" w:type="dxa"/>
            <w:tcBorders>
              <w:top w:val="nil"/>
              <w:bottom w:val="nil"/>
            </w:tcBorders>
          </w:tcPr>
          <w:p w14:paraId="64DBF94D" w14:textId="77777777" w:rsidR="00E37965" w:rsidRPr="0036402F" w:rsidRDefault="00E37965" w:rsidP="002F29D4">
            <w:pPr>
              <w:jc w:val="center"/>
              <w:rPr>
                <w:rFonts w:ascii="Arial" w:hAnsi="Arial" w:cs="Arial"/>
                <w:sz w:val="20"/>
                <w:szCs w:val="20"/>
                <w:lang w:val="en-US"/>
              </w:rPr>
            </w:pPr>
          </w:p>
        </w:tc>
        <w:tc>
          <w:tcPr>
            <w:tcW w:w="1446" w:type="dxa"/>
            <w:tcBorders>
              <w:top w:val="nil"/>
              <w:bottom w:val="nil"/>
            </w:tcBorders>
          </w:tcPr>
          <w:p w14:paraId="65F7E848" w14:textId="77777777" w:rsidR="00E37965" w:rsidRPr="0036402F" w:rsidRDefault="00E37965" w:rsidP="002F29D4">
            <w:pPr>
              <w:jc w:val="center"/>
              <w:rPr>
                <w:rFonts w:ascii="Arial" w:hAnsi="Arial" w:cs="Arial"/>
                <w:sz w:val="20"/>
                <w:szCs w:val="20"/>
                <w:lang w:val="en-US"/>
              </w:rPr>
            </w:pPr>
          </w:p>
        </w:tc>
        <w:tc>
          <w:tcPr>
            <w:tcW w:w="1762" w:type="dxa"/>
            <w:tcBorders>
              <w:top w:val="nil"/>
              <w:bottom w:val="nil"/>
            </w:tcBorders>
          </w:tcPr>
          <w:p w14:paraId="72970A7D" w14:textId="77777777" w:rsidR="00E37965" w:rsidRPr="0036402F" w:rsidRDefault="00E37965" w:rsidP="002F29D4">
            <w:pPr>
              <w:jc w:val="center"/>
              <w:rPr>
                <w:rFonts w:ascii="Arial" w:hAnsi="Arial" w:cs="Arial"/>
                <w:sz w:val="20"/>
                <w:szCs w:val="20"/>
                <w:lang w:val="en-US"/>
              </w:rPr>
            </w:pPr>
          </w:p>
        </w:tc>
        <w:tc>
          <w:tcPr>
            <w:tcW w:w="1130" w:type="dxa"/>
            <w:tcBorders>
              <w:top w:val="nil"/>
              <w:bottom w:val="nil"/>
            </w:tcBorders>
          </w:tcPr>
          <w:p w14:paraId="277A52AD" w14:textId="77777777" w:rsidR="00E37965" w:rsidRPr="0036402F" w:rsidRDefault="00E37965" w:rsidP="002F29D4">
            <w:pPr>
              <w:jc w:val="center"/>
              <w:rPr>
                <w:rFonts w:ascii="Arial" w:hAnsi="Arial" w:cs="Arial"/>
                <w:sz w:val="20"/>
                <w:szCs w:val="20"/>
                <w:lang w:val="en-US"/>
              </w:rPr>
            </w:pPr>
          </w:p>
        </w:tc>
      </w:tr>
      <w:tr w:rsidR="0036402F" w:rsidRPr="0036402F" w14:paraId="4F0F8562" w14:textId="77777777" w:rsidTr="00D42E19">
        <w:trPr>
          <w:trHeight w:val="278"/>
        </w:trPr>
        <w:tc>
          <w:tcPr>
            <w:tcW w:w="14421" w:type="dxa"/>
            <w:gridSpan w:val="9"/>
            <w:tcBorders>
              <w:top w:val="nil"/>
              <w:bottom w:val="nil"/>
            </w:tcBorders>
          </w:tcPr>
          <w:p w14:paraId="024FEBA3" w14:textId="3A408955" w:rsidR="008E0A31" w:rsidRPr="0036402F" w:rsidRDefault="00C32C74" w:rsidP="008E0A31">
            <w:pPr>
              <w:rPr>
                <w:rFonts w:ascii="Arial" w:hAnsi="Arial" w:cs="Arial"/>
                <w:i/>
                <w:iCs/>
                <w:sz w:val="20"/>
                <w:szCs w:val="20"/>
                <w:lang w:val="en-US"/>
              </w:rPr>
            </w:pPr>
            <w:r w:rsidRPr="0036402F">
              <w:rPr>
                <w:rFonts w:ascii="Arial" w:hAnsi="Arial" w:cs="Arial"/>
                <w:i/>
                <w:iCs/>
                <w:sz w:val="20"/>
                <w:szCs w:val="20"/>
                <w:lang w:val="en-US"/>
              </w:rPr>
              <w:t>Female patients</w:t>
            </w:r>
          </w:p>
        </w:tc>
      </w:tr>
      <w:tr w:rsidR="0036402F" w:rsidRPr="0036402F" w14:paraId="32F76D94" w14:textId="77777777" w:rsidTr="00D42E19">
        <w:trPr>
          <w:trHeight w:val="278"/>
        </w:trPr>
        <w:tc>
          <w:tcPr>
            <w:tcW w:w="2297" w:type="dxa"/>
            <w:tcBorders>
              <w:top w:val="nil"/>
              <w:bottom w:val="nil"/>
            </w:tcBorders>
          </w:tcPr>
          <w:p w14:paraId="217CF126" w14:textId="77777777" w:rsidR="00CB03E5" w:rsidRPr="0036402F" w:rsidRDefault="00CB03E5" w:rsidP="002F29D4">
            <w:pPr>
              <w:rPr>
                <w:rFonts w:ascii="Arial" w:hAnsi="Arial" w:cs="Arial"/>
                <w:sz w:val="20"/>
                <w:szCs w:val="20"/>
                <w:lang w:val="en-US"/>
              </w:rPr>
            </w:pPr>
            <w:r w:rsidRPr="0036402F">
              <w:rPr>
                <w:rFonts w:ascii="Arial" w:hAnsi="Arial" w:cs="Arial"/>
                <w:sz w:val="20"/>
                <w:szCs w:val="20"/>
                <w:lang w:val="en-US"/>
              </w:rPr>
              <w:t>Normal weight</w:t>
            </w:r>
          </w:p>
        </w:tc>
        <w:tc>
          <w:tcPr>
            <w:tcW w:w="12124" w:type="dxa"/>
            <w:gridSpan w:val="8"/>
            <w:tcBorders>
              <w:top w:val="nil"/>
              <w:bottom w:val="nil"/>
            </w:tcBorders>
          </w:tcPr>
          <w:p w14:paraId="4FE8D9C6" w14:textId="6C6FB8D0" w:rsidR="00CB03E5" w:rsidRPr="0036402F" w:rsidRDefault="00CB03E5" w:rsidP="00CB03E5">
            <w:pPr>
              <w:rPr>
                <w:rFonts w:ascii="Arial" w:hAnsi="Arial" w:cs="Arial"/>
                <w:sz w:val="20"/>
                <w:szCs w:val="20"/>
                <w:lang w:val="en-US"/>
              </w:rPr>
            </w:pPr>
            <w:r w:rsidRPr="0036402F">
              <w:rPr>
                <w:rFonts w:ascii="Arial" w:hAnsi="Arial" w:cs="Arial"/>
                <w:sz w:val="20"/>
                <w:szCs w:val="20"/>
                <w:lang w:val="en-US"/>
              </w:rPr>
              <w:t>Reference</w:t>
            </w:r>
          </w:p>
        </w:tc>
      </w:tr>
      <w:tr w:rsidR="0036402F" w:rsidRPr="0036402F" w14:paraId="3D31A0B3" w14:textId="77777777" w:rsidTr="00D42E19">
        <w:trPr>
          <w:trHeight w:val="278"/>
        </w:trPr>
        <w:tc>
          <w:tcPr>
            <w:tcW w:w="2297" w:type="dxa"/>
            <w:tcBorders>
              <w:top w:val="nil"/>
              <w:bottom w:val="nil"/>
            </w:tcBorders>
          </w:tcPr>
          <w:p w14:paraId="593388C7"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Underweight</w:t>
            </w:r>
          </w:p>
        </w:tc>
        <w:tc>
          <w:tcPr>
            <w:tcW w:w="2002" w:type="dxa"/>
            <w:tcBorders>
              <w:top w:val="nil"/>
              <w:bottom w:val="nil"/>
            </w:tcBorders>
          </w:tcPr>
          <w:p w14:paraId="2913151C"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1.15 (0.98-1.35)</w:t>
            </w:r>
          </w:p>
        </w:tc>
        <w:tc>
          <w:tcPr>
            <w:tcW w:w="1054" w:type="dxa"/>
            <w:tcBorders>
              <w:top w:val="nil"/>
              <w:bottom w:val="nil"/>
            </w:tcBorders>
          </w:tcPr>
          <w:p w14:paraId="5C1D8C57"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0.096</w:t>
            </w:r>
          </w:p>
        </w:tc>
        <w:tc>
          <w:tcPr>
            <w:tcW w:w="1838" w:type="dxa"/>
            <w:tcBorders>
              <w:top w:val="nil"/>
              <w:bottom w:val="nil"/>
            </w:tcBorders>
          </w:tcPr>
          <w:p w14:paraId="749DD625"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1.06 (0.70-1.61)</w:t>
            </w:r>
          </w:p>
        </w:tc>
        <w:tc>
          <w:tcPr>
            <w:tcW w:w="1139" w:type="dxa"/>
            <w:tcBorders>
              <w:top w:val="nil"/>
              <w:bottom w:val="nil"/>
            </w:tcBorders>
          </w:tcPr>
          <w:p w14:paraId="662D42E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0.787</w:t>
            </w:r>
          </w:p>
        </w:tc>
        <w:tc>
          <w:tcPr>
            <w:tcW w:w="1753" w:type="dxa"/>
            <w:tcBorders>
              <w:top w:val="nil"/>
              <w:bottom w:val="nil"/>
            </w:tcBorders>
          </w:tcPr>
          <w:p w14:paraId="716C5C53"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1.02 (0.69-1.50)</w:t>
            </w:r>
          </w:p>
        </w:tc>
        <w:tc>
          <w:tcPr>
            <w:tcW w:w="1446" w:type="dxa"/>
            <w:tcBorders>
              <w:top w:val="nil"/>
              <w:bottom w:val="nil"/>
            </w:tcBorders>
          </w:tcPr>
          <w:p w14:paraId="651ED622"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0.913</w:t>
            </w:r>
          </w:p>
        </w:tc>
        <w:tc>
          <w:tcPr>
            <w:tcW w:w="1762" w:type="dxa"/>
            <w:tcBorders>
              <w:top w:val="nil"/>
              <w:bottom w:val="nil"/>
            </w:tcBorders>
          </w:tcPr>
          <w:p w14:paraId="6B09CB7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1.20 (0.99-1.46)</w:t>
            </w:r>
          </w:p>
        </w:tc>
        <w:tc>
          <w:tcPr>
            <w:tcW w:w="1130" w:type="dxa"/>
            <w:tcBorders>
              <w:top w:val="nil"/>
              <w:bottom w:val="nil"/>
            </w:tcBorders>
          </w:tcPr>
          <w:p w14:paraId="71CF6A65"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0.062</w:t>
            </w:r>
          </w:p>
        </w:tc>
      </w:tr>
      <w:tr w:rsidR="0036402F" w:rsidRPr="0036402F" w14:paraId="2F6409C9" w14:textId="77777777" w:rsidTr="00D42E19">
        <w:trPr>
          <w:trHeight w:val="278"/>
        </w:trPr>
        <w:tc>
          <w:tcPr>
            <w:tcW w:w="2297" w:type="dxa"/>
            <w:tcBorders>
              <w:top w:val="nil"/>
              <w:bottom w:val="nil"/>
            </w:tcBorders>
          </w:tcPr>
          <w:p w14:paraId="33EEBE2E"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Overweight</w:t>
            </w:r>
          </w:p>
        </w:tc>
        <w:tc>
          <w:tcPr>
            <w:tcW w:w="2002" w:type="dxa"/>
            <w:tcBorders>
              <w:top w:val="nil"/>
              <w:bottom w:val="nil"/>
            </w:tcBorders>
          </w:tcPr>
          <w:p w14:paraId="6902CBAA"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0.93 (0.88-0.97)</w:t>
            </w:r>
          </w:p>
        </w:tc>
        <w:tc>
          <w:tcPr>
            <w:tcW w:w="1054" w:type="dxa"/>
            <w:tcBorders>
              <w:top w:val="nil"/>
              <w:bottom w:val="nil"/>
            </w:tcBorders>
          </w:tcPr>
          <w:p w14:paraId="2B4C3A9C"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0.002</w:t>
            </w:r>
          </w:p>
        </w:tc>
        <w:tc>
          <w:tcPr>
            <w:tcW w:w="1838" w:type="dxa"/>
            <w:tcBorders>
              <w:top w:val="nil"/>
              <w:bottom w:val="nil"/>
            </w:tcBorders>
          </w:tcPr>
          <w:p w14:paraId="26714432"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0.93 (0.82-1.05)</w:t>
            </w:r>
          </w:p>
        </w:tc>
        <w:tc>
          <w:tcPr>
            <w:tcW w:w="1139" w:type="dxa"/>
            <w:tcBorders>
              <w:top w:val="nil"/>
              <w:bottom w:val="nil"/>
            </w:tcBorders>
          </w:tcPr>
          <w:p w14:paraId="6251FD9D"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0.233</w:t>
            </w:r>
          </w:p>
        </w:tc>
        <w:tc>
          <w:tcPr>
            <w:tcW w:w="1753" w:type="dxa"/>
            <w:tcBorders>
              <w:top w:val="nil"/>
              <w:bottom w:val="nil"/>
            </w:tcBorders>
          </w:tcPr>
          <w:p w14:paraId="7E7B6CDD"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1.00 (0.90-1.12)</w:t>
            </w:r>
          </w:p>
        </w:tc>
        <w:tc>
          <w:tcPr>
            <w:tcW w:w="1446" w:type="dxa"/>
            <w:tcBorders>
              <w:top w:val="nil"/>
              <w:bottom w:val="nil"/>
            </w:tcBorders>
          </w:tcPr>
          <w:p w14:paraId="600C4BA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0.960</w:t>
            </w:r>
          </w:p>
        </w:tc>
        <w:tc>
          <w:tcPr>
            <w:tcW w:w="1762" w:type="dxa"/>
            <w:tcBorders>
              <w:top w:val="nil"/>
              <w:bottom w:val="nil"/>
            </w:tcBorders>
          </w:tcPr>
          <w:p w14:paraId="52BF18C3"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0.90 (0.85-0.96)</w:t>
            </w:r>
          </w:p>
        </w:tc>
        <w:tc>
          <w:tcPr>
            <w:tcW w:w="1130" w:type="dxa"/>
            <w:tcBorders>
              <w:top w:val="nil"/>
              <w:bottom w:val="nil"/>
            </w:tcBorders>
          </w:tcPr>
          <w:p w14:paraId="0825DB8B"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7E09E0E2" w14:textId="77777777" w:rsidTr="00D42E19">
        <w:trPr>
          <w:trHeight w:val="298"/>
        </w:trPr>
        <w:tc>
          <w:tcPr>
            <w:tcW w:w="2297" w:type="dxa"/>
            <w:tcBorders>
              <w:top w:val="nil"/>
              <w:bottom w:val="nil"/>
            </w:tcBorders>
          </w:tcPr>
          <w:p w14:paraId="2BD836E4"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Obesity</w:t>
            </w:r>
          </w:p>
        </w:tc>
        <w:tc>
          <w:tcPr>
            <w:tcW w:w="2002" w:type="dxa"/>
            <w:tcBorders>
              <w:top w:val="nil"/>
              <w:bottom w:val="nil"/>
            </w:tcBorders>
          </w:tcPr>
          <w:p w14:paraId="20BE9EA0"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0.96 (0.91-1.01)</w:t>
            </w:r>
          </w:p>
        </w:tc>
        <w:tc>
          <w:tcPr>
            <w:tcW w:w="1054" w:type="dxa"/>
            <w:tcBorders>
              <w:top w:val="nil"/>
              <w:bottom w:val="nil"/>
            </w:tcBorders>
          </w:tcPr>
          <w:p w14:paraId="4BD812C7"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0.155</w:t>
            </w:r>
          </w:p>
        </w:tc>
        <w:tc>
          <w:tcPr>
            <w:tcW w:w="1838" w:type="dxa"/>
            <w:tcBorders>
              <w:top w:val="nil"/>
              <w:bottom w:val="nil"/>
            </w:tcBorders>
          </w:tcPr>
          <w:p w14:paraId="3B552E0A"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0.81 (0.70-0.93)</w:t>
            </w:r>
          </w:p>
        </w:tc>
        <w:tc>
          <w:tcPr>
            <w:tcW w:w="1139" w:type="dxa"/>
            <w:tcBorders>
              <w:top w:val="nil"/>
              <w:bottom w:val="nil"/>
            </w:tcBorders>
          </w:tcPr>
          <w:p w14:paraId="4DD415FD"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0.003</w:t>
            </w:r>
          </w:p>
        </w:tc>
        <w:tc>
          <w:tcPr>
            <w:tcW w:w="1753" w:type="dxa"/>
            <w:tcBorders>
              <w:top w:val="nil"/>
              <w:bottom w:val="nil"/>
            </w:tcBorders>
          </w:tcPr>
          <w:p w14:paraId="5C5C7B60"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1.09 (0.97-1.22)</w:t>
            </w:r>
          </w:p>
        </w:tc>
        <w:tc>
          <w:tcPr>
            <w:tcW w:w="1446" w:type="dxa"/>
            <w:tcBorders>
              <w:top w:val="nil"/>
              <w:bottom w:val="nil"/>
            </w:tcBorders>
          </w:tcPr>
          <w:p w14:paraId="62F6045D"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0.133</w:t>
            </w:r>
          </w:p>
        </w:tc>
        <w:tc>
          <w:tcPr>
            <w:tcW w:w="1762" w:type="dxa"/>
            <w:tcBorders>
              <w:top w:val="nil"/>
              <w:bottom w:val="nil"/>
            </w:tcBorders>
          </w:tcPr>
          <w:p w14:paraId="1312529B"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0.96 (0.90-1.03)</w:t>
            </w:r>
          </w:p>
        </w:tc>
        <w:tc>
          <w:tcPr>
            <w:tcW w:w="1130" w:type="dxa"/>
            <w:tcBorders>
              <w:top w:val="nil"/>
              <w:bottom w:val="nil"/>
            </w:tcBorders>
          </w:tcPr>
          <w:p w14:paraId="40F7D09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0.223</w:t>
            </w:r>
          </w:p>
        </w:tc>
      </w:tr>
      <w:tr w:rsidR="0036402F" w:rsidRPr="0036402F" w14:paraId="3CACA26B" w14:textId="77777777" w:rsidTr="00D42E19">
        <w:trPr>
          <w:trHeight w:val="298"/>
        </w:trPr>
        <w:tc>
          <w:tcPr>
            <w:tcW w:w="2297" w:type="dxa"/>
            <w:tcBorders>
              <w:top w:val="nil"/>
              <w:bottom w:val="nil"/>
            </w:tcBorders>
          </w:tcPr>
          <w:p w14:paraId="5C052880" w14:textId="77777777" w:rsidR="00E37965" w:rsidRPr="0036402F" w:rsidRDefault="00E37965" w:rsidP="002F29D4">
            <w:pPr>
              <w:rPr>
                <w:rFonts w:ascii="Arial" w:hAnsi="Arial" w:cs="Arial"/>
                <w:sz w:val="20"/>
                <w:szCs w:val="20"/>
                <w:lang w:val="en-US"/>
              </w:rPr>
            </w:pPr>
          </w:p>
        </w:tc>
        <w:tc>
          <w:tcPr>
            <w:tcW w:w="2002" w:type="dxa"/>
            <w:tcBorders>
              <w:top w:val="nil"/>
              <w:bottom w:val="nil"/>
            </w:tcBorders>
          </w:tcPr>
          <w:p w14:paraId="4CEF8DA4" w14:textId="77777777" w:rsidR="00E37965" w:rsidRPr="0036402F" w:rsidRDefault="00E37965" w:rsidP="002F29D4">
            <w:pPr>
              <w:jc w:val="center"/>
              <w:rPr>
                <w:rFonts w:ascii="Arial" w:hAnsi="Arial" w:cs="Arial"/>
                <w:sz w:val="20"/>
                <w:szCs w:val="20"/>
                <w:lang w:val="en-US"/>
              </w:rPr>
            </w:pPr>
          </w:p>
        </w:tc>
        <w:tc>
          <w:tcPr>
            <w:tcW w:w="1054" w:type="dxa"/>
            <w:tcBorders>
              <w:top w:val="nil"/>
              <w:bottom w:val="nil"/>
            </w:tcBorders>
          </w:tcPr>
          <w:p w14:paraId="1D19AFEF" w14:textId="77777777" w:rsidR="00E37965" w:rsidRPr="0036402F" w:rsidRDefault="00E37965" w:rsidP="002F29D4">
            <w:pPr>
              <w:jc w:val="center"/>
              <w:rPr>
                <w:rFonts w:ascii="Arial" w:hAnsi="Arial" w:cs="Arial"/>
                <w:sz w:val="20"/>
                <w:szCs w:val="20"/>
                <w:lang w:val="en-US"/>
              </w:rPr>
            </w:pPr>
          </w:p>
        </w:tc>
        <w:tc>
          <w:tcPr>
            <w:tcW w:w="1838" w:type="dxa"/>
            <w:tcBorders>
              <w:top w:val="nil"/>
              <w:bottom w:val="nil"/>
            </w:tcBorders>
          </w:tcPr>
          <w:p w14:paraId="7D7F381D" w14:textId="77777777" w:rsidR="00E37965" w:rsidRPr="0036402F" w:rsidRDefault="00E37965" w:rsidP="002F29D4">
            <w:pPr>
              <w:jc w:val="center"/>
              <w:rPr>
                <w:rFonts w:ascii="Arial" w:hAnsi="Arial" w:cs="Arial"/>
                <w:sz w:val="20"/>
                <w:szCs w:val="20"/>
                <w:lang w:val="en-US"/>
              </w:rPr>
            </w:pPr>
          </w:p>
        </w:tc>
        <w:tc>
          <w:tcPr>
            <w:tcW w:w="1139" w:type="dxa"/>
            <w:tcBorders>
              <w:top w:val="nil"/>
              <w:bottom w:val="nil"/>
            </w:tcBorders>
          </w:tcPr>
          <w:p w14:paraId="1498BE01" w14:textId="77777777" w:rsidR="00E37965" w:rsidRPr="0036402F" w:rsidRDefault="00E37965" w:rsidP="002F29D4">
            <w:pPr>
              <w:jc w:val="center"/>
              <w:rPr>
                <w:rFonts w:ascii="Arial" w:hAnsi="Arial" w:cs="Arial"/>
                <w:sz w:val="20"/>
                <w:szCs w:val="20"/>
                <w:lang w:val="en-US"/>
              </w:rPr>
            </w:pPr>
          </w:p>
        </w:tc>
        <w:tc>
          <w:tcPr>
            <w:tcW w:w="1753" w:type="dxa"/>
            <w:tcBorders>
              <w:top w:val="nil"/>
              <w:bottom w:val="nil"/>
            </w:tcBorders>
          </w:tcPr>
          <w:p w14:paraId="42BDDD71" w14:textId="77777777" w:rsidR="00E37965" w:rsidRPr="0036402F" w:rsidRDefault="00E37965" w:rsidP="002F29D4">
            <w:pPr>
              <w:jc w:val="center"/>
              <w:rPr>
                <w:rFonts w:ascii="Arial" w:hAnsi="Arial" w:cs="Arial"/>
                <w:sz w:val="20"/>
                <w:szCs w:val="20"/>
                <w:lang w:val="en-US"/>
              </w:rPr>
            </w:pPr>
          </w:p>
        </w:tc>
        <w:tc>
          <w:tcPr>
            <w:tcW w:w="1446" w:type="dxa"/>
            <w:tcBorders>
              <w:top w:val="nil"/>
              <w:bottom w:val="nil"/>
            </w:tcBorders>
          </w:tcPr>
          <w:p w14:paraId="08E510EB" w14:textId="77777777" w:rsidR="00E37965" w:rsidRPr="0036402F" w:rsidRDefault="00E37965" w:rsidP="002F29D4">
            <w:pPr>
              <w:jc w:val="center"/>
              <w:rPr>
                <w:rFonts w:ascii="Arial" w:hAnsi="Arial" w:cs="Arial"/>
                <w:sz w:val="20"/>
                <w:szCs w:val="20"/>
                <w:lang w:val="en-US"/>
              </w:rPr>
            </w:pPr>
          </w:p>
        </w:tc>
        <w:tc>
          <w:tcPr>
            <w:tcW w:w="1762" w:type="dxa"/>
            <w:tcBorders>
              <w:top w:val="nil"/>
              <w:bottom w:val="nil"/>
            </w:tcBorders>
          </w:tcPr>
          <w:p w14:paraId="56C6CB2E" w14:textId="77777777" w:rsidR="00E37965" w:rsidRPr="0036402F" w:rsidRDefault="00E37965" w:rsidP="002F29D4">
            <w:pPr>
              <w:jc w:val="center"/>
              <w:rPr>
                <w:rFonts w:ascii="Arial" w:hAnsi="Arial" w:cs="Arial"/>
                <w:sz w:val="20"/>
                <w:szCs w:val="20"/>
                <w:lang w:val="en-US"/>
              </w:rPr>
            </w:pPr>
          </w:p>
        </w:tc>
        <w:tc>
          <w:tcPr>
            <w:tcW w:w="1130" w:type="dxa"/>
            <w:tcBorders>
              <w:top w:val="nil"/>
              <w:bottom w:val="nil"/>
            </w:tcBorders>
          </w:tcPr>
          <w:p w14:paraId="236D8C50" w14:textId="77777777" w:rsidR="00E37965" w:rsidRPr="0036402F" w:rsidRDefault="00E37965" w:rsidP="002F29D4">
            <w:pPr>
              <w:jc w:val="center"/>
              <w:rPr>
                <w:rFonts w:ascii="Arial" w:hAnsi="Arial" w:cs="Arial"/>
                <w:sz w:val="20"/>
                <w:szCs w:val="20"/>
                <w:lang w:val="en-US"/>
              </w:rPr>
            </w:pPr>
          </w:p>
        </w:tc>
      </w:tr>
      <w:tr w:rsidR="0036402F" w:rsidRPr="0036402F" w14:paraId="649321F8" w14:textId="77777777" w:rsidTr="00D42E19">
        <w:trPr>
          <w:trHeight w:val="278"/>
        </w:trPr>
        <w:tc>
          <w:tcPr>
            <w:tcW w:w="14421" w:type="dxa"/>
            <w:gridSpan w:val="9"/>
            <w:tcBorders>
              <w:top w:val="nil"/>
              <w:bottom w:val="nil"/>
            </w:tcBorders>
          </w:tcPr>
          <w:p w14:paraId="5A8CBF48" w14:textId="3832F18C" w:rsidR="008E0A31" w:rsidRPr="0036402F" w:rsidRDefault="00C32C74" w:rsidP="008E0A31">
            <w:pPr>
              <w:rPr>
                <w:rFonts w:ascii="Arial" w:hAnsi="Arial" w:cs="Arial"/>
                <w:i/>
                <w:iCs/>
                <w:sz w:val="20"/>
                <w:szCs w:val="20"/>
                <w:lang w:val="en-US"/>
              </w:rPr>
            </w:pPr>
            <w:r w:rsidRPr="0036402F">
              <w:rPr>
                <w:rFonts w:ascii="Arial" w:hAnsi="Arial" w:cs="Arial"/>
                <w:i/>
                <w:iCs/>
                <w:sz w:val="20"/>
                <w:szCs w:val="20"/>
                <w:lang w:val="en-US"/>
              </w:rPr>
              <w:t>Male</w:t>
            </w:r>
            <w:r w:rsidR="006A0580" w:rsidRPr="0036402F">
              <w:rPr>
                <w:rFonts w:ascii="Arial" w:hAnsi="Arial" w:cs="Arial"/>
                <w:i/>
                <w:iCs/>
                <w:sz w:val="20"/>
                <w:szCs w:val="20"/>
                <w:lang w:val="en-US"/>
              </w:rPr>
              <w:t xml:space="preserve"> patients</w:t>
            </w:r>
          </w:p>
        </w:tc>
      </w:tr>
      <w:tr w:rsidR="0036402F" w:rsidRPr="0036402F" w14:paraId="0EE2E4EF" w14:textId="77777777" w:rsidTr="00D42E19">
        <w:trPr>
          <w:trHeight w:val="278"/>
        </w:trPr>
        <w:tc>
          <w:tcPr>
            <w:tcW w:w="2297" w:type="dxa"/>
            <w:tcBorders>
              <w:top w:val="nil"/>
              <w:bottom w:val="nil"/>
            </w:tcBorders>
          </w:tcPr>
          <w:p w14:paraId="7B8B07BF" w14:textId="77777777" w:rsidR="00C740FD" w:rsidRPr="0036402F" w:rsidRDefault="00C740FD" w:rsidP="002F29D4">
            <w:pPr>
              <w:rPr>
                <w:rFonts w:ascii="Arial" w:hAnsi="Arial" w:cs="Arial"/>
                <w:sz w:val="20"/>
                <w:szCs w:val="20"/>
                <w:lang w:val="en-US"/>
              </w:rPr>
            </w:pPr>
            <w:r w:rsidRPr="0036402F">
              <w:rPr>
                <w:rFonts w:ascii="Arial" w:hAnsi="Arial" w:cs="Arial"/>
                <w:sz w:val="20"/>
                <w:szCs w:val="20"/>
                <w:lang w:val="en-US"/>
              </w:rPr>
              <w:t>Normal weight</w:t>
            </w:r>
          </w:p>
        </w:tc>
        <w:tc>
          <w:tcPr>
            <w:tcW w:w="12124" w:type="dxa"/>
            <w:gridSpan w:val="8"/>
            <w:tcBorders>
              <w:top w:val="nil"/>
              <w:bottom w:val="nil"/>
            </w:tcBorders>
          </w:tcPr>
          <w:p w14:paraId="54BDC2B1" w14:textId="3243C9A7" w:rsidR="00C740FD" w:rsidRPr="0036402F" w:rsidRDefault="00C740FD" w:rsidP="00C740FD">
            <w:pPr>
              <w:rPr>
                <w:rFonts w:ascii="Arial" w:hAnsi="Arial" w:cs="Arial"/>
                <w:sz w:val="20"/>
                <w:szCs w:val="20"/>
                <w:lang w:val="en-US"/>
              </w:rPr>
            </w:pPr>
            <w:r w:rsidRPr="0036402F">
              <w:rPr>
                <w:rFonts w:ascii="Arial" w:hAnsi="Arial" w:cs="Arial"/>
                <w:sz w:val="20"/>
                <w:szCs w:val="20"/>
                <w:lang w:val="en-US"/>
              </w:rPr>
              <w:t>Reference</w:t>
            </w:r>
          </w:p>
        </w:tc>
      </w:tr>
      <w:tr w:rsidR="0036402F" w:rsidRPr="0036402F" w14:paraId="2842AF3A" w14:textId="77777777" w:rsidTr="00D42E19">
        <w:trPr>
          <w:trHeight w:val="278"/>
        </w:trPr>
        <w:tc>
          <w:tcPr>
            <w:tcW w:w="2297" w:type="dxa"/>
            <w:tcBorders>
              <w:top w:val="nil"/>
              <w:bottom w:val="nil"/>
            </w:tcBorders>
          </w:tcPr>
          <w:p w14:paraId="31755621"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Underweight</w:t>
            </w:r>
          </w:p>
        </w:tc>
        <w:tc>
          <w:tcPr>
            <w:tcW w:w="2002" w:type="dxa"/>
            <w:tcBorders>
              <w:top w:val="nil"/>
              <w:bottom w:val="nil"/>
            </w:tcBorders>
          </w:tcPr>
          <w:p w14:paraId="7D75F764"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1.58 (1.11-2.25)</w:t>
            </w:r>
          </w:p>
        </w:tc>
        <w:tc>
          <w:tcPr>
            <w:tcW w:w="1054" w:type="dxa"/>
            <w:tcBorders>
              <w:top w:val="nil"/>
              <w:bottom w:val="nil"/>
            </w:tcBorders>
          </w:tcPr>
          <w:p w14:paraId="31A0BB81"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0.012</w:t>
            </w:r>
          </w:p>
        </w:tc>
        <w:tc>
          <w:tcPr>
            <w:tcW w:w="1838" w:type="dxa"/>
            <w:tcBorders>
              <w:top w:val="nil"/>
              <w:bottom w:val="nil"/>
            </w:tcBorders>
          </w:tcPr>
          <w:p w14:paraId="7E460738"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1.23 (0.46-3.31)</w:t>
            </w:r>
          </w:p>
        </w:tc>
        <w:tc>
          <w:tcPr>
            <w:tcW w:w="1139" w:type="dxa"/>
            <w:tcBorders>
              <w:top w:val="nil"/>
              <w:bottom w:val="nil"/>
            </w:tcBorders>
          </w:tcPr>
          <w:p w14:paraId="5F8FFADC"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0.680</w:t>
            </w:r>
          </w:p>
        </w:tc>
        <w:tc>
          <w:tcPr>
            <w:tcW w:w="1753" w:type="dxa"/>
            <w:tcBorders>
              <w:top w:val="nil"/>
              <w:bottom w:val="nil"/>
            </w:tcBorders>
          </w:tcPr>
          <w:p w14:paraId="3197AC27"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0.74 (0.24-2.30)</w:t>
            </w:r>
          </w:p>
        </w:tc>
        <w:tc>
          <w:tcPr>
            <w:tcW w:w="1446" w:type="dxa"/>
            <w:tcBorders>
              <w:top w:val="nil"/>
              <w:bottom w:val="nil"/>
            </w:tcBorders>
          </w:tcPr>
          <w:p w14:paraId="22B43308"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0.602</w:t>
            </w:r>
          </w:p>
        </w:tc>
        <w:tc>
          <w:tcPr>
            <w:tcW w:w="1762" w:type="dxa"/>
            <w:tcBorders>
              <w:top w:val="nil"/>
              <w:bottom w:val="nil"/>
            </w:tcBorders>
          </w:tcPr>
          <w:p w14:paraId="76166BBB"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1.95 (1.30-2.93)</w:t>
            </w:r>
          </w:p>
        </w:tc>
        <w:tc>
          <w:tcPr>
            <w:tcW w:w="1130" w:type="dxa"/>
            <w:tcBorders>
              <w:top w:val="nil"/>
              <w:bottom w:val="nil"/>
            </w:tcBorders>
          </w:tcPr>
          <w:p w14:paraId="552FDD1E" w14:textId="77777777" w:rsidR="00E37965" w:rsidRPr="0036402F" w:rsidRDefault="00E37965" w:rsidP="002F29D4">
            <w:pPr>
              <w:jc w:val="center"/>
              <w:rPr>
                <w:rFonts w:ascii="Arial" w:hAnsi="Arial" w:cs="Arial"/>
                <w:b/>
                <w:bCs/>
                <w:sz w:val="20"/>
                <w:szCs w:val="20"/>
                <w:lang w:val="en-US"/>
              </w:rPr>
            </w:pPr>
            <w:r w:rsidRPr="0036402F">
              <w:rPr>
                <w:rFonts w:ascii="Arial" w:hAnsi="Arial" w:cs="Arial"/>
                <w:b/>
                <w:bCs/>
                <w:sz w:val="20"/>
                <w:szCs w:val="20"/>
                <w:lang w:val="en-US"/>
              </w:rPr>
              <w:t>0.001</w:t>
            </w:r>
          </w:p>
        </w:tc>
      </w:tr>
      <w:tr w:rsidR="0036402F" w:rsidRPr="0036402F" w14:paraId="52D09D76" w14:textId="77777777" w:rsidTr="007C290A">
        <w:trPr>
          <w:trHeight w:val="278"/>
        </w:trPr>
        <w:tc>
          <w:tcPr>
            <w:tcW w:w="2297" w:type="dxa"/>
            <w:tcBorders>
              <w:top w:val="nil"/>
              <w:bottom w:val="nil"/>
            </w:tcBorders>
          </w:tcPr>
          <w:p w14:paraId="21490A0E" w14:textId="77777777" w:rsidR="00E37965" w:rsidRPr="0036402F" w:rsidRDefault="00E37965" w:rsidP="002F29D4">
            <w:pPr>
              <w:rPr>
                <w:rFonts w:ascii="Arial" w:hAnsi="Arial" w:cs="Arial"/>
                <w:sz w:val="20"/>
                <w:szCs w:val="20"/>
                <w:lang w:val="en-US"/>
              </w:rPr>
            </w:pPr>
            <w:r w:rsidRPr="0036402F">
              <w:rPr>
                <w:rFonts w:ascii="Arial" w:hAnsi="Arial" w:cs="Arial"/>
                <w:sz w:val="20"/>
                <w:szCs w:val="20"/>
                <w:lang w:val="en-US"/>
              </w:rPr>
              <w:t>Overweight</w:t>
            </w:r>
          </w:p>
        </w:tc>
        <w:tc>
          <w:tcPr>
            <w:tcW w:w="2002" w:type="dxa"/>
            <w:tcBorders>
              <w:top w:val="nil"/>
              <w:bottom w:val="nil"/>
            </w:tcBorders>
          </w:tcPr>
          <w:p w14:paraId="0A138797"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0.96 (0.91-1.02)</w:t>
            </w:r>
          </w:p>
        </w:tc>
        <w:tc>
          <w:tcPr>
            <w:tcW w:w="1054" w:type="dxa"/>
            <w:tcBorders>
              <w:top w:val="nil"/>
              <w:bottom w:val="nil"/>
            </w:tcBorders>
          </w:tcPr>
          <w:p w14:paraId="2A4570CB"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0.226</w:t>
            </w:r>
          </w:p>
        </w:tc>
        <w:tc>
          <w:tcPr>
            <w:tcW w:w="1838" w:type="dxa"/>
            <w:tcBorders>
              <w:top w:val="nil"/>
              <w:bottom w:val="nil"/>
            </w:tcBorders>
          </w:tcPr>
          <w:p w14:paraId="4504D36B"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0.88 (0.76-1.02)</w:t>
            </w:r>
          </w:p>
        </w:tc>
        <w:tc>
          <w:tcPr>
            <w:tcW w:w="1139" w:type="dxa"/>
            <w:tcBorders>
              <w:top w:val="nil"/>
              <w:bottom w:val="nil"/>
            </w:tcBorders>
          </w:tcPr>
          <w:p w14:paraId="652F8822"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0.085</w:t>
            </w:r>
          </w:p>
        </w:tc>
        <w:tc>
          <w:tcPr>
            <w:tcW w:w="1753" w:type="dxa"/>
            <w:tcBorders>
              <w:top w:val="nil"/>
              <w:bottom w:val="nil"/>
            </w:tcBorders>
          </w:tcPr>
          <w:p w14:paraId="6B867F81"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0.98 (0.86-1.11)</w:t>
            </w:r>
          </w:p>
        </w:tc>
        <w:tc>
          <w:tcPr>
            <w:tcW w:w="1446" w:type="dxa"/>
            <w:tcBorders>
              <w:top w:val="nil"/>
              <w:bottom w:val="nil"/>
            </w:tcBorders>
          </w:tcPr>
          <w:p w14:paraId="21D65B12"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0.722</w:t>
            </w:r>
          </w:p>
        </w:tc>
        <w:tc>
          <w:tcPr>
            <w:tcW w:w="1762" w:type="dxa"/>
            <w:tcBorders>
              <w:top w:val="nil"/>
              <w:bottom w:val="nil"/>
            </w:tcBorders>
          </w:tcPr>
          <w:p w14:paraId="377087E6"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0.98 (0.91-1.06)</w:t>
            </w:r>
          </w:p>
        </w:tc>
        <w:tc>
          <w:tcPr>
            <w:tcW w:w="1130" w:type="dxa"/>
            <w:tcBorders>
              <w:top w:val="nil"/>
              <w:bottom w:val="nil"/>
            </w:tcBorders>
          </w:tcPr>
          <w:p w14:paraId="731A4B88" w14:textId="77777777" w:rsidR="00E37965" w:rsidRPr="0036402F" w:rsidRDefault="00E37965" w:rsidP="002F29D4">
            <w:pPr>
              <w:jc w:val="center"/>
              <w:rPr>
                <w:rFonts w:ascii="Arial" w:hAnsi="Arial" w:cs="Arial"/>
                <w:sz w:val="20"/>
                <w:szCs w:val="20"/>
                <w:lang w:val="en-US"/>
              </w:rPr>
            </w:pPr>
            <w:r w:rsidRPr="0036402F">
              <w:rPr>
                <w:rFonts w:ascii="Arial" w:hAnsi="Arial" w:cs="Arial"/>
                <w:sz w:val="20"/>
                <w:szCs w:val="20"/>
                <w:lang w:val="en-US"/>
              </w:rPr>
              <w:t>0.655</w:t>
            </w:r>
          </w:p>
        </w:tc>
      </w:tr>
      <w:tr w:rsidR="0036402F" w:rsidRPr="0036402F" w14:paraId="05DEC3BE" w14:textId="77777777" w:rsidTr="007C290A">
        <w:trPr>
          <w:trHeight w:val="278"/>
        </w:trPr>
        <w:tc>
          <w:tcPr>
            <w:tcW w:w="2297" w:type="dxa"/>
            <w:tcBorders>
              <w:top w:val="nil"/>
            </w:tcBorders>
          </w:tcPr>
          <w:p w14:paraId="0FCFD456" w14:textId="1E945827" w:rsidR="000A7608" w:rsidRPr="0036402F" w:rsidRDefault="000A7608" w:rsidP="009D423D">
            <w:pPr>
              <w:rPr>
                <w:rFonts w:ascii="Arial" w:hAnsi="Arial" w:cs="Arial"/>
                <w:sz w:val="20"/>
                <w:szCs w:val="20"/>
                <w:lang w:val="en-US"/>
              </w:rPr>
            </w:pPr>
            <w:r w:rsidRPr="0036402F">
              <w:rPr>
                <w:rFonts w:ascii="Arial" w:hAnsi="Arial" w:cs="Arial"/>
                <w:sz w:val="20"/>
                <w:szCs w:val="20"/>
                <w:lang w:val="en-US"/>
              </w:rPr>
              <w:t>Obesity</w:t>
            </w:r>
          </w:p>
        </w:tc>
        <w:tc>
          <w:tcPr>
            <w:tcW w:w="2002" w:type="dxa"/>
            <w:tcBorders>
              <w:top w:val="nil"/>
            </w:tcBorders>
          </w:tcPr>
          <w:p w14:paraId="3311AFA0" w14:textId="63768EB5" w:rsidR="000A7608" w:rsidRPr="0036402F" w:rsidRDefault="00C72D7A" w:rsidP="00A50DC0">
            <w:pPr>
              <w:rPr>
                <w:rFonts w:ascii="Arial" w:hAnsi="Arial" w:cs="Arial"/>
                <w:sz w:val="20"/>
                <w:szCs w:val="20"/>
                <w:lang w:val="en-US"/>
              </w:rPr>
            </w:pPr>
            <w:r w:rsidRPr="0036402F">
              <w:rPr>
                <w:rFonts w:ascii="Arial" w:hAnsi="Arial" w:cs="Arial"/>
                <w:sz w:val="20"/>
                <w:szCs w:val="20"/>
                <w:lang w:val="en-US"/>
              </w:rPr>
              <w:t xml:space="preserve">   </w:t>
            </w:r>
            <w:r w:rsidR="000A7608" w:rsidRPr="0036402F">
              <w:rPr>
                <w:rFonts w:ascii="Arial" w:hAnsi="Arial" w:cs="Arial"/>
                <w:sz w:val="20"/>
                <w:szCs w:val="20"/>
                <w:lang w:val="en-US"/>
              </w:rPr>
              <w:t>1.00 (0.93-1.07)</w:t>
            </w:r>
          </w:p>
        </w:tc>
        <w:tc>
          <w:tcPr>
            <w:tcW w:w="1054" w:type="dxa"/>
            <w:tcBorders>
              <w:top w:val="nil"/>
            </w:tcBorders>
          </w:tcPr>
          <w:p w14:paraId="488B526F" w14:textId="60DB43C7" w:rsidR="000A7608" w:rsidRPr="0036402F" w:rsidRDefault="000A7608" w:rsidP="009D423D">
            <w:pPr>
              <w:jc w:val="center"/>
              <w:rPr>
                <w:rFonts w:ascii="Arial" w:hAnsi="Arial" w:cs="Arial"/>
                <w:sz w:val="20"/>
                <w:szCs w:val="20"/>
                <w:lang w:val="en-US"/>
              </w:rPr>
            </w:pPr>
            <w:r w:rsidRPr="0036402F">
              <w:rPr>
                <w:rFonts w:ascii="Arial" w:hAnsi="Arial" w:cs="Arial"/>
                <w:sz w:val="20"/>
                <w:szCs w:val="20"/>
                <w:lang w:val="en-US"/>
              </w:rPr>
              <w:t>0.916</w:t>
            </w:r>
          </w:p>
        </w:tc>
        <w:tc>
          <w:tcPr>
            <w:tcW w:w="1838" w:type="dxa"/>
            <w:tcBorders>
              <w:top w:val="nil"/>
            </w:tcBorders>
          </w:tcPr>
          <w:p w14:paraId="23E646D7" w14:textId="56C40168" w:rsidR="000A7608" w:rsidRPr="0036402F" w:rsidRDefault="000A7608" w:rsidP="009D423D">
            <w:pPr>
              <w:jc w:val="center"/>
              <w:rPr>
                <w:rFonts w:ascii="Arial" w:hAnsi="Arial" w:cs="Arial"/>
                <w:sz w:val="20"/>
                <w:szCs w:val="20"/>
                <w:lang w:val="en-US"/>
              </w:rPr>
            </w:pPr>
            <w:r w:rsidRPr="0036402F">
              <w:rPr>
                <w:rFonts w:ascii="Arial" w:hAnsi="Arial" w:cs="Arial"/>
                <w:b/>
                <w:bCs/>
                <w:sz w:val="20"/>
                <w:szCs w:val="20"/>
                <w:lang w:val="en-US"/>
              </w:rPr>
              <w:t>0.82 (0.69-0.98)</w:t>
            </w:r>
          </w:p>
        </w:tc>
        <w:tc>
          <w:tcPr>
            <w:tcW w:w="1139" w:type="dxa"/>
            <w:tcBorders>
              <w:top w:val="nil"/>
            </w:tcBorders>
          </w:tcPr>
          <w:p w14:paraId="543869C4" w14:textId="3876E400" w:rsidR="000A7608" w:rsidRPr="0036402F" w:rsidRDefault="000A7608" w:rsidP="009D423D">
            <w:pPr>
              <w:jc w:val="center"/>
              <w:rPr>
                <w:rFonts w:ascii="Arial" w:hAnsi="Arial" w:cs="Arial"/>
                <w:sz w:val="20"/>
                <w:szCs w:val="20"/>
                <w:lang w:val="en-US"/>
              </w:rPr>
            </w:pPr>
            <w:r w:rsidRPr="0036402F">
              <w:rPr>
                <w:rFonts w:ascii="Arial" w:hAnsi="Arial" w:cs="Arial"/>
                <w:b/>
                <w:bCs/>
                <w:sz w:val="20"/>
                <w:szCs w:val="20"/>
                <w:lang w:val="en-US"/>
              </w:rPr>
              <w:t>0.028</w:t>
            </w:r>
          </w:p>
        </w:tc>
        <w:tc>
          <w:tcPr>
            <w:tcW w:w="1753" w:type="dxa"/>
            <w:tcBorders>
              <w:top w:val="nil"/>
            </w:tcBorders>
          </w:tcPr>
          <w:p w14:paraId="133E5EDF" w14:textId="44159915" w:rsidR="000A7608" w:rsidRPr="0036402F" w:rsidRDefault="000A7608" w:rsidP="009D423D">
            <w:pPr>
              <w:jc w:val="center"/>
              <w:rPr>
                <w:rFonts w:ascii="Arial" w:hAnsi="Arial" w:cs="Arial"/>
                <w:sz w:val="20"/>
                <w:szCs w:val="20"/>
                <w:lang w:val="en-US"/>
              </w:rPr>
            </w:pPr>
            <w:r w:rsidRPr="0036402F">
              <w:rPr>
                <w:rFonts w:ascii="Arial" w:hAnsi="Arial" w:cs="Arial"/>
                <w:sz w:val="20"/>
                <w:szCs w:val="20"/>
                <w:lang w:val="en-US"/>
              </w:rPr>
              <w:t>1.12 (0.97-1.29)</w:t>
            </w:r>
          </w:p>
        </w:tc>
        <w:tc>
          <w:tcPr>
            <w:tcW w:w="1446" w:type="dxa"/>
            <w:tcBorders>
              <w:top w:val="nil"/>
            </w:tcBorders>
          </w:tcPr>
          <w:p w14:paraId="5ACA3C3E" w14:textId="0B9EA69B" w:rsidR="000A7608" w:rsidRPr="0036402F" w:rsidRDefault="000A7608" w:rsidP="009D423D">
            <w:pPr>
              <w:jc w:val="center"/>
              <w:rPr>
                <w:rFonts w:ascii="Arial" w:hAnsi="Arial" w:cs="Arial"/>
                <w:sz w:val="20"/>
                <w:szCs w:val="20"/>
                <w:lang w:val="en-US"/>
              </w:rPr>
            </w:pPr>
            <w:r w:rsidRPr="0036402F">
              <w:rPr>
                <w:rFonts w:ascii="Arial" w:hAnsi="Arial" w:cs="Arial"/>
                <w:sz w:val="20"/>
                <w:szCs w:val="20"/>
                <w:lang w:val="en-US"/>
              </w:rPr>
              <w:t>0.116</w:t>
            </w:r>
          </w:p>
        </w:tc>
        <w:tc>
          <w:tcPr>
            <w:tcW w:w="1762" w:type="dxa"/>
            <w:tcBorders>
              <w:top w:val="nil"/>
            </w:tcBorders>
          </w:tcPr>
          <w:p w14:paraId="1B760F4F" w14:textId="6D89AFD5" w:rsidR="000A7608" w:rsidRPr="0036402F" w:rsidRDefault="000A7608" w:rsidP="009D423D">
            <w:pPr>
              <w:jc w:val="center"/>
              <w:rPr>
                <w:rFonts w:ascii="Arial" w:hAnsi="Arial" w:cs="Arial"/>
                <w:sz w:val="20"/>
                <w:szCs w:val="20"/>
                <w:lang w:val="en-US"/>
              </w:rPr>
            </w:pPr>
            <w:r w:rsidRPr="0036402F">
              <w:rPr>
                <w:rFonts w:ascii="Arial" w:hAnsi="Arial" w:cs="Arial"/>
                <w:sz w:val="20"/>
                <w:szCs w:val="20"/>
                <w:lang w:val="en-US"/>
              </w:rPr>
              <w:t>1.00 (0.92-1.09)</w:t>
            </w:r>
          </w:p>
        </w:tc>
        <w:tc>
          <w:tcPr>
            <w:tcW w:w="1130" w:type="dxa"/>
            <w:tcBorders>
              <w:top w:val="nil"/>
            </w:tcBorders>
          </w:tcPr>
          <w:p w14:paraId="1B361C0C" w14:textId="562B7058" w:rsidR="000A7608" w:rsidRPr="0036402F" w:rsidRDefault="000A7608" w:rsidP="00A50DC0">
            <w:pPr>
              <w:rPr>
                <w:rFonts w:ascii="Arial" w:hAnsi="Arial" w:cs="Arial"/>
                <w:sz w:val="20"/>
                <w:szCs w:val="20"/>
                <w:lang w:val="en-US"/>
              </w:rPr>
            </w:pPr>
            <w:r w:rsidRPr="0036402F">
              <w:rPr>
                <w:rFonts w:ascii="Arial" w:hAnsi="Arial" w:cs="Arial"/>
                <w:sz w:val="20"/>
                <w:szCs w:val="20"/>
                <w:lang w:val="en-US"/>
              </w:rPr>
              <w:t>0.974</w:t>
            </w:r>
          </w:p>
        </w:tc>
      </w:tr>
    </w:tbl>
    <w:bookmarkEnd w:id="0"/>
    <w:p w14:paraId="17708BFA" w14:textId="156969DE" w:rsidR="001B79D6" w:rsidRPr="0036402F" w:rsidRDefault="00D42E19" w:rsidP="00AD7E45">
      <w:pPr>
        <w:jc w:val="both"/>
        <w:rPr>
          <w:rFonts w:ascii="Arial" w:hAnsi="Arial" w:cs="Arial"/>
          <w:sz w:val="20"/>
          <w:szCs w:val="20"/>
          <w:lang w:val="en-US"/>
        </w:rPr>
      </w:pPr>
      <w:r w:rsidRPr="0036402F">
        <w:rPr>
          <w:rFonts w:ascii="Arial" w:hAnsi="Arial" w:cs="Arial"/>
          <w:sz w:val="20"/>
          <w:szCs w:val="20"/>
          <w:lang w:val="en-US"/>
        </w:rPr>
        <w:t xml:space="preserve">Abbreviations: HR hazard ratio; CI confidence interval.  </w:t>
      </w:r>
    </w:p>
    <w:p w14:paraId="080F339B" w14:textId="1B31B5B4" w:rsidR="006A0580" w:rsidRPr="0036402F" w:rsidRDefault="006A0580" w:rsidP="00AD7E45">
      <w:pPr>
        <w:jc w:val="both"/>
        <w:rPr>
          <w:rFonts w:ascii="Arial" w:hAnsi="Arial" w:cs="Arial"/>
          <w:sz w:val="20"/>
          <w:szCs w:val="20"/>
          <w:lang w:val="en-US"/>
        </w:rPr>
      </w:pPr>
      <w:r w:rsidRPr="0036402F">
        <w:rPr>
          <w:rFonts w:ascii="Arial" w:hAnsi="Arial" w:cs="Arial"/>
          <w:sz w:val="20"/>
          <w:szCs w:val="20"/>
          <w:lang w:val="en-US"/>
        </w:rPr>
        <w:t xml:space="preserve">Bold </w:t>
      </w:r>
      <w:r w:rsidR="00BE2267" w:rsidRPr="0036402F">
        <w:rPr>
          <w:rFonts w:ascii="Arial" w:hAnsi="Arial" w:cs="Arial"/>
          <w:sz w:val="20"/>
          <w:szCs w:val="20"/>
          <w:lang w:val="en-US"/>
        </w:rPr>
        <w:t>is used for statistically significant associ</w:t>
      </w:r>
      <w:r w:rsidR="00847FA4" w:rsidRPr="0036402F">
        <w:rPr>
          <w:rFonts w:ascii="Arial" w:hAnsi="Arial" w:cs="Arial"/>
          <w:sz w:val="20"/>
          <w:szCs w:val="20"/>
          <w:lang w:val="en-US"/>
        </w:rPr>
        <w:t>ations.</w:t>
      </w:r>
    </w:p>
    <w:p w14:paraId="002C8761" w14:textId="65EE41A9" w:rsidR="00AD7E45" w:rsidRPr="0036402F" w:rsidRDefault="00AD7E45" w:rsidP="00AD7E45">
      <w:pPr>
        <w:jc w:val="both"/>
        <w:rPr>
          <w:rFonts w:ascii="Arial" w:hAnsi="Arial" w:cs="Arial"/>
          <w:sz w:val="20"/>
          <w:szCs w:val="20"/>
          <w:lang w:val="en-US"/>
        </w:rPr>
      </w:pPr>
      <w:r w:rsidRPr="0036402F">
        <w:rPr>
          <w:rFonts w:ascii="Arial" w:hAnsi="Arial" w:cs="Arial"/>
          <w:sz w:val="20"/>
          <w:szCs w:val="20"/>
          <w:lang w:val="en-US"/>
        </w:rPr>
        <w:t>Cox regression models were adjusted for age</w:t>
      </w:r>
      <w:r w:rsidR="005B7DDD" w:rsidRPr="0036402F">
        <w:rPr>
          <w:rFonts w:ascii="Arial" w:hAnsi="Arial" w:cs="Arial"/>
          <w:sz w:val="20"/>
          <w:szCs w:val="20"/>
          <w:lang w:val="en-US"/>
        </w:rPr>
        <w:t>,</w:t>
      </w:r>
      <w:r w:rsidRPr="0036402F">
        <w:rPr>
          <w:rFonts w:ascii="Arial" w:hAnsi="Arial" w:cs="Arial"/>
          <w:sz w:val="20"/>
          <w:szCs w:val="20"/>
          <w:lang w:val="en-US"/>
        </w:rPr>
        <w:t xml:space="preserve"> sex (except the sex-stratified analyses) and all comorbidities listed in Table 1. </w:t>
      </w:r>
    </w:p>
    <w:p w14:paraId="3A8DC8E5" w14:textId="77777777" w:rsidR="00862A77" w:rsidRPr="0036402F" w:rsidRDefault="00862A77" w:rsidP="003C41AC">
      <w:pPr>
        <w:spacing w:line="480" w:lineRule="auto"/>
        <w:jc w:val="both"/>
        <w:rPr>
          <w:rFonts w:ascii="Arial" w:hAnsi="Arial" w:cs="Arial"/>
          <w:sz w:val="20"/>
          <w:szCs w:val="20"/>
          <w:lang w:val="en-US"/>
        </w:rPr>
      </w:pPr>
    </w:p>
    <w:p w14:paraId="0FACB404" w14:textId="77777777" w:rsidR="007C290A" w:rsidRPr="0036402F" w:rsidRDefault="007C290A" w:rsidP="003C41AC">
      <w:pPr>
        <w:spacing w:line="480" w:lineRule="auto"/>
        <w:jc w:val="both"/>
        <w:rPr>
          <w:rFonts w:ascii="Arial" w:hAnsi="Arial" w:cs="Arial"/>
          <w:sz w:val="20"/>
          <w:szCs w:val="20"/>
          <w:lang w:val="en-US"/>
        </w:rPr>
      </w:pPr>
    </w:p>
    <w:p w14:paraId="27465EEB" w14:textId="3DB8D866" w:rsidR="007C290A" w:rsidRPr="0036402F" w:rsidRDefault="007C290A" w:rsidP="003C41AC">
      <w:pPr>
        <w:spacing w:line="480" w:lineRule="auto"/>
        <w:jc w:val="both"/>
        <w:rPr>
          <w:rFonts w:ascii="Arial" w:hAnsi="Arial" w:cs="Arial"/>
          <w:sz w:val="20"/>
          <w:szCs w:val="20"/>
          <w:lang w:val="en-US"/>
        </w:rPr>
        <w:sectPr w:rsidR="007C290A" w:rsidRPr="0036402F" w:rsidSect="00A63AFF">
          <w:pgSz w:w="16838" w:h="11906" w:orient="landscape"/>
          <w:pgMar w:top="1417" w:right="1417" w:bottom="1417" w:left="1417" w:header="708" w:footer="708" w:gutter="0"/>
          <w:cols w:space="708"/>
          <w:docGrid w:linePitch="360"/>
        </w:sectPr>
      </w:pPr>
    </w:p>
    <w:p w14:paraId="6DFC4F1C" w14:textId="295B1498" w:rsidR="00862A77" w:rsidRPr="0036402F" w:rsidRDefault="00917BC7" w:rsidP="00862A77">
      <w:pPr>
        <w:spacing w:line="480" w:lineRule="auto"/>
        <w:jc w:val="both"/>
        <w:rPr>
          <w:rFonts w:ascii="Arial" w:hAnsi="Arial" w:cs="Arial"/>
          <w:b/>
          <w:bCs/>
          <w:sz w:val="24"/>
          <w:szCs w:val="24"/>
          <w:lang w:val="en-US"/>
        </w:rPr>
      </w:pPr>
      <w:r w:rsidRPr="0036402F">
        <w:rPr>
          <w:rFonts w:ascii="Arial" w:hAnsi="Arial" w:cs="Arial"/>
          <w:b/>
          <w:bCs/>
          <w:noProof/>
          <w:sz w:val="24"/>
          <w:szCs w:val="24"/>
          <w:lang w:val="en-US"/>
        </w:rPr>
        <w:lastRenderedPageBreak/>
        <w:drawing>
          <wp:inline distT="0" distB="0" distL="0" distR="0" wp14:anchorId="2631D207" wp14:editId="50214111">
            <wp:extent cx="3314700" cy="8470900"/>
            <wp:effectExtent l="0" t="0" r="0" b="0"/>
            <wp:docPr id="2" name="Image 2" descr="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Flow Diagram"/>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4700" cy="8470900"/>
                    </a:xfrm>
                    <a:prstGeom prst="rect">
                      <a:avLst/>
                    </a:prstGeom>
                  </pic:spPr>
                </pic:pic>
              </a:graphicData>
            </a:graphic>
          </wp:inline>
        </w:drawing>
      </w:r>
    </w:p>
    <w:p w14:paraId="0373E9E0" w14:textId="77777777" w:rsidR="00862A77" w:rsidRPr="0036402F" w:rsidRDefault="00862A77" w:rsidP="00862A77">
      <w:pPr>
        <w:spacing w:line="480" w:lineRule="auto"/>
        <w:jc w:val="both"/>
        <w:rPr>
          <w:rFonts w:ascii="Arial" w:hAnsi="Arial" w:cs="Arial"/>
          <w:sz w:val="24"/>
          <w:szCs w:val="24"/>
          <w:lang w:val="en-US"/>
        </w:rPr>
      </w:pPr>
      <w:r w:rsidRPr="0036402F">
        <w:rPr>
          <w:rFonts w:ascii="Arial" w:hAnsi="Arial" w:cs="Arial"/>
          <w:b/>
          <w:bCs/>
          <w:sz w:val="24"/>
          <w:szCs w:val="24"/>
          <w:lang w:val="en-US"/>
        </w:rPr>
        <w:t>Figure 1.</w:t>
      </w:r>
      <w:r w:rsidRPr="0036402F">
        <w:rPr>
          <w:rFonts w:ascii="Arial" w:hAnsi="Arial" w:cs="Arial"/>
          <w:sz w:val="24"/>
          <w:szCs w:val="24"/>
          <w:lang w:val="en-US"/>
        </w:rPr>
        <w:t xml:space="preserve"> Selection of study patients</w:t>
      </w:r>
    </w:p>
    <w:p w14:paraId="10DFDDDE" w14:textId="77777777" w:rsidR="00862A77" w:rsidRPr="0036402F" w:rsidRDefault="00862A77" w:rsidP="00862A77">
      <w:pPr>
        <w:spacing w:line="480" w:lineRule="auto"/>
        <w:jc w:val="both"/>
        <w:rPr>
          <w:rFonts w:ascii="Arial" w:hAnsi="Arial" w:cs="Arial"/>
          <w:b/>
          <w:bCs/>
          <w:sz w:val="24"/>
          <w:szCs w:val="24"/>
          <w:lang w:val="en-US"/>
        </w:rPr>
      </w:pPr>
    </w:p>
    <w:p w14:paraId="774F368E" w14:textId="77777777" w:rsidR="00862A77" w:rsidRPr="0036402F" w:rsidRDefault="00862A77" w:rsidP="00862A77">
      <w:pPr>
        <w:spacing w:line="480" w:lineRule="auto"/>
        <w:jc w:val="both"/>
        <w:rPr>
          <w:rFonts w:ascii="Arial" w:hAnsi="Arial" w:cs="Arial"/>
          <w:b/>
          <w:bCs/>
          <w:sz w:val="24"/>
          <w:szCs w:val="24"/>
          <w:lang w:val="en-US"/>
        </w:rPr>
      </w:pPr>
      <w:r w:rsidRPr="0036402F">
        <w:rPr>
          <w:noProof/>
        </w:rPr>
        <w:drawing>
          <wp:inline distT="0" distB="0" distL="0" distR="0" wp14:anchorId="66685F58" wp14:editId="5920CDE2">
            <wp:extent cx="5760720" cy="3460750"/>
            <wp:effectExtent l="0" t="0" r="5080" b="6350"/>
            <wp:docPr id="1" name="Imag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Graph"/>
                    <pic:cNvPicPr/>
                  </pic:nvPicPr>
                  <pic:blipFill>
                    <a:blip r:embed="rId10"/>
                    <a:stretch>
                      <a:fillRect/>
                    </a:stretch>
                  </pic:blipFill>
                  <pic:spPr>
                    <a:xfrm>
                      <a:off x="0" y="0"/>
                      <a:ext cx="5760720" cy="3460750"/>
                    </a:xfrm>
                    <a:prstGeom prst="rect">
                      <a:avLst/>
                    </a:prstGeom>
                  </pic:spPr>
                </pic:pic>
              </a:graphicData>
            </a:graphic>
          </wp:inline>
        </w:drawing>
      </w:r>
    </w:p>
    <w:p w14:paraId="34ECEC88" w14:textId="77777777" w:rsidR="00862A77" w:rsidRPr="0036402F" w:rsidRDefault="00862A77" w:rsidP="00862A77">
      <w:pPr>
        <w:spacing w:line="480" w:lineRule="auto"/>
        <w:jc w:val="both"/>
        <w:rPr>
          <w:rFonts w:ascii="Arial" w:hAnsi="Arial" w:cs="Arial"/>
          <w:sz w:val="24"/>
          <w:szCs w:val="24"/>
          <w:lang w:val="en-US"/>
        </w:rPr>
      </w:pPr>
      <w:r w:rsidRPr="0036402F">
        <w:rPr>
          <w:rFonts w:ascii="Arial" w:hAnsi="Arial" w:cs="Arial"/>
          <w:b/>
          <w:bCs/>
          <w:sz w:val="24"/>
          <w:szCs w:val="24"/>
          <w:lang w:val="en-US"/>
        </w:rPr>
        <w:t>Figure 2.</w:t>
      </w:r>
      <w:r w:rsidRPr="0036402F">
        <w:rPr>
          <w:rFonts w:ascii="Arial" w:hAnsi="Arial" w:cs="Arial"/>
          <w:sz w:val="24"/>
          <w:szCs w:val="24"/>
          <w:lang w:val="en-US"/>
        </w:rPr>
        <w:t xml:space="preserve"> Incidence of dementia by body mass index category in older individuals followed in general practices in Germany </w:t>
      </w:r>
    </w:p>
    <w:p w14:paraId="003AFC7F" w14:textId="77777777" w:rsidR="00862A77" w:rsidRPr="0036402F" w:rsidRDefault="00862A77" w:rsidP="00862A77">
      <w:pPr>
        <w:rPr>
          <w:rFonts w:ascii="Arial" w:hAnsi="Arial" w:cs="Arial"/>
          <w:sz w:val="24"/>
          <w:szCs w:val="24"/>
          <w:lang w:val="en-US"/>
        </w:rPr>
      </w:pPr>
      <w:r w:rsidRPr="0036402F">
        <w:rPr>
          <w:rFonts w:ascii="Arial" w:hAnsi="Arial" w:cs="Arial"/>
          <w:sz w:val="24"/>
          <w:szCs w:val="24"/>
          <w:lang w:val="en-US"/>
        </w:rPr>
        <w:br w:type="page"/>
      </w:r>
    </w:p>
    <w:p w14:paraId="66EC24AF" w14:textId="1F854619" w:rsidR="00862A77" w:rsidRPr="0036402F" w:rsidRDefault="00AE1166" w:rsidP="00862A77">
      <w:pPr>
        <w:spacing w:line="480" w:lineRule="auto"/>
        <w:jc w:val="both"/>
        <w:rPr>
          <w:rFonts w:ascii="Arial" w:hAnsi="Arial" w:cs="Arial"/>
          <w:b/>
          <w:bCs/>
          <w:sz w:val="24"/>
          <w:szCs w:val="24"/>
          <w:lang w:val="en-US"/>
        </w:rPr>
      </w:pPr>
      <w:r w:rsidRPr="0036402F">
        <w:rPr>
          <w:noProof/>
        </w:rPr>
        <w:lastRenderedPageBreak/>
        <w:drawing>
          <wp:inline distT="0" distB="0" distL="0" distR="0" wp14:anchorId="56DEFC6E" wp14:editId="5E8C3FAE">
            <wp:extent cx="5760720" cy="6899910"/>
            <wp:effectExtent l="0" t="0" r="5080" b="0"/>
            <wp:docPr id="3" name="Imag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Graph"/>
                    <pic:cNvPicPr/>
                  </pic:nvPicPr>
                  <pic:blipFill>
                    <a:blip r:embed="rId11"/>
                    <a:stretch>
                      <a:fillRect/>
                    </a:stretch>
                  </pic:blipFill>
                  <pic:spPr>
                    <a:xfrm>
                      <a:off x="0" y="0"/>
                      <a:ext cx="5760720" cy="6899910"/>
                    </a:xfrm>
                    <a:prstGeom prst="rect">
                      <a:avLst/>
                    </a:prstGeom>
                  </pic:spPr>
                </pic:pic>
              </a:graphicData>
            </a:graphic>
          </wp:inline>
        </w:drawing>
      </w:r>
    </w:p>
    <w:p w14:paraId="1AAD9AFD" w14:textId="12B5601E" w:rsidR="00AD7E45" w:rsidRPr="0036402F" w:rsidRDefault="00862A77" w:rsidP="003C41AC">
      <w:pPr>
        <w:spacing w:line="480" w:lineRule="auto"/>
        <w:jc w:val="both"/>
        <w:rPr>
          <w:rFonts w:ascii="Arial" w:hAnsi="Arial" w:cs="Arial"/>
          <w:sz w:val="24"/>
          <w:szCs w:val="24"/>
          <w:lang w:val="en-US"/>
        </w:rPr>
      </w:pPr>
      <w:r w:rsidRPr="0036402F">
        <w:rPr>
          <w:rFonts w:ascii="Arial" w:hAnsi="Arial" w:cs="Arial"/>
          <w:b/>
          <w:bCs/>
          <w:sz w:val="24"/>
          <w:szCs w:val="24"/>
          <w:lang w:val="en-US"/>
        </w:rPr>
        <w:t>Figure 3.</w:t>
      </w:r>
      <w:r w:rsidRPr="0036402F">
        <w:rPr>
          <w:rFonts w:ascii="Arial" w:hAnsi="Arial" w:cs="Arial"/>
          <w:sz w:val="24"/>
          <w:szCs w:val="24"/>
          <w:lang w:val="en-US"/>
        </w:rPr>
        <w:t xml:space="preserve"> Incidence of dementia by body mass index category in older women (upper panel) and men (lower panel) followed in general practices in Germany </w:t>
      </w:r>
    </w:p>
    <w:p w14:paraId="53351A51" w14:textId="373F70D7" w:rsidR="00B545B0" w:rsidRPr="0036402F" w:rsidRDefault="00B545B0" w:rsidP="003C41AC">
      <w:pPr>
        <w:spacing w:line="480" w:lineRule="auto"/>
        <w:jc w:val="both"/>
        <w:rPr>
          <w:rFonts w:ascii="Arial" w:hAnsi="Arial" w:cs="Arial"/>
          <w:sz w:val="24"/>
          <w:szCs w:val="24"/>
          <w:lang w:val="en-US"/>
        </w:rPr>
      </w:pPr>
    </w:p>
    <w:p w14:paraId="17D8B2A9" w14:textId="6F4ACCF7" w:rsidR="00B545B0" w:rsidRPr="0036402F" w:rsidRDefault="00B545B0" w:rsidP="003C41AC">
      <w:pPr>
        <w:spacing w:line="480" w:lineRule="auto"/>
        <w:jc w:val="both"/>
        <w:rPr>
          <w:rFonts w:ascii="Arial" w:hAnsi="Arial" w:cs="Arial"/>
          <w:sz w:val="24"/>
          <w:szCs w:val="24"/>
          <w:lang w:val="en-US"/>
        </w:rPr>
      </w:pPr>
    </w:p>
    <w:p w14:paraId="23A61C30" w14:textId="36942C0A" w:rsidR="00B545B0" w:rsidRPr="0036402F" w:rsidRDefault="00B545B0" w:rsidP="003C41AC">
      <w:pPr>
        <w:spacing w:line="480" w:lineRule="auto"/>
        <w:jc w:val="both"/>
        <w:rPr>
          <w:rFonts w:ascii="Arial" w:hAnsi="Arial" w:cs="Arial"/>
          <w:sz w:val="24"/>
          <w:szCs w:val="24"/>
          <w:lang w:val="en-US"/>
        </w:rPr>
      </w:pPr>
    </w:p>
    <w:p w14:paraId="41CFB3B0" w14:textId="77777777" w:rsidR="00604CFB" w:rsidRPr="0036402F" w:rsidRDefault="00604CFB" w:rsidP="00604CFB">
      <w:pPr>
        <w:spacing w:line="480" w:lineRule="auto"/>
        <w:jc w:val="both"/>
        <w:rPr>
          <w:rFonts w:ascii="Arial" w:hAnsi="Arial" w:cs="Arial"/>
          <w:sz w:val="24"/>
          <w:szCs w:val="24"/>
          <w:lang w:val="en-US"/>
        </w:rPr>
      </w:pPr>
      <w:r w:rsidRPr="0036402F">
        <w:rPr>
          <w:rFonts w:ascii="Arial" w:hAnsi="Arial" w:cs="Arial"/>
          <w:b/>
          <w:sz w:val="24"/>
          <w:szCs w:val="24"/>
          <w:lang w:val="en-US"/>
        </w:rPr>
        <w:lastRenderedPageBreak/>
        <w:t>Supplementary Table 1.</w:t>
      </w:r>
      <w:r w:rsidRPr="0036402F">
        <w:rPr>
          <w:rFonts w:ascii="Arial" w:hAnsi="Arial" w:cs="Arial"/>
          <w:sz w:val="24"/>
          <w:szCs w:val="24"/>
          <w:lang w:val="en-US"/>
        </w:rPr>
        <w:t xml:space="preserve"> Characteristics of patients included and those not included in the study </w:t>
      </w:r>
    </w:p>
    <w:tbl>
      <w:tblPr>
        <w:tblW w:w="9664" w:type="dxa"/>
        <w:tblBorders>
          <w:top w:val="single" w:sz="4" w:space="0" w:color="auto"/>
          <w:bottom w:val="single" w:sz="4" w:space="0" w:color="auto"/>
          <w:insideH w:val="single" w:sz="4" w:space="0" w:color="auto"/>
        </w:tblBorders>
        <w:tblLook w:val="00A0" w:firstRow="1" w:lastRow="0" w:firstColumn="1" w:lastColumn="0" w:noHBand="0" w:noVBand="0"/>
      </w:tblPr>
      <w:tblGrid>
        <w:gridCol w:w="4395"/>
        <w:gridCol w:w="1842"/>
        <w:gridCol w:w="1803"/>
        <w:gridCol w:w="1624"/>
      </w:tblGrid>
      <w:tr w:rsidR="0036402F" w:rsidRPr="0036402F" w14:paraId="31A032B3" w14:textId="77777777" w:rsidTr="00D77D37">
        <w:trPr>
          <w:trHeight w:val="539"/>
        </w:trPr>
        <w:tc>
          <w:tcPr>
            <w:tcW w:w="4395" w:type="dxa"/>
            <w:tcBorders>
              <w:bottom w:val="single" w:sz="4" w:space="0" w:color="auto"/>
            </w:tcBorders>
          </w:tcPr>
          <w:p w14:paraId="582D4FE9" w14:textId="77777777" w:rsidR="00604CFB" w:rsidRPr="0036402F" w:rsidRDefault="00604CFB" w:rsidP="00D77D37">
            <w:pPr>
              <w:rPr>
                <w:rFonts w:ascii="Arial" w:hAnsi="Arial" w:cs="Arial"/>
                <w:b/>
                <w:bCs/>
                <w:sz w:val="20"/>
                <w:szCs w:val="20"/>
                <w:lang w:val="en-US"/>
              </w:rPr>
            </w:pPr>
            <w:r w:rsidRPr="0036402F">
              <w:rPr>
                <w:rFonts w:ascii="Arial" w:hAnsi="Arial" w:cs="Arial"/>
                <w:b/>
                <w:bCs/>
                <w:sz w:val="20"/>
                <w:szCs w:val="20"/>
                <w:lang w:val="en-US"/>
              </w:rPr>
              <w:t>Variable</w:t>
            </w:r>
          </w:p>
        </w:tc>
        <w:tc>
          <w:tcPr>
            <w:tcW w:w="1842" w:type="dxa"/>
            <w:tcBorders>
              <w:bottom w:val="single" w:sz="4" w:space="0" w:color="auto"/>
            </w:tcBorders>
          </w:tcPr>
          <w:p w14:paraId="5D5F89D7" w14:textId="77777777" w:rsidR="00604CFB" w:rsidRPr="0036402F" w:rsidRDefault="00604CFB" w:rsidP="00D77D37">
            <w:pPr>
              <w:jc w:val="center"/>
              <w:rPr>
                <w:rFonts w:ascii="Arial" w:hAnsi="Arial" w:cs="Arial"/>
                <w:b/>
                <w:bCs/>
                <w:sz w:val="20"/>
                <w:szCs w:val="20"/>
                <w:lang w:val="en-US"/>
              </w:rPr>
            </w:pPr>
            <w:r w:rsidRPr="0036402F">
              <w:rPr>
                <w:rFonts w:ascii="Arial" w:hAnsi="Arial" w:cs="Arial"/>
                <w:b/>
                <w:bCs/>
                <w:sz w:val="20"/>
                <w:szCs w:val="20"/>
                <w:lang w:val="en-US"/>
              </w:rPr>
              <w:t>Patients included in the study (N=296,767)</w:t>
            </w:r>
          </w:p>
        </w:tc>
        <w:tc>
          <w:tcPr>
            <w:tcW w:w="1803" w:type="dxa"/>
            <w:tcBorders>
              <w:bottom w:val="single" w:sz="4" w:space="0" w:color="auto"/>
            </w:tcBorders>
          </w:tcPr>
          <w:p w14:paraId="3537E209" w14:textId="77777777" w:rsidR="00604CFB" w:rsidRPr="0036402F" w:rsidRDefault="00604CFB" w:rsidP="00D77D37">
            <w:pPr>
              <w:jc w:val="center"/>
              <w:rPr>
                <w:rFonts w:ascii="Arial" w:hAnsi="Arial" w:cs="Arial"/>
                <w:b/>
                <w:bCs/>
                <w:sz w:val="20"/>
                <w:szCs w:val="20"/>
                <w:lang w:val="en-US"/>
              </w:rPr>
            </w:pPr>
            <w:r w:rsidRPr="0036402F">
              <w:rPr>
                <w:rFonts w:ascii="Arial" w:hAnsi="Arial" w:cs="Arial"/>
                <w:b/>
                <w:bCs/>
                <w:sz w:val="20"/>
                <w:szCs w:val="20"/>
                <w:lang w:val="en-US"/>
              </w:rPr>
              <w:t>Patients not included in the study (N=989,335)</w:t>
            </w:r>
          </w:p>
        </w:tc>
        <w:tc>
          <w:tcPr>
            <w:tcW w:w="1624" w:type="dxa"/>
            <w:tcBorders>
              <w:bottom w:val="single" w:sz="4" w:space="0" w:color="auto"/>
            </w:tcBorders>
          </w:tcPr>
          <w:p w14:paraId="3BE74072" w14:textId="77777777" w:rsidR="00604CFB" w:rsidRPr="0036402F" w:rsidRDefault="00604CFB" w:rsidP="00D77D37">
            <w:pPr>
              <w:jc w:val="center"/>
              <w:rPr>
                <w:rFonts w:ascii="Arial" w:hAnsi="Arial" w:cs="Arial"/>
                <w:b/>
                <w:bCs/>
                <w:sz w:val="20"/>
                <w:szCs w:val="20"/>
                <w:lang w:val="en-US"/>
              </w:rPr>
            </w:pPr>
            <w:r w:rsidRPr="0036402F">
              <w:rPr>
                <w:rFonts w:ascii="Arial" w:hAnsi="Arial" w:cs="Arial"/>
                <w:b/>
                <w:bCs/>
                <w:sz w:val="20"/>
                <w:szCs w:val="20"/>
                <w:lang w:val="en-US"/>
              </w:rPr>
              <w:t>P-value</w:t>
            </w:r>
          </w:p>
        </w:tc>
      </w:tr>
      <w:tr w:rsidR="0036402F" w:rsidRPr="0036402F" w14:paraId="12E975E1" w14:textId="77777777" w:rsidTr="00D77D37">
        <w:trPr>
          <w:trHeight w:val="316"/>
        </w:trPr>
        <w:tc>
          <w:tcPr>
            <w:tcW w:w="4395" w:type="dxa"/>
            <w:tcBorders>
              <w:top w:val="nil"/>
              <w:bottom w:val="nil"/>
            </w:tcBorders>
          </w:tcPr>
          <w:p w14:paraId="69C5DC55"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i/>
                <w:iCs/>
                <w:sz w:val="20"/>
                <w:szCs w:val="20"/>
                <w:lang w:val="en-US"/>
              </w:rPr>
              <w:t>Age (in years)</w:t>
            </w:r>
          </w:p>
        </w:tc>
        <w:tc>
          <w:tcPr>
            <w:tcW w:w="1842" w:type="dxa"/>
            <w:tcBorders>
              <w:top w:val="nil"/>
              <w:bottom w:val="nil"/>
            </w:tcBorders>
          </w:tcPr>
          <w:p w14:paraId="66A2AAE1" w14:textId="77777777" w:rsidR="00604CFB" w:rsidRPr="0036402F" w:rsidRDefault="00604CFB" w:rsidP="00D77D37">
            <w:pPr>
              <w:spacing w:line="360" w:lineRule="auto"/>
              <w:jc w:val="center"/>
              <w:rPr>
                <w:rFonts w:ascii="Arial" w:hAnsi="Arial" w:cs="Arial"/>
                <w:sz w:val="20"/>
                <w:szCs w:val="20"/>
                <w:lang w:val="en-US"/>
              </w:rPr>
            </w:pPr>
          </w:p>
        </w:tc>
        <w:tc>
          <w:tcPr>
            <w:tcW w:w="1803" w:type="dxa"/>
            <w:tcBorders>
              <w:top w:val="nil"/>
              <w:bottom w:val="nil"/>
            </w:tcBorders>
          </w:tcPr>
          <w:p w14:paraId="09825933" w14:textId="77777777" w:rsidR="00604CFB" w:rsidRPr="0036402F" w:rsidRDefault="00604CFB" w:rsidP="00D77D37">
            <w:pPr>
              <w:spacing w:line="360" w:lineRule="auto"/>
              <w:jc w:val="center"/>
              <w:rPr>
                <w:rFonts w:ascii="Arial" w:hAnsi="Arial" w:cs="Arial"/>
                <w:sz w:val="20"/>
                <w:szCs w:val="20"/>
                <w:lang w:val="en-US"/>
              </w:rPr>
            </w:pPr>
          </w:p>
        </w:tc>
        <w:tc>
          <w:tcPr>
            <w:tcW w:w="1624" w:type="dxa"/>
            <w:tcBorders>
              <w:top w:val="nil"/>
              <w:bottom w:val="nil"/>
            </w:tcBorders>
          </w:tcPr>
          <w:p w14:paraId="68A4BCBC" w14:textId="77777777" w:rsidR="00604CFB" w:rsidRPr="0036402F" w:rsidRDefault="00604CFB" w:rsidP="00D77D37">
            <w:pPr>
              <w:spacing w:line="360" w:lineRule="auto"/>
              <w:jc w:val="center"/>
              <w:rPr>
                <w:rFonts w:ascii="Arial" w:hAnsi="Arial" w:cs="Arial"/>
                <w:sz w:val="20"/>
                <w:szCs w:val="20"/>
                <w:lang w:val="en-US"/>
              </w:rPr>
            </w:pPr>
          </w:p>
        </w:tc>
      </w:tr>
      <w:tr w:rsidR="0036402F" w:rsidRPr="0036402F" w14:paraId="55035DC7" w14:textId="77777777" w:rsidTr="00D77D37">
        <w:trPr>
          <w:trHeight w:val="316"/>
        </w:trPr>
        <w:tc>
          <w:tcPr>
            <w:tcW w:w="4395" w:type="dxa"/>
            <w:tcBorders>
              <w:top w:val="nil"/>
              <w:bottom w:val="nil"/>
            </w:tcBorders>
          </w:tcPr>
          <w:p w14:paraId="215BFCB3"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Mean (SD)</w:t>
            </w:r>
          </w:p>
        </w:tc>
        <w:tc>
          <w:tcPr>
            <w:tcW w:w="1842" w:type="dxa"/>
            <w:tcBorders>
              <w:top w:val="nil"/>
              <w:bottom w:val="nil"/>
            </w:tcBorders>
          </w:tcPr>
          <w:p w14:paraId="60FA2F3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70.2 (5.9)</w:t>
            </w:r>
          </w:p>
        </w:tc>
        <w:tc>
          <w:tcPr>
            <w:tcW w:w="1803" w:type="dxa"/>
            <w:tcBorders>
              <w:top w:val="nil"/>
              <w:bottom w:val="nil"/>
            </w:tcBorders>
          </w:tcPr>
          <w:p w14:paraId="78F19F00"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76.3 (6.2)</w:t>
            </w:r>
          </w:p>
        </w:tc>
        <w:tc>
          <w:tcPr>
            <w:tcW w:w="1624" w:type="dxa"/>
            <w:tcBorders>
              <w:top w:val="nil"/>
              <w:bottom w:val="nil"/>
            </w:tcBorders>
          </w:tcPr>
          <w:p w14:paraId="686DBD48"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5A0B55E2" w14:textId="77777777" w:rsidTr="00D77D37">
        <w:trPr>
          <w:trHeight w:val="296"/>
        </w:trPr>
        <w:tc>
          <w:tcPr>
            <w:tcW w:w="4395" w:type="dxa"/>
            <w:tcBorders>
              <w:top w:val="nil"/>
              <w:bottom w:val="nil"/>
            </w:tcBorders>
          </w:tcPr>
          <w:p w14:paraId="7D318756"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65-69</w:t>
            </w:r>
          </w:p>
        </w:tc>
        <w:tc>
          <w:tcPr>
            <w:tcW w:w="1842" w:type="dxa"/>
            <w:tcBorders>
              <w:top w:val="nil"/>
              <w:bottom w:val="nil"/>
            </w:tcBorders>
          </w:tcPr>
          <w:p w14:paraId="7021EB98"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57.0</w:t>
            </w:r>
          </w:p>
        </w:tc>
        <w:tc>
          <w:tcPr>
            <w:tcW w:w="1803" w:type="dxa"/>
            <w:tcBorders>
              <w:top w:val="nil"/>
              <w:bottom w:val="nil"/>
            </w:tcBorders>
            <w:vAlign w:val="bottom"/>
          </w:tcPr>
          <w:p w14:paraId="6058221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14.2</w:t>
            </w:r>
          </w:p>
        </w:tc>
        <w:tc>
          <w:tcPr>
            <w:tcW w:w="1624" w:type="dxa"/>
            <w:vMerge w:val="restart"/>
            <w:tcBorders>
              <w:top w:val="nil"/>
            </w:tcBorders>
            <w:vAlign w:val="center"/>
          </w:tcPr>
          <w:p w14:paraId="3020167C" w14:textId="77777777" w:rsidR="00604CFB" w:rsidRPr="0036402F" w:rsidRDefault="00604CFB" w:rsidP="00D77D37">
            <w:pPr>
              <w:spacing w:line="360" w:lineRule="auto"/>
              <w:jc w:val="center"/>
              <w:rPr>
                <w:rFonts w:ascii="Arial" w:hAnsi="Arial" w:cs="Arial"/>
                <w:sz w:val="20"/>
                <w:szCs w:val="20"/>
                <w:highlight w:val="yellow"/>
                <w:lang w:val="en-US"/>
              </w:rPr>
            </w:pPr>
            <w:r w:rsidRPr="0036402F">
              <w:rPr>
                <w:rFonts w:ascii="Arial" w:hAnsi="Arial" w:cs="Arial"/>
                <w:sz w:val="20"/>
                <w:szCs w:val="20"/>
                <w:lang w:val="en-US"/>
              </w:rPr>
              <w:t>&lt;0.001</w:t>
            </w:r>
          </w:p>
        </w:tc>
      </w:tr>
      <w:tr w:rsidR="0036402F" w:rsidRPr="0036402F" w14:paraId="4D1B0ECF" w14:textId="77777777" w:rsidTr="00D77D37">
        <w:trPr>
          <w:trHeight w:val="296"/>
        </w:trPr>
        <w:tc>
          <w:tcPr>
            <w:tcW w:w="4395" w:type="dxa"/>
            <w:tcBorders>
              <w:top w:val="nil"/>
              <w:bottom w:val="nil"/>
            </w:tcBorders>
          </w:tcPr>
          <w:p w14:paraId="7FEA99D6"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70-74</w:t>
            </w:r>
          </w:p>
        </w:tc>
        <w:tc>
          <w:tcPr>
            <w:tcW w:w="1842" w:type="dxa"/>
            <w:tcBorders>
              <w:top w:val="nil"/>
              <w:bottom w:val="nil"/>
            </w:tcBorders>
          </w:tcPr>
          <w:p w14:paraId="661CA5AB"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20.0</w:t>
            </w:r>
          </w:p>
        </w:tc>
        <w:tc>
          <w:tcPr>
            <w:tcW w:w="1803" w:type="dxa"/>
            <w:tcBorders>
              <w:top w:val="nil"/>
              <w:bottom w:val="nil"/>
            </w:tcBorders>
            <w:vAlign w:val="bottom"/>
          </w:tcPr>
          <w:p w14:paraId="740C85E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24.0</w:t>
            </w:r>
          </w:p>
        </w:tc>
        <w:tc>
          <w:tcPr>
            <w:tcW w:w="1624" w:type="dxa"/>
            <w:vMerge/>
          </w:tcPr>
          <w:p w14:paraId="1F7B027C" w14:textId="77777777" w:rsidR="00604CFB" w:rsidRPr="0036402F" w:rsidRDefault="00604CFB" w:rsidP="00D77D37">
            <w:pPr>
              <w:spacing w:line="360" w:lineRule="auto"/>
              <w:jc w:val="center"/>
              <w:rPr>
                <w:rFonts w:ascii="Arial" w:hAnsi="Arial" w:cs="Arial"/>
                <w:sz w:val="20"/>
                <w:szCs w:val="20"/>
                <w:highlight w:val="yellow"/>
                <w:lang w:val="en-US"/>
              </w:rPr>
            </w:pPr>
          </w:p>
        </w:tc>
      </w:tr>
      <w:tr w:rsidR="0036402F" w:rsidRPr="0036402F" w14:paraId="33CE8FCB" w14:textId="77777777" w:rsidTr="00D77D37">
        <w:trPr>
          <w:trHeight w:val="296"/>
        </w:trPr>
        <w:tc>
          <w:tcPr>
            <w:tcW w:w="4395" w:type="dxa"/>
            <w:tcBorders>
              <w:top w:val="nil"/>
              <w:bottom w:val="nil"/>
            </w:tcBorders>
          </w:tcPr>
          <w:p w14:paraId="22140B25"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75-80</w:t>
            </w:r>
          </w:p>
        </w:tc>
        <w:tc>
          <w:tcPr>
            <w:tcW w:w="1842" w:type="dxa"/>
            <w:tcBorders>
              <w:top w:val="nil"/>
              <w:bottom w:val="nil"/>
            </w:tcBorders>
          </w:tcPr>
          <w:p w14:paraId="75FC4C27"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15.5</w:t>
            </w:r>
          </w:p>
        </w:tc>
        <w:tc>
          <w:tcPr>
            <w:tcW w:w="1803" w:type="dxa"/>
            <w:tcBorders>
              <w:top w:val="nil"/>
              <w:bottom w:val="nil"/>
            </w:tcBorders>
            <w:vAlign w:val="bottom"/>
          </w:tcPr>
          <w:p w14:paraId="6B025978"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24.2</w:t>
            </w:r>
          </w:p>
        </w:tc>
        <w:tc>
          <w:tcPr>
            <w:tcW w:w="1624" w:type="dxa"/>
            <w:vMerge/>
          </w:tcPr>
          <w:p w14:paraId="542F409C" w14:textId="77777777" w:rsidR="00604CFB" w:rsidRPr="0036402F" w:rsidRDefault="00604CFB" w:rsidP="00D77D37">
            <w:pPr>
              <w:spacing w:line="360" w:lineRule="auto"/>
              <w:rPr>
                <w:rFonts w:ascii="Arial" w:hAnsi="Arial" w:cs="Arial"/>
                <w:sz w:val="20"/>
                <w:szCs w:val="20"/>
                <w:highlight w:val="yellow"/>
                <w:lang w:val="en-US"/>
              </w:rPr>
            </w:pPr>
          </w:p>
        </w:tc>
      </w:tr>
      <w:tr w:rsidR="0036402F" w:rsidRPr="0036402F" w14:paraId="4EF7CDC9" w14:textId="77777777" w:rsidTr="00D77D37">
        <w:trPr>
          <w:trHeight w:val="296"/>
        </w:trPr>
        <w:tc>
          <w:tcPr>
            <w:tcW w:w="4395" w:type="dxa"/>
            <w:tcBorders>
              <w:top w:val="nil"/>
              <w:bottom w:val="nil"/>
            </w:tcBorders>
          </w:tcPr>
          <w:p w14:paraId="166F2089"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&gt;80</w:t>
            </w:r>
          </w:p>
        </w:tc>
        <w:tc>
          <w:tcPr>
            <w:tcW w:w="1842" w:type="dxa"/>
            <w:tcBorders>
              <w:top w:val="nil"/>
              <w:bottom w:val="nil"/>
            </w:tcBorders>
          </w:tcPr>
          <w:p w14:paraId="403FEDA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7.5</w:t>
            </w:r>
          </w:p>
        </w:tc>
        <w:tc>
          <w:tcPr>
            <w:tcW w:w="1803" w:type="dxa"/>
            <w:tcBorders>
              <w:top w:val="nil"/>
              <w:bottom w:val="nil"/>
            </w:tcBorders>
            <w:vAlign w:val="bottom"/>
          </w:tcPr>
          <w:p w14:paraId="6F8DF1B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37.5</w:t>
            </w:r>
          </w:p>
        </w:tc>
        <w:tc>
          <w:tcPr>
            <w:tcW w:w="1624" w:type="dxa"/>
            <w:vMerge/>
            <w:tcBorders>
              <w:bottom w:val="nil"/>
            </w:tcBorders>
          </w:tcPr>
          <w:p w14:paraId="337FF571" w14:textId="77777777" w:rsidR="00604CFB" w:rsidRPr="0036402F" w:rsidRDefault="00604CFB" w:rsidP="00D77D37">
            <w:pPr>
              <w:spacing w:line="360" w:lineRule="auto"/>
              <w:jc w:val="center"/>
              <w:rPr>
                <w:rFonts w:ascii="Arial" w:hAnsi="Arial" w:cs="Arial"/>
                <w:sz w:val="20"/>
                <w:szCs w:val="20"/>
                <w:highlight w:val="yellow"/>
                <w:lang w:val="en-US"/>
              </w:rPr>
            </w:pPr>
          </w:p>
        </w:tc>
      </w:tr>
      <w:tr w:rsidR="0036402F" w:rsidRPr="0036402F" w14:paraId="42C2E438" w14:textId="77777777" w:rsidTr="00D77D37">
        <w:trPr>
          <w:trHeight w:val="296"/>
        </w:trPr>
        <w:tc>
          <w:tcPr>
            <w:tcW w:w="4395" w:type="dxa"/>
            <w:tcBorders>
              <w:top w:val="nil"/>
              <w:bottom w:val="nil"/>
            </w:tcBorders>
          </w:tcPr>
          <w:p w14:paraId="139E7AC7" w14:textId="77777777" w:rsidR="00604CFB" w:rsidRPr="0036402F" w:rsidRDefault="00604CFB" w:rsidP="00D77D37">
            <w:pPr>
              <w:spacing w:line="360" w:lineRule="auto"/>
              <w:rPr>
                <w:rFonts w:ascii="Arial" w:hAnsi="Arial" w:cs="Arial"/>
                <w:i/>
                <w:iCs/>
                <w:sz w:val="20"/>
                <w:szCs w:val="20"/>
                <w:lang w:val="en-US"/>
              </w:rPr>
            </w:pPr>
            <w:r w:rsidRPr="0036402F">
              <w:rPr>
                <w:rFonts w:ascii="Arial" w:hAnsi="Arial" w:cs="Arial"/>
                <w:i/>
                <w:iCs/>
                <w:sz w:val="20"/>
                <w:szCs w:val="20"/>
                <w:lang w:val="en-US"/>
              </w:rPr>
              <w:t>Sex</w:t>
            </w:r>
          </w:p>
        </w:tc>
        <w:tc>
          <w:tcPr>
            <w:tcW w:w="1842" w:type="dxa"/>
            <w:tcBorders>
              <w:top w:val="nil"/>
              <w:bottom w:val="nil"/>
            </w:tcBorders>
          </w:tcPr>
          <w:p w14:paraId="41D8E734" w14:textId="77777777" w:rsidR="00604CFB" w:rsidRPr="0036402F" w:rsidRDefault="00604CFB" w:rsidP="00D77D37">
            <w:pPr>
              <w:spacing w:line="360" w:lineRule="auto"/>
              <w:jc w:val="center"/>
              <w:rPr>
                <w:rFonts w:ascii="Arial" w:hAnsi="Arial" w:cs="Arial"/>
                <w:sz w:val="20"/>
                <w:szCs w:val="20"/>
                <w:lang w:val="en-US"/>
              </w:rPr>
            </w:pPr>
          </w:p>
        </w:tc>
        <w:tc>
          <w:tcPr>
            <w:tcW w:w="1803" w:type="dxa"/>
            <w:tcBorders>
              <w:top w:val="nil"/>
              <w:bottom w:val="nil"/>
            </w:tcBorders>
            <w:vAlign w:val="bottom"/>
          </w:tcPr>
          <w:p w14:paraId="392A9799" w14:textId="77777777" w:rsidR="00604CFB" w:rsidRPr="0036402F" w:rsidRDefault="00604CFB" w:rsidP="00D77D37">
            <w:pPr>
              <w:spacing w:line="360" w:lineRule="auto"/>
              <w:jc w:val="center"/>
              <w:rPr>
                <w:rFonts w:ascii="Arial" w:hAnsi="Arial" w:cs="Arial"/>
                <w:sz w:val="20"/>
                <w:szCs w:val="20"/>
                <w:lang w:val="en-US"/>
              </w:rPr>
            </w:pPr>
          </w:p>
        </w:tc>
        <w:tc>
          <w:tcPr>
            <w:tcW w:w="1624" w:type="dxa"/>
            <w:tcBorders>
              <w:top w:val="nil"/>
              <w:bottom w:val="nil"/>
            </w:tcBorders>
            <w:vAlign w:val="center"/>
          </w:tcPr>
          <w:p w14:paraId="32069D07" w14:textId="77777777" w:rsidR="00604CFB" w:rsidRPr="0036402F" w:rsidRDefault="00604CFB" w:rsidP="00D77D37">
            <w:pPr>
              <w:spacing w:line="360" w:lineRule="auto"/>
              <w:jc w:val="center"/>
              <w:rPr>
                <w:rFonts w:ascii="Arial" w:hAnsi="Arial" w:cs="Arial"/>
                <w:sz w:val="20"/>
                <w:szCs w:val="20"/>
                <w:lang w:val="en-US"/>
              </w:rPr>
            </w:pPr>
          </w:p>
        </w:tc>
      </w:tr>
      <w:tr w:rsidR="0036402F" w:rsidRPr="0036402F" w14:paraId="46B6A523" w14:textId="77777777" w:rsidTr="00D77D37">
        <w:trPr>
          <w:trHeight w:val="296"/>
        </w:trPr>
        <w:tc>
          <w:tcPr>
            <w:tcW w:w="4395" w:type="dxa"/>
            <w:tcBorders>
              <w:top w:val="nil"/>
              <w:bottom w:val="nil"/>
            </w:tcBorders>
          </w:tcPr>
          <w:p w14:paraId="49BA078B"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Female</w:t>
            </w:r>
          </w:p>
        </w:tc>
        <w:tc>
          <w:tcPr>
            <w:tcW w:w="1842" w:type="dxa"/>
            <w:tcBorders>
              <w:top w:val="nil"/>
              <w:bottom w:val="nil"/>
            </w:tcBorders>
          </w:tcPr>
          <w:p w14:paraId="00C0391D"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54.3</w:t>
            </w:r>
          </w:p>
        </w:tc>
        <w:tc>
          <w:tcPr>
            <w:tcW w:w="1803" w:type="dxa"/>
            <w:tcBorders>
              <w:top w:val="nil"/>
              <w:bottom w:val="nil"/>
            </w:tcBorders>
            <w:vAlign w:val="bottom"/>
          </w:tcPr>
          <w:p w14:paraId="695BCA4D"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57.8</w:t>
            </w:r>
          </w:p>
        </w:tc>
        <w:tc>
          <w:tcPr>
            <w:tcW w:w="1624" w:type="dxa"/>
            <w:vMerge w:val="restart"/>
            <w:tcBorders>
              <w:top w:val="nil"/>
              <w:bottom w:val="nil"/>
            </w:tcBorders>
            <w:vAlign w:val="center"/>
          </w:tcPr>
          <w:p w14:paraId="016CD1BB"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64D89DD3" w14:textId="77777777" w:rsidTr="00D77D37">
        <w:trPr>
          <w:trHeight w:val="296"/>
        </w:trPr>
        <w:tc>
          <w:tcPr>
            <w:tcW w:w="4395" w:type="dxa"/>
            <w:tcBorders>
              <w:top w:val="nil"/>
              <w:bottom w:val="nil"/>
            </w:tcBorders>
          </w:tcPr>
          <w:p w14:paraId="67E9FE04"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Male</w:t>
            </w:r>
          </w:p>
        </w:tc>
        <w:tc>
          <w:tcPr>
            <w:tcW w:w="1842" w:type="dxa"/>
            <w:tcBorders>
              <w:top w:val="nil"/>
              <w:bottom w:val="nil"/>
            </w:tcBorders>
          </w:tcPr>
          <w:p w14:paraId="16C2BDA4"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45.7</w:t>
            </w:r>
          </w:p>
        </w:tc>
        <w:tc>
          <w:tcPr>
            <w:tcW w:w="1803" w:type="dxa"/>
            <w:tcBorders>
              <w:top w:val="nil"/>
              <w:bottom w:val="nil"/>
            </w:tcBorders>
            <w:vAlign w:val="bottom"/>
          </w:tcPr>
          <w:p w14:paraId="47F1FC6B"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42.2</w:t>
            </w:r>
          </w:p>
        </w:tc>
        <w:tc>
          <w:tcPr>
            <w:tcW w:w="1624" w:type="dxa"/>
            <w:vMerge/>
            <w:tcBorders>
              <w:bottom w:val="nil"/>
            </w:tcBorders>
          </w:tcPr>
          <w:p w14:paraId="296D656C" w14:textId="77777777" w:rsidR="00604CFB" w:rsidRPr="0036402F" w:rsidRDefault="00604CFB" w:rsidP="00D77D37">
            <w:pPr>
              <w:spacing w:line="360" w:lineRule="auto"/>
              <w:jc w:val="center"/>
              <w:rPr>
                <w:rFonts w:ascii="Arial" w:hAnsi="Arial" w:cs="Arial"/>
                <w:sz w:val="20"/>
                <w:szCs w:val="20"/>
                <w:lang w:val="en-US"/>
              </w:rPr>
            </w:pPr>
          </w:p>
        </w:tc>
      </w:tr>
      <w:tr w:rsidR="0036402F" w:rsidRPr="0036402F" w14:paraId="52D9BC03" w14:textId="77777777" w:rsidTr="00D77D37">
        <w:trPr>
          <w:trHeight w:val="278"/>
        </w:trPr>
        <w:tc>
          <w:tcPr>
            <w:tcW w:w="9664" w:type="dxa"/>
            <w:gridSpan w:val="4"/>
            <w:tcBorders>
              <w:top w:val="nil"/>
              <w:bottom w:val="nil"/>
            </w:tcBorders>
          </w:tcPr>
          <w:p w14:paraId="652B8D54" w14:textId="77777777" w:rsidR="00604CFB" w:rsidRPr="0036402F" w:rsidRDefault="00604CFB" w:rsidP="00D77D37">
            <w:pPr>
              <w:spacing w:line="360" w:lineRule="auto"/>
              <w:rPr>
                <w:rFonts w:ascii="Arial" w:hAnsi="Arial" w:cs="Arial"/>
                <w:i/>
                <w:iCs/>
                <w:sz w:val="20"/>
                <w:szCs w:val="20"/>
                <w:lang w:val="en-US"/>
              </w:rPr>
            </w:pPr>
            <w:r w:rsidRPr="0036402F">
              <w:rPr>
                <w:rFonts w:ascii="Arial" w:hAnsi="Arial" w:cs="Arial"/>
                <w:i/>
                <w:iCs/>
                <w:sz w:val="20"/>
                <w:szCs w:val="20"/>
                <w:lang w:val="en-US"/>
              </w:rPr>
              <w:t>Comorbidities documented in the five years prior to the diagnosis of dementia or the end of follow-up</w:t>
            </w:r>
          </w:p>
        </w:tc>
      </w:tr>
      <w:tr w:rsidR="0036402F" w:rsidRPr="0036402F" w14:paraId="0B9085D4" w14:textId="77777777" w:rsidTr="00D77D37">
        <w:trPr>
          <w:trHeight w:val="278"/>
        </w:trPr>
        <w:tc>
          <w:tcPr>
            <w:tcW w:w="4395" w:type="dxa"/>
            <w:tcBorders>
              <w:top w:val="nil"/>
              <w:bottom w:val="nil"/>
            </w:tcBorders>
          </w:tcPr>
          <w:p w14:paraId="060E9988"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Hypertension</w:t>
            </w:r>
          </w:p>
        </w:tc>
        <w:tc>
          <w:tcPr>
            <w:tcW w:w="1842" w:type="dxa"/>
            <w:tcBorders>
              <w:top w:val="nil"/>
              <w:bottom w:val="nil"/>
            </w:tcBorders>
          </w:tcPr>
          <w:p w14:paraId="7924B318"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76.9</w:t>
            </w:r>
          </w:p>
        </w:tc>
        <w:tc>
          <w:tcPr>
            <w:tcW w:w="1803" w:type="dxa"/>
            <w:tcBorders>
              <w:top w:val="nil"/>
              <w:bottom w:val="nil"/>
            </w:tcBorders>
            <w:vAlign w:val="bottom"/>
          </w:tcPr>
          <w:p w14:paraId="0FF7A4DF"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71.6</w:t>
            </w:r>
          </w:p>
        </w:tc>
        <w:tc>
          <w:tcPr>
            <w:tcW w:w="1624" w:type="dxa"/>
            <w:tcBorders>
              <w:top w:val="nil"/>
              <w:bottom w:val="nil"/>
            </w:tcBorders>
          </w:tcPr>
          <w:p w14:paraId="2A7CA9F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2AB974D9" w14:textId="77777777" w:rsidTr="00D77D37">
        <w:trPr>
          <w:trHeight w:val="278"/>
        </w:trPr>
        <w:tc>
          <w:tcPr>
            <w:tcW w:w="4395" w:type="dxa"/>
            <w:tcBorders>
              <w:top w:val="nil"/>
              <w:bottom w:val="nil"/>
            </w:tcBorders>
          </w:tcPr>
          <w:p w14:paraId="426AD27C"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Lipid metabolism disorders</w:t>
            </w:r>
          </w:p>
        </w:tc>
        <w:tc>
          <w:tcPr>
            <w:tcW w:w="1842" w:type="dxa"/>
            <w:tcBorders>
              <w:top w:val="nil"/>
              <w:bottom w:val="nil"/>
            </w:tcBorders>
          </w:tcPr>
          <w:p w14:paraId="1719A8E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52.3</w:t>
            </w:r>
          </w:p>
        </w:tc>
        <w:tc>
          <w:tcPr>
            <w:tcW w:w="1803" w:type="dxa"/>
            <w:tcBorders>
              <w:top w:val="nil"/>
              <w:bottom w:val="nil"/>
            </w:tcBorders>
            <w:vAlign w:val="bottom"/>
          </w:tcPr>
          <w:p w14:paraId="4E7269AF"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46.5</w:t>
            </w:r>
          </w:p>
        </w:tc>
        <w:tc>
          <w:tcPr>
            <w:tcW w:w="1624" w:type="dxa"/>
            <w:tcBorders>
              <w:top w:val="nil"/>
              <w:bottom w:val="nil"/>
            </w:tcBorders>
          </w:tcPr>
          <w:p w14:paraId="164D3365"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27D76040" w14:textId="77777777" w:rsidTr="00D77D37">
        <w:trPr>
          <w:trHeight w:val="278"/>
        </w:trPr>
        <w:tc>
          <w:tcPr>
            <w:tcW w:w="4395" w:type="dxa"/>
            <w:tcBorders>
              <w:top w:val="nil"/>
              <w:bottom w:val="nil"/>
            </w:tcBorders>
          </w:tcPr>
          <w:p w14:paraId="27C4636E"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Diabetes mellitus</w:t>
            </w:r>
          </w:p>
        </w:tc>
        <w:tc>
          <w:tcPr>
            <w:tcW w:w="1842" w:type="dxa"/>
            <w:tcBorders>
              <w:top w:val="nil"/>
              <w:bottom w:val="nil"/>
            </w:tcBorders>
          </w:tcPr>
          <w:p w14:paraId="34272816"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39.7</w:t>
            </w:r>
          </w:p>
        </w:tc>
        <w:tc>
          <w:tcPr>
            <w:tcW w:w="1803" w:type="dxa"/>
            <w:tcBorders>
              <w:top w:val="nil"/>
              <w:bottom w:val="nil"/>
            </w:tcBorders>
            <w:vAlign w:val="bottom"/>
          </w:tcPr>
          <w:p w14:paraId="5D39A58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29.1</w:t>
            </w:r>
          </w:p>
        </w:tc>
        <w:tc>
          <w:tcPr>
            <w:tcW w:w="1624" w:type="dxa"/>
            <w:tcBorders>
              <w:top w:val="nil"/>
              <w:bottom w:val="nil"/>
            </w:tcBorders>
          </w:tcPr>
          <w:p w14:paraId="078F8469"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4804306A" w14:textId="77777777" w:rsidTr="00D77D37">
        <w:trPr>
          <w:trHeight w:val="278"/>
        </w:trPr>
        <w:tc>
          <w:tcPr>
            <w:tcW w:w="4395" w:type="dxa"/>
            <w:tcBorders>
              <w:top w:val="nil"/>
              <w:bottom w:val="nil"/>
            </w:tcBorders>
          </w:tcPr>
          <w:p w14:paraId="0C944242"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Ischemic heart diseases</w:t>
            </w:r>
          </w:p>
        </w:tc>
        <w:tc>
          <w:tcPr>
            <w:tcW w:w="1842" w:type="dxa"/>
            <w:tcBorders>
              <w:top w:val="nil"/>
              <w:bottom w:val="nil"/>
            </w:tcBorders>
          </w:tcPr>
          <w:p w14:paraId="2EBE8AA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29.2</w:t>
            </w:r>
          </w:p>
        </w:tc>
        <w:tc>
          <w:tcPr>
            <w:tcW w:w="1803" w:type="dxa"/>
            <w:tcBorders>
              <w:top w:val="nil"/>
              <w:bottom w:val="nil"/>
            </w:tcBorders>
            <w:vAlign w:val="bottom"/>
          </w:tcPr>
          <w:p w14:paraId="5ED94C94"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25.9</w:t>
            </w:r>
          </w:p>
        </w:tc>
        <w:tc>
          <w:tcPr>
            <w:tcW w:w="1624" w:type="dxa"/>
            <w:tcBorders>
              <w:top w:val="nil"/>
              <w:bottom w:val="nil"/>
            </w:tcBorders>
          </w:tcPr>
          <w:p w14:paraId="515BC0E7"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12EC6EC7" w14:textId="77777777" w:rsidTr="00D77D37">
        <w:trPr>
          <w:trHeight w:val="278"/>
        </w:trPr>
        <w:tc>
          <w:tcPr>
            <w:tcW w:w="4395" w:type="dxa"/>
            <w:tcBorders>
              <w:top w:val="nil"/>
              <w:bottom w:val="nil"/>
            </w:tcBorders>
          </w:tcPr>
          <w:p w14:paraId="63C22BD2"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Depression</w:t>
            </w:r>
          </w:p>
        </w:tc>
        <w:tc>
          <w:tcPr>
            <w:tcW w:w="1842" w:type="dxa"/>
            <w:tcBorders>
              <w:top w:val="nil"/>
              <w:bottom w:val="nil"/>
            </w:tcBorders>
          </w:tcPr>
          <w:p w14:paraId="2B1804E9"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23.7</w:t>
            </w:r>
          </w:p>
        </w:tc>
        <w:tc>
          <w:tcPr>
            <w:tcW w:w="1803" w:type="dxa"/>
            <w:tcBorders>
              <w:top w:val="nil"/>
              <w:bottom w:val="nil"/>
            </w:tcBorders>
            <w:vAlign w:val="bottom"/>
          </w:tcPr>
          <w:p w14:paraId="53812E84"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22.7</w:t>
            </w:r>
          </w:p>
        </w:tc>
        <w:tc>
          <w:tcPr>
            <w:tcW w:w="1624" w:type="dxa"/>
            <w:tcBorders>
              <w:top w:val="nil"/>
              <w:bottom w:val="nil"/>
            </w:tcBorders>
          </w:tcPr>
          <w:p w14:paraId="1DE26FEC"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0.235</w:t>
            </w:r>
          </w:p>
        </w:tc>
      </w:tr>
      <w:tr w:rsidR="0036402F" w:rsidRPr="0036402F" w14:paraId="2ED33CCE" w14:textId="77777777" w:rsidTr="00D77D37">
        <w:trPr>
          <w:trHeight w:val="278"/>
        </w:trPr>
        <w:tc>
          <w:tcPr>
            <w:tcW w:w="4395" w:type="dxa"/>
            <w:tcBorders>
              <w:top w:val="nil"/>
              <w:bottom w:val="nil"/>
            </w:tcBorders>
          </w:tcPr>
          <w:p w14:paraId="13628B0F"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Stroke or transient ischemic attack</w:t>
            </w:r>
          </w:p>
        </w:tc>
        <w:tc>
          <w:tcPr>
            <w:tcW w:w="1842" w:type="dxa"/>
            <w:tcBorders>
              <w:top w:val="nil"/>
              <w:bottom w:val="nil"/>
            </w:tcBorders>
          </w:tcPr>
          <w:p w14:paraId="467D6BDB"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20.3</w:t>
            </w:r>
          </w:p>
        </w:tc>
        <w:tc>
          <w:tcPr>
            <w:tcW w:w="1803" w:type="dxa"/>
            <w:tcBorders>
              <w:top w:val="nil"/>
              <w:bottom w:val="nil"/>
            </w:tcBorders>
            <w:vAlign w:val="bottom"/>
          </w:tcPr>
          <w:p w14:paraId="549F8D3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20.4</w:t>
            </w:r>
          </w:p>
        </w:tc>
        <w:tc>
          <w:tcPr>
            <w:tcW w:w="1624" w:type="dxa"/>
            <w:tcBorders>
              <w:top w:val="nil"/>
              <w:bottom w:val="nil"/>
            </w:tcBorders>
          </w:tcPr>
          <w:p w14:paraId="07FA77D1"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0.821</w:t>
            </w:r>
          </w:p>
        </w:tc>
      </w:tr>
      <w:tr w:rsidR="0036402F" w:rsidRPr="0036402F" w14:paraId="2258F69D" w14:textId="77777777" w:rsidTr="00D77D37">
        <w:trPr>
          <w:trHeight w:val="278"/>
        </w:trPr>
        <w:tc>
          <w:tcPr>
            <w:tcW w:w="4395" w:type="dxa"/>
            <w:tcBorders>
              <w:top w:val="nil"/>
              <w:bottom w:val="nil"/>
            </w:tcBorders>
          </w:tcPr>
          <w:p w14:paraId="78D0874B"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Chronic obstructive bronchitis or lung disease</w:t>
            </w:r>
          </w:p>
        </w:tc>
        <w:tc>
          <w:tcPr>
            <w:tcW w:w="1842" w:type="dxa"/>
            <w:tcBorders>
              <w:top w:val="nil"/>
              <w:bottom w:val="nil"/>
            </w:tcBorders>
          </w:tcPr>
          <w:p w14:paraId="72E34DF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19.5</w:t>
            </w:r>
          </w:p>
        </w:tc>
        <w:tc>
          <w:tcPr>
            <w:tcW w:w="1803" w:type="dxa"/>
            <w:tcBorders>
              <w:top w:val="nil"/>
              <w:bottom w:val="nil"/>
            </w:tcBorders>
            <w:vAlign w:val="bottom"/>
          </w:tcPr>
          <w:p w14:paraId="1533EBF5"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15.3</w:t>
            </w:r>
          </w:p>
        </w:tc>
        <w:tc>
          <w:tcPr>
            <w:tcW w:w="1624" w:type="dxa"/>
            <w:tcBorders>
              <w:top w:val="nil"/>
              <w:bottom w:val="nil"/>
            </w:tcBorders>
          </w:tcPr>
          <w:p w14:paraId="03EFD207"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621636DD" w14:textId="77777777" w:rsidTr="00D77D37">
        <w:trPr>
          <w:trHeight w:val="278"/>
        </w:trPr>
        <w:tc>
          <w:tcPr>
            <w:tcW w:w="4395" w:type="dxa"/>
            <w:tcBorders>
              <w:top w:val="nil"/>
              <w:bottom w:val="nil"/>
            </w:tcBorders>
          </w:tcPr>
          <w:p w14:paraId="49F9B4FC"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Heart failure</w:t>
            </w:r>
          </w:p>
        </w:tc>
        <w:tc>
          <w:tcPr>
            <w:tcW w:w="1842" w:type="dxa"/>
            <w:tcBorders>
              <w:top w:val="nil"/>
              <w:bottom w:val="nil"/>
            </w:tcBorders>
          </w:tcPr>
          <w:p w14:paraId="0BA0FA1F"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18.5</w:t>
            </w:r>
          </w:p>
        </w:tc>
        <w:tc>
          <w:tcPr>
            <w:tcW w:w="1803" w:type="dxa"/>
            <w:tcBorders>
              <w:top w:val="nil"/>
              <w:bottom w:val="nil"/>
            </w:tcBorders>
            <w:vAlign w:val="bottom"/>
          </w:tcPr>
          <w:p w14:paraId="39A8312F"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15.0</w:t>
            </w:r>
          </w:p>
        </w:tc>
        <w:tc>
          <w:tcPr>
            <w:tcW w:w="1624" w:type="dxa"/>
            <w:tcBorders>
              <w:top w:val="nil"/>
              <w:bottom w:val="nil"/>
            </w:tcBorders>
          </w:tcPr>
          <w:p w14:paraId="04739B37"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54B0194C" w14:textId="77777777" w:rsidTr="00D77D37">
        <w:trPr>
          <w:trHeight w:val="364"/>
        </w:trPr>
        <w:tc>
          <w:tcPr>
            <w:tcW w:w="4395" w:type="dxa"/>
            <w:tcBorders>
              <w:top w:val="nil"/>
              <w:bottom w:val="nil"/>
            </w:tcBorders>
          </w:tcPr>
          <w:p w14:paraId="0943AABC"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Renal failure</w:t>
            </w:r>
          </w:p>
        </w:tc>
        <w:tc>
          <w:tcPr>
            <w:tcW w:w="1842" w:type="dxa"/>
            <w:tcBorders>
              <w:top w:val="nil"/>
              <w:bottom w:val="nil"/>
            </w:tcBorders>
          </w:tcPr>
          <w:p w14:paraId="03F997BC"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16.4</w:t>
            </w:r>
          </w:p>
        </w:tc>
        <w:tc>
          <w:tcPr>
            <w:tcW w:w="1803" w:type="dxa"/>
            <w:tcBorders>
              <w:top w:val="nil"/>
              <w:bottom w:val="nil"/>
            </w:tcBorders>
            <w:vAlign w:val="bottom"/>
          </w:tcPr>
          <w:p w14:paraId="193ECBEF"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14.3</w:t>
            </w:r>
          </w:p>
        </w:tc>
        <w:tc>
          <w:tcPr>
            <w:tcW w:w="1624" w:type="dxa"/>
            <w:tcBorders>
              <w:top w:val="nil"/>
              <w:bottom w:val="nil"/>
            </w:tcBorders>
          </w:tcPr>
          <w:p w14:paraId="192251FD"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0930C157" w14:textId="77777777" w:rsidTr="00D77D37">
        <w:trPr>
          <w:trHeight w:val="364"/>
        </w:trPr>
        <w:tc>
          <w:tcPr>
            <w:tcW w:w="4395" w:type="dxa"/>
            <w:tcBorders>
              <w:top w:val="nil"/>
              <w:bottom w:val="nil"/>
            </w:tcBorders>
          </w:tcPr>
          <w:p w14:paraId="02C74FE8"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Chronic liver diseases</w:t>
            </w:r>
          </w:p>
        </w:tc>
        <w:tc>
          <w:tcPr>
            <w:tcW w:w="1842" w:type="dxa"/>
            <w:tcBorders>
              <w:top w:val="nil"/>
              <w:bottom w:val="nil"/>
            </w:tcBorders>
          </w:tcPr>
          <w:p w14:paraId="33511BD9"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15.8</w:t>
            </w:r>
          </w:p>
        </w:tc>
        <w:tc>
          <w:tcPr>
            <w:tcW w:w="1803" w:type="dxa"/>
            <w:tcBorders>
              <w:top w:val="nil"/>
              <w:bottom w:val="nil"/>
            </w:tcBorders>
            <w:vAlign w:val="bottom"/>
          </w:tcPr>
          <w:p w14:paraId="49A61FE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15.4</w:t>
            </w:r>
          </w:p>
        </w:tc>
        <w:tc>
          <w:tcPr>
            <w:tcW w:w="1624" w:type="dxa"/>
            <w:tcBorders>
              <w:top w:val="nil"/>
              <w:bottom w:val="nil"/>
            </w:tcBorders>
          </w:tcPr>
          <w:p w14:paraId="05221FF6"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354B05F4" w14:textId="77777777" w:rsidTr="00D77D37">
        <w:trPr>
          <w:trHeight w:val="364"/>
        </w:trPr>
        <w:tc>
          <w:tcPr>
            <w:tcW w:w="4395" w:type="dxa"/>
            <w:tcBorders>
              <w:top w:val="nil"/>
              <w:bottom w:val="nil"/>
            </w:tcBorders>
          </w:tcPr>
          <w:p w14:paraId="2E75D716" w14:textId="2CE7F08D"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Neck o</w:t>
            </w:r>
            <w:r w:rsidR="00197DFB" w:rsidRPr="0036402F">
              <w:rPr>
                <w:rFonts w:ascii="Arial" w:hAnsi="Arial" w:cs="Arial"/>
                <w:sz w:val="20"/>
                <w:szCs w:val="20"/>
                <w:lang w:val="en-US"/>
              </w:rPr>
              <w:t>f</w:t>
            </w:r>
            <w:r w:rsidRPr="0036402F">
              <w:rPr>
                <w:rFonts w:ascii="Arial" w:hAnsi="Arial" w:cs="Arial"/>
                <w:sz w:val="20"/>
                <w:szCs w:val="20"/>
                <w:lang w:val="en-US"/>
              </w:rPr>
              <w:t xml:space="preserve"> femur fracture</w:t>
            </w:r>
          </w:p>
        </w:tc>
        <w:tc>
          <w:tcPr>
            <w:tcW w:w="1842" w:type="dxa"/>
            <w:tcBorders>
              <w:top w:val="nil"/>
              <w:bottom w:val="nil"/>
            </w:tcBorders>
          </w:tcPr>
          <w:p w14:paraId="79C92E78" w14:textId="48A1EEE1" w:rsidR="00604CFB" w:rsidRPr="0036402F" w:rsidRDefault="00197DFB" w:rsidP="00D77D37">
            <w:pPr>
              <w:spacing w:line="360" w:lineRule="auto"/>
              <w:jc w:val="center"/>
              <w:rPr>
                <w:rFonts w:ascii="Arial" w:hAnsi="Arial" w:cs="Arial"/>
                <w:sz w:val="20"/>
                <w:szCs w:val="20"/>
                <w:lang w:val="en-US"/>
              </w:rPr>
            </w:pPr>
            <w:r w:rsidRPr="0036402F">
              <w:rPr>
                <w:rFonts w:ascii="Arial" w:hAnsi="Arial" w:cs="Arial"/>
                <w:sz w:val="20"/>
                <w:szCs w:val="20"/>
                <w:lang w:val="en-US"/>
              </w:rPr>
              <w:t>1.6</w:t>
            </w:r>
          </w:p>
        </w:tc>
        <w:tc>
          <w:tcPr>
            <w:tcW w:w="1803" w:type="dxa"/>
            <w:tcBorders>
              <w:top w:val="nil"/>
              <w:bottom w:val="nil"/>
            </w:tcBorders>
            <w:vAlign w:val="bottom"/>
          </w:tcPr>
          <w:p w14:paraId="3608BCBD" w14:textId="4C837182" w:rsidR="00604CFB" w:rsidRPr="0036402F" w:rsidRDefault="00197DFB" w:rsidP="00D77D37">
            <w:pPr>
              <w:spacing w:line="360" w:lineRule="auto"/>
              <w:jc w:val="center"/>
              <w:rPr>
                <w:rFonts w:ascii="Arial" w:hAnsi="Arial" w:cs="Arial"/>
                <w:sz w:val="20"/>
                <w:szCs w:val="20"/>
                <w:lang w:val="en-US"/>
              </w:rPr>
            </w:pPr>
            <w:r w:rsidRPr="0036402F">
              <w:rPr>
                <w:rFonts w:ascii="Arial" w:hAnsi="Arial" w:cs="Arial"/>
                <w:sz w:val="20"/>
                <w:szCs w:val="20"/>
                <w:lang w:val="en-US"/>
              </w:rPr>
              <w:t>2.6</w:t>
            </w:r>
          </w:p>
        </w:tc>
        <w:tc>
          <w:tcPr>
            <w:tcW w:w="1624" w:type="dxa"/>
            <w:tcBorders>
              <w:top w:val="nil"/>
              <w:bottom w:val="nil"/>
            </w:tcBorders>
          </w:tcPr>
          <w:p w14:paraId="083D5DFA"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538A1611" w14:textId="77777777" w:rsidTr="00D77D37">
        <w:trPr>
          <w:trHeight w:val="278"/>
        </w:trPr>
        <w:tc>
          <w:tcPr>
            <w:tcW w:w="4395" w:type="dxa"/>
            <w:tcBorders>
              <w:top w:val="nil"/>
              <w:bottom w:val="nil"/>
            </w:tcBorders>
          </w:tcPr>
          <w:p w14:paraId="1A303C15"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Epilepsy</w:t>
            </w:r>
          </w:p>
        </w:tc>
        <w:tc>
          <w:tcPr>
            <w:tcW w:w="1842" w:type="dxa"/>
            <w:tcBorders>
              <w:top w:val="nil"/>
              <w:bottom w:val="nil"/>
            </w:tcBorders>
          </w:tcPr>
          <w:p w14:paraId="477DAE52"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1.6</w:t>
            </w:r>
          </w:p>
        </w:tc>
        <w:tc>
          <w:tcPr>
            <w:tcW w:w="1803" w:type="dxa"/>
            <w:tcBorders>
              <w:top w:val="nil"/>
              <w:bottom w:val="nil"/>
            </w:tcBorders>
            <w:vAlign w:val="bottom"/>
          </w:tcPr>
          <w:p w14:paraId="3B955E93"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2.2</w:t>
            </w:r>
          </w:p>
        </w:tc>
        <w:tc>
          <w:tcPr>
            <w:tcW w:w="1624" w:type="dxa"/>
            <w:tcBorders>
              <w:top w:val="nil"/>
              <w:bottom w:val="nil"/>
            </w:tcBorders>
          </w:tcPr>
          <w:p w14:paraId="6C59FE9F"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2A9176B1" w14:textId="77777777" w:rsidTr="00D77D37">
        <w:trPr>
          <w:trHeight w:val="364"/>
        </w:trPr>
        <w:tc>
          <w:tcPr>
            <w:tcW w:w="4395" w:type="dxa"/>
            <w:tcBorders>
              <w:top w:val="nil"/>
              <w:bottom w:val="nil"/>
            </w:tcBorders>
          </w:tcPr>
          <w:p w14:paraId="737D7133"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Inflammatory bowel disease</w:t>
            </w:r>
          </w:p>
        </w:tc>
        <w:tc>
          <w:tcPr>
            <w:tcW w:w="1842" w:type="dxa"/>
            <w:tcBorders>
              <w:top w:val="nil"/>
              <w:bottom w:val="nil"/>
            </w:tcBorders>
          </w:tcPr>
          <w:p w14:paraId="2E6CA85D"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1.4</w:t>
            </w:r>
          </w:p>
        </w:tc>
        <w:tc>
          <w:tcPr>
            <w:tcW w:w="1803" w:type="dxa"/>
            <w:tcBorders>
              <w:top w:val="nil"/>
              <w:bottom w:val="nil"/>
            </w:tcBorders>
            <w:vAlign w:val="bottom"/>
          </w:tcPr>
          <w:p w14:paraId="1983D4EC"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rPr>
              <w:t>1.1</w:t>
            </w:r>
          </w:p>
        </w:tc>
        <w:tc>
          <w:tcPr>
            <w:tcW w:w="1624" w:type="dxa"/>
            <w:tcBorders>
              <w:top w:val="nil"/>
              <w:bottom w:val="nil"/>
            </w:tcBorders>
          </w:tcPr>
          <w:p w14:paraId="718C331B"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&lt;0.001</w:t>
            </w:r>
          </w:p>
        </w:tc>
      </w:tr>
      <w:tr w:rsidR="0036402F" w:rsidRPr="0036402F" w14:paraId="7CC34F83" w14:textId="77777777" w:rsidTr="00D77D37">
        <w:trPr>
          <w:trHeight w:val="364"/>
        </w:trPr>
        <w:tc>
          <w:tcPr>
            <w:tcW w:w="4395" w:type="dxa"/>
            <w:tcBorders>
              <w:top w:val="nil"/>
            </w:tcBorders>
          </w:tcPr>
          <w:p w14:paraId="29831CB9" w14:textId="77777777" w:rsidR="00604CFB" w:rsidRPr="0036402F" w:rsidRDefault="00604CFB" w:rsidP="00D77D37">
            <w:pPr>
              <w:spacing w:line="360" w:lineRule="auto"/>
              <w:rPr>
                <w:rFonts w:ascii="Arial" w:hAnsi="Arial" w:cs="Arial"/>
                <w:sz w:val="20"/>
                <w:szCs w:val="20"/>
                <w:lang w:val="en-US"/>
              </w:rPr>
            </w:pPr>
            <w:r w:rsidRPr="0036402F">
              <w:rPr>
                <w:rFonts w:ascii="Arial" w:hAnsi="Arial" w:cs="Arial"/>
                <w:sz w:val="20"/>
                <w:szCs w:val="20"/>
                <w:lang w:val="en-US"/>
              </w:rPr>
              <w:t>Mild cognitive impairment</w:t>
            </w:r>
          </w:p>
        </w:tc>
        <w:tc>
          <w:tcPr>
            <w:tcW w:w="1842" w:type="dxa"/>
            <w:tcBorders>
              <w:top w:val="nil"/>
            </w:tcBorders>
          </w:tcPr>
          <w:p w14:paraId="25F1B66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1.1</w:t>
            </w:r>
          </w:p>
        </w:tc>
        <w:tc>
          <w:tcPr>
            <w:tcW w:w="1803" w:type="dxa"/>
            <w:tcBorders>
              <w:top w:val="nil"/>
            </w:tcBorders>
            <w:vAlign w:val="bottom"/>
          </w:tcPr>
          <w:p w14:paraId="44F06FE7"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1.1</w:t>
            </w:r>
          </w:p>
        </w:tc>
        <w:tc>
          <w:tcPr>
            <w:tcW w:w="1624" w:type="dxa"/>
            <w:tcBorders>
              <w:top w:val="nil"/>
            </w:tcBorders>
          </w:tcPr>
          <w:p w14:paraId="5701D7DE" w14:textId="77777777" w:rsidR="00604CFB" w:rsidRPr="0036402F" w:rsidRDefault="00604CFB" w:rsidP="00D77D37">
            <w:pPr>
              <w:spacing w:line="360" w:lineRule="auto"/>
              <w:jc w:val="center"/>
              <w:rPr>
                <w:rFonts w:ascii="Arial" w:hAnsi="Arial" w:cs="Arial"/>
                <w:sz w:val="20"/>
                <w:szCs w:val="20"/>
                <w:lang w:val="en-US"/>
              </w:rPr>
            </w:pPr>
            <w:r w:rsidRPr="0036402F">
              <w:rPr>
                <w:rFonts w:ascii="Arial" w:hAnsi="Arial" w:cs="Arial"/>
                <w:sz w:val="20"/>
                <w:szCs w:val="20"/>
                <w:lang w:val="en-US"/>
              </w:rPr>
              <w:t>0.995</w:t>
            </w:r>
          </w:p>
        </w:tc>
      </w:tr>
    </w:tbl>
    <w:p w14:paraId="6BCE5C0F" w14:textId="77777777" w:rsidR="00604CFB" w:rsidRPr="0036402F" w:rsidRDefault="00604CFB" w:rsidP="00604CFB">
      <w:pPr>
        <w:rPr>
          <w:rFonts w:ascii="Arial" w:hAnsi="Arial" w:cs="Arial"/>
          <w:sz w:val="20"/>
          <w:szCs w:val="20"/>
          <w:lang w:val="en-US"/>
        </w:rPr>
      </w:pPr>
      <w:r w:rsidRPr="0036402F">
        <w:rPr>
          <w:rFonts w:ascii="Arial" w:hAnsi="Arial" w:cs="Arial"/>
          <w:sz w:val="20"/>
          <w:szCs w:val="20"/>
          <w:lang w:val="en-US"/>
        </w:rPr>
        <w:t>Abbreviation: SD standard deviation.</w:t>
      </w:r>
    </w:p>
    <w:p w14:paraId="66AE94DF" w14:textId="77777777" w:rsidR="00604CFB" w:rsidRPr="0036402F" w:rsidRDefault="00604CFB" w:rsidP="00604CFB">
      <w:pPr>
        <w:rPr>
          <w:rFonts w:ascii="Arial" w:hAnsi="Arial" w:cs="Arial"/>
          <w:sz w:val="20"/>
          <w:szCs w:val="20"/>
          <w:lang w:val="en-US"/>
        </w:rPr>
      </w:pPr>
      <w:r w:rsidRPr="0036402F">
        <w:rPr>
          <w:rFonts w:ascii="Arial" w:hAnsi="Arial" w:cs="Arial"/>
          <w:sz w:val="20"/>
          <w:szCs w:val="20"/>
          <w:lang w:val="en-US"/>
        </w:rPr>
        <w:t xml:space="preserve">Data are proportion unless otherwise specified. </w:t>
      </w:r>
    </w:p>
    <w:p w14:paraId="4AB1BF1B" w14:textId="77777777" w:rsidR="00604CFB" w:rsidRPr="0036402F" w:rsidRDefault="00604CFB">
      <w:pPr>
        <w:rPr>
          <w:rFonts w:ascii="Arial" w:hAnsi="Arial" w:cs="Arial"/>
          <w:b/>
          <w:sz w:val="24"/>
          <w:szCs w:val="24"/>
          <w:lang w:val="en-US"/>
        </w:rPr>
      </w:pPr>
      <w:r w:rsidRPr="0036402F">
        <w:rPr>
          <w:rFonts w:ascii="Arial" w:hAnsi="Arial" w:cs="Arial"/>
          <w:b/>
          <w:sz w:val="24"/>
          <w:szCs w:val="24"/>
          <w:lang w:val="en-US"/>
        </w:rPr>
        <w:br w:type="page"/>
      </w:r>
    </w:p>
    <w:p w14:paraId="124A0EE1" w14:textId="12D05BBB" w:rsidR="00DD4EE8" w:rsidRPr="0036402F" w:rsidRDefault="00982713" w:rsidP="003C41AC">
      <w:pPr>
        <w:spacing w:line="480" w:lineRule="auto"/>
        <w:jc w:val="both"/>
        <w:rPr>
          <w:rFonts w:ascii="Arial" w:hAnsi="Arial" w:cs="Arial"/>
          <w:sz w:val="24"/>
          <w:szCs w:val="24"/>
          <w:lang w:val="en-US"/>
        </w:rPr>
      </w:pPr>
      <w:r w:rsidRPr="0036402F">
        <w:rPr>
          <w:rFonts w:ascii="Arial" w:hAnsi="Arial" w:cs="Arial"/>
          <w:b/>
          <w:sz w:val="24"/>
          <w:szCs w:val="24"/>
          <w:lang w:val="en-US"/>
        </w:rPr>
        <w:lastRenderedPageBreak/>
        <w:t xml:space="preserve">Supplementary </w:t>
      </w:r>
      <w:r w:rsidR="00B545B0" w:rsidRPr="0036402F">
        <w:rPr>
          <w:rFonts w:ascii="Arial" w:hAnsi="Arial" w:cs="Arial"/>
          <w:b/>
          <w:sz w:val="24"/>
          <w:szCs w:val="24"/>
          <w:lang w:val="en-US"/>
        </w:rPr>
        <w:t xml:space="preserve">Table </w:t>
      </w:r>
      <w:r w:rsidR="00197CFC" w:rsidRPr="0036402F">
        <w:rPr>
          <w:rFonts w:ascii="Arial" w:hAnsi="Arial" w:cs="Arial"/>
          <w:b/>
          <w:sz w:val="24"/>
          <w:szCs w:val="24"/>
          <w:lang w:val="en-US"/>
        </w:rPr>
        <w:t>2</w:t>
      </w:r>
      <w:r w:rsidR="00B545B0" w:rsidRPr="0036402F">
        <w:rPr>
          <w:rFonts w:ascii="Arial" w:hAnsi="Arial" w:cs="Arial"/>
          <w:b/>
          <w:sz w:val="24"/>
          <w:szCs w:val="24"/>
          <w:lang w:val="en-US"/>
        </w:rPr>
        <w:t>.</w:t>
      </w:r>
      <w:r w:rsidR="00B545B0" w:rsidRPr="0036402F">
        <w:rPr>
          <w:rFonts w:ascii="Arial" w:hAnsi="Arial" w:cs="Arial"/>
          <w:sz w:val="24"/>
          <w:szCs w:val="24"/>
          <w:lang w:val="en-US"/>
        </w:rPr>
        <w:t xml:space="preserve"> </w:t>
      </w:r>
      <w:r w:rsidR="00862CED" w:rsidRPr="0036402F">
        <w:rPr>
          <w:rFonts w:ascii="Arial" w:hAnsi="Arial" w:cs="Arial"/>
          <w:sz w:val="24"/>
          <w:szCs w:val="24"/>
          <w:lang w:val="en-US"/>
        </w:rPr>
        <w:t xml:space="preserve">Association between covariates </w:t>
      </w:r>
      <w:r w:rsidR="00A61542" w:rsidRPr="0036402F">
        <w:rPr>
          <w:rFonts w:ascii="Arial" w:hAnsi="Arial" w:cs="Arial"/>
          <w:sz w:val="24"/>
          <w:szCs w:val="24"/>
          <w:lang w:val="en-US"/>
        </w:rPr>
        <w:t xml:space="preserve">and the </w:t>
      </w:r>
      <w:r w:rsidR="00B545B0" w:rsidRPr="0036402F">
        <w:rPr>
          <w:rFonts w:ascii="Arial" w:hAnsi="Arial" w:cs="Arial"/>
          <w:sz w:val="24"/>
          <w:szCs w:val="24"/>
          <w:lang w:val="en-US"/>
        </w:rPr>
        <w:t>incidence of all</w:t>
      </w:r>
      <w:r w:rsidR="005253C6" w:rsidRPr="0036402F">
        <w:rPr>
          <w:rFonts w:ascii="Arial" w:hAnsi="Arial" w:cs="Arial"/>
          <w:sz w:val="24"/>
          <w:szCs w:val="24"/>
          <w:lang w:val="en-US"/>
        </w:rPr>
        <w:t xml:space="preserve"> types of</w:t>
      </w:r>
      <w:r w:rsidR="00B545B0" w:rsidRPr="0036402F">
        <w:rPr>
          <w:rFonts w:ascii="Arial" w:hAnsi="Arial" w:cs="Arial"/>
          <w:sz w:val="24"/>
          <w:szCs w:val="24"/>
          <w:lang w:val="en-US"/>
        </w:rPr>
        <w:t xml:space="preserve"> dementia</w:t>
      </w:r>
      <w:r w:rsidR="00DA79A7" w:rsidRPr="0036402F">
        <w:rPr>
          <w:rFonts w:ascii="Arial" w:hAnsi="Arial" w:cs="Arial"/>
          <w:sz w:val="24"/>
          <w:szCs w:val="24"/>
          <w:lang w:val="en-US"/>
        </w:rPr>
        <w:t xml:space="preserve"> (adjusted Cox regression model)</w:t>
      </w:r>
    </w:p>
    <w:tbl>
      <w:tblPr>
        <w:tblW w:w="9391" w:type="dxa"/>
        <w:tblBorders>
          <w:top w:val="single" w:sz="4" w:space="0" w:color="auto"/>
          <w:bottom w:val="single" w:sz="4" w:space="0" w:color="auto"/>
          <w:insideH w:val="single" w:sz="4" w:space="0" w:color="auto"/>
        </w:tblBorders>
        <w:tblLook w:val="00A0" w:firstRow="1" w:lastRow="0" w:firstColumn="1" w:lastColumn="0" w:noHBand="0" w:noVBand="0"/>
      </w:tblPr>
      <w:tblGrid>
        <w:gridCol w:w="3318"/>
        <w:gridCol w:w="2933"/>
        <w:gridCol w:w="3140"/>
      </w:tblGrid>
      <w:tr w:rsidR="0036402F" w:rsidRPr="0036402F" w14:paraId="734E3E9B" w14:textId="77777777" w:rsidTr="00DD4EE8">
        <w:trPr>
          <w:trHeight w:val="521"/>
        </w:trPr>
        <w:tc>
          <w:tcPr>
            <w:tcW w:w="3318" w:type="dxa"/>
            <w:tcBorders>
              <w:bottom w:val="single" w:sz="4" w:space="0" w:color="auto"/>
            </w:tcBorders>
          </w:tcPr>
          <w:p w14:paraId="3967F986" w14:textId="77777777" w:rsidR="00DD4EE8" w:rsidRPr="0036402F" w:rsidRDefault="00DD4EE8" w:rsidP="00DD4EE8">
            <w:pPr>
              <w:rPr>
                <w:rFonts w:ascii="Arial" w:hAnsi="Arial" w:cs="Arial"/>
                <w:b/>
                <w:bCs/>
                <w:sz w:val="20"/>
                <w:szCs w:val="20"/>
                <w:lang w:val="en-US"/>
              </w:rPr>
            </w:pPr>
            <w:r w:rsidRPr="0036402F">
              <w:rPr>
                <w:rFonts w:ascii="Arial" w:hAnsi="Arial" w:cs="Arial"/>
                <w:b/>
                <w:bCs/>
                <w:sz w:val="20"/>
                <w:szCs w:val="20"/>
                <w:lang w:val="en-US"/>
              </w:rPr>
              <w:t>Variable</w:t>
            </w:r>
          </w:p>
        </w:tc>
        <w:tc>
          <w:tcPr>
            <w:tcW w:w="2933" w:type="dxa"/>
            <w:tcBorders>
              <w:bottom w:val="single" w:sz="4" w:space="0" w:color="auto"/>
            </w:tcBorders>
          </w:tcPr>
          <w:p w14:paraId="64DC6684" w14:textId="609C834C" w:rsidR="00DD4EE8" w:rsidRPr="0036402F" w:rsidRDefault="00DD4EE8" w:rsidP="00DD4EE8">
            <w:pPr>
              <w:jc w:val="center"/>
              <w:rPr>
                <w:rFonts w:ascii="Arial" w:hAnsi="Arial" w:cs="Arial"/>
                <w:b/>
                <w:bCs/>
                <w:sz w:val="20"/>
                <w:szCs w:val="20"/>
                <w:lang w:val="en-US"/>
              </w:rPr>
            </w:pPr>
            <w:r w:rsidRPr="0036402F">
              <w:rPr>
                <w:rFonts w:ascii="Arial" w:hAnsi="Arial" w:cs="Arial"/>
                <w:b/>
                <w:bCs/>
                <w:sz w:val="20"/>
                <w:szCs w:val="20"/>
                <w:lang w:val="en-US"/>
              </w:rPr>
              <w:t>HR (95% CI)</w:t>
            </w:r>
          </w:p>
        </w:tc>
        <w:tc>
          <w:tcPr>
            <w:tcW w:w="3140" w:type="dxa"/>
            <w:tcBorders>
              <w:bottom w:val="single" w:sz="4" w:space="0" w:color="auto"/>
            </w:tcBorders>
          </w:tcPr>
          <w:p w14:paraId="7655B1D0" w14:textId="3459E5FF" w:rsidR="00DD4EE8" w:rsidRPr="0036402F" w:rsidRDefault="00DD4EE8" w:rsidP="00DD4EE8">
            <w:pPr>
              <w:jc w:val="center"/>
              <w:rPr>
                <w:rFonts w:ascii="Arial" w:hAnsi="Arial" w:cs="Arial"/>
                <w:b/>
                <w:bCs/>
                <w:sz w:val="20"/>
                <w:szCs w:val="20"/>
                <w:lang w:val="en-US"/>
              </w:rPr>
            </w:pPr>
            <w:r w:rsidRPr="0036402F">
              <w:rPr>
                <w:rFonts w:ascii="Arial" w:hAnsi="Arial" w:cs="Arial"/>
                <w:b/>
                <w:bCs/>
                <w:sz w:val="20"/>
                <w:szCs w:val="20"/>
                <w:lang w:val="en-US"/>
              </w:rPr>
              <w:t>P-value</w:t>
            </w:r>
          </w:p>
        </w:tc>
      </w:tr>
      <w:tr w:rsidR="0036402F" w:rsidRPr="0036402F" w14:paraId="2C96CE75" w14:textId="77777777" w:rsidTr="00DD4EE8">
        <w:trPr>
          <w:trHeight w:val="286"/>
        </w:trPr>
        <w:tc>
          <w:tcPr>
            <w:tcW w:w="3318" w:type="dxa"/>
            <w:tcBorders>
              <w:top w:val="nil"/>
              <w:bottom w:val="nil"/>
            </w:tcBorders>
          </w:tcPr>
          <w:p w14:paraId="34DDED89" w14:textId="54C1FC73"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Age</w:t>
            </w:r>
            <w:r w:rsidR="001A1262" w:rsidRPr="0036402F">
              <w:rPr>
                <w:rFonts w:ascii="Arial" w:hAnsi="Arial" w:cs="Arial"/>
                <w:b/>
                <w:bCs/>
                <w:sz w:val="20"/>
                <w:szCs w:val="20"/>
                <w:lang w:val="en-US"/>
              </w:rPr>
              <w:t xml:space="preserve"> (per one-year increase)</w:t>
            </w:r>
          </w:p>
        </w:tc>
        <w:tc>
          <w:tcPr>
            <w:tcW w:w="2933" w:type="dxa"/>
            <w:tcBorders>
              <w:top w:val="nil"/>
              <w:bottom w:val="nil"/>
            </w:tcBorders>
          </w:tcPr>
          <w:p w14:paraId="40EE80E7" w14:textId="48A9EDBC"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1.14 (1.13-1.15)</w:t>
            </w:r>
          </w:p>
        </w:tc>
        <w:tc>
          <w:tcPr>
            <w:tcW w:w="3140" w:type="dxa"/>
            <w:tcBorders>
              <w:top w:val="nil"/>
              <w:bottom w:val="nil"/>
            </w:tcBorders>
          </w:tcPr>
          <w:p w14:paraId="18D3F97C" w14:textId="08D58475"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128CDADC" w14:textId="77777777" w:rsidTr="00FA5522">
        <w:trPr>
          <w:trHeight w:val="286"/>
        </w:trPr>
        <w:tc>
          <w:tcPr>
            <w:tcW w:w="3318" w:type="dxa"/>
            <w:tcBorders>
              <w:top w:val="nil"/>
              <w:bottom w:val="nil"/>
            </w:tcBorders>
          </w:tcPr>
          <w:p w14:paraId="6E0BEFDE" w14:textId="74D52667" w:rsidR="001B1F37" w:rsidRPr="0036402F" w:rsidRDefault="001B1F37" w:rsidP="00136A84">
            <w:pPr>
              <w:spacing w:line="276" w:lineRule="auto"/>
              <w:rPr>
                <w:rFonts w:ascii="Arial" w:hAnsi="Arial" w:cs="Arial"/>
                <w:sz w:val="20"/>
                <w:szCs w:val="20"/>
                <w:lang w:val="en-US"/>
              </w:rPr>
            </w:pPr>
            <w:r w:rsidRPr="0036402F">
              <w:rPr>
                <w:rFonts w:ascii="Arial" w:hAnsi="Arial" w:cs="Arial"/>
                <w:sz w:val="20"/>
                <w:szCs w:val="20"/>
                <w:lang w:val="en-US"/>
              </w:rPr>
              <w:t>Male</w:t>
            </w:r>
            <w:r w:rsidR="004D3713" w:rsidRPr="0036402F">
              <w:rPr>
                <w:rFonts w:ascii="Arial" w:hAnsi="Arial" w:cs="Arial"/>
                <w:sz w:val="20"/>
                <w:szCs w:val="20"/>
                <w:lang w:val="en-US"/>
              </w:rPr>
              <w:t xml:space="preserve"> sex</w:t>
            </w:r>
          </w:p>
        </w:tc>
        <w:tc>
          <w:tcPr>
            <w:tcW w:w="2933" w:type="dxa"/>
            <w:tcBorders>
              <w:top w:val="nil"/>
              <w:bottom w:val="nil"/>
            </w:tcBorders>
          </w:tcPr>
          <w:p w14:paraId="5AFE020C" w14:textId="7516EABC" w:rsidR="001B1F37" w:rsidRPr="0036402F" w:rsidRDefault="001B1F37" w:rsidP="00136A84">
            <w:pPr>
              <w:spacing w:line="276" w:lineRule="auto"/>
              <w:jc w:val="center"/>
              <w:rPr>
                <w:rFonts w:ascii="Arial" w:hAnsi="Arial" w:cs="Arial"/>
                <w:sz w:val="20"/>
                <w:szCs w:val="20"/>
                <w:lang w:val="en-US"/>
              </w:rPr>
            </w:pPr>
            <w:r w:rsidRPr="0036402F">
              <w:rPr>
                <w:rFonts w:ascii="Arial" w:hAnsi="Arial" w:cs="Arial"/>
                <w:sz w:val="20"/>
                <w:szCs w:val="20"/>
                <w:lang w:val="en-US"/>
              </w:rPr>
              <w:t>1.</w:t>
            </w:r>
            <w:r w:rsidR="004E6894" w:rsidRPr="0036402F">
              <w:rPr>
                <w:rFonts w:ascii="Arial" w:hAnsi="Arial" w:cs="Arial"/>
                <w:sz w:val="20"/>
                <w:szCs w:val="20"/>
                <w:lang w:val="en-US"/>
              </w:rPr>
              <w:t>18</w:t>
            </w:r>
            <w:r w:rsidRPr="0036402F">
              <w:rPr>
                <w:rFonts w:ascii="Arial" w:hAnsi="Arial" w:cs="Arial"/>
                <w:sz w:val="20"/>
                <w:szCs w:val="20"/>
                <w:lang w:val="en-US"/>
              </w:rPr>
              <w:t xml:space="preserve"> (</w:t>
            </w:r>
            <w:r w:rsidR="004E6894" w:rsidRPr="0036402F">
              <w:rPr>
                <w:rFonts w:ascii="Arial" w:hAnsi="Arial" w:cs="Arial"/>
                <w:sz w:val="20"/>
                <w:szCs w:val="20"/>
                <w:lang w:val="en-US"/>
              </w:rPr>
              <w:t>0.83</w:t>
            </w:r>
            <w:r w:rsidRPr="0036402F">
              <w:rPr>
                <w:rFonts w:ascii="Arial" w:hAnsi="Arial" w:cs="Arial"/>
                <w:sz w:val="20"/>
                <w:szCs w:val="20"/>
                <w:lang w:val="en-US"/>
              </w:rPr>
              <w:t>-1.</w:t>
            </w:r>
            <w:r w:rsidR="004E6894" w:rsidRPr="0036402F">
              <w:rPr>
                <w:rFonts w:ascii="Arial" w:hAnsi="Arial" w:cs="Arial"/>
                <w:sz w:val="20"/>
                <w:szCs w:val="20"/>
                <w:lang w:val="en-US"/>
              </w:rPr>
              <w:t>68</w:t>
            </w:r>
            <w:r w:rsidRPr="0036402F">
              <w:rPr>
                <w:rFonts w:ascii="Arial" w:hAnsi="Arial" w:cs="Arial"/>
                <w:sz w:val="20"/>
                <w:szCs w:val="20"/>
                <w:lang w:val="en-US"/>
              </w:rPr>
              <w:t>)</w:t>
            </w:r>
          </w:p>
        </w:tc>
        <w:tc>
          <w:tcPr>
            <w:tcW w:w="3140" w:type="dxa"/>
            <w:tcBorders>
              <w:top w:val="nil"/>
              <w:bottom w:val="nil"/>
            </w:tcBorders>
          </w:tcPr>
          <w:p w14:paraId="5DA15D80" w14:textId="2E13C48A" w:rsidR="001B1F37" w:rsidRPr="0036402F" w:rsidRDefault="001B1F37" w:rsidP="00136A84">
            <w:pPr>
              <w:spacing w:line="276" w:lineRule="auto"/>
              <w:jc w:val="center"/>
              <w:rPr>
                <w:rFonts w:ascii="Arial" w:hAnsi="Arial" w:cs="Arial"/>
                <w:sz w:val="20"/>
                <w:szCs w:val="20"/>
                <w:lang w:val="en-US"/>
              </w:rPr>
            </w:pPr>
            <w:r w:rsidRPr="0036402F">
              <w:rPr>
                <w:rFonts w:ascii="Arial" w:hAnsi="Arial" w:cs="Arial"/>
                <w:sz w:val="20"/>
                <w:szCs w:val="20"/>
                <w:lang w:val="en-US"/>
              </w:rPr>
              <w:t>0.</w:t>
            </w:r>
            <w:r w:rsidR="004E6894" w:rsidRPr="0036402F">
              <w:rPr>
                <w:rFonts w:ascii="Arial" w:hAnsi="Arial" w:cs="Arial"/>
                <w:sz w:val="20"/>
                <w:szCs w:val="20"/>
                <w:lang w:val="en-US"/>
              </w:rPr>
              <w:t>364</w:t>
            </w:r>
          </w:p>
        </w:tc>
      </w:tr>
      <w:tr w:rsidR="0036402F" w:rsidRPr="0036402F" w14:paraId="1DA3C534" w14:textId="77777777" w:rsidTr="00DD4EE8">
        <w:trPr>
          <w:trHeight w:val="268"/>
        </w:trPr>
        <w:tc>
          <w:tcPr>
            <w:tcW w:w="3318" w:type="dxa"/>
            <w:tcBorders>
              <w:top w:val="nil"/>
              <w:bottom w:val="nil"/>
            </w:tcBorders>
          </w:tcPr>
          <w:p w14:paraId="12733629" w14:textId="77777777" w:rsidR="00DD4EE8" w:rsidRPr="0036402F" w:rsidRDefault="00DD4EE8" w:rsidP="00136A84">
            <w:pPr>
              <w:spacing w:line="276" w:lineRule="auto"/>
              <w:rPr>
                <w:rFonts w:ascii="Arial" w:hAnsi="Arial" w:cs="Arial"/>
                <w:sz w:val="20"/>
                <w:szCs w:val="20"/>
                <w:lang w:val="en-US"/>
              </w:rPr>
            </w:pPr>
            <w:r w:rsidRPr="0036402F">
              <w:rPr>
                <w:rFonts w:ascii="Arial" w:hAnsi="Arial" w:cs="Arial"/>
                <w:sz w:val="20"/>
                <w:szCs w:val="20"/>
                <w:lang w:val="en-US"/>
              </w:rPr>
              <w:t>Hypertension</w:t>
            </w:r>
          </w:p>
        </w:tc>
        <w:tc>
          <w:tcPr>
            <w:tcW w:w="2933" w:type="dxa"/>
            <w:tcBorders>
              <w:top w:val="nil"/>
              <w:bottom w:val="nil"/>
            </w:tcBorders>
          </w:tcPr>
          <w:p w14:paraId="68F1752B" w14:textId="4472C47C" w:rsidR="00DD4EE8" w:rsidRPr="0036402F" w:rsidRDefault="00DD4EE8" w:rsidP="00136A84">
            <w:pPr>
              <w:spacing w:line="276" w:lineRule="auto"/>
              <w:jc w:val="center"/>
              <w:rPr>
                <w:rFonts w:ascii="Arial" w:hAnsi="Arial" w:cs="Arial"/>
                <w:sz w:val="20"/>
                <w:szCs w:val="20"/>
                <w:lang w:val="en-US"/>
              </w:rPr>
            </w:pPr>
            <w:r w:rsidRPr="0036402F">
              <w:rPr>
                <w:rFonts w:ascii="Arial" w:hAnsi="Arial" w:cs="Arial"/>
                <w:sz w:val="20"/>
                <w:szCs w:val="20"/>
                <w:lang w:val="en-US"/>
              </w:rPr>
              <w:t>1.02 (0.97-1.06)</w:t>
            </w:r>
          </w:p>
        </w:tc>
        <w:tc>
          <w:tcPr>
            <w:tcW w:w="3140" w:type="dxa"/>
            <w:tcBorders>
              <w:top w:val="nil"/>
              <w:bottom w:val="nil"/>
            </w:tcBorders>
          </w:tcPr>
          <w:p w14:paraId="1228EE42" w14:textId="507DB443" w:rsidR="00DD4EE8" w:rsidRPr="0036402F" w:rsidRDefault="00DD4EE8" w:rsidP="00136A84">
            <w:pPr>
              <w:spacing w:line="276" w:lineRule="auto"/>
              <w:jc w:val="center"/>
              <w:rPr>
                <w:rFonts w:ascii="Arial" w:hAnsi="Arial" w:cs="Arial"/>
                <w:sz w:val="20"/>
                <w:szCs w:val="20"/>
                <w:lang w:val="en-US"/>
              </w:rPr>
            </w:pPr>
            <w:r w:rsidRPr="0036402F">
              <w:rPr>
                <w:rFonts w:ascii="Arial" w:hAnsi="Arial" w:cs="Arial"/>
                <w:sz w:val="20"/>
                <w:szCs w:val="20"/>
                <w:lang w:val="en-US"/>
              </w:rPr>
              <w:t>0.469</w:t>
            </w:r>
          </w:p>
        </w:tc>
      </w:tr>
      <w:tr w:rsidR="0036402F" w:rsidRPr="0036402F" w14:paraId="44A602BD" w14:textId="77777777" w:rsidTr="00DD4EE8">
        <w:trPr>
          <w:trHeight w:val="268"/>
        </w:trPr>
        <w:tc>
          <w:tcPr>
            <w:tcW w:w="3318" w:type="dxa"/>
            <w:tcBorders>
              <w:top w:val="nil"/>
              <w:bottom w:val="nil"/>
            </w:tcBorders>
          </w:tcPr>
          <w:p w14:paraId="2ED1252C" w14:textId="77777777"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Lipid metabolism disorders</w:t>
            </w:r>
          </w:p>
        </w:tc>
        <w:tc>
          <w:tcPr>
            <w:tcW w:w="2933" w:type="dxa"/>
            <w:tcBorders>
              <w:top w:val="nil"/>
              <w:bottom w:val="nil"/>
            </w:tcBorders>
          </w:tcPr>
          <w:p w14:paraId="288BD530" w14:textId="3FDFB2E2"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0.90 (0.87-0.93)</w:t>
            </w:r>
          </w:p>
        </w:tc>
        <w:tc>
          <w:tcPr>
            <w:tcW w:w="3140" w:type="dxa"/>
            <w:tcBorders>
              <w:top w:val="nil"/>
              <w:bottom w:val="nil"/>
            </w:tcBorders>
          </w:tcPr>
          <w:p w14:paraId="177E61DD" w14:textId="5BAA9C25"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7E91B54B" w14:textId="77777777" w:rsidTr="00DD4EE8">
        <w:trPr>
          <w:trHeight w:val="268"/>
        </w:trPr>
        <w:tc>
          <w:tcPr>
            <w:tcW w:w="3318" w:type="dxa"/>
            <w:tcBorders>
              <w:top w:val="nil"/>
              <w:bottom w:val="nil"/>
            </w:tcBorders>
          </w:tcPr>
          <w:p w14:paraId="2FC3F5B6" w14:textId="77777777"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Diabetes mellitus</w:t>
            </w:r>
          </w:p>
        </w:tc>
        <w:tc>
          <w:tcPr>
            <w:tcW w:w="2933" w:type="dxa"/>
            <w:tcBorders>
              <w:top w:val="nil"/>
              <w:bottom w:val="nil"/>
            </w:tcBorders>
          </w:tcPr>
          <w:p w14:paraId="0BB613EC" w14:textId="7BE2FBB4"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1.23 (1.20-1.27)</w:t>
            </w:r>
          </w:p>
        </w:tc>
        <w:tc>
          <w:tcPr>
            <w:tcW w:w="3140" w:type="dxa"/>
            <w:tcBorders>
              <w:top w:val="nil"/>
              <w:bottom w:val="nil"/>
            </w:tcBorders>
          </w:tcPr>
          <w:p w14:paraId="6326FF2D" w14:textId="02471ED3"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4845CBFE" w14:textId="77777777" w:rsidTr="00DD4EE8">
        <w:trPr>
          <w:trHeight w:val="268"/>
        </w:trPr>
        <w:tc>
          <w:tcPr>
            <w:tcW w:w="3318" w:type="dxa"/>
            <w:tcBorders>
              <w:top w:val="nil"/>
              <w:bottom w:val="nil"/>
            </w:tcBorders>
          </w:tcPr>
          <w:p w14:paraId="36E4F3E2" w14:textId="77777777"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Ischemic heart diseases</w:t>
            </w:r>
          </w:p>
        </w:tc>
        <w:tc>
          <w:tcPr>
            <w:tcW w:w="2933" w:type="dxa"/>
            <w:tcBorders>
              <w:top w:val="nil"/>
              <w:bottom w:val="nil"/>
            </w:tcBorders>
          </w:tcPr>
          <w:p w14:paraId="086D05D6" w14:textId="3EBA2AB3"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1.11 (1.08-1.15)</w:t>
            </w:r>
          </w:p>
        </w:tc>
        <w:tc>
          <w:tcPr>
            <w:tcW w:w="3140" w:type="dxa"/>
            <w:tcBorders>
              <w:top w:val="nil"/>
              <w:bottom w:val="nil"/>
            </w:tcBorders>
          </w:tcPr>
          <w:p w14:paraId="5985A953" w14:textId="7D763F78"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1495AF2B" w14:textId="77777777" w:rsidTr="00DD4EE8">
        <w:trPr>
          <w:trHeight w:val="268"/>
        </w:trPr>
        <w:tc>
          <w:tcPr>
            <w:tcW w:w="3318" w:type="dxa"/>
            <w:tcBorders>
              <w:top w:val="nil"/>
              <w:bottom w:val="nil"/>
            </w:tcBorders>
          </w:tcPr>
          <w:p w14:paraId="38AF9B1A" w14:textId="77777777"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Depression</w:t>
            </w:r>
          </w:p>
        </w:tc>
        <w:tc>
          <w:tcPr>
            <w:tcW w:w="2933" w:type="dxa"/>
            <w:tcBorders>
              <w:top w:val="nil"/>
              <w:bottom w:val="nil"/>
            </w:tcBorders>
          </w:tcPr>
          <w:p w14:paraId="43DE0764" w14:textId="14D1F511"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1.33 (1.28-1.37)</w:t>
            </w:r>
          </w:p>
        </w:tc>
        <w:tc>
          <w:tcPr>
            <w:tcW w:w="3140" w:type="dxa"/>
            <w:tcBorders>
              <w:top w:val="nil"/>
              <w:bottom w:val="nil"/>
            </w:tcBorders>
          </w:tcPr>
          <w:p w14:paraId="37CE6417" w14:textId="2BA8E13C"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1A1110EC" w14:textId="77777777" w:rsidTr="00DD4EE8">
        <w:trPr>
          <w:trHeight w:val="268"/>
        </w:trPr>
        <w:tc>
          <w:tcPr>
            <w:tcW w:w="3318" w:type="dxa"/>
            <w:tcBorders>
              <w:top w:val="nil"/>
              <w:bottom w:val="nil"/>
            </w:tcBorders>
          </w:tcPr>
          <w:p w14:paraId="4D6DBB8B" w14:textId="77777777"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Stroke or transient ischemic attack</w:t>
            </w:r>
          </w:p>
        </w:tc>
        <w:tc>
          <w:tcPr>
            <w:tcW w:w="2933" w:type="dxa"/>
            <w:tcBorders>
              <w:top w:val="nil"/>
              <w:bottom w:val="nil"/>
            </w:tcBorders>
          </w:tcPr>
          <w:p w14:paraId="05C0A2CF" w14:textId="1E914588"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1.17 (1.13-1.21)</w:t>
            </w:r>
          </w:p>
        </w:tc>
        <w:tc>
          <w:tcPr>
            <w:tcW w:w="3140" w:type="dxa"/>
            <w:tcBorders>
              <w:top w:val="nil"/>
              <w:bottom w:val="nil"/>
            </w:tcBorders>
          </w:tcPr>
          <w:p w14:paraId="4A329479" w14:textId="3C6DCEFD"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6929E152" w14:textId="77777777" w:rsidTr="00DD4EE8">
        <w:trPr>
          <w:trHeight w:val="268"/>
        </w:trPr>
        <w:tc>
          <w:tcPr>
            <w:tcW w:w="3318" w:type="dxa"/>
            <w:tcBorders>
              <w:top w:val="nil"/>
              <w:bottom w:val="nil"/>
            </w:tcBorders>
          </w:tcPr>
          <w:p w14:paraId="1BC2EED9" w14:textId="77777777" w:rsidR="00DD4EE8" w:rsidRPr="0036402F" w:rsidRDefault="00DD4EE8" w:rsidP="00136A84">
            <w:pPr>
              <w:spacing w:line="276" w:lineRule="auto"/>
              <w:rPr>
                <w:rFonts w:ascii="Arial" w:hAnsi="Arial" w:cs="Arial"/>
                <w:sz w:val="20"/>
                <w:szCs w:val="20"/>
                <w:lang w:val="en-US"/>
              </w:rPr>
            </w:pPr>
            <w:r w:rsidRPr="0036402F">
              <w:rPr>
                <w:rFonts w:ascii="Arial" w:hAnsi="Arial" w:cs="Arial"/>
                <w:sz w:val="20"/>
                <w:szCs w:val="20"/>
                <w:lang w:val="en-US"/>
              </w:rPr>
              <w:t>Chronic obstructive bronchitis or lung disease</w:t>
            </w:r>
          </w:p>
        </w:tc>
        <w:tc>
          <w:tcPr>
            <w:tcW w:w="2933" w:type="dxa"/>
            <w:tcBorders>
              <w:top w:val="nil"/>
              <w:bottom w:val="nil"/>
            </w:tcBorders>
          </w:tcPr>
          <w:p w14:paraId="2051CEC1" w14:textId="71334A95" w:rsidR="00DD4EE8" w:rsidRPr="0036402F" w:rsidRDefault="00DD4EE8" w:rsidP="00136A84">
            <w:pPr>
              <w:spacing w:line="276" w:lineRule="auto"/>
              <w:jc w:val="center"/>
              <w:rPr>
                <w:rFonts w:ascii="Arial" w:hAnsi="Arial" w:cs="Arial"/>
                <w:sz w:val="20"/>
                <w:szCs w:val="20"/>
                <w:lang w:val="en-US"/>
              </w:rPr>
            </w:pPr>
            <w:r w:rsidRPr="0036402F">
              <w:rPr>
                <w:rFonts w:ascii="Arial" w:hAnsi="Arial" w:cs="Arial"/>
                <w:sz w:val="20"/>
                <w:szCs w:val="20"/>
                <w:lang w:val="en-US"/>
              </w:rPr>
              <w:t>1.03 (0.99-1.06)</w:t>
            </w:r>
          </w:p>
        </w:tc>
        <w:tc>
          <w:tcPr>
            <w:tcW w:w="3140" w:type="dxa"/>
            <w:tcBorders>
              <w:top w:val="nil"/>
              <w:bottom w:val="nil"/>
            </w:tcBorders>
          </w:tcPr>
          <w:p w14:paraId="7D75865F" w14:textId="0C2C7CC6" w:rsidR="00DD4EE8" w:rsidRPr="0036402F" w:rsidRDefault="00DD4EE8" w:rsidP="00136A84">
            <w:pPr>
              <w:spacing w:line="276" w:lineRule="auto"/>
              <w:jc w:val="center"/>
              <w:rPr>
                <w:rFonts w:ascii="Arial" w:hAnsi="Arial" w:cs="Arial"/>
                <w:sz w:val="20"/>
                <w:szCs w:val="20"/>
                <w:lang w:val="en-US"/>
              </w:rPr>
            </w:pPr>
            <w:r w:rsidRPr="0036402F">
              <w:rPr>
                <w:rFonts w:ascii="Arial" w:hAnsi="Arial" w:cs="Arial"/>
                <w:sz w:val="20"/>
                <w:szCs w:val="20"/>
                <w:lang w:val="en-US"/>
              </w:rPr>
              <w:t>0.177</w:t>
            </w:r>
          </w:p>
        </w:tc>
      </w:tr>
      <w:tr w:rsidR="0036402F" w:rsidRPr="0036402F" w14:paraId="03697E13" w14:textId="77777777" w:rsidTr="00A807B6">
        <w:trPr>
          <w:trHeight w:val="60"/>
        </w:trPr>
        <w:tc>
          <w:tcPr>
            <w:tcW w:w="3318" w:type="dxa"/>
            <w:tcBorders>
              <w:top w:val="nil"/>
              <w:bottom w:val="nil"/>
            </w:tcBorders>
          </w:tcPr>
          <w:p w14:paraId="06B5E534" w14:textId="77777777" w:rsidR="00DD4EE8" w:rsidRPr="0036402F" w:rsidRDefault="00DD4EE8" w:rsidP="00136A84">
            <w:pPr>
              <w:spacing w:line="276" w:lineRule="auto"/>
              <w:rPr>
                <w:rFonts w:ascii="Arial" w:hAnsi="Arial" w:cs="Arial"/>
                <w:b/>
                <w:bCs/>
                <w:sz w:val="20"/>
                <w:szCs w:val="20"/>
                <w:lang w:val="en-US"/>
              </w:rPr>
            </w:pPr>
            <w:r w:rsidRPr="0036402F">
              <w:rPr>
                <w:rFonts w:ascii="Arial" w:hAnsi="Arial" w:cs="Arial"/>
                <w:b/>
                <w:bCs/>
                <w:sz w:val="20"/>
                <w:szCs w:val="20"/>
                <w:lang w:val="en-US"/>
              </w:rPr>
              <w:t>Heart failure</w:t>
            </w:r>
          </w:p>
        </w:tc>
        <w:tc>
          <w:tcPr>
            <w:tcW w:w="2933" w:type="dxa"/>
            <w:tcBorders>
              <w:top w:val="nil"/>
              <w:bottom w:val="nil"/>
            </w:tcBorders>
          </w:tcPr>
          <w:p w14:paraId="0B26AA46" w14:textId="3840D662"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0.90 (0.87-0.93)</w:t>
            </w:r>
          </w:p>
        </w:tc>
        <w:tc>
          <w:tcPr>
            <w:tcW w:w="3140" w:type="dxa"/>
            <w:tcBorders>
              <w:top w:val="nil"/>
              <w:bottom w:val="nil"/>
            </w:tcBorders>
          </w:tcPr>
          <w:p w14:paraId="655F039D" w14:textId="21BB79F2" w:rsidR="00DD4EE8" w:rsidRPr="0036402F" w:rsidRDefault="00DD4EE8"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6E985372" w14:textId="77777777" w:rsidTr="00C6284E">
        <w:trPr>
          <w:trHeight w:val="268"/>
        </w:trPr>
        <w:tc>
          <w:tcPr>
            <w:tcW w:w="3318" w:type="dxa"/>
            <w:tcBorders>
              <w:top w:val="nil"/>
              <w:bottom w:val="nil"/>
            </w:tcBorders>
          </w:tcPr>
          <w:p w14:paraId="6A1CBBC2" w14:textId="77777777" w:rsidR="00BC09D9" w:rsidRPr="0036402F" w:rsidRDefault="00BC09D9" w:rsidP="00C6284E">
            <w:pPr>
              <w:spacing w:line="276" w:lineRule="auto"/>
              <w:rPr>
                <w:rFonts w:ascii="Arial" w:hAnsi="Arial" w:cs="Arial"/>
                <w:b/>
                <w:bCs/>
                <w:sz w:val="20"/>
                <w:szCs w:val="20"/>
                <w:lang w:val="en-US"/>
              </w:rPr>
            </w:pPr>
            <w:r w:rsidRPr="0036402F">
              <w:rPr>
                <w:rFonts w:ascii="Arial" w:hAnsi="Arial" w:cs="Arial"/>
                <w:b/>
                <w:bCs/>
                <w:sz w:val="20"/>
                <w:szCs w:val="20"/>
                <w:lang w:val="en-US"/>
              </w:rPr>
              <w:t>Renal failure</w:t>
            </w:r>
          </w:p>
        </w:tc>
        <w:tc>
          <w:tcPr>
            <w:tcW w:w="2933" w:type="dxa"/>
            <w:tcBorders>
              <w:top w:val="nil"/>
              <w:bottom w:val="nil"/>
            </w:tcBorders>
          </w:tcPr>
          <w:p w14:paraId="6B5BF35E" w14:textId="77777777" w:rsidR="00BC09D9" w:rsidRPr="0036402F" w:rsidRDefault="00BC09D9"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0.64 (0.61-0.66)</w:t>
            </w:r>
          </w:p>
        </w:tc>
        <w:tc>
          <w:tcPr>
            <w:tcW w:w="3140" w:type="dxa"/>
            <w:tcBorders>
              <w:top w:val="nil"/>
              <w:bottom w:val="nil"/>
            </w:tcBorders>
          </w:tcPr>
          <w:p w14:paraId="41943A96" w14:textId="77777777" w:rsidR="00BC09D9" w:rsidRPr="0036402F" w:rsidRDefault="00BC09D9"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4EBB0181" w14:textId="77777777" w:rsidTr="00C6284E">
        <w:trPr>
          <w:trHeight w:val="268"/>
        </w:trPr>
        <w:tc>
          <w:tcPr>
            <w:tcW w:w="3318" w:type="dxa"/>
            <w:tcBorders>
              <w:top w:val="nil"/>
              <w:bottom w:val="nil"/>
            </w:tcBorders>
          </w:tcPr>
          <w:p w14:paraId="42B07A26" w14:textId="77777777" w:rsidR="00F430C2" w:rsidRPr="0036402F" w:rsidRDefault="00F430C2" w:rsidP="00C6284E">
            <w:pPr>
              <w:spacing w:line="276" w:lineRule="auto"/>
              <w:rPr>
                <w:rFonts w:ascii="Arial" w:hAnsi="Arial" w:cs="Arial"/>
                <w:b/>
                <w:bCs/>
                <w:sz w:val="20"/>
                <w:szCs w:val="20"/>
                <w:lang w:val="en-US"/>
              </w:rPr>
            </w:pPr>
            <w:r w:rsidRPr="0036402F">
              <w:rPr>
                <w:rFonts w:ascii="Arial" w:hAnsi="Arial" w:cs="Arial"/>
                <w:b/>
                <w:bCs/>
                <w:sz w:val="20"/>
                <w:szCs w:val="20"/>
                <w:lang w:val="en-US"/>
              </w:rPr>
              <w:t>Chronic liver diseases</w:t>
            </w:r>
          </w:p>
        </w:tc>
        <w:tc>
          <w:tcPr>
            <w:tcW w:w="2933" w:type="dxa"/>
            <w:tcBorders>
              <w:top w:val="nil"/>
              <w:bottom w:val="nil"/>
            </w:tcBorders>
          </w:tcPr>
          <w:p w14:paraId="074AE105" w14:textId="77777777" w:rsidR="00F430C2" w:rsidRPr="0036402F" w:rsidRDefault="00F430C2"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0.93 (0.89-0.97)</w:t>
            </w:r>
          </w:p>
        </w:tc>
        <w:tc>
          <w:tcPr>
            <w:tcW w:w="3140" w:type="dxa"/>
            <w:tcBorders>
              <w:top w:val="nil"/>
              <w:bottom w:val="nil"/>
            </w:tcBorders>
          </w:tcPr>
          <w:p w14:paraId="5EA72ECB" w14:textId="77777777" w:rsidR="00F430C2" w:rsidRPr="0036402F" w:rsidRDefault="00F430C2"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25A43C04" w14:textId="77777777" w:rsidTr="00C6284E">
        <w:trPr>
          <w:trHeight w:val="268"/>
        </w:trPr>
        <w:tc>
          <w:tcPr>
            <w:tcW w:w="3318" w:type="dxa"/>
            <w:tcBorders>
              <w:top w:val="nil"/>
              <w:bottom w:val="nil"/>
            </w:tcBorders>
          </w:tcPr>
          <w:p w14:paraId="48C920E8" w14:textId="4524BF5F" w:rsidR="00FD234B" w:rsidRPr="0036402F" w:rsidRDefault="00FD234B" w:rsidP="00C6284E">
            <w:pPr>
              <w:spacing w:line="276" w:lineRule="auto"/>
              <w:rPr>
                <w:rFonts w:ascii="Arial" w:hAnsi="Arial" w:cs="Arial"/>
                <w:b/>
                <w:bCs/>
                <w:sz w:val="20"/>
                <w:szCs w:val="20"/>
                <w:lang w:val="en-US"/>
              </w:rPr>
            </w:pPr>
            <w:r w:rsidRPr="0036402F">
              <w:rPr>
                <w:rFonts w:ascii="Arial" w:hAnsi="Arial" w:cs="Arial"/>
                <w:b/>
                <w:bCs/>
                <w:sz w:val="20"/>
                <w:szCs w:val="20"/>
                <w:lang w:val="en-US"/>
              </w:rPr>
              <w:t>Neck of femur fracture</w:t>
            </w:r>
          </w:p>
        </w:tc>
        <w:tc>
          <w:tcPr>
            <w:tcW w:w="2933" w:type="dxa"/>
            <w:tcBorders>
              <w:top w:val="nil"/>
              <w:bottom w:val="nil"/>
            </w:tcBorders>
          </w:tcPr>
          <w:p w14:paraId="670043BD" w14:textId="72BDCCBC" w:rsidR="00FD234B" w:rsidRPr="0036402F" w:rsidRDefault="00FD234B"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0.77 (0.69-0.84)</w:t>
            </w:r>
          </w:p>
        </w:tc>
        <w:tc>
          <w:tcPr>
            <w:tcW w:w="3140" w:type="dxa"/>
            <w:tcBorders>
              <w:top w:val="nil"/>
              <w:bottom w:val="nil"/>
            </w:tcBorders>
          </w:tcPr>
          <w:p w14:paraId="1033933D" w14:textId="629EFA5D" w:rsidR="00FD234B" w:rsidRPr="0036402F" w:rsidRDefault="00FD234B"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6881CAB2" w14:textId="77777777" w:rsidTr="00FA5522">
        <w:trPr>
          <w:trHeight w:val="268"/>
        </w:trPr>
        <w:tc>
          <w:tcPr>
            <w:tcW w:w="3318" w:type="dxa"/>
            <w:tcBorders>
              <w:top w:val="nil"/>
              <w:bottom w:val="nil"/>
            </w:tcBorders>
          </w:tcPr>
          <w:p w14:paraId="00D21FFB" w14:textId="77777777" w:rsidR="00FD234B" w:rsidRPr="0036402F" w:rsidRDefault="00FD234B" w:rsidP="00136A84">
            <w:pPr>
              <w:spacing w:line="276" w:lineRule="auto"/>
              <w:rPr>
                <w:rFonts w:ascii="Arial" w:hAnsi="Arial" w:cs="Arial"/>
                <w:b/>
                <w:bCs/>
                <w:sz w:val="20"/>
                <w:szCs w:val="20"/>
                <w:lang w:val="en-US"/>
              </w:rPr>
            </w:pPr>
            <w:r w:rsidRPr="0036402F">
              <w:rPr>
                <w:rFonts w:ascii="Arial" w:hAnsi="Arial" w:cs="Arial"/>
                <w:b/>
                <w:bCs/>
                <w:sz w:val="20"/>
                <w:szCs w:val="20"/>
                <w:lang w:val="en-US"/>
              </w:rPr>
              <w:t>Epilepsy</w:t>
            </w:r>
          </w:p>
        </w:tc>
        <w:tc>
          <w:tcPr>
            <w:tcW w:w="2933" w:type="dxa"/>
            <w:tcBorders>
              <w:top w:val="nil"/>
              <w:bottom w:val="nil"/>
            </w:tcBorders>
          </w:tcPr>
          <w:p w14:paraId="1821A040" w14:textId="77777777" w:rsidR="00FD234B" w:rsidRPr="0036402F" w:rsidRDefault="00FD234B"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1.43 (1.31-1.57)</w:t>
            </w:r>
          </w:p>
        </w:tc>
        <w:tc>
          <w:tcPr>
            <w:tcW w:w="3140" w:type="dxa"/>
            <w:tcBorders>
              <w:top w:val="nil"/>
              <w:bottom w:val="nil"/>
            </w:tcBorders>
          </w:tcPr>
          <w:p w14:paraId="5D0D7657" w14:textId="77777777" w:rsidR="00FD234B" w:rsidRPr="0036402F" w:rsidRDefault="00FD234B"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4DD1C49E" w14:textId="77777777" w:rsidTr="00C6284E">
        <w:trPr>
          <w:trHeight w:val="268"/>
        </w:trPr>
        <w:tc>
          <w:tcPr>
            <w:tcW w:w="3318" w:type="dxa"/>
            <w:tcBorders>
              <w:top w:val="nil"/>
              <w:bottom w:val="nil"/>
            </w:tcBorders>
          </w:tcPr>
          <w:p w14:paraId="23221FAC" w14:textId="77777777" w:rsidR="00511A54" w:rsidRPr="0036402F" w:rsidRDefault="00511A54" w:rsidP="00C6284E">
            <w:pPr>
              <w:spacing w:line="276" w:lineRule="auto"/>
              <w:rPr>
                <w:rFonts w:ascii="Arial" w:hAnsi="Arial" w:cs="Arial"/>
                <w:b/>
                <w:bCs/>
                <w:sz w:val="20"/>
                <w:szCs w:val="20"/>
                <w:lang w:val="en-US"/>
              </w:rPr>
            </w:pPr>
            <w:r w:rsidRPr="0036402F">
              <w:rPr>
                <w:rFonts w:ascii="Arial" w:hAnsi="Arial" w:cs="Arial"/>
                <w:b/>
                <w:bCs/>
                <w:sz w:val="20"/>
                <w:szCs w:val="20"/>
                <w:lang w:val="en-US"/>
              </w:rPr>
              <w:t>Inflammatory bowel disease</w:t>
            </w:r>
          </w:p>
        </w:tc>
        <w:tc>
          <w:tcPr>
            <w:tcW w:w="2933" w:type="dxa"/>
            <w:tcBorders>
              <w:top w:val="nil"/>
              <w:bottom w:val="nil"/>
            </w:tcBorders>
          </w:tcPr>
          <w:p w14:paraId="6F25CFD7" w14:textId="77777777" w:rsidR="00511A54" w:rsidRPr="0036402F" w:rsidRDefault="00511A54"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0.80 (0.70-0.91)</w:t>
            </w:r>
          </w:p>
        </w:tc>
        <w:tc>
          <w:tcPr>
            <w:tcW w:w="3140" w:type="dxa"/>
            <w:tcBorders>
              <w:top w:val="nil"/>
              <w:bottom w:val="nil"/>
            </w:tcBorders>
          </w:tcPr>
          <w:p w14:paraId="18A35A74" w14:textId="77777777" w:rsidR="00511A54" w:rsidRPr="0036402F" w:rsidRDefault="00511A54" w:rsidP="00C6284E">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r w:rsidR="0036402F" w:rsidRPr="0036402F" w14:paraId="3188E498" w14:textId="77777777" w:rsidTr="0059139B">
        <w:trPr>
          <w:trHeight w:val="268"/>
        </w:trPr>
        <w:tc>
          <w:tcPr>
            <w:tcW w:w="3318" w:type="dxa"/>
            <w:tcBorders>
              <w:top w:val="nil"/>
              <w:bottom w:val="single" w:sz="4" w:space="0" w:color="auto"/>
            </w:tcBorders>
          </w:tcPr>
          <w:p w14:paraId="0116632B" w14:textId="726AF5E0" w:rsidR="00EB0C24" w:rsidRPr="0036402F" w:rsidRDefault="00EB0C24" w:rsidP="00136A84">
            <w:pPr>
              <w:spacing w:line="276" w:lineRule="auto"/>
              <w:rPr>
                <w:rFonts w:ascii="Arial" w:hAnsi="Arial" w:cs="Arial"/>
                <w:b/>
                <w:bCs/>
                <w:sz w:val="20"/>
                <w:szCs w:val="20"/>
                <w:lang w:val="en-US"/>
              </w:rPr>
            </w:pPr>
            <w:r w:rsidRPr="0036402F">
              <w:rPr>
                <w:rFonts w:ascii="Arial" w:hAnsi="Arial" w:cs="Arial"/>
                <w:b/>
                <w:bCs/>
                <w:sz w:val="20"/>
                <w:szCs w:val="20"/>
                <w:lang w:val="en-US"/>
              </w:rPr>
              <w:t>Mild cognitive impairment</w:t>
            </w:r>
          </w:p>
        </w:tc>
        <w:tc>
          <w:tcPr>
            <w:tcW w:w="2933" w:type="dxa"/>
            <w:tcBorders>
              <w:top w:val="nil"/>
              <w:bottom w:val="single" w:sz="4" w:space="0" w:color="auto"/>
            </w:tcBorders>
          </w:tcPr>
          <w:p w14:paraId="52E707F1" w14:textId="0C844745" w:rsidR="00EB0C24" w:rsidRPr="0036402F" w:rsidRDefault="00EB0C24"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1.50 (1.37-1.64)</w:t>
            </w:r>
          </w:p>
        </w:tc>
        <w:tc>
          <w:tcPr>
            <w:tcW w:w="3140" w:type="dxa"/>
            <w:tcBorders>
              <w:top w:val="nil"/>
              <w:bottom w:val="single" w:sz="4" w:space="0" w:color="auto"/>
            </w:tcBorders>
          </w:tcPr>
          <w:p w14:paraId="04287F8C" w14:textId="4196C5F9" w:rsidR="00EB0C24" w:rsidRPr="0036402F" w:rsidRDefault="00EB0C24" w:rsidP="00136A84">
            <w:pPr>
              <w:spacing w:line="276" w:lineRule="auto"/>
              <w:jc w:val="center"/>
              <w:rPr>
                <w:rFonts w:ascii="Arial" w:hAnsi="Arial" w:cs="Arial"/>
                <w:b/>
                <w:bCs/>
                <w:sz w:val="20"/>
                <w:szCs w:val="20"/>
                <w:lang w:val="en-US"/>
              </w:rPr>
            </w:pPr>
            <w:r w:rsidRPr="0036402F">
              <w:rPr>
                <w:rFonts w:ascii="Arial" w:hAnsi="Arial" w:cs="Arial"/>
                <w:b/>
                <w:bCs/>
                <w:sz w:val="20"/>
                <w:szCs w:val="20"/>
                <w:lang w:val="en-US"/>
              </w:rPr>
              <w:t>&lt;0.001</w:t>
            </w:r>
          </w:p>
        </w:tc>
      </w:tr>
    </w:tbl>
    <w:p w14:paraId="292FF14E" w14:textId="77777777" w:rsidR="0033736A" w:rsidRPr="0036402F" w:rsidRDefault="0033736A" w:rsidP="00B62594">
      <w:pPr>
        <w:jc w:val="both"/>
        <w:rPr>
          <w:rFonts w:ascii="Arial" w:hAnsi="Arial" w:cs="Arial"/>
          <w:sz w:val="20"/>
          <w:szCs w:val="20"/>
          <w:lang w:val="en-US"/>
        </w:rPr>
      </w:pPr>
      <w:r w:rsidRPr="0036402F">
        <w:rPr>
          <w:rFonts w:ascii="Arial" w:hAnsi="Arial" w:cs="Arial"/>
          <w:sz w:val="20"/>
          <w:szCs w:val="20"/>
          <w:lang w:val="en-US"/>
        </w:rPr>
        <w:t>Abbreviations: HR hazard ratio; CI confidence interval.</w:t>
      </w:r>
    </w:p>
    <w:p w14:paraId="2F48F53C" w14:textId="77777777" w:rsidR="0033736A" w:rsidRPr="0036402F" w:rsidRDefault="0033736A" w:rsidP="00B62594">
      <w:pPr>
        <w:jc w:val="both"/>
        <w:rPr>
          <w:rFonts w:ascii="Arial" w:hAnsi="Arial" w:cs="Arial"/>
          <w:sz w:val="20"/>
          <w:szCs w:val="20"/>
          <w:lang w:val="en-US"/>
        </w:rPr>
      </w:pPr>
      <w:r w:rsidRPr="0036402F">
        <w:rPr>
          <w:rFonts w:ascii="Arial" w:hAnsi="Arial" w:cs="Arial"/>
          <w:sz w:val="20"/>
          <w:szCs w:val="20"/>
          <w:lang w:val="en-US"/>
        </w:rPr>
        <w:t>Bold is used for statistically significant associations.</w:t>
      </w:r>
    </w:p>
    <w:p w14:paraId="44C7A093" w14:textId="62D1F55C" w:rsidR="00DD4EE8" w:rsidRPr="0036402F" w:rsidRDefault="00C67864" w:rsidP="00B62594">
      <w:pPr>
        <w:jc w:val="both"/>
        <w:rPr>
          <w:rFonts w:ascii="Arial" w:hAnsi="Arial" w:cs="Arial"/>
          <w:sz w:val="20"/>
          <w:szCs w:val="20"/>
          <w:lang w:val="en-US"/>
        </w:rPr>
      </w:pPr>
      <w:r w:rsidRPr="0036402F">
        <w:rPr>
          <w:rFonts w:ascii="Arial" w:hAnsi="Arial" w:cs="Arial"/>
          <w:sz w:val="20"/>
          <w:szCs w:val="20"/>
          <w:lang w:val="en-US"/>
        </w:rPr>
        <w:t xml:space="preserve">The </w:t>
      </w:r>
      <w:r w:rsidR="0033736A" w:rsidRPr="0036402F">
        <w:rPr>
          <w:rFonts w:ascii="Arial" w:hAnsi="Arial" w:cs="Arial"/>
          <w:sz w:val="20"/>
          <w:szCs w:val="20"/>
          <w:lang w:val="en-US"/>
        </w:rPr>
        <w:t>Cox regression model</w:t>
      </w:r>
      <w:r w:rsidRPr="0036402F">
        <w:rPr>
          <w:rFonts w:ascii="Arial" w:hAnsi="Arial" w:cs="Arial"/>
          <w:sz w:val="20"/>
          <w:szCs w:val="20"/>
          <w:lang w:val="en-US"/>
        </w:rPr>
        <w:t xml:space="preserve"> was</w:t>
      </w:r>
      <w:r w:rsidR="0033736A" w:rsidRPr="0036402F">
        <w:rPr>
          <w:rFonts w:ascii="Arial" w:hAnsi="Arial" w:cs="Arial"/>
          <w:sz w:val="20"/>
          <w:szCs w:val="20"/>
          <w:lang w:val="en-US"/>
        </w:rPr>
        <w:t xml:space="preserve"> adjusted for </w:t>
      </w:r>
      <w:r w:rsidRPr="0036402F">
        <w:rPr>
          <w:rFonts w:ascii="Arial" w:hAnsi="Arial" w:cs="Arial"/>
          <w:sz w:val="20"/>
          <w:szCs w:val="20"/>
          <w:lang w:val="en-US"/>
        </w:rPr>
        <w:t>all variables</w:t>
      </w:r>
      <w:r w:rsidR="0033736A" w:rsidRPr="0036402F">
        <w:rPr>
          <w:rFonts w:ascii="Arial" w:hAnsi="Arial" w:cs="Arial"/>
          <w:sz w:val="20"/>
          <w:szCs w:val="20"/>
          <w:lang w:val="en-US"/>
        </w:rPr>
        <w:t xml:space="preserve"> listed in Table 1.</w:t>
      </w:r>
    </w:p>
    <w:p w14:paraId="7D4A1EAF" w14:textId="3D4F875D" w:rsidR="00DD4EE8" w:rsidRPr="0036402F" w:rsidRDefault="00DD4EE8" w:rsidP="003C41AC">
      <w:pPr>
        <w:spacing w:line="480" w:lineRule="auto"/>
        <w:jc w:val="both"/>
        <w:rPr>
          <w:rFonts w:ascii="Arial" w:hAnsi="Arial" w:cs="Arial"/>
          <w:sz w:val="24"/>
          <w:szCs w:val="24"/>
          <w:lang w:val="en-US"/>
        </w:rPr>
      </w:pPr>
    </w:p>
    <w:p w14:paraId="2F08BE26" w14:textId="09E865F9" w:rsidR="009208E3" w:rsidRPr="0036402F" w:rsidRDefault="009208E3" w:rsidP="003C41AC">
      <w:pPr>
        <w:spacing w:line="480" w:lineRule="auto"/>
        <w:jc w:val="both"/>
        <w:rPr>
          <w:rFonts w:ascii="Arial" w:hAnsi="Arial" w:cs="Arial"/>
          <w:sz w:val="24"/>
          <w:szCs w:val="24"/>
          <w:lang w:val="en-US"/>
        </w:rPr>
      </w:pPr>
    </w:p>
    <w:p w14:paraId="339CC27F" w14:textId="1FDE4F17" w:rsidR="009208E3" w:rsidRPr="0036402F" w:rsidRDefault="009208E3" w:rsidP="003C41AC">
      <w:pPr>
        <w:spacing w:line="480" w:lineRule="auto"/>
        <w:jc w:val="both"/>
        <w:rPr>
          <w:rFonts w:ascii="Arial" w:hAnsi="Arial" w:cs="Arial"/>
          <w:sz w:val="24"/>
          <w:szCs w:val="24"/>
          <w:lang w:val="en-US"/>
        </w:rPr>
      </w:pPr>
    </w:p>
    <w:p w14:paraId="2E8CEDBD" w14:textId="6F8930F7" w:rsidR="009208E3" w:rsidRPr="0036402F" w:rsidRDefault="009208E3" w:rsidP="003C41AC">
      <w:pPr>
        <w:spacing w:line="480" w:lineRule="auto"/>
        <w:jc w:val="both"/>
        <w:rPr>
          <w:rFonts w:ascii="Arial" w:hAnsi="Arial" w:cs="Arial"/>
          <w:sz w:val="24"/>
          <w:szCs w:val="24"/>
          <w:lang w:val="en-US"/>
        </w:rPr>
      </w:pPr>
    </w:p>
    <w:p w14:paraId="7D28749B" w14:textId="140E4856" w:rsidR="009208E3" w:rsidRPr="0036402F" w:rsidRDefault="009208E3" w:rsidP="003C41AC">
      <w:pPr>
        <w:spacing w:line="480" w:lineRule="auto"/>
        <w:jc w:val="both"/>
        <w:rPr>
          <w:rFonts w:ascii="Arial" w:hAnsi="Arial" w:cs="Arial"/>
          <w:sz w:val="24"/>
          <w:szCs w:val="24"/>
          <w:lang w:val="en-US"/>
        </w:rPr>
      </w:pPr>
    </w:p>
    <w:p w14:paraId="02F9BF9F" w14:textId="4238E8F7" w:rsidR="009208E3" w:rsidRPr="0036402F" w:rsidRDefault="009208E3" w:rsidP="003C41AC">
      <w:pPr>
        <w:spacing w:line="480" w:lineRule="auto"/>
        <w:jc w:val="both"/>
        <w:rPr>
          <w:rFonts w:ascii="Arial" w:hAnsi="Arial" w:cs="Arial"/>
          <w:sz w:val="24"/>
          <w:szCs w:val="24"/>
          <w:lang w:val="en-US"/>
        </w:rPr>
      </w:pPr>
    </w:p>
    <w:p w14:paraId="1C4E1A09" w14:textId="7B498EA0" w:rsidR="009208E3" w:rsidRPr="0036402F" w:rsidRDefault="009208E3" w:rsidP="003C41AC">
      <w:pPr>
        <w:spacing w:line="480" w:lineRule="auto"/>
        <w:jc w:val="both"/>
        <w:rPr>
          <w:rFonts w:ascii="Arial" w:hAnsi="Arial" w:cs="Arial"/>
          <w:sz w:val="24"/>
          <w:szCs w:val="24"/>
          <w:lang w:val="en-US"/>
        </w:rPr>
      </w:pPr>
    </w:p>
    <w:p w14:paraId="4FF19BA4" w14:textId="02ECC4D0" w:rsidR="009208E3" w:rsidRPr="0036402F" w:rsidRDefault="009208E3" w:rsidP="003C41AC">
      <w:pPr>
        <w:spacing w:line="480" w:lineRule="auto"/>
        <w:jc w:val="both"/>
        <w:rPr>
          <w:rFonts w:ascii="Arial" w:hAnsi="Arial" w:cs="Arial"/>
          <w:sz w:val="24"/>
          <w:szCs w:val="24"/>
          <w:lang w:val="en-US"/>
        </w:rPr>
      </w:pPr>
    </w:p>
    <w:p w14:paraId="5047180F" w14:textId="5272CFA4" w:rsidR="009208E3" w:rsidRPr="0036402F" w:rsidRDefault="009208E3" w:rsidP="003C41AC">
      <w:pPr>
        <w:spacing w:line="480" w:lineRule="auto"/>
        <w:jc w:val="both"/>
        <w:rPr>
          <w:rFonts w:ascii="Arial" w:hAnsi="Arial" w:cs="Arial"/>
          <w:sz w:val="24"/>
          <w:szCs w:val="24"/>
          <w:lang w:val="en-US"/>
        </w:rPr>
      </w:pPr>
    </w:p>
    <w:p w14:paraId="1994AF68" w14:textId="7819E0AD" w:rsidR="009208E3" w:rsidRPr="0036402F" w:rsidRDefault="009208E3" w:rsidP="003C41AC">
      <w:pPr>
        <w:spacing w:line="480" w:lineRule="auto"/>
        <w:jc w:val="both"/>
        <w:rPr>
          <w:rFonts w:ascii="Arial" w:hAnsi="Arial" w:cs="Arial"/>
          <w:sz w:val="24"/>
          <w:szCs w:val="24"/>
          <w:lang w:val="en-US"/>
        </w:rPr>
      </w:pPr>
    </w:p>
    <w:p w14:paraId="13CD3A05" w14:textId="43379E51" w:rsidR="009208E3" w:rsidRPr="0036402F" w:rsidRDefault="009208E3" w:rsidP="003C41AC">
      <w:pPr>
        <w:spacing w:line="480" w:lineRule="auto"/>
        <w:jc w:val="both"/>
        <w:rPr>
          <w:rFonts w:ascii="Arial" w:hAnsi="Arial" w:cs="Arial"/>
          <w:sz w:val="24"/>
          <w:szCs w:val="24"/>
          <w:lang w:val="en-US"/>
        </w:rPr>
      </w:pPr>
    </w:p>
    <w:p w14:paraId="4046497D" w14:textId="77777777" w:rsidR="000E2C14" w:rsidRPr="0036402F" w:rsidRDefault="000E2C14" w:rsidP="003C41AC">
      <w:pPr>
        <w:spacing w:line="480" w:lineRule="auto"/>
        <w:jc w:val="both"/>
        <w:rPr>
          <w:rFonts w:ascii="Arial" w:hAnsi="Arial" w:cs="Arial"/>
          <w:sz w:val="20"/>
          <w:szCs w:val="20"/>
          <w:lang w:val="en-US"/>
        </w:rPr>
      </w:pPr>
    </w:p>
    <w:sectPr w:rsidR="000E2C14" w:rsidRPr="0036402F" w:rsidSect="00862A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5E50" w14:textId="77777777" w:rsidR="001523CF" w:rsidRDefault="001523CF" w:rsidP="00C31F86">
      <w:r>
        <w:separator/>
      </w:r>
    </w:p>
  </w:endnote>
  <w:endnote w:type="continuationSeparator" w:id="0">
    <w:p w14:paraId="30D9117D" w14:textId="77777777" w:rsidR="001523CF" w:rsidRDefault="001523CF" w:rsidP="00C3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3662626"/>
      <w:docPartObj>
        <w:docPartGallery w:val="Page Numbers (Bottom of Page)"/>
        <w:docPartUnique/>
      </w:docPartObj>
    </w:sdtPr>
    <w:sdtEndPr>
      <w:rPr>
        <w:rStyle w:val="PageNumber"/>
      </w:rPr>
    </w:sdtEndPr>
    <w:sdtContent>
      <w:p w14:paraId="3F024013" w14:textId="270AEC29" w:rsidR="002F29D4" w:rsidRDefault="002F29D4" w:rsidP="006F6A6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5A65D9" w14:textId="77777777" w:rsidR="002F29D4" w:rsidRDefault="002F2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4"/>
        <w:szCs w:val="24"/>
      </w:rPr>
      <w:id w:val="499552248"/>
      <w:docPartObj>
        <w:docPartGallery w:val="Page Numbers (Bottom of Page)"/>
        <w:docPartUnique/>
      </w:docPartObj>
    </w:sdtPr>
    <w:sdtEndPr>
      <w:rPr>
        <w:rStyle w:val="PageNumber"/>
      </w:rPr>
    </w:sdtEndPr>
    <w:sdtContent>
      <w:p w14:paraId="19831D5C" w14:textId="18D2A6EF" w:rsidR="002F29D4" w:rsidRPr="004504DB" w:rsidRDefault="002F29D4" w:rsidP="00686F59">
        <w:pPr>
          <w:pStyle w:val="Footer"/>
          <w:framePr w:wrap="none" w:vAnchor="text" w:hAnchor="margin" w:xAlign="center" w:y="1"/>
          <w:rPr>
            <w:rStyle w:val="PageNumber"/>
            <w:rFonts w:ascii="Arial" w:hAnsi="Arial" w:cs="Arial"/>
            <w:sz w:val="24"/>
            <w:szCs w:val="24"/>
          </w:rPr>
        </w:pPr>
        <w:r w:rsidRPr="004504DB">
          <w:rPr>
            <w:rStyle w:val="PageNumber"/>
            <w:rFonts w:ascii="Arial" w:hAnsi="Arial" w:cs="Arial"/>
            <w:sz w:val="24"/>
            <w:szCs w:val="24"/>
          </w:rPr>
          <w:fldChar w:fldCharType="begin"/>
        </w:r>
        <w:r w:rsidRPr="004504DB">
          <w:rPr>
            <w:rStyle w:val="PageNumber"/>
            <w:rFonts w:ascii="Arial" w:hAnsi="Arial" w:cs="Arial"/>
            <w:sz w:val="24"/>
            <w:szCs w:val="24"/>
          </w:rPr>
          <w:instrText xml:space="preserve"> PAGE </w:instrText>
        </w:r>
        <w:r w:rsidRPr="004504DB">
          <w:rPr>
            <w:rStyle w:val="PageNumber"/>
            <w:rFonts w:ascii="Arial" w:hAnsi="Arial" w:cs="Arial"/>
            <w:sz w:val="24"/>
            <w:szCs w:val="24"/>
          </w:rPr>
          <w:fldChar w:fldCharType="separate"/>
        </w:r>
        <w:r w:rsidRPr="004504DB">
          <w:rPr>
            <w:rStyle w:val="PageNumber"/>
            <w:rFonts w:ascii="Arial" w:hAnsi="Arial" w:cs="Arial"/>
            <w:noProof/>
            <w:sz w:val="24"/>
            <w:szCs w:val="24"/>
          </w:rPr>
          <w:t>1</w:t>
        </w:r>
        <w:r w:rsidRPr="004504DB">
          <w:rPr>
            <w:rStyle w:val="PageNumber"/>
            <w:rFonts w:ascii="Arial" w:hAnsi="Arial" w:cs="Arial"/>
            <w:sz w:val="24"/>
            <w:szCs w:val="24"/>
          </w:rPr>
          <w:fldChar w:fldCharType="end"/>
        </w:r>
      </w:p>
    </w:sdtContent>
  </w:sdt>
  <w:p w14:paraId="531CF8D6" w14:textId="77777777" w:rsidR="002F29D4" w:rsidRDefault="002F29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F9340" w14:textId="77777777" w:rsidR="001523CF" w:rsidRDefault="001523CF" w:rsidP="00C31F86">
      <w:r>
        <w:separator/>
      </w:r>
    </w:p>
  </w:footnote>
  <w:footnote w:type="continuationSeparator" w:id="0">
    <w:p w14:paraId="2934862C" w14:textId="77777777" w:rsidR="001523CF" w:rsidRDefault="001523CF" w:rsidP="00C31F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5CA"/>
    <w:rsid w:val="000008C7"/>
    <w:rsid w:val="00001567"/>
    <w:rsid w:val="00001605"/>
    <w:rsid w:val="00001B70"/>
    <w:rsid w:val="0000212B"/>
    <w:rsid w:val="00002985"/>
    <w:rsid w:val="00003148"/>
    <w:rsid w:val="000031CC"/>
    <w:rsid w:val="0000357E"/>
    <w:rsid w:val="00003B09"/>
    <w:rsid w:val="00003CA5"/>
    <w:rsid w:val="00004222"/>
    <w:rsid w:val="0000608A"/>
    <w:rsid w:val="00007CEB"/>
    <w:rsid w:val="00011F42"/>
    <w:rsid w:val="00013301"/>
    <w:rsid w:val="00013766"/>
    <w:rsid w:val="00016810"/>
    <w:rsid w:val="00016F4B"/>
    <w:rsid w:val="000211D7"/>
    <w:rsid w:val="0002228E"/>
    <w:rsid w:val="00023C46"/>
    <w:rsid w:val="00025D21"/>
    <w:rsid w:val="000264E4"/>
    <w:rsid w:val="00026B35"/>
    <w:rsid w:val="00027D46"/>
    <w:rsid w:val="00030151"/>
    <w:rsid w:val="00031D4A"/>
    <w:rsid w:val="00032938"/>
    <w:rsid w:val="000337AB"/>
    <w:rsid w:val="00033F94"/>
    <w:rsid w:val="00034157"/>
    <w:rsid w:val="00034C1D"/>
    <w:rsid w:val="00035176"/>
    <w:rsid w:val="00035428"/>
    <w:rsid w:val="00035B91"/>
    <w:rsid w:val="00037A8F"/>
    <w:rsid w:val="0004256B"/>
    <w:rsid w:val="00046053"/>
    <w:rsid w:val="000474FC"/>
    <w:rsid w:val="00050B98"/>
    <w:rsid w:val="00050BC9"/>
    <w:rsid w:val="000513AF"/>
    <w:rsid w:val="00052020"/>
    <w:rsid w:val="0005217E"/>
    <w:rsid w:val="00052FE4"/>
    <w:rsid w:val="00054B25"/>
    <w:rsid w:val="00054E29"/>
    <w:rsid w:val="00055AE7"/>
    <w:rsid w:val="00056DF4"/>
    <w:rsid w:val="00060203"/>
    <w:rsid w:val="0006050E"/>
    <w:rsid w:val="00061264"/>
    <w:rsid w:val="000619A6"/>
    <w:rsid w:val="00061EDB"/>
    <w:rsid w:val="0006364E"/>
    <w:rsid w:val="0006425C"/>
    <w:rsid w:val="000645FD"/>
    <w:rsid w:val="00065925"/>
    <w:rsid w:val="00065FBD"/>
    <w:rsid w:val="0006721D"/>
    <w:rsid w:val="00070C33"/>
    <w:rsid w:val="000716D8"/>
    <w:rsid w:val="000724F4"/>
    <w:rsid w:val="00073B16"/>
    <w:rsid w:val="00073C18"/>
    <w:rsid w:val="00073C94"/>
    <w:rsid w:val="00074262"/>
    <w:rsid w:val="000744EE"/>
    <w:rsid w:val="000759A6"/>
    <w:rsid w:val="00076162"/>
    <w:rsid w:val="0007679B"/>
    <w:rsid w:val="00077A7D"/>
    <w:rsid w:val="00081163"/>
    <w:rsid w:val="0008250E"/>
    <w:rsid w:val="00083EF2"/>
    <w:rsid w:val="00085553"/>
    <w:rsid w:val="000858EE"/>
    <w:rsid w:val="0008715E"/>
    <w:rsid w:val="00090A30"/>
    <w:rsid w:val="00091750"/>
    <w:rsid w:val="00093360"/>
    <w:rsid w:val="00094C09"/>
    <w:rsid w:val="00094E48"/>
    <w:rsid w:val="0009547C"/>
    <w:rsid w:val="00095F0A"/>
    <w:rsid w:val="000965EE"/>
    <w:rsid w:val="000970C9"/>
    <w:rsid w:val="000A09F2"/>
    <w:rsid w:val="000A1B57"/>
    <w:rsid w:val="000A27E8"/>
    <w:rsid w:val="000A3188"/>
    <w:rsid w:val="000A3A1A"/>
    <w:rsid w:val="000A4AA1"/>
    <w:rsid w:val="000A52C6"/>
    <w:rsid w:val="000A597F"/>
    <w:rsid w:val="000A6980"/>
    <w:rsid w:val="000A7608"/>
    <w:rsid w:val="000B0A40"/>
    <w:rsid w:val="000B0C3F"/>
    <w:rsid w:val="000B0E00"/>
    <w:rsid w:val="000B10D1"/>
    <w:rsid w:val="000B1313"/>
    <w:rsid w:val="000B1627"/>
    <w:rsid w:val="000B1FD4"/>
    <w:rsid w:val="000B23A1"/>
    <w:rsid w:val="000B2427"/>
    <w:rsid w:val="000B29E7"/>
    <w:rsid w:val="000B3873"/>
    <w:rsid w:val="000B3EA1"/>
    <w:rsid w:val="000B4509"/>
    <w:rsid w:val="000B5DCC"/>
    <w:rsid w:val="000B7ADB"/>
    <w:rsid w:val="000C0CE0"/>
    <w:rsid w:val="000C1EB3"/>
    <w:rsid w:val="000C27EC"/>
    <w:rsid w:val="000C2AAF"/>
    <w:rsid w:val="000C41D0"/>
    <w:rsid w:val="000C520B"/>
    <w:rsid w:val="000C5272"/>
    <w:rsid w:val="000D0436"/>
    <w:rsid w:val="000D0952"/>
    <w:rsid w:val="000D54AB"/>
    <w:rsid w:val="000D55B3"/>
    <w:rsid w:val="000D6643"/>
    <w:rsid w:val="000D6D94"/>
    <w:rsid w:val="000D7990"/>
    <w:rsid w:val="000D7DDF"/>
    <w:rsid w:val="000E1467"/>
    <w:rsid w:val="000E2C14"/>
    <w:rsid w:val="000E554B"/>
    <w:rsid w:val="000E5B0B"/>
    <w:rsid w:val="000E74AE"/>
    <w:rsid w:val="000E765F"/>
    <w:rsid w:val="000F0CB3"/>
    <w:rsid w:val="000F0E87"/>
    <w:rsid w:val="000F5651"/>
    <w:rsid w:val="000F7A45"/>
    <w:rsid w:val="00100429"/>
    <w:rsid w:val="001005DA"/>
    <w:rsid w:val="001005E7"/>
    <w:rsid w:val="0010166A"/>
    <w:rsid w:val="00102480"/>
    <w:rsid w:val="001026CD"/>
    <w:rsid w:val="00102C12"/>
    <w:rsid w:val="00104039"/>
    <w:rsid w:val="00104682"/>
    <w:rsid w:val="00106BDC"/>
    <w:rsid w:val="00106DDC"/>
    <w:rsid w:val="00112C2B"/>
    <w:rsid w:val="00113444"/>
    <w:rsid w:val="001142A2"/>
    <w:rsid w:val="001145A3"/>
    <w:rsid w:val="0011521B"/>
    <w:rsid w:val="00115F32"/>
    <w:rsid w:val="00115F3C"/>
    <w:rsid w:val="001162AA"/>
    <w:rsid w:val="00116CF8"/>
    <w:rsid w:val="00116E6C"/>
    <w:rsid w:val="00116EB9"/>
    <w:rsid w:val="00117C87"/>
    <w:rsid w:val="001208B9"/>
    <w:rsid w:val="00121680"/>
    <w:rsid w:val="0012169F"/>
    <w:rsid w:val="00121BB9"/>
    <w:rsid w:val="00123A81"/>
    <w:rsid w:val="00124AD3"/>
    <w:rsid w:val="001259CB"/>
    <w:rsid w:val="0012610C"/>
    <w:rsid w:val="00126600"/>
    <w:rsid w:val="0012743F"/>
    <w:rsid w:val="00130477"/>
    <w:rsid w:val="001305EF"/>
    <w:rsid w:val="0013182E"/>
    <w:rsid w:val="00131DF0"/>
    <w:rsid w:val="00131ED3"/>
    <w:rsid w:val="00133C45"/>
    <w:rsid w:val="001347BC"/>
    <w:rsid w:val="001359A3"/>
    <w:rsid w:val="00135EEB"/>
    <w:rsid w:val="00136A3B"/>
    <w:rsid w:val="00136A84"/>
    <w:rsid w:val="00137EFA"/>
    <w:rsid w:val="00140141"/>
    <w:rsid w:val="00140FAA"/>
    <w:rsid w:val="00141809"/>
    <w:rsid w:val="00141EF0"/>
    <w:rsid w:val="00142291"/>
    <w:rsid w:val="00143C67"/>
    <w:rsid w:val="00143F1B"/>
    <w:rsid w:val="001441F9"/>
    <w:rsid w:val="00145F44"/>
    <w:rsid w:val="00145F71"/>
    <w:rsid w:val="001463C4"/>
    <w:rsid w:val="001466DD"/>
    <w:rsid w:val="00146C06"/>
    <w:rsid w:val="00146F0C"/>
    <w:rsid w:val="00146FA0"/>
    <w:rsid w:val="001500CE"/>
    <w:rsid w:val="00151524"/>
    <w:rsid w:val="001523CF"/>
    <w:rsid w:val="00152EE2"/>
    <w:rsid w:val="00153885"/>
    <w:rsid w:val="001538F3"/>
    <w:rsid w:val="00153CF5"/>
    <w:rsid w:val="00154301"/>
    <w:rsid w:val="0015457F"/>
    <w:rsid w:val="001546E3"/>
    <w:rsid w:val="0015470A"/>
    <w:rsid w:val="00155B1C"/>
    <w:rsid w:val="001607B2"/>
    <w:rsid w:val="00160D1C"/>
    <w:rsid w:val="00161934"/>
    <w:rsid w:val="00161F5F"/>
    <w:rsid w:val="00162AD5"/>
    <w:rsid w:val="00163400"/>
    <w:rsid w:val="00163676"/>
    <w:rsid w:val="0016446F"/>
    <w:rsid w:val="00164555"/>
    <w:rsid w:val="00165E23"/>
    <w:rsid w:val="00166005"/>
    <w:rsid w:val="001661C3"/>
    <w:rsid w:val="00166797"/>
    <w:rsid w:val="00166A30"/>
    <w:rsid w:val="00167E77"/>
    <w:rsid w:val="00171FCD"/>
    <w:rsid w:val="001720B7"/>
    <w:rsid w:val="00172D86"/>
    <w:rsid w:val="00173000"/>
    <w:rsid w:val="00173507"/>
    <w:rsid w:val="0017404A"/>
    <w:rsid w:val="00176B2A"/>
    <w:rsid w:val="001813A6"/>
    <w:rsid w:val="00183203"/>
    <w:rsid w:val="0018396E"/>
    <w:rsid w:val="00184DE6"/>
    <w:rsid w:val="00184E96"/>
    <w:rsid w:val="001859DD"/>
    <w:rsid w:val="00185EE2"/>
    <w:rsid w:val="00186C4E"/>
    <w:rsid w:val="001911BF"/>
    <w:rsid w:val="00191B18"/>
    <w:rsid w:val="00191DEA"/>
    <w:rsid w:val="00195D2D"/>
    <w:rsid w:val="00195E1E"/>
    <w:rsid w:val="00195E57"/>
    <w:rsid w:val="00197202"/>
    <w:rsid w:val="00197CFC"/>
    <w:rsid w:val="00197DFB"/>
    <w:rsid w:val="00197FB0"/>
    <w:rsid w:val="00197FB1"/>
    <w:rsid w:val="001A024A"/>
    <w:rsid w:val="001A060D"/>
    <w:rsid w:val="001A1262"/>
    <w:rsid w:val="001A23AE"/>
    <w:rsid w:val="001A39DB"/>
    <w:rsid w:val="001A3D5F"/>
    <w:rsid w:val="001A5320"/>
    <w:rsid w:val="001A670C"/>
    <w:rsid w:val="001A6767"/>
    <w:rsid w:val="001A7031"/>
    <w:rsid w:val="001A7E17"/>
    <w:rsid w:val="001B0674"/>
    <w:rsid w:val="001B0C7E"/>
    <w:rsid w:val="001B139D"/>
    <w:rsid w:val="001B16D4"/>
    <w:rsid w:val="001B1B55"/>
    <w:rsid w:val="001B1D5C"/>
    <w:rsid w:val="001B1F37"/>
    <w:rsid w:val="001B20F8"/>
    <w:rsid w:val="001B2450"/>
    <w:rsid w:val="001B30FE"/>
    <w:rsid w:val="001B3511"/>
    <w:rsid w:val="001B3A02"/>
    <w:rsid w:val="001B3A53"/>
    <w:rsid w:val="001B3A6A"/>
    <w:rsid w:val="001B60FD"/>
    <w:rsid w:val="001B661F"/>
    <w:rsid w:val="001B6E5E"/>
    <w:rsid w:val="001B764F"/>
    <w:rsid w:val="001B79D6"/>
    <w:rsid w:val="001C22EA"/>
    <w:rsid w:val="001C4141"/>
    <w:rsid w:val="001C46F7"/>
    <w:rsid w:val="001C4C8F"/>
    <w:rsid w:val="001C4D33"/>
    <w:rsid w:val="001D078E"/>
    <w:rsid w:val="001D12FE"/>
    <w:rsid w:val="001D16A2"/>
    <w:rsid w:val="001D1BF7"/>
    <w:rsid w:val="001D244B"/>
    <w:rsid w:val="001D31F3"/>
    <w:rsid w:val="001D3BCB"/>
    <w:rsid w:val="001D3D4E"/>
    <w:rsid w:val="001D509D"/>
    <w:rsid w:val="001D7B2A"/>
    <w:rsid w:val="001D7B92"/>
    <w:rsid w:val="001E0BE1"/>
    <w:rsid w:val="001E13E7"/>
    <w:rsid w:val="001E1587"/>
    <w:rsid w:val="001E3595"/>
    <w:rsid w:val="001E38D9"/>
    <w:rsid w:val="001E3C14"/>
    <w:rsid w:val="001E5CA5"/>
    <w:rsid w:val="001E5D0B"/>
    <w:rsid w:val="001E5E8D"/>
    <w:rsid w:val="001E61E9"/>
    <w:rsid w:val="001E6EF9"/>
    <w:rsid w:val="001E7185"/>
    <w:rsid w:val="001F4C38"/>
    <w:rsid w:val="001F5F2E"/>
    <w:rsid w:val="001F73A1"/>
    <w:rsid w:val="00202698"/>
    <w:rsid w:val="00202E10"/>
    <w:rsid w:val="0020319B"/>
    <w:rsid w:val="002036FF"/>
    <w:rsid w:val="00204B5A"/>
    <w:rsid w:val="0020589D"/>
    <w:rsid w:val="002064B5"/>
    <w:rsid w:val="00207763"/>
    <w:rsid w:val="00210BC1"/>
    <w:rsid w:val="002117CB"/>
    <w:rsid w:val="0021236C"/>
    <w:rsid w:val="00212FDB"/>
    <w:rsid w:val="0021331F"/>
    <w:rsid w:val="00217E97"/>
    <w:rsid w:val="00222348"/>
    <w:rsid w:val="002244AC"/>
    <w:rsid w:val="0022514D"/>
    <w:rsid w:val="00225DE9"/>
    <w:rsid w:val="0022618C"/>
    <w:rsid w:val="00227B10"/>
    <w:rsid w:val="00231066"/>
    <w:rsid w:val="0023120D"/>
    <w:rsid w:val="0023137A"/>
    <w:rsid w:val="0023152B"/>
    <w:rsid w:val="002318F6"/>
    <w:rsid w:val="00231E40"/>
    <w:rsid w:val="00231F24"/>
    <w:rsid w:val="002324EF"/>
    <w:rsid w:val="00233343"/>
    <w:rsid w:val="002345AD"/>
    <w:rsid w:val="00234A4B"/>
    <w:rsid w:val="00235AB8"/>
    <w:rsid w:val="00235DF4"/>
    <w:rsid w:val="00236D31"/>
    <w:rsid w:val="00236F70"/>
    <w:rsid w:val="0023737A"/>
    <w:rsid w:val="002377E7"/>
    <w:rsid w:val="00241AD3"/>
    <w:rsid w:val="00242D09"/>
    <w:rsid w:val="00244C03"/>
    <w:rsid w:val="002453A7"/>
    <w:rsid w:val="0024597D"/>
    <w:rsid w:val="00247571"/>
    <w:rsid w:val="0024780C"/>
    <w:rsid w:val="00247FB4"/>
    <w:rsid w:val="002509A3"/>
    <w:rsid w:val="00251437"/>
    <w:rsid w:val="002517AA"/>
    <w:rsid w:val="002522E5"/>
    <w:rsid w:val="00252863"/>
    <w:rsid w:val="0025329A"/>
    <w:rsid w:val="0025364C"/>
    <w:rsid w:val="00255184"/>
    <w:rsid w:val="002565FE"/>
    <w:rsid w:val="00257880"/>
    <w:rsid w:val="00263CC0"/>
    <w:rsid w:val="0026421D"/>
    <w:rsid w:val="00264E6C"/>
    <w:rsid w:val="002656A6"/>
    <w:rsid w:val="00267980"/>
    <w:rsid w:val="00267F82"/>
    <w:rsid w:val="00270B78"/>
    <w:rsid w:val="00271C9D"/>
    <w:rsid w:val="0027289E"/>
    <w:rsid w:val="0027383E"/>
    <w:rsid w:val="00274347"/>
    <w:rsid w:val="00274A82"/>
    <w:rsid w:val="00275373"/>
    <w:rsid w:val="00276139"/>
    <w:rsid w:val="002763A9"/>
    <w:rsid w:val="00276C66"/>
    <w:rsid w:val="00276D74"/>
    <w:rsid w:val="00276FFA"/>
    <w:rsid w:val="0027704D"/>
    <w:rsid w:val="00281A73"/>
    <w:rsid w:val="00281E25"/>
    <w:rsid w:val="0028293A"/>
    <w:rsid w:val="00283AC1"/>
    <w:rsid w:val="00284D47"/>
    <w:rsid w:val="00287A06"/>
    <w:rsid w:val="00287B84"/>
    <w:rsid w:val="002901E9"/>
    <w:rsid w:val="002905DA"/>
    <w:rsid w:val="00290835"/>
    <w:rsid w:val="00290FA2"/>
    <w:rsid w:val="00292EBA"/>
    <w:rsid w:val="002941B2"/>
    <w:rsid w:val="00296616"/>
    <w:rsid w:val="00297074"/>
    <w:rsid w:val="00297DB3"/>
    <w:rsid w:val="00297ED2"/>
    <w:rsid w:val="002A0683"/>
    <w:rsid w:val="002A07AF"/>
    <w:rsid w:val="002A1B49"/>
    <w:rsid w:val="002A25D3"/>
    <w:rsid w:val="002A2BBB"/>
    <w:rsid w:val="002A2D16"/>
    <w:rsid w:val="002A2F62"/>
    <w:rsid w:val="002A5C39"/>
    <w:rsid w:val="002A694C"/>
    <w:rsid w:val="002A6C7B"/>
    <w:rsid w:val="002A7C61"/>
    <w:rsid w:val="002B0C06"/>
    <w:rsid w:val="002B1A47"/>
    <w:rsid w:val="002B353B"/>
    <w:rsid w:val="002B4AA1"/>
    <w:rsid w:val="002B5521"/>
    <w:rsid w:val="002B5BC1"/>
    <w:rsid w:val="002B5C44"/>
    <w:rsid w:val="002C0F82"/>
    <w:rsid w:val="002C106A"/>
    <w:rsid w:val="002C1116"/>
    <w:rsid w:val="002C248E"/>
    <w:rsid w:val="002C2F50"/>
    <w:rsid w:val="002C3299"/>
    <w:rsid w:val="002C3D1A"/>
    <w:rsid w:val="002C5DD3"/>
    <w:rsid w:val="002C62B5"/>
    <w:rsid w:val="002C6723"/>
    <w:rsid w:val="002C6C2D"/>
    <w:rsid w:val="002D0183"/>
    <w:rsid w:val="002D0866"/>
    <w:rsid w:val="002D111F"/>
    <w:rsid w:val="002D15BF"/>
    <w:rsid w:val="002D3756"/>
    <w:rsid w:val="002D376B"/>
    <w:rsid w:val="002D3809"/>
    <w:rsid w:val="002D3A65"/>
    <w:rsid w:val="002D3BB9"/>
    <w:rsid w:val="002D3EE8"/>
    <w:rsid w:val="002D5851"/>
    <w:rsid w:val="002D5C1F"/>
    <w:rsid w:val="002D6FEF"/>
    <w:rsid w:val="002D7C85"/>
    <w:rsid w:val="002E00D1"/>
    <w:rsid w:val="002E0167"/>
    <w:rsid w:val="002E2612"/>
    <w:rsid w:val="002E2977"/>
    <w:rsid w:val="002E2BF6"/>
    <w:rsid w:val="002E33A9"/>
    <w:rsid w:val="002E645A"/>
    <w:rsid w:val="002E65B6"/>
    <w:rsid w:val="002E6C9D"/>
    <w:rsid w:val="002E6E1C"/>
    <w:rsid w:val="002E778E"/>
    <w:rsid w:val="002E7C92"/>
    <w:rsid w:val="002F1086"/>
    <w:rsid w:val="002F1255"/>
    <w:rsid w:val="002F29D4"/>
    <w:rsid w:val="002F3264"/>
    <w:rsid w:val="002F3706"/>
    <w:rsid w:val="002F4477"/>
    <w:rsid w:val="002F49F6"/>
    <w:rsid w:val="002F4B22"/>
    <w:rsid w:val="002F7978"/>
    <w:rsid w:val="00300B48"/>
    <w:rsid w:val="00301658"/>
    <w:rsid w:val="003018E5"/>
    <w:rsid w:val="003036C7"/>
    <w:rsid w:val="00303C3A"/>
    <w:rsid w:val="00303DF9"/>
    <w:rsid w:val="00303E01"/>
    <w:rsid w:val="00304BD9"/>
    <w:rsid w:val="00304E31"/>
    <w:rsid w:val="0030505D"/>
    <w:rsid w:val="00306AAC"/>
    <w:rsid w:val="00307399"/>
    <w:rsid w:val="003076F8"/>
    <w:rsid w:val="003103C5"/>
    <w:rsid w:val="00310484"/>
    <w:rsid w:val="00310929"/>
    <w:rsid w:val="00311216"/>
    <w:rsid w:val="00311443"/>
    <w:rsid w:val="0031157B"/>
    <w:rsid w:val="00311A77"/>
    <w:rsid w:val="00312E88"/>
    <w:rsid w:val="0031559B"/>
    <w:rsid w:val="0031582C"/>
    <w:rsid w:val="0031625B"/>
    <w:rsid w:val="003177F2"/>
    <w:rsid w:val="003178DC"/>
    <w:rsid w:val="00322959"/>
    <w:rsid w:val="00322E65"/>
    <w:rsid w:val="00323277"/>
    <w:rsid w:val="00323DBF"/>
    <w:rsid w:val="00323ECD"/>
    <w:rsid w:val="003242F3"/>
    <w:rsid w:val="003254C2"/>
    <w:rsid w:val="00325D03"/>
    <w:rsid w:val="003266D1"/>
    <w:rsid w:val="00330611"/>
    <w:rsid w:val="0033331C"/>
    <w:rsid w:val="00333B84"/>
    <w:rsid w:val="00334B15"/>
    <w:rsid w:val="00334C55"/>
    <w:rsid w:val="0033678B"/>
    <w:rsid w:val="00336922"/>
    <w:rsid w:val="0033736A"/>
    <w:rsid w:val="00342201"/>
    <w:rsid w:val="00342A60"/>
    <w:rsid w:val="00342E5D"/>
    <w:rsid w:val="00344792"/>
    <w:rsid w:val="00345A3E"/>
    <w:rsid w:val="00346A37"/>
    <w:rsid w:val="003479F6"/>
    <w:rsid w:val="003507BF"/>
    <w:rsid w:val="00350A0D"/>
    <w:rsid w:val="0035171A"/>
    <w:rsid w:val="0035198C"/>
    <w:rsid w:val="00352033"/>
    <w:rsid w:val="003526BA"/>
    <w:rsid w:val="00352D6B"/>
    <w:rsid w:val="00353814"/>
    <w:rsid w:val="003538CE"/>
    <w:rsid w:val="00353F70"/>
    <w:rsid w:val="003540E5"/>
    <w:rsid w:val="00355DA7"/>
    <w:rsid w:val="0035668B"/>
    <w:rsid w:val="00357065"/>
    <w:rsid w:val="0036402F"/>
    <w:rsid w:val="003642F2"/>
    <w:rsid w:val="0036489E"/>
    <w:rsid w:val="00365E3B"/>
    <w:rsid w:val="00366590"/>
    <w:rsid w:val="003669B3"/>
    <w:rsid w:val="00366E7F"/>
    <w:rsid w:val="003671F2"/>
    <w:rsid w:val="00367787"/>
    <w:rsid w:val="00367DF6"/>
    <w:rsid w:val="00372BA3"/>
    <w:rsid w:val="00373365"/>
    <w:rsid w:val="00374365"/>
    <w:rsid w:val="00374EB2"/>
    <w:rsid w:val="003757F2"/>
    <w:rsid w:val="00375E2D"/>
    <w:rsid w:val="00377790"/>
    <w:rsid w:val="00382640"/>
    <w:rsid w:val="0038365C"/>
    <w:rsid w:val="003838D7"/>
    <w:rsid w:val="00383FCA"/>
    <w:rsid w:val="00384968"/>
    <w:rsid w:val="003871BE"/>
    <w:rsid w:val="00390897"/>
    <w:rsid w:val="0039160E"/>
    <w:rsid w:val="00394992"/>
    <w:rsid w:val="00394A0F"/>
    <w:rsid w:val="003960CC"/>
    <w:rsid w:val="00396397"/>
    <w:rsid w:val="00396A58"/>
    <w:rsid w:val="003A0785"/>
    <w:rsid w:val="003A2EAB"/>
    <w:rsid w:val="003A5178"/>
    <w:rsid w:val="003A5F44"/>
    <w:rsid w:val="003A7EAC"/>
    <w:rsid w:val="003B1227"/>
    <w:rsid w:val="003B1282"/>
    <w:rsid w:val="003B19C3"/>
    <w:rsid w:val="003B2967"/>
    <w:rsid w:val="003B386C"/>
    <w:rsid w:val="003B3930"/>
    <w:rsid w:val="003B4926"/>
    <w:rsid w:val="003B543A"/>
    <w:rsid w:val="003B5C1B"/>
    <w:rsid w:val="003B5F58"/>
    <w:rsid w:val="003C1CA1"/>
    <w:rsid w:val="003C2956"/>
    <w:rsid w:val="003C39B8"/>
    <w:rsid w:val="003C41AC"/>
    <w:rsid w:val="003C49F5"/>
    <w:rsid w:val="003C51CD"/>
    <w:rsid w:val="003C5277"/>
    <w:rsid w:val="003C5914"/>
    <w:rsid w:val="003C6109"/>
    <w:rsid w:val="003C616D"/>
    <w:rsid w:val="003C6CAD"/>
    <w:rsid w:val="003D0E95"/>
    <w:rsid w:val="003D194A"/>
    <w:rsid w:val="003D2B8F"/>
    <w:rsid w:val="003D30DF"/>
    <w:rsid w:val="003D3302"/>
    <w:rsid w:val="003D36E0"/>
    <w:rsid w:val="003D3B1C"/>
    <w:rsid w:val="003D494F"/>
    <w:rsid w:val="003D4AFB"/>
    <w:rsid w:val="003D5A37"/>
    <w:rsid w:val="003D7564"/>
    <w:rsid w:val="003E02D2"/>
    <w:rsid w:val="003E1BF7"/>
    <w:rsid w:val="003E3055"/>
    <w:rsid w:val="003E32E7"/>
    <w:rsid w:val="003E345E"/>
    <w:rsid w:val="003E4584"/>
    <w:rsid w:val="003E4774"/>
    <w:rsid w:val="003E49C3"/>
    <w:rsid w:val="003E5B7F"/>
    <w:rsid w:val="003E6340"/>
    <w:rsid w:val="003F0484"/>
    <w:rsid w:val="003F0AF0"/>
    <w:rsid w:val="003F2083"/>
    <w:rsid w:val="003F319E"/>
    <w:rsid w:val="003F3DB5"/>
    <w:rsid w:val="003F5586"/>
    <w:rsid w:val="003F634A"/>
    <w:rsid w:val="003F73E1"/>
    <w:rsid w:val="003F76F2"/>
    <w:rsid w:val="003F7728"/>
    <w:rsid w:val="003F7828"/>
    <w:rsid w:val="004003BD"/>
    <w:rsid w:val="00400F87"/>
    <w:rsid w:val="004014F7"/>
    <w:rsid w:val="00401BBE"/>
    <w:rsid w:val="00401CD4"/>
    <w:rsid w:val="0040283A"/>
    <w:rsid w:val="00404E31"/>
    <w:rsid w:val="00404F30"/>
    <w:rsid w:val="00405A9C"/>
    <w:rsid w:val="00405C72"/>
    <w:rsid w:val="00407E34"/>
    <w:rsid w:val="004105EC"/>
    <w:rsid w:val="00411658"/>
    <w:rsid w:val="00411CC8"/>
    <w:rsid w:val="00413A38"/>
    <w:rsid w:val="00415075"/>
    <w:rsid w:val="0041518D"/>
    <w:rsid w:val="004164B0"/>
    <w:rsid w:val="0042017D"/>
    <w:rsid w:val="00420446"/>
    <w:rsid w:val="00423624"/>
    <w:rsid w:val="00423F72"/>
    <w:rsid w:val="00424988"/>
    <w:rsid w:val="00424E30"/>
    <w:rsid w:val="00424FC9"/>
    <w:rsid w:val="004261EA"/>
    <w:rsid w:val="0042624A"/>
    <w:rsid w:val="00426701"/>
    <w:rsid w:val="00426782"/>
    <w:rsid w:val="00426D05"/>
    <w:rsid w:val="00427091"/>
    <w:rsid w:val="004273AB"/>
    <w:rsid w:val="00427445"/>
    <w:rsid w:val="00427B65"/>
    <w:rsid w:val="00430E78"/>
    <w:rsid w:val="004311FA"/>
    <w:rsid w:val="00431ED6"/>
    <w:rsid w:val="004341C6"/>
    <w:rsid w:val="00434C23"/>
    <w:rsid w:val="00436221"/>
    <w:rsid w:val="00441497"/>
    <w:rsid w:val="0044239F"/>
    <w:rsid w:val="00442411"/>
    <w:rsid w:val="00443286"/>
    <w:rsid w:val="00443B02"/>
    <w:rsid w:val="004449BD"/>
    <w:rsid w:val="00444B78"/>
    <w:rsid w:val="0044525F"/>
    <w:rsid w:val="004455BB"/>
    <w:rsid w:val="0044623D"/>
    <w:rsid w:val="004464F6"/>
    <w:rsid w:val="00446551"/>
    <w:rsid w:val="004466D9"/>
    <w:rsid w:val="00447199"/>
    <w:rsid w:val="0044760E"/>
    <w:rsid w:val="0045024E"/>
    <w:rsid w:val="004504DB"/>
    <w:rsid w:val="00451B96"/>
    <w:rsid w:val="004523FD"/>
    <w:rsid w:val="004524F9"/>
    <w:rsid w:val="00452615"/>
    <w:rsid w:val="004528CA"/>
    <w:rsid w:val="004529AB"/>
    <w:rsid w:val="00452A08"/>
    <w:rsid w:val="00453A5A"/>
    <w:rsid w:val="00453F86"/>
    <w:rsid w:val="00454203"/>
    <w:rsid w:val="00455DF3"/>
    <w:rsid w:val="0045678D"/>
    <w:rsid w:val="0045774E"/>
    <w:rsid w:val="00460400"/>
    <w:rsid w:val="0046143B"/>
    <w:rsid w:val="004626E1"/>
    <w:rsid w:val="00463861"/>
    <w:rsid w:val="004644C0"/>
    <w:rsid w:val="004646FD"/>
    <w:rsid w:val="004654C4"/>
    <w:rsid w:val="004659BB"/>
    <w:rsid w:val="004664C6"/>
    <w:rsid w:val="0046686B"/>
    <w:rsid w:val="00470C60"/>
    <w:rsid w:val="0047137C"/>
    <w:rsid w:val="00472295"/>
    <w:rsid w:val="00472304"/>
    <w:rsid w:val="00472437"/>
    <w:rsid w:val="00473CBE"/>
    <w:rsid w:val="00474DC1"/>
    <w:rsid w:val="00475784"/>
    <w:rsid w:val="00476958"/>
    <w:rsid w:val="00477573"/>
    <w:rsid w:val="00477BB1"/>
    <w:rsid w:val="004800E2"/>
    <w:rsid w:val="0048038F"/>
    <w:rsid w:val="00480A15"/>
    <w:rsid w:val="00480B0F"/>
    <w:rsid w:val="00483B68"/>
    <w:rsid w:val="0048449E"/>
    <w:rsid w:val="00486D59"/>
    <w:rsid w:val="00486D78"/>
    <w:rsid w:val="00487F89"/>
    <w:rsid w:val="004912BB"/>
    <w:rsid w:val="00491BAA"/>
    <w:rsid w:val="004922F3"/>
    <w:rsid w:val="00492AE2"/>
    <w:rsid w:val="00493A5F"/>
    <w:rsid w:val="00496DAA"/>
    <w:rsid w:val="004A03BD"/>
    <w:rsid w:val="004A3344"/>
    <w:rsid w:val="004A47C2"/>
    <w:rsid w:val="004A7DFB"/>
    <w:rsid w:val="004B290B"/>
    <w:rsid w:val="004B2BFF"/>
    <w:rsid w:val="004B3FAA"/>
    <w:rsid w:val="004B42F5"/>
    <w:rsid w:val="004B4840"/>
    <w:rsid w:val="004C03DD"/>
    <w:rsid w:val="004C23AB"/>
    <w:rsid w:val="004C32DF"/>
    <w:rsid w:val="004C608A"/>
    <w:rsid w:val="004C6B4A"/>
    <w:rsid w:val="004C758C"/>
    <w:rsid w:val="004C77AE"/>
    <w:rsid w:val="004D055B"/>
    <w:rsid w:val="004D19FE"/>
    <w:rsid w:val="004D28F0"/>
    <w:rsid w:val="004D2950"/>
    <w:rsid w:val="004D3713"/>
    <w:rsid w:val="004D3922"/>
    <w:rsid w:val="004D3BF2"/>
    <w:rsid w:val="004D592C"/>
    <w:rsid w:val="004D7B61"/>
    <w:rsid w:val="004E0179"/>
    <w:rsid w:val="004E05EC"/>
    <w:rsid w:val="004E0C79"/>
    <w:rsid w:val="004E1A35"/>
    <w:rsid w:val="004E23B0"/>
    <w:rsid w:val="004E278C"/>
    <w:rsid w:val="004E2D0D"/>
    <w:rsid w:val="004E37C5"/>
    <w:rsid w:val="004E3BC0"/>
    <w:rsid w:val="004E419D"/>
    <w:rsid w:val="004E4DF7"/>
    <w:rsid w:val="004E6894"/>
    <w:rsid w:val="004E702B"/>
    <w:rsid w:val="004E77BF"/>
    <w:rsid w:val="004F0637"/>
    <w:rsid w:val="004F09BC"/>
    <w:rsid w:val="004F0E6B"/>
    <w:rsid w:val="004F1461"/>
    <w:rsid w:val="004F21D7"/>
    <w:rsid w:val="004F2403"/>
    <w:rsid w:val="004F4947"/>
    <w:rsid w:val="004F6BE7"/>
    <w:rsid w:val="00500159"/>
    <w:rsid w:val="00500246"/>
    <w:rsid w:val="0050025D"/>
    <w:rsid w:val="0050026F"/>
    <w:rsid w:val="0050035D"/>
    <w:rsid w:val="005014F2"/>
    <w:rsid w:val="00501707"/>
    <w:rsid w:val="0050314D"/>
    <w:rsid w:val="005033A2"/>
    <w:rsid w:val="00503E59"/>
    <w:rsid w:val="0050568A"/>
    <w:rsid w:val="00505FB0"/>
    <w:rsid w:val="005063A7"/>
    <w:rsid w:val="00506719"/>
    <w:rsid w:val="0050766E"/>
    <w:rsid w:val="005077D4"/>
    <w:rsid w:val="00510703"/>
    <w:rsid w:val="00510CC2"/>
    <w:rsid w:val="0051180B"/>
    <w:rsid w:val="00511A54"/>
    <w:rsid w:val="00511B28"/>
    <w:rsid w:val="00511BC5"/>
    <w:rsid w:val="0051303F"/>
    <w:rsid w:val="005140E2"/>
    <w:rsid w:val="005142F7"/>
    <w:rsid w:val="005155EE"/>
    <w:rsid w:val="00516478"/>
    <w:rsid w:val="00516631"/>
    <w:rsid w:val="005173C1"/>
    <w:rsid w:val="00517994"/>
    <w:rsid w:val="00517A54"/>
    <w:rsid w:val="00517B35"/>
    <w:rsid w:val="00517F43"/>
    <w:rsid w:val="005209A4"/>
    <w:rsid w:val="00520E54"/>
    <w:rsid w:val="00522084"/>
    <w:rsid w:val="00522588"/>
    <w:rsid w:val="00522C9E"/>
    <w:rsid w:val="005238A6"/>
    <w:rsid w:val="005244AF"/>
    <w:rsid w:val="00524830"/>
    <w:rsid w:val="0052497D"/>
    <w:rsid w:val="005253C6"/>
    <w:rsid w:val="005257BB"/>
    <w:rsid w:val="00526C17"/>
    <w:rsid w:val="00526C7F"/>
    <w:rsid w:val="00526E20"/>
    <w:rsid w:val="00527FB9"/>
    <w:rsid w:val="00530BFC"/>
    <w:rsid w:val="005326F5"/>
    <w:rsid w:val="00535A75"/>
    <w:rsid w:val="00535E92"/>
    <w:rsid w:val="005368D8"/>
    <w:rsid w:val="00536A22"/>
    <w:rsid w:val="00537510"/>
    <w:rsid w:val="005376C4"/>
    <w:rsid w:val="0054091A"/>
    <w:rsid w:val="00540FE9"/>
    <w:rsid w:val="00543319"/>
    <w:rsid w:val="00545168"/>
    <w:rsid w:val="00545689"/>
    <w:rsid w:val="00546082"/>
    <w:rsid w:val="005474B7"/>
    <w:rsid w:val="0055114D"/>
    <w:rsid w:val="005515AB"/>
    <w:rsid w:val="005520F7"/>
    <w:rsid w:val="00552DEF"/>
    <w:rsid w:val="005531F7"/>
    <w:rsid w:val="005535EF"/>
    <w:rsid w:val="00553930"/>
    <w:rsid w:val="00555C95"/>
    <w:rsid w:val="00555F89"/>
    <w:rsid w:val="005603B1"/>
    <w:rsid w:val="005606C7"/>
    <w:rsid w:val="0056149E"/>
    <w:rsid w:val="005615FF"/>
    <w:rsid w:val="00561FDF"/>
    <w:rsid w:val="005640D2"/>
    <w:rsid w:val="005642CC"/>
    <w:rsid w:val="00564C61"/>
    <w:rsid w:val="00565353"/>
    <w:rsid w:val="0056552F"/>
    <w:rsid w:val="00566E6F"/>
    <w:rsid w:val="00567290"/>
    <w:rsid w:val="00571595"/>
    <w:rsid w:val="005735D6"/>
    <w:rsid w:val="00573E22"/>
    <w:rsid w:val="00574FBF"/>
    <w:rsid w:val="00575283"/>
    <w:rsid w:val="005753C5"/>
    <w:rsid w:val="0057591C"/>
    <w:rsid w:val="00576CCD"/>
    <w:rsid w:val="0058171C"/>
    <w:rsid w:val="00584178"/>
    <w:rsid w:val="00584B5E"/>
    <w:rsid w:val="005854D0"/>
    <w:rsid w:val="005859AB"/>
    <w:rsid w:val="00585E7C"/>
    <w:rsid w:val="005864CD"/>
    <w:rsid w:val="00587BFF"/>
    <w:rsid w:val="00587ED0"/>
    <w:rsid w:val="00590259"/>
    <w:rsid w:val="0059044D"/>
    <w:rsid w:val="0059139B"/>
    <w:rsid w:val="00591509"/>
    <w:rsid w:val="00591FCB"/>
    <w:rsid w:val="0059219E"/>
    <w:rsid w:val="00593026"/>
    <w:rsid w:val="00593B33"/>
    <w:rsid w:val="00595799"/>
    <w:rsid w:val="00595F6E"/>
    <w:rsid w:val="0059600A"/>
    <w:rsid w:val="005969EE"/>
    <w:rsid w:val="00596D88"/>
    <w:rsid w:val="005977FE"/>
    <w:rsid w:val="005A0584"/>
    <w:rsid w:val="005A0871"/>
    <w:rsid w:val="005A1B2E"/>
    <w:rsid w:val="005A2559"/>
    <w:rsid w:val="005A2816"/>
    <w:rsid w:val="005A3183"/>
    <w:rsid w:val="005A49B7"/>
    <w:rsid w:val="005A710F"/>
    <w:rsid w:val="005A7D92"/>
    <w:rsid w:val="005B04D0"/>
    <w:rsid w:val="005B26E7"/>
    <w:rsid w:val="005B2D93"/>
    <w:rsid w:val="005B2FAF"/>
    <w:rsid w:val="005B3099"/>
    <w:rsid w:val="005B366D"/>
    <w:rsid w:val="005B3987"/>
    <w:rsid w:val="005B50C3"/>
    <w:rsid w:val="005B5292"/>
    <w:rsid w:val="005B5944"/>
    <w:rsid w:val="005B73A0"/>
    <w:rsid w:val="005B7DDD"/>
    <w:rsid w:val="005C0076"/>
    <w:rsid w:val="005C0AB6"/>
    <w:rsid w:val="005C1878"/>
    <w:rsid w:val="005C1B17"/>
    <w:rsid w:val="005C3544"/>
    <w:rsid w:val="005C3547"/>
    <w:rsid w:val="005C5084"/>
    <w:rsid w:val="005C69C2"/>
    <w:rsid w:val="005C6B60"/>
    <w:rsid w:val="005C6BAA"/>
    <w:rsid w:val="005C7361"/>
    <w:rsid w:val="005D032F"/>
    <w:rsid w:val="005D0BEF"/>
    <w:rsid w:val="005D125D"/>
    <w:rsid w:val="005D23A3"/>
    <w:rsid w:val="005D4370"/>
    <w:rsid w:val="005D44F3"/>
    <w:rsid w:val="005D4806"/>
    <w:rsid w:val="005D5AE1"/>
    <w:rsid w:val="005D66AE"/>
    <w:rsid w:val="005D690C"/>
    <w:rsid w:val="005D6973"/>
    <w:rsid w:val="005D7513"/>
    <w:rsid w:val="005D7C28"/>
    <w:rsid w:val="005E00D0"/>
    <w:rsid w:val="005E0361"/>
    <w:rsid w:val="005E0E5B"/>
    <w:rsid w:val="005E11AB"/>
    <w:rsid w:val="005E1617"/>
    <w:rsid w:val="005E1A3C"/>
    <w:rsid w:val="005E29E7"/>
    <w:rsid w:val="005E5070"/>
    <w:rsid w:val="005E5579"/>
    <w:rsid w:val="005E5906"/>
    <w:rsid w:val="005E71ED"/>
    <w:rsid w:val="005F2220"/>
    <w:rsid w:val="005F2AEE"/>
    <w:rsid w:val="005F2BB7"/>
    <w:rsid w:val="005F2DCE"/>
    <w:rsid w:val="005F31EF"/>
    <w:rsid w:val="005F3AC9"/>
    <w:rsid w:val="005F4992"/>
    <w:rsid w:val="005F56ED"/>
    <w:rsid w:val="005F586C"/>
    <w:rsid w:val="005F5FBA"/>
    <w:rsid w:val="00601623"/>
    <w:rsid w:val="00601CE9"/>
    <w:rsid w:val="006027C6"/>
    <w:rsid w:val="0060307A"/>
    <w:rsid w:val="00603B25"/>
    <w:rsid w:val="0060436C"/>
    <w:rsid w:val="00604CFB"/>
    <w:rsid w:val="00611A36"/>
    <w:rsid w:val="00613382"/>
    <w:rsid w:val="00613B68"/>
    <w:rsid w:val="00614590"/>
    <w:rsid w:val="00614837"/>
    <w:rsid w:val="006156E8"/>
    <w:rsid w:val="00616C84"/>
    <w:rsid w:val="006174C8"/>
    <w:rsid w:val="00621491"/>
    <w:rsid w:val="00621907"/>
    <w:rsid w:val="00621BED"/>
    <w:rsid w:val="00621F2F"/>
    <w:rsid w:val="0062286E"/>
    <w:rsid w:val="006244F9"/>
    <w:rsid w:val="00624B28"/>
    <w:rsid w:val="00625900"/>
    <w:rsid w:val="00625A43"/>
    <w:rsid w:val="00625C19"/>
    <w:rsid w:val="00626B39"/>
    <w:rsid w:val="0062703B"/>
    <w:rsid w:val="00627A9B"/>
    <w:rsid w:val="00627D4C"/>
    <w:rsid w:val="006307AF"/>
    <w:rsid w:val="00631B0C"/>
    <w:rsid w:val="00633230"/>
    <w:rsid w:val="006338FF"/>
    <w:rsid w:val="006342C4"/>
    <w:rsid w:val="00634ADA"/>
    <w:rsid w:val="006350EB"/>
    <w:rsid w:val="00635727"/>
    <w:rsid w:val="00636303"/>
    <w:rsid w:val="00636E15"/>
    <w:rsid w:val="00641524"/>
    <w:rsid w:val="00643D43"/>
    <w:rsid w:val="00643D75"/>
    <w:rsid w:val="00643FF1"/>
    <w:rsid w:val="0064475A"/>
    <w:rsid w:val="00644A6F"/>
    <w:rsid w:val="00644E82"/>
    <w:rsid w:val="0064558B"/>
    <w:rsid w:val="00645CA1"/>
    <w:rsid w:val="00647195"/>
    <w:rsid w:val="00647813"/>
    <w:rsid w:val="00647CEA"/>
    <w:rsid w:val="00647FD2"/>
    <w:rsid w:val="00650B8F"/>
    <w:rsid w:val="00653306"/>
    <w:rsid w:val="00654675"/>
    <w:rsid w:val="00654A2E"/>
    <w:rsid w:val="00656961"/>
    <w:rsid w:val="00656B1D"/>
    <w:rsid w:val="006570A7"/>
    <w:rsid w:val="00657375"/>
    <w:rsid w:val="00661B62"/>
    <w:rsid w:val="00664717"/>
    <w:rsid w:val="00666317"/>
    <w:rsid w:val="006675A4"/>
    <w:rsid w:val="00670A02"/>
    <w:rsid w:val="00674459"/>
    <w:rsid w:val="00674CF1"/>
    <w:rsid w:val="00674EFD"/>
    <w:rsid w:val="00675FE5"/>
    <w:rsid w:val="006801A8"/>
    <w:rsid w:val="006801B0"/>
    <w:rsid w:val="00680509"/>
    <w:rsid w:val="006811AC"/>
    <w:rsid w:val="0068145C"/>
    <w:rsid w:val="00682A1B"/>
    <w:rsid w:val="00683091"/>
    <w:rsid w:val="006869E3"/>
    <w:rsid w:val="00686F59"/>
    <w:rsid w:val="00687BB1"/>
    <w:rsid w:val="00687C2B"/>
    <w:rsid w:val="00690091"/>
    <w:rsid w:val="0069083A"/>
    <w:rsid w:val="00691280"/>
    <w:rsid w:val="00691B40"/>
    <w:rsid w:val="0069416E"/>
    <w:rsid w:val="0069442A"/>
    <w:rsid w:val="00694D37"/>
    <w:rsid w:val="006950B9"/>
    <w:rsid w:val="00696035"/>
    <w:rsid w:val="00696BA2"/>
    <w:rsid w:val="00697798"/>
    <w:rsid w:val="006A0580"/>
    <w:rsid w:val="006A05B4"/>
    <w:rsid w:val="006A1A49"/>
    <w:rsid w:val="006A1EC1"/>
    <w:rsid w:val="006A3A22"/>
    <w:rsid w:val="006A3B75"/>
    <w:rsid w:val="006A419B"/>
    <w:rsid w:val="006A4B00"/>
    <w:rsid w:val="006A650A"/>
    <w:rsid w:val="006A6B97"/>
    <w:rsid w:val="006A6F68"/>
    <w:rsid w:val="006A6F79"/>
    <w:rsid w:val="006A772F"/>
    <w:rsid w:val="006B0786"/>
    <w:rsid w:val="006B18B0"/>
    <w:rsid w:val="006B1F42"/>
    <w:rsid w:val="006B23E3"/>
    <w:rsid w:val="006B23E5"/>
    <w:rsid w:val="006B28A7"/>
    <w:rsid w:val="006B329C"/>
    <w:rsid w:val="006B5C98"/>
    <w:rsid w:val="006B6A51"/>
    <w:rsid w:val="006C290E"/>
    <w:rsid w:val="006C379A"/>
    <w:rsid w:val="006C4D04"/>
    <w:rsid w:val="006C4EC1"/>
    <w:rsid w:val="006C5320"/>
    <w:rsid w:val="006C5BFE"/>
    <w:rsid w:val="006C5FE3"/>
    <w:rsid w:val="006C75F0"/>
    <w:rsid w:val="006C78CD"/>
    <w:rsid w:val="006D1C3E"/>
    <w:rsid w:val="006D2CD0"/>
    <w:rsid w:val="006D2D23"/>
    <w:rsid w:val="006D4372"/>
    <w:rsid w:val="006D5206"/>
    <w:rsid w:val="006D52BB"/>
    <w:rsid w:val="006D54FC"/>
    <w:rsid w:val="006D5E55"/>
    <w:rsid w:val="006D6520"/>
    <w:rsid w:val="006D6D73"/>
    <w:rsid w:val="006D7767"/>
    <w:rsid w:val="006E0C95"/>
    <w:rsid w:val="006E0E3B"/>
    <w:rsid w:val="006E1398"/>
    <w:rsid w:val="006E176C"/>
    <w:rsid w:val="006E19C4"/>
    <w:rsid w:val="006E2ED0"/>
    <w:rsid w:val="006E391A"/>
    <w:rsid w:val="006E4ED8"/>
    <w:rsid w:val="006E5FCC"/>
    <w:rsid w:val="006E6712"/>
    <w:rsid w:val="006E7277"/>
    <w:rsid w:val="006E7D36"/>
    <w:rsid w:val="006F0B2E"/>
    <w:rsid w:val="006F0EB1"/>
    <w:rsid w:val="006F11F6"/>
    <w:rsid w:val="006F129B"/>
    <w:rsid w:val="006F1EA2"/>
    <w:rsid w:val="006F1EAD"/>
    <w:rsid w:val="006F2300"/>
    <w:rsid w:val="006F263C"/>
    <w:rsid w:val="006F2A50"/>
    <w:rsid w:val="006F35B9"/>
    <w:rsid w:val="006F3C67"/>
    <w:rsid w:val="006F46F5"/>
    <w:rsid w:val="006F6A6D"/>
    <w:rsid w:val="006F7279"/>
    <w:rsid w:val="006F7A62"/>
    <w:rsid w:val="00700058"/>
    <w:rsid w:val="007008F5"/>
    <w:rsid w:val="00700EB2"/>
    <w:rsid w:val="007010F9"/>
    <w:rsid w:val="00703E95"/>
    <w:rsid w:val="007040C9"/>
    <w:rsid w:val="00706664"/>
    <w:rsid w:val="0070713E"/>
    <w:rsid w:val="0071084E"/>
    <w:rsid w:val="0071176D"/>
    <w:rsid w:val="007119C7"/>
    <w:rsid w:val="00711BB2"/>
    <w:rsid w:val="0071220A"/>
    <w:rsid w:val="00712328"/>
    <w:rsid w:val="007124E8"/>
    <w:rsid w:val="00712CAE"/>
    <w:rsid w:val="00713AEB"/>
    <w:rsid w:val="00714AC5"/>
    <w:rsid w:val="00715DB3"/>
    <w:rsid w:val="00720DAF"/>
    <w:rsid w:val="00720E90"/>
    <w:rsid w:val="007210ED"/>
    <w:rsid w:val="00721A31"/>
    <w:rsid w:val="00723282"/>
    <w:rsid w:val="007236B4"/>
    <w:rsid w:val="00724932"/>
    <w:rsid w:val="00724C02"/>
    <w:rsid w:val="007251CE"/>
    <w:rsid w:val="0072595F"/>
    <w:rsid w:val="007260A8"/>
    <w:rsid w:val="00726DED"/>
    <w:rsid w:val="00730374"/>
    <w:rsid w:val="00731A8C"/>
    <w:rsid w:val="00731EAA"/>
    <w:rsid w:val="00732A10"/>
    <w:rsid w:val="00733A11"/>
    <w:rsid w:val="007351D3"/>
    <w:rsid w:val="00735DFC"/>
    <w:rsid w:val="007365B8"/>
    <w:rsid w:val="007370BD"/>
    <w:rsid w:val="00737A54"/>
    <w:rsid w:val="00740688"/>
    <w:rsid w:val="00740AFB"/>
    <w:rsid w:val="00740D92"/>
    <w:rsid w:val="00741057"/>
    <w:rsid w:val="007418B7"/>
    <w:rsid w:val="00741B72"/>
    <w:rsid w:val="007423FA"/>
    <w:rsid w:val="00742B80"/>
    <w:rsid w:val="00744BBF"/>
    <w:rsid w:val="00745EB9"/>
    <w:rsid w:val="00746FC0"/>
    <w:rsid w:val="00747FE3"/>
    <w:rsid w:val="00750029"/>
    <w:rsid w:val="00751231"/>
    <w:rsid w:val="00751B44"/>
    <w:rsid w:val="00751E30"/>
    <w:rsid w:val="00754E15"/>
    <w:rsid w:val="00755172"/>
    <w:rsid w:val="00755766"/>
    <w:rsid w:val="00755C3E"/>
    <w:rsid w:val="0075641C"/>
    <w:rsid w:val="007570FD"/>
    <w:rsid w:val="00757284"/>
    <w:rsid w:val="00757820"/>
    <w:rsid w:val="00757C9E"/>
    <w:rsid w:val="00757CD5"/>
    <w:rsid w:val="007608C6"/>
    <w:rsid w:val="00762E35"/>
    <w:rsid w:val="007630BF"/>
    <w:rsid w:val="00764147"/>
    <w:rsid w:val="007641E3"/>
    <w:rsid w:val="00764FB6"/>
    <w:rsid w:val="0076507C"/>
    <w:rsid w:val="00766E1E"/>
    <w:rsid w:val="00771878"/>
    <w:rsid w:val="00772988"/>
    <w:rsid w:val="00772EC4"/>
    <w:rsid w:val="007734E2"/>
    <w:rsid w:val="007742F2"/>
    <w:rsid w:val="007745F4"/>
    <w:rsid w:val="00774AD2"/>
    <w:rsid w:val="00774CBE"/>
    <w:rsid w:val="00774DF7"/>
    <w:rsid w:val="007754EF"/>
    <w:rsid w:val="0077611E"/>
    <w:rsid w:val="007767B2"/>
    <w:rsid w:val="007767E2"/>
    <w:rsid w:val="00780363"/>
    <w:rsid w:val="00780F01"/>
    <w:rsid w:val="007811BF"/>
    <w:rsid w:val="0078185F"/>
    <w:rsid w:val="00781967"/>
    <w:rsid w:val="00781F61"/>
    <w:rsid w:val="0078275C"/>
    <w:rsid w:val="007828E9"/>
    <w:rsid w:val="00783843"/>
    <w:rsid w:val="00784807"/>
    <w:rsid w:val="00784EFE"/>
    <w:rsid w:val="007855A5"/>
    <w:rsid w:val="00785EB2"/>
    <w:rsid w:val="00786032"/>
    <w:rsid w:val="00786768"/>
    <w:rsid w:val="00786AF8"/>
    <w:rsid w:val="0078709D"/>
    <w:rsid w:val="00790E46"/>
    <w:rsid w:val="007919EE"/>
    <w:rsid w:val="00793306"/>
    <w:rsid w:val="00793BEA"/>
    <w:rsid w:val="00794624"/>
    <w:rsid w:val="00794B16"/>
    <w:rsid w:val="00795172"/>
    <w:rsid w:val="00796AA6"/>
    <w:rsid w:val="00796DE7"/>
    <w:rsid w:val="007A08ED"/>
    <w:rsid w:val="007A122C"/>
    <w:rsid w:val="007A445B"/>
    <w:rsid w:val="007A5074"/>
    <w:rsid w:val="007A5970"/>
    <w:rsid w:val="007A5A3E"/>
    <w:rsid w:val="007A71CF"/>
    <w:rsid w:val="007A75CF"/>
    <w:rsid w:val="007A7745"/>
    <w:rsid w:val="007A7860"/>
    <w:rsid w:val="007A7EA4"/>
    <w:rsid w:val="007B0C14"/>
    <w:rsid w:val="007B1691"/>
    <w:rsid w:val="007B1B17"/>
    <w:rsid w:val="007B1B72"/>
    <w:rsid w:val="007B1DCF"/>
    <w:rsid w:val="007B3769"/>
    <w:rsid w:val="007B419C"/>
    <w:rsid w:val="007B5098"/>
    <w:rsid w:val="007B5B68"/>
    <w:rsid w:val="007B6566"/>
    <w:rsid w:val="007B6CD3"/>
    <w:rsid w:val="007B7254"/>
    <w:rsid w:val="007B7987"/>
    <w:rsid w:val="007B7AFF"/>
    <w:rsid w:val="007C0199"/>
    <w:rsid w:val="007C01B6"/>
    <w:rsid w:val="007C0264"/>
    <w:rsid w:val="007C1A61"/>
    <w:rsid w:val="007C1AB5"/>
    <w:rsid w:val="007C1DF3"/>
    <w:rsid w:val="007C290A"/>
    <w:rsid w:val="007C36BC"/>
    <w:rsid w:val="007C4153"/>
    <w:rsid w:val="007C41E3"/>
    <w:rsid w:val="007C5B34"/>
    <w:rsid w:val="007C660F"/>
    <w:rsid w:val="007C6768"/>
    <w:rsid w:val="007C7744"/>
    <w:rsid w:val="007C7DA4"/>
    <w:rsid w:val="007D112D"/>
    <w:rsid w:val="007D143B"/>
    <w:rsid w:val="007D1EE1"/>
    <w:rsid w:val="007D3366"/>
    <w:rsid w:val="007D39A5"/>
    <w:rsid w:val="007D46FA"/>
    <w:rsid w:val="007D4912"/>
    <w:rsid w:val="007D6B67"/>
    <w:rsid w:val="007D773E"/>
    <w:rsid w:val="007E1439"/>
    <w:rsid w:val="007E2704"/>
    <w:rsid w:val="007E3D2C"/>
    <w:rsid w:val="007E5280"/>
    <w:rsid w:val="007E540C"/>
    <w:rsid w:val="007E6075"/>
    <w:rsid w:val="007E76D8"/>
    <w:rsid w:val="007E785A"/>
    <w:rsid w:val="007F0B7A"/>
    <w:rsid w:val="007F17F6"/>
    <w:rsid w:val="007F1EC8"/>
    <w:rsid w:val="007F1FBD"/>
    <w:rsid w:val="007F44B5"/>
    <w:rsid w:val="007F44D6"/>
    <w:rsid w:val="007F4839"/>
    <w:rsid w:val="007F48B1"/>
    <w:rsid w:val="0080036E"/>
    <w:rsid w:val="00800EF9"/>
    <w:rsid w:val="008017A4"/>
    <w:rsid w:val="00801C2B"/>
    <w:rsid w:val="00802B84"/>
    <w:rsid w:val="00802BE3"/>
    <w:rsid w:val="00803BD9"/>
    <w:rsid w:val="0080464B"/>
    <w:rsid w:val="0080487D"/>
    <w:rsid w:val="00805E04"/>
    <w:rsid w:val="008065CF"/>
    <w:rsid w:val="00811F53"/>
    <w:rsid w:val="00812BCE"/>
    <w:rsid w:val="00813B6D"/>
    <w:rsid w:val="00813C71"/>
    <w:rsid w:val="00814999"/>
    <w:rsid w:val="00815408"/>
    <w:rsid w:val="00815712"/>
    <w:rsid w:val="00815D46"/>
    <w:rsid w:val="008161AC"/>
    <w:rsid w:val="00816257"/>
    <w:rsid w:val="00821D2A"/>
    <w:rsid w:val="0082235C"/>
    <w:rsid w:val="00824695"/>
    <w:rsid w:val="00825AF3"/>
    <w:rsid w:val="00825E31"/>
    <w:rsid w:val="00826167"/>
    <w:rsid w:val="00827213"/>
    <w:rsid w:val="008272BF"/>
    <w:rsid w:val="00830578"/>
    <w:rsid w:val="0083079E"/>
    <w:rsid w:val="00830A3F"/>
    <w:rsid w:val="0083142B"/>
    <w:rsid w:val="00833A1F"/>
    <w:rsid w:val="00834558"/>
    <w:rsid w:val="0083481E"/>
    <w:rsid w:val="008367C5"/>
    <w:rsid w:val="008367E0"/>
    <w:rsid w:val="0084022C"/>
    <w:rsid w:val="00841B6C"/>
    <w:rsid w:val="00841CC3"/>
    <w:rsid w:val="0084273C"/>
    <w:rsid w:val="008429A3"/>
    <w:rsid w:val="00843094"/>
    <w:rsid w:val="008433D2"/>
    <w:rsid w:val="00844F95"/>
    <w:rsid w:val="008462F3"/>
    <w:rsid w:val="00846DA8"/>
    <w:rsid w:val="00847FA4"/>
    <w:rsid w:val="00850980"/>
    <w:rsid w:val="008513C4"/>
    <w:rsid w:val="00851FA8"/>
    <w:rsid w:val="0085238D"/>
    <w:rsid w:val="0085267E"/>
    <w:rsid w:val="00852686"/>
    <w:rsid w:val="00854050"/>
    <w:rsid w:val="00854115"/>
    <w:rsid w:val="00854978"/>
    <w:rsid w:val="00854C2C"/>
    <w:rsid w:val="00856E89"/>
    <w:rsid w:val="00857883"/>
    <w:rsid w:val="00857D67"/>
    <w:rsid w:val="00860DFE"/>
    <w:rsid w:val="00861AC2"/>
    <w:rsid w:val="00861C8B"/>
    <w:rsid w:val="00861D9D"/>
    <w:rsid w:val="008620A1"/>
    <w:rsid w:val="00862A77"/>
    <w:rsid w:val="00862CED"/>
    <w:rsid w:val="00863E16"/>
    <w:rsid w:val="00864CD1"/>
    <w:rsid w:val="00865418"/>
    <w:rsid w:val="008659E5"/>
    <w:rsid w:val="00866A1E"/>
    <w:rsid w:val="00866E9B"/>
    <w:rsid w:val="00866F91"/>
    <w:rsid w:val="0086775E"/>
    <w:rsid w:val="008705D1"/>
    <w:rsid w:val="008710DB"/>
    <w:rsid w:val="00872302"/>
    <w:rsid w:val="0087344A"/>
    <w:rsid w:val="008737B8"/>
    <w:rsid w:val="008750E5"/>
    <w:rsid w:val="00875B91"/>
    <w:rsid w:val="00877255"/>
    <w:rsid w:val="0087749B"/>
    <w:rsid w:val="00881160"/>
    <w:rsid w:val="00881452"/>
    <w:rsid w:val="0088175F"/>
    <w:rsid w:val="008818FF"/>
    <w:rsid w:val="008825BC"/>
    <w:rsid w:val="0088273E"/>
    <w:rsid w:val="00882C54"/>
    <w:rsid w:val="00883921"/>
    <w:rsid w:val="0088454D"/>
    <w:rsid w:val="008855D7"/>
    <w:rsid w:val="00891421"/>
    <w:rsid w:val="00891455"/>
    <w:rsid w:val="008921E1"/>
    <w:rsid w:val="00892557"/>
    <w:rsid w:val="008945E5"/>
    <w:rsid w:val="00894BCC"/>
    <w:rsid w:val="00894E07"/>
    <w:rsid w:val="00894EF0"/>
    <w:rsid w:val="008954DC"/>
    <w:rsid w:val="008957FF"/>
    <w:rsid w:val="00895E32"/>
    <w:rsid w:val="00895FCD"/>
    <w:rsid w:val="0089689D"/>
    <w:rsid w:val="00897EE8"/>
    <w:rsid w:val="008A011D"/>
    <w:rsid w:val="008A0797"/>
    <w:rsid w:val="008A0FC1"/>
    <w:rsid w:val="008A1067"/>
    <w:rsid w:val="008A10A4"/>
    <w:rsid w:val="008A26FA"/>
    <w:rsid w:val="008A2F7E"/>
    <w:rsid w:val="008A32F6"/>
    <w:rsid w:val="008A4953"/>
    <w:rsid w:val="008A50FC"/>
    <w:rsid w:val="008A583C"/>
    <w:rsid w:val="008A5DAB"/>
    <w:rsid w:val="008A6523"/>
    <w:rsid w:val="008A7888"/>
    <w:rsid w:val="008B0DBD"/>
    <w:rsid w:val="008B2853"/>
    <w:rsid w:val="008B286F"/>
    <w:rsid w:val="008B2EA1"/>
    <w:rsid w:val="008B37D6"/>
    <w:rsid w:val="008B5093"/>
    <w:rsid w:val="008B5868"/>
    <w:rsid w:val="008B7DBE"/>
    <w:rsid w:val="008C0078"/>
    <w:rsid w:val="008C11DF"/>
    <w:rsid w:val="008C5484"/>
    <w:rsid w:val="008C6E37"/>
    <w:rsid w:val="008C7A9D"/>
    <w:rsid w:val="008D204E"/>
    <w:rsid w:val="008D2869"/>
    <w:rsid w:val="008D351E"/>
    <w:rsid w:val="008D39B5"/>
    <w:rsid w:val="008D448D"/>
    <w:rsid w:val="008D44D9"/>
    <w:rsid w:val="008D56D8"/>
    <w:rsid w:val="008D5A09"/>
    <w:rsid w:val="008E0A31"/>
    <w:rsid w:val="008E0FE0"/>
    <w:rsid w:val="008E143C"/>
    <w:rsid w:val="008E3058"/>
    <w:rsid w:val="008E370E"/>
    <w:rsid w:val="008E3CAE"/>
    <w:rsid w:val="008E477F"/>
    <w:rsid w:val="008E5B6A"/>
    <w:rsid w:val="008E6198"/>
    <w:rsid w:val="008E6250"/>
    <w:rsid w:val="008E6642"/>
    <w:rsid w:val="008E6DEA"/>
    <w:rsid w:val="008E70E4"/>
    <w:rsid w:val="008F0834"/>
    <w:rsid w:val="008F1798"/>
    <w:rsid w:val="008F2CA4"/>
    <w:rsid w:val="008F2E5B"/>
    <w:rsid w:val="008F4687"/>
    <w:rsid w:val="008F645E"/>
    <w:rsid w:val="008F682B"/>
    <w:rsid w:val="008F7B80"/>
    <w:rsid w:val="00901955"/>
    <w:rsid w:val="00902964"/>
    <w:rsid w:val="00902FC3"/>
    <w:rsid w:val="00905A23"/>
    <w:rsid w:val="009071F0"/>
    <w:rsid w:val="00907C14"/>
    <w:rsid w:val="009114E0"/>
    <w:rsid w:val="00911614"/>
    <w:rsid w:val="0091195E"/>
    <w:rsid w:val="0091315F"/>
    <w:rsid w:val="00913E72"/>
    <w:rsid w:val="009141F8"/>
    <w:rsid w:val="009144B4"/>
    <w:rsid w:val="00915499"/>
    <w:rsid w:val="00917711"/>
    <w:rsid w:val="00917BC7"/>
    <w:rsid w:val="009208E3"/>
    <w:rsid w:val="00920E39"/>
    <w:rsid w:val="00921379"/>
    <w:rsid w:val="0092157E"/>
    <w:rsid w:val="00921D21"/>
    <w:rsid w:val="009226A1"/>
    <w:rsid w:val="00924984"/>
    <w:rsid w:val="00925861"/>
    <w:rsid w:val="009258F7"/>
    <w:rsid w:val="0092653D"/>
    <w:rsid w:val="00927454"/>
    <w:rsid w:val="0092774A"/>
    <w:rsid w:val="00927834"/>
    <w:rsid w:val="00927DDD"/>
    <w:rsid w:val="00927ED8"/>
    <w:rsid w:val="00927F5A"/>
    <w:rsid w:val="009302EC"/>
    <w:rsid w:val="00931AA1"/>
    <w:rsid w:val="0093327C"/>
    <w:rsid w:val="00933637"/>
    <w:rsid w:val="00933CB9"/>
    <w:rsid w:val="009349A1"/>
    <w:rsid w:val="00934D14"/>
    <w:rsid w:val="00937E0A"/>
    <w:rsid w:val="00940936"/>
    <w:rsid w:val="00940FAA"/>
    <w:rsid w:val="0094122C"/>
    <w:rsid w:val="0094187A"/>
    <w:rsid w:val="00941B2C"/>
    <w:rsid w:val="00942D55"/>
    <w:rsid w:val="00943FB4"/>
    <w:rsid w:val="0094456B"/>
    <w:rsid w:val="009450F7"/>
    <w:rsid w:val="00945238"/>
    <w:rsid w:val="009456CE"/>
    <w:rsid w:val="009462C4"/>
    <w:rsid w:val="009463A0"/>
    <w:rsid w:val="00946406"/>
    <w:rsid w:val="00947C33"/>
    <w:rsid w:val="009504BB"/>
    <w:rsid w:val="00951148"/>
    <w:rsid w:val="00951A00"/>
    <w:rsid w:val="00951C5E"/>
    <w:rsid w:val="00951EF1"/>
    <w:rsid w:val="0095299C"/>
    <w:rsid w:val="00952D53"/>
    <w:rsid w:val="00952ED2"/>
    <w:rsid w:val="0095328A"/>
    <w:rsid w:val="00953B37"/>
    <w:rsid w:val="0095412C"/>
    <w:rsid w:val="0095483E"/>
    <w:rsid w:val="0095680B"/>
    <w:rsid w:val="00956AC5"/>
    <w:rsid w:val="0095717C"/>
    <w:rsid w:val="00957C97"/>
    <w:rsid w:val="00961EDB"/>
    <w:rsid w:val="009625AE"/>
    <w:rsid w:val="00962D9F"/>
    <w:rsid w:val="0096363C"/>
    <w:rsid w:val="00963E8F"/>
    <w:rsid w:val="0096422E"/>
    <w:rsid w:val="00964257"/>
    <w:rsid w:val="0096537A"/>
    <w:rsid w:val="00966025"/>
    <w:rsid w:val="0096645F"/>
    <w:rsid w:val="00967D19"/>
    <w:rsid w:val="00970450"/>
    <w:rsid w:val="0097079E"/>
    <w:rsid w:val="009710E8"/>
    <w:rsid w:val="009710EA"/>
    <w:rsid w:val="00972ECB"/>
    <w:rsid w:val="00973798"/>
    <w:rsid w:val="00973AF9"/>
    <w:rsid w:val="00974109"/>
    <w:rsid w:val="0097430F"/>
    <w:rsid w:val="009744B1"/>
    <w:rsid w:val="00974886"/>
    <w:rsid w:val="00976276"/>
    <w:rsid w:val="00980F5C"/>
    <w:rsid w:val="00982713"/>
    <w:rsid w:val="00984DA6"/>
    <w:rsid w:val="00984F94"/>
    <w:rsid w:val="009857D3"/>
    <w:rsid w:val="00985902"/>
    <w:rsid w:val="00985982"/>
    <w:rsid w:val="00985D13"/>
    <w:rsid w:val="0098618B"/>
    <w:rsid w:val="00986A60"/>
    <w:rsid w:val="00986E5D"/>
    <w:rsid w:val="00987E1C"/>
    <w:rsid w:val="00991694"/>
    <w:rsid w:val="009926ED"/>
    <w:rsid w:val="009927ED"/>
    <w:rsid w:val="00993AA7"/>
    <w:rsid w:val="00993B24"/>
    <w:rsid w:val="00995A23"/>
    <w:rsid w:val="00997E66"/>
    <w:rsid w:val="00997EC8"/>
    <w:rsid w:val="009A00C1"/>
    <w:rsid w:val="009A09A6"/>
    <w:rsid w:val="009A24DF"/>
    <w:rsid w:val="009A3776"/>
    <w:rsid w:val="009A3E01"/>
    <w:rsid w:val="009A3E4B"/>
    <w:rsid w:val="009A4BAE"/>
    <w:rsid w:val="009A7C7D"/>
    <w:rsid w:val="009A7D06"/>
    <w:rsid w:val="009B1938"/>
    <w:rsid w:val="009B19DE"/>
    <w:rsid w:val="009B2026"/>
    <w:rsid w:val="009B2EC3"/>
    <w:rsid w:val="009B384A"/>
    <w:rsid w:val="009B3C7A"/>
    <w:rsid w:val="009B52C1"/>
    <w:rsid w:val="009B5EE2"/>
    <w:rsid w:val="009B6986"/>
    <w:rsid w:val="009B7098"/>
    <w:rsid w:val="009B7A14"/>
    <w:rsid w:val="009B7D4F"/>
    <w:rsid w:val="009C04ED"/>
    <w:rsid w:val="009C0BAA"/>
    <w:rsid w:val="009C2FD5"/>
    <w:rsid w:val="009C3A32"/>
    <w:rsid w:val="009C6195"/>
    <w:rsid w:val="009C6AFE"/>
    <w:rsid w:val="009D03B3"/>
    <w:rsid w:val="009D23D1"/>
    <w:rsid w:val="009D266E"/>
    <w:rsid w:val="009D34EC"/>
    <w:rsid w:val="009D423D"/>
    <w:rsid w:val="009D4C43"/>
    <w:rsid w:val="009D4CB7"/>
    <w:rsid w:val="009D5DEB"/>
    <w:rsid w:val="009D709D"/>
    <w:rsid w:val="009D7C68"/>
    <w:rsid w:val="009D7D94"/>
    <w:rsid w:val="009E16D7"/>
    <w:rsid w:val="009E174B"/>
    <w:rsid w:val="009E1BB7"/>
    <w:rsid w:val="009E2DA0"/>
    <w:rsid w:val="009E306F"/>
    <w:rsid w:val="009E3298"/>
    <w:rsid w:val="009E4533"/>
    <w:rsid w:val="009E5398"/>
    <w:rsid w:val="009E5797"/>
    <w:rsid w:val="009E57CC"/>
    <w:rsid w:val="009E6080"/>
    <w:rsid w:val="009E64A1"/>
    <w:rsid w:val="009E760C"/>
    <w:rsid w:val="009F06C6"/>
    <w:rsid w:val="009F1623"/>
    <w:rsid w:val="009F1B01"/>
    <w:rsid w:val="009F208B"/>
    <w:rsid w:val="009F366F"/>
    <w:rsid w:val="009F3AB0"/>
    <w:rsid w:val="009F3CFD"/>
    <w:rsid w:val="009F3E0C"/>
    <w:rsid w:val="009F41EA"/>
    <w:rsid w:val="009F5DF7"/>
    <w:rsid w:val="009F68A3"/>
    <w:rsid w:val="009F7052"/>
    <w:rsid w:val="009F716C"/>
    <w:rsid w:val="00A00C20"/>
    <w:rsid w:val="00A0139A"/>
    <w:rsid w:val="00A04337"/>
    <w:rsid w:val="00A04477"/>
    <w:rsid w:val="00A048C1"/>
    <w:rsid w:val="00A04B59"/>
    <w:rsid w:val="00A0549E"/>
    <w:rsid w:val="00A06562"/>
    <w:rsid w:val="00A06FB5"/>
    <w:rsid w:val="00A073B4"/>
    <w:rsid w:val="00A106C5"/>
    <w:rsid w:val="00A11963"/>
    <w:rsid w:val="00A119D9"/>
    <w:rsid w:val="00A11CCE"/>
    <w:rsid w:val="00A14E0C"/>
    <w:rsid w:val="00A15343"/>
    <w:rsid w:val="00A158E6"/>
    <w:rsid w:val="00A15CF5"/>
    <w:rsid w:val="00A160D9"/>
    <w:rsid w:val="00A17188"/>
    <w:rsid w:val="00A171D9"/>
    <w:rsid w:val="00A17235"/>
    <w:rsid w:val="00A1772A"/>
    <w:rsid w:val="00A20A43"/>
    <w:rsid w:val="00A21068"/>
    <w:rsid w:val="00A211D2"/>
    <w:rsid w:val="00A24743"/>
    <w:rsid w:val="00A25EC1"/>
    <w:rsid w:val="00A26067"/>
    <w:rsid w:val="00A26E48"/>
    <w:rsid w:val="00A27204"/>
    <w:rsid w:val="00A27ED0"/>
    <w:rsid w:val="00A3046A"/>
    <w:rsid w:val="00A30B87"/>
    <w:rsid w:val="00A30E20"/>
    <w:rsid w:val="00A31611"/>
    <w:rsid w:val="00A34128"/>
    <w:rsid w:val="00A348CB"/>
    <w:rsid w:val="00A3571D"/>
    <w:rsid w:val="00A362F0"/>
    <w:rsid w:val="00A36441"/>
    <w:rsid w:val="00A37286"/>
    <w:rsid w:val="00A37910"/>
    <w:rsid w:val="00A40A2F"/>
    <w:rsid w:val="00A40E21"/>
    <w:rsid w:val="00A41B15"/>
    <w:rsid w:val="00A42095"/>
    <w:rsid w:val="00A425F3"/>
    <w:rsid w:val="00A42DEF"/>
    <w:rsid w:val="00A44621"/>
    <w:rsid w:val="00A462BB"/>
    <w:rsid w:val="00A466A4"/>
    <w:rsid w:val="00A470A5"/>
    <w:rsid w:val="00A473E5"/>
    <w:rsid w:val="00A50DC0"/>
    <w:rsid w:val="00A51AC5"/>
    <w:rsid w:val="00A51D6F"/>
    <w:rsid w:val="00A53897"/>
    <w:rsid w:val="00A55057"/>
    <w:rsid w:val="00A55B3E"/>
    <w:rsid w:val="00A560BA"/>
    <w:rsid w:val="00A565C9"/>
    <w:rsid w:val="00A5674E"/>
    <w:rsid w:val="00A6061B"/>
    <w:rsid w:val="00A61542"/>
    <w:rsid w:val="00A62747"/>
    <w:rsid w:val="00A628CA"/>
    <w:rsid w:val="00A62C68"/>
    <w:rsid w:val="00A63547"/>
    <w:rsid w:val="00A63AFF"/>
    <w:rsid w:val="00A63D2F"/>
    <w:rsid w:val="00A63E8A"/>
    <w:rsid w:val="00A6441D"/>
    <w:rsid w:val="00A64D3E"/>
    <w:rsid w:val="00A65DBC"/>
    <w:rsid w:val="00A65E42"/>
    <w:rsid w:val="00A6734A"/>
    <w:rsid w:val="00A678DE"/>
    <w:rsid w:val="00A67EC5"/>
    <w:rsid w:val="00A72964"/>
    <w:rsid w:val="00A72E4D"/>
    <w:rsid w:val="00A73905"/>
    <w:rsid w:val="00A73C11"/>
    <w:rsid w:val="00A74396"/>
    <w:rsid w:val="00A74FD1"/>
    <w:rsid w:val="00A750D7"/>
    <w:rsid w:val="00A751AB"/>
    <w:rsid w:val="00A7552A"/>
    <w:rsid w:val="00A76876"/>
    <w:rsid w:val="00A76D64"/>
    <w:rsid w:val="00A77207"/>
    <w:rsid w:val="00A772A0"/>
    <w:rsid w:val="00A77CE3"/>
    <w:rsid w:val="00A801DD"/>
    <w:rsid w:val="00A8049C"/>
    <w:rsid w:val="00A807B6"/>
    <w:rsid w:val="00A807E3"/>
    <w:rsid w:val="00A81CF2"/>
    <w:rsid w:val="00A81E1E"/>
    <w:rsid w:val="00A81F8E"/>
    <w:rsid w:val="00A82020"/>
    <w:rsid w:val="00A829AD"/>
    <w:rsid w:val="00A835BF"/>
    <w:rsid w:val="00A83CB7"/>
    <w:rsid w:val="00A8427F"/>
    <w:rsid w:val="00A87325"/>
    <w:rsid w:val="00A87FC6"/>
    <w:rsid w:val="00A9194A"/>
    <w:rsid w:val="00A93585"/>
    <w:rsid w:val="00A937CB"/>
    <w:rsid w:val="00A94C0C"/>
    <w:rsid w:val="00A95303"/>
    <w:rsid w:val="00A958B4"/>
    <w:rsid w:val="00A965C4"/>
    <w:rsid w:val="00A96A14"/>
    <w:rsid w:val="00A972ED"/>
    <w:rsid w:val="00AA03BB"/>
    <w:rsid w:val="00AA092F"/>
    <w:rsid w:val="00AA1EB2"/>
    <w:rsid w:val="00AA3961"/>
    <w:rsid w:val="00AA3B56"/>
    <w:rsid w:val="00AA509C"/>
    <w:rsid w:val="00AA659F"/>
    <w:rsid w:val="00AA78D4"/>
    <w:rsid w:val="00AB0153"/>
    <w:rsid w:val="00AB043E"/>
    <w:rsid w:val="00AB055C"/>
    <w:rsid w:val="00AB07C5"/>
    <w:rsid w:val="00AB0FAE"/>
    <w:rsid w:val="00AB15E6"/>
    <w:rsid w:val="00AB24E2"/>
    <w:rsid w:val="00AB2A7E"/>
    <w:rsid w:val="00AB2B0F"/>
    <w:rsid w:val="00AB4CD8"/>
    <w:rsid w:val="00AB4DDA"/>
    <w:rsid w:val="00AB63BF"/>
    <w:rsid w:val="00AB648E"/>
    <w:rsid w:val="00AB6DF8"/>
    <w:rsid w:val="00AB6F9B"/>
    <w:rsid w:val="00AB72DD"/>
    <w:rsid w:val="00AC0057"/>
    <w:rsid w:val="00AC1BC4"/>
    <w:rsid w:val="00AC1F4F"/>
    <w:rsid w:val="00AC2038"/>
    <w:rsid w:val="00AC3F36"/>
    <w:rsid w:val="00AC4F6A"/>
    <w:rsid w:val="00AC59AB"/>
    <w:rsid w:val="00AC5E66"/>
    <w:rsid w:val="00AC5E6B"/>
    <w:rsid w:val="00AC5FBE"/>
    <w:rsid w:val="00AC69F3"/>
    <w:rsid w:val="00AC6D15"/>
    <w:rsid w:val="00AC6E9C"/>
    <w:rsid w:val="00AC6F18"/>
    <w:rsid w:val="00AC7A1D"/>
    <w:rsid w:val="00AC7FD3"/>
    <w:rsid w:val="00AD0565"/>
    <w:rsid w:val="00AD1154"/>
    <w:rsid w:val="00AD1792"/>
    <w:rsid w:val="00AD1905"/>
    <w:rsid w:val="00AD1CBC"/>
    <w:rsid w:val="00AD2E88"/>
    <w:rsid w:val="00AD2ED8"/>
    <w:rsid w:val="00AD35FD"/>
    <w:rsid w:val="00AD3C52"/>
    <w:rsid w:val="00AD57E2"/>
    <w:rsid w:val="00AD6C56"/>
    <w:rsid w:val="00AD7E45"/>
    <w:rsid w:val="00AE0139"/>
    <w:rsid w:val="00AE0501"/>
    <w:rsid w:val="00AE1166"/>
    <w:rsid w:val="00AE140F"/>
    <w:rsid w:val="00AE174B"/>
    <w:rsid w:val="00AE3080"/>
    <w:rsid w:val="00AE3FCF"/>
    <w:rsid w:val="00AE49F0"/>
    <w:rsid w:val="00AE7D26"/>
    <w:rsid w:val="00AF1D19"/>
    <w:rsid w:val="00AF47FA"/>
    <w:rsid w:val="00AF5B28"/>
    <w:rsid w:val="00AF5E29"/>
    <w:rsid w:val="00AF64E5"/>
    <w:rsid w:val="00AF6CE6"/>
    <w:rsid w:val="00AF7F2B"/>
    <w:rsid w:val="00B00870"/>
    <w:rsid w:val="00B01210"/>
    <w:rsid w:val="00B026A1"/>
    <w:rsid w:val="00B027B5"/>
    <w:rsid w:val="00B02836"/>
    <w:rsid w:val="00B032ED"/>
    <w:rsid w:val="00B04CEA"/>
    <w:rsid w:val="00B04E67"/>
    <w:rsid w:val="00B05C1A"/>
    <w:rsid w:val="00B06A63"/>
    <w:rsid w:val="00B071C5"/>
    <w:rsid w:val="00B0721B"/>
    <w:rsid w:val="00B1187F"/>
    <w:rsid w:val="00B11AFA"/>
    <w:rsid w:val="00B127FB"/>
    <w:rsid w:val="00B12DB7"/>
    <w:rsid w:val="00B13047"/>
    <w:rsid w:val="00B139F7"/>
    <w:rsid w:val="00B15A22"/>
    <w:rsid w:val="00B162A8"/>
    <w:rsid w:val="00B17054"/>
    <w:rsid w:val="00B17194"/>
    <w:rsid w:val="00B20ADA"/>
    <w:rsid w:val="00B21B4F"/>
    <w:rsid w:val="00B21DEE"/>
    <w:rsid w:val="00B24C9D"/>
    <w:rsid w:val="00B27627"/>
    <w:rsid w:val="00B326A1"/>
    <w:rsid w:val="00B32EFD"/>
    <w:rsid w:val="00B3452A"/>
    <w:rsid w:val="00B349F4"/>
    <w:rsid w:val="00B35C5B"/>
    <w:rsid w:val="00B360BE"/>
    <w:rsid w:val="00B3716C"/>
    <w:rsid w:val="00B4031E"/>
    <w:rsid w:val="00B4229B"/>
    <w:rsid w:val="00B42617"/>
    <w:rsid w:val="00B4370C"/>
    <w:rsid w:val="00B44C6B"/>
    <w:rsid w:val="00B44D7B"/>
    <w:rsid w:val="00B45492"/>
    <w:rsid w:val="00B467F9"/>
    <w:rsid w:val="00B473BE"/>
    <w:rsid w:val="00B50B06"/>
    <w:rsid w:val="00B53396"/>
    <w:rsid w:val="00B534FA"/>
    <w:rsid w:val="00B53CA2"/>
    <w:rsid w:val="00B545B0"/>
    <w:rsid w:val="00B547D3"/>
    <w:rsid w:val="00B548F9"/>
    <w:rsid w:val="00B5496F"/>
    <w:rsid w:val="00B55B54"/>
    <w:rsid w:val="00B55F52"/>
    <w:rsid w:val="00B565AC"/>
    <w:rsid w:val="00B56ADB"/>
    <w:rsid w:val="00B56FD6"/>
    <w:rsid w:val="00B57181"/>
    <w:rsid w:val="00B57228"/>
    <w:rsid w:val="00B572D8"/>
    <w:rsid w:val="00B60317"/>
    <w:rsid w:val="00B6050E"/>
    <w:rsid w:val="00B60BBA"/>
    <w:rsid w:val="00B62594"/>
    <w:rsid w:val="00B6276B"/>
    <w:rsid w:val="00B62BE6"/>
    <w:rsid w:val="00B62E02"/>
    <w:rsid w:val="00B62F46"/>
    <w:rsid w:val="00B62F94"/>
    <w:rsid w:val="00B633F6"/>
    <w:rsid w:val="00B637E4"/>
    <w:rsid w:val="00B6385B"/>
    <w:rsid w:val="00B63D72"/>
    <w:rsid w:val="00B6417A"/>
    <w:rsid w:val="00B65282"/>
    <w:rsid w:val="00B65328"/>
    <w:rsid w:val="00B65572"/>
    <w:rsid w:val="00B657F6"/>
    <w:rsid w:val="00B65CC7"/>
    <w:rsid w:val="00B6650F"/>
    <w:rsid w:val="00B66ECE"/>
    <w:rsid w:val="00B67C3D"/>
    <w:rsid w:val="00B67E56"/>
    <w:rsid w:val="00B71F56"/>
    <w:rsid w:val="00B7392F"/>
    <w:rsid w:val="00B75E34"/>
    <w:rsid w:val="00B75F27"/>
    <w:rsid w:val="00B76A09"/>
    <w:rsid w:val="00B77B0D"/>
    <w:rsid w:val="00B82113"/>
    <w:rsid w:val="00B8309F"/>
    <w:rsid w:val="00B83AFA"/>
    <w:rsid w:val="00B85917"/>
    <w:rsid w:val="00B86290"/>
    <w:rsid w:val="00B86E0C"/>
    <w:rsid w:val="00B87062"/>
    <w:rsid w:val="00B8719C"/>
    <w:rsid w:val="00B90AD3"/>
    <w:rsid w:val="00B90EA3"/>
    <w:rsid w:val="00B91AAB"/>
    <w:rsid w:val="00B924BF"/>
    <w:rsid w:val="00B92F1F"/>
    <w:rsid w:val="00B93412"/>
    <w:rsid w:val="00B93570"/>
    <w:rsid w:val="00B957F9"/>
    <w:rsid w:val="00B95E75"/>
    <w:rsid w:val="00B970E0"/>
    <w:rsid w:val="00BA06A3"/>
    <w:rsid w:val="00BA0AAB"/>
    <w:rsid w:val="00BA133D"/>
    <w:rsid w:val="00BA178A"/>
    <w:rsid w:val="00BA21CA"/>
    <w:rsid w:val="00BA2C14"/>
    <w:rsid w:val="00BA3488"/>
    <w:rsid w:val="00BA3502"/>
    <w:rsid w:val="00BA36C6"/>
    <w:rsid w:val="00BA3936"/>
    <w:rsid w:val="00BA39EA"/>
    <w:rsid w:val="00BA3C26"/>
    <w:rsid w:val="00BA41BA"/>
    <w:rsid w:val="00BA451C"/>
    <w:rsid w:val="00BA49D7"/>
    <w:rsid w:val="00BA57FD"/>
    <w:rsid w:val="00BA59E7"/>
    <w:rsid w:val="00BB1B96"/>
    <w:rsid w:val="00BB215E"/>
    <w:rsid w:val="00BB2190"/>
    <w:rsid w:val="00BB2DA7"/>
    <w:rsid w:val="00BB35DC"/>
    <w:rsid w:val="00BB3FB8"/>
    <w:rsid w:val="00BB54F0"/>
    <w:rsid w:val="00BB6D1A"/>
    <w:rsid w:val="00BB71A3"/>
    <w:rsid w:val="00BB7EC5"/>
    <w:rsid w:val="00BC010C"/>
    <w:rsid w:val="00BC06D4"/>
    <w:rsid w:val="00BC09D9"/>
    <w:rsid w:val="00BC1913"/>
    <w:rsid w:val="00BC1C2B"/>
    <w:rsid w:val="00BC27E4"/>
    <w:rsid w:val="00BC2B3F"/>
    <w:rsid w:val="00BC2EAE"/>
    <w:rsid w:val="00BC3222"/>
    <w:rsid w:val="00BC4AD4"/>
    <w:rsid w:val="00BC5F7F"/>
    <w:rsid w:val="00BC6BD4"/>
    <w:rsid w:val="00BD20CB"/>
    <w:rsid w:val="00BD2D6D"/>
    <w:rsid w:val="00BD31C6"/>
    <w:rsid w:val="00BD429C"/>
    <w:rsid w:val="00BD6682"/>
    <w:rsid w:val="00BD72F1"/>
    <w:rsid w:val="00BD732D"/>
    <w:rsid w:val="00BD741E"/>
    <w:rsid w:val="00BE002F"/>
    <w:rsid w:val="00BE0091"/>
    <w:rsid w:val="00BE103E"/>
    <w:rsid w:val="00BE2161"/>
    <w:rsid w:val="00BE2267"/>
    <w:rsid w:val="00BE264F"/>
    <w:rsid w:val="00BE3A0A"/>
    <w:rsid w:val="00BE4718"/>
    <w:rsid w:val="00BE499C"/>
    <w:rsid w:val="00BE4F3C"/>
    <w:rsid w:val="00BE5370"/>
    <w:rsid w:val="00BE5E7E"/>
    <w:rsid w:val="00BF0173"/>
    <w:rsid w:val="00BF055A"/>
    <w:rsid w:val="00BF05AD"/>
    <w:rsid w:val="00BF07F7"/>
    <w:rsid w:val="00BF373B"/>
    <w:rsid w:val="00BF4758"/>
    <w:rsid w:val="00BF5598"/>
    <w:rsid w:val="00BF5F82"/>
    <w:rsid w:val="00BF6800"/>
    <w:rsid w:val="00BF6E21"/>
    <w:rsid w:val="00BF71B4"/>
    <w:rsid w:val="00C00527"/>
    <w:rsid w:val="00C013B6"/>
    <w:rsid w:val="00C0149C"/>
    <w:rsid w:val="00C02528"/>
    <w:rsid w:val="00C02624"/>
    <w:rsid w:val="00C03A99"/>
    <w:rsid w:val="00C03E7C"/>
    <w:rsid w:val="00C04ED7"/>
    <w:rsid w:val="00C06479"/>
    <w:rsid w:val="00C06A26"/>
    <w:rsid w:val="00C12D3F"/>
    <w:rsid w:val="00C13CE5"/>
    <w:rsid w:val="00C1428C"/>
    <w:rsid w:val="00C155EE"/>
    <w:rsid w:val="00C17593"/>
    <w:rsid w:val="00C206A0"/>
    <w:rsid w:val="00C21391"/>
    <w:rsid w:val="00C221EA"/>
    <w:rsid w:val="00C224B3"/>
    <w:rsid w:val="00C23343"/>
    <w:rsid w:val="00C2392E"/>
    <w:rsid w:val="00C23EBF"/>
    <w:rsid w:val="00C24AB3"/>
    <w:rsid w:val="00C25115"/>
    <w:rsid w:val="00C26AD5"/>
    <w:rsid w:val="00C26FD2"/>
    <w:rsid w:val="00C30D7D"/>
    <w:rsid w:val="00C31F86"/>
    <w:rsid w:val="00C329D5"/>
    <w:rsid w:val="00C32C74"/>
    <w:rsid w:val="00C33312"/>
    <w:rsid w:val="00C33610"/>
    <w:rsid w:val="00C33A01"/>
    <w:rsid w:val="00C340F6"/>
    <w:rsid w:val="00C342AF"/>
    <w:rsid w:val="00C345AB"/>
    <w:rsid w:val="00C34F4E"/>
    <w:rsid w:val="00C3538B"/>
    <w:rsid w:val="00C3572B"/>
    <w:rsid w:val="00C35CA0"/>
    <w:rsid w:val="00C369D0"/>
    <w:rsid w:val="00C371AB"/>
    <w:rsid w:val="00C40493"/>
    <w:rsid w:val="00C40880"/>
    <w:rsid w:val="00C40D0C"/>
    <w:rsid w:val="00C41A3A"/>
    <w:rsid w:val="00C42916"/>
    <w:rsid w:val="00C43C5C"/>
    <w:rsid w:val="00C458D3"/>
    <w:rsid w:val="00C45991"/>
    <w:rsid w:val="00C50203"/>
    <w:rsid w:val="00C52121"/>
    <w:rsid w:val="00C52BD5"/>
    <w:rsid w:val="00C52BDF"/>
    <w:rsid w:val="00C53C71"/>
    <w:rsid w:val="00C54A2C"/>
    <w:rsid w:val="00C54A35"/>
    <w:rsid w:val="00C55868"/>
    <w:rsid w:val="00C568E5"/>
    <w:rsid w:val="00C57579"/>
    <w:rsid w:val="00C576AA"/>
    <w:rsid w:val="00C60DA3"/>
    <w:rsid w:val="00C60F3A"/>
    <w:rsid w:val="00C611FC"/>
    <w:rsid w:val="00C61C57"/>
    <w:rsid w:val="00C65088"/>
    <w:rsid w:val="00C6531B"/>
    <w:rsid w:val="00C65B78"/>
    <w:rsid w:val="00C66A31"/>
    <w:rsid w:val="00C676FA"/>
    <w:rsid w:val="00C67864"/>
    <w:rsid w:val="00C67996"/>
    <w:rsid w:val="00C67D67"/>
    <w:rsid w:val="00C72124"/>
    <w:rsid w:val="00C72910"/>
    <w:rsid w:val="00C72D7A"/>
    <w:rsid w:val="00C73999"/>
    <w:rsid w:val="00C73C31"/>
    <w:rsid w:val="00C73E85"/>
    <w:rsid w:val="00C740FD"/>
    <w:rsid w:val="00C751DD"/>
    <w:rsid w:val="00C756FD"/>
    <w:rsid w:val="00C762C4"/>
    <w:rsid w:val="00C766C0"/>
    <w:rsid w:val="00C76B72"/>
    <w:rsid w:val="00C77E0F"/>
    <w:rsid w:val="00C807BA"/>
    <w:rsid w:val="00C81420"/>
    <w:rsid w:val="00C817EE"/>
    <w:rsid w:val="00C81C20"/>
    <w:rsid w:val="00C866A5"/>
    <w:rsid w:val="00C871A6"/>
    <w:rsid w:val="00C87BD4"/>
    <w:rsid w:val="00C9023D"/>
    <w:rsid w:val="00C91090"/>
    <w:rsid w:val="00C914CC"/>
    <w:rsid w:val="00C92A0D"/>
    <w:rsid w:val="00C9331D"/>
    <w:rsid w:val="00C935CA"/>
    <w:rsid w:val="00C93651"/>
    <w:rsid w:val="00C948C4"/>
    <w:rsid w:val="00C94B3B"/>
    <w:rsid w:val="00C9505A"/>
    <w:rsid w:val="00C95475"/>
    <w:rsid w:val="00C9567A"/>
    <w:rsid w:val="00C957B3"/>
    <w:rsid w:val="00C95894"/>
    <w:rsid w:val="00C974F3"/>
    <w:rsid w:val="00C97947"/>
    <w:rsid w:val="00CA2103"/>
    <w:rsid w:val="00CA22E9"/>
    <w:rsid w:val="00CA3821"/>
    <w:rsid w:val="00CA3955"/>
    <w:rsid w:val="00CA5E9D"/>
    <w:rsid w:val="00CA70FB"/>
    <w:rsid w:val="00CA75FC"/>
    <w:rsid w:val="00CB03E5"/>
    <w:rsid w:val="00CB1047"/>
    <w:rsid w:val="00CB11BA"/>
    <w:rsid w:val="00CB123E"/>
    <w:rsid w:val="00CB35A5"/>
    <w:rsid w:val="00CB35C3"/>
    <w:rsid w:val="00CB3F68"/>
    <w:rsid w:val="00CB410A"/>
    <w:rsid w:val="00CB4135"/>
    <w:rsid w:val="00CB441D"/>
    <w:rsid w:val="00CB659A"/>
    <w:rsid w:val="00CB69FD"/>
    <w:rsid w:val="00CC098A"/>
    <w:rsid w:val="00CC2A54"/>
    <w:rsid w:val="00CC2E37"/>
    <w:rsid w:val="00CC31A1"/>
    <w:rsid w:val="00CC332B"/>
    <w:rsid w:val="00CC5426"/>
    <w:rsid w:val="00CC5EA7"/>
    <w:rsid w:val="00CC6996"/>
    <w:rsid w:val="00CD06C5"/>
    <w:rsid w:val="00CD1ABE"/>
    <w:rsid w:val="00CD448D"/>
    <w:rsid w:val="00CD4545"/>
    <w:rsid w:val="00CD5054"/>
    <w:rsid w:val="00CD5EEA"/>
    <w:rsid w:val="00CD7751"/>
    <w:rsid w:val="00CD7918"/>
    <w:rsid w:val="00CE17A5"/>
    <w:rsid w:val="00CE1EB6"/>
    <w:rsid w:val="00CE270A"/>
    <w:rsid w:val="00CE4C96"/>
    <w:rsid w:val="00CE4EFD"/>
    <w:rsid w:val="00CE5435"/>
    <w:rsid w:val="00CE54D0"/>
    <w:rsid w:val="00CE54D5"/>
    <w:rsid w:val="00CE5A70"/>
    <w:rsid w:val="00CE5ECE"/>
    <w:rsid w:val="00CE6683"/>
    <w:rsid w:val="00CE66EE"/>
    <w:rsid w:val="00CE6A6F"/>
    <w:rsid w:val="00CE7E27"/>
    <w:rsid w:val="00CE7FFB"/>
    <w:rsid w:val="00CF17B9"/>
    <w:rsid w:val="00CF203E"/>
    <w:rsid w:val="00CF2390"/>
    <w:rsid w:val="00CF2499"/>
    <w:rsid w:val="00CF3AF0"/>
    <w:rsid w:val="00CF4B0B"/>
    <w:rsid w:val="00CF4B90"/>
    <w:rsid w:val="00CF4F92"/>
    <w:rsid w:val="00CF68B3"/>
    <w:rsid w:val="00CF7068"/>
    <w:rsid w:val="00CF7340"/>
    <w:rsid w:val="00CF7581"/>
    <w:rsid w:val="00D007AD"/>
    <w:rsid w:val="00D01342"/>
    <w:rsid w:val="00D01649"/>
    <w:rsid w:val="00D0335D"/>
    <w:rsid w:val="00D04C82"/>
    <w:rsid w:val="00D04EE2"/>
    <w:rsid w:val="00D0509C"/>
    <w:rsid w:val="00D07323"/>
    <w:rsid w:val="00D101C1"/>
    <w:rsid w:val="00D110B0"/>
    <w:rsid w:val="00D11687"/>
    <w:rsid w:val="00D12C62"/>
    <w:rsid w:val="00D1385F"/>
    <w:rsid w:val="00D17443"/>
    <w:rsid w:val="00D20244"/>
    <w:rsid w:val="00D202C8"/>
    <w:rsid w:val="00D203E3"/>
    <w:rsid w:val="00D20D09"/>
    <w:rsid w:val="00D232AB"/>
    <w:rsid w:val="00D24765"/>
    <w:rsid w:val="00D26378"/>
    <w:rsid w:val="00D26DE0"/>
    <w:rsid w:val="00D27351"/>
    <w:rsid w:val="00D304AA"/>
    <w:rsid w:val="00D30520"/>
    <w:rsid w:val="00D314B9"/>
    <w:rsid w:val="00D315FB"/>
    <w:rsid w:val="00D31726"/>
    <w:rsid w:val="00D31CFF"/>
    <w:rsid w:val="00D31D8D"/>
    <w:rsid w:val="00D31D9A"/>
    <w:rsid w:val="00D32495"/>
    <w:rsid w:val="00D3255A"/>
    <w:rsid w:val="00D32BEC"/>
    <w:rsid w:val="00D32CAC"/>
    <w:rsid w:val="00D33DD7"/>
    <w:rsid w:val="00D340CD"/>
    <w:rsid w:val="00D34693"/>
    <w:rsid w:val="00D3546E"/>
    <w:rsid w:val="00D357DF"/>
    <w:rsid w:val="00D35E54"/>
    <w:rsid w:val="00D35F18"/>
    <w:rsid w:val="00D368CA"/>
    <w:rsid w:val="00D40246"/>
    <w:rsid w:val="00D4076A"/>
    <w:rsid w:val="00D42246"/>
    <w:rsid w:val="00D42E19"/>
    <w:rsid w:val="00D43373"/>
    <w:rsid w:val="00D4339B"/>
    <w:rsid w:val="00D438B8"/>
    <w:rsid w:val="00D43D44"/>
    <w:rsid w:val="00D442E9"/>
    <w:rsid w:val="00D447E4"/>
    <w:rsid w:val="00D4486A"/>
    <w:rsid w:val="00D44D0E"/>
    <w:rsid w:val="00D4506F"/>
    <w:rsid w:val="00D451BB"/>
    <w:rsid w:val="00D45AB7"/>
    <w:rsid w:val="00D45ADD"/>
    <w:rsid w:val="00D4755C"/>
    <w:rsid w:val="00D5083B"/>
    <w:rsid w:val="00D50FDC"/>
    <w:rsid w:val="00D51927"/>
    <w:rsid w:val="00D5219A"/>
    <w:rsid w:val="00D52763"/>
    <w:rsid w:val="00D52A73"/>
    <w:rsid w:val="00D52EAB"/>
    <w:rsid w:val="00D53C64"/>
    <w:rsid w:val="00D54C55"/>
    <w:rsid w:val="00D554B8"/>
    <w:rsid w:val="00D5584C"/>
    <w:rsid w:val="00D57417"/>
    <w:rsid w:val="00D601FB"/>
    <w:rsid w:val="00D602FC"/>
    <w:rsid w:val="00D6228B"/>
    <w:rsid w:val="00D62323"/>
    <w:rsid w:val="00D63976"/>
    <w:rsid w:val="00D63D79"/>
    <w:rsid w:val="00D6403B"/>
    <w:rsid w:val="00D66CCC"/>
    <w:rsid w:val="00D6767A"/>
    <w:rsid w:val="00D7394E"/>
    <w:rsid w:val="00D73D05"/>
    <w:rsid w:val="00D746A1"/>
    <w:rsid w:val="00D74C36"/>
    <w:rsid w:val="00D76A55"/>
    <w:rsid w:val="00D76F80"/>
    <w:rsid w:val="00D779B8"/>
    <w:rsid w:val="00D824CF"/>
    <w:rsid w:val="00D82BFB"/>
    <w:rsid w:val="00D84AAA"/>
    <w:rsid w:val="00D84E3D"/>
    <w:rsid w:val="00D84F94"/>
    <w:rsid w:val="00D859DF"/>
    <w:rsid w:val="00D85FBA"/>
    <w:rsid w:val="00D86BF7"/>
    <w:rsid w:val="00D90155"/>
    <w:rsid w:val="00D904D8"/>
    <w:rsid w:val="00D92626"/>
    <w:rsid w:val="00D92EAF"/>
    <w:rsid w:val="00D93C30"/>
    <w:rsid w:val="00D96390"/>
    <w:rsid w:val="00D97DF3"/>
    <w:rsid w:val="00DA1CEA"/>
    <w:rsid w:val="00DA2662"/>
    <w:rsid w:val="00DA2F0D"/>
    <w:rsid w:val="00DA383F"/>
    <w:rsid w:val="00DA4895"/>
    <w:rsid w:val="00DA56FF"/>
    <w:rsid w:val="00DA75BF"/>
    <w:rsid w:val="00DA79A7"/>
    <w:rsid w:val="00DA7D7E"/>
    <w:rsid w:val="00DB093E"/>
    <w:rsid w:val="00DB0EA0"/>
    <w:rsid w:val="00DB3E5C"/>
    <w:rsid w:val="00DB3F09"/>
    <w:rsid w:val="00DB42FB"/>
    <w:rsid w:val="00DB48FD"/>
    <w:rsid w:val="00DB738E"/>
    <w:rsid w:val="00DB791C"/>
    <w:rsid w:val="00DC0D52"/>
    <w:rsid w:val="00DC14CF"/>
    <w:rsid w:val="00DC282A"/>
    <w:rsid w:val="00DC5176"/>
    <w:rsid w:val="00DC570C"/>
    <w:rsid w:val="00DC6F2B"/>
    <w:rsid w:val="00DC7071"/>
    <w:rsid w:val="00DC7335"/>
    <w:rsid w:val="00DD05A6"/>
    <w:rsid w:val="00DD1CB6"/>
    <w:rsid w:val="00DD272E"/>
    <w:rsid w:val="00DD31C5"/>
    <w:rsid w:val="00DD3E7E"/>
    <w:rsid w:val="00DD4EE8"/>
    <w:rsid w:val="00DD5A9A"/>
    <w:rsid w:val="00DE09D7"/>
    <w:rsid w:val="00DE222A"/>
    <w:rsid w:val="00DE37A1"/>
    <w:rsid w:val="00DE39D1"/>
    <w:rsid w:val="00DE3E24"/>
    <w:rsid w:val="00DE5F80"/>
    <w:rsid w:val="00DE67B2"/>
    <w:rsid w:val="00DE7003"/>
    <w:rsid w:val="00DE7FD3"/>
    <w:rsid w:val="00DF054D"/>
    <w:rsid w:val="00DF2F0C"/>
    <w:rsid w:val="00DF32F5"/>
    <w:rsid w:val="00DF48CD"/>
    <w:rsid w:val="00DF5511"/>
    <w:rsid w:val="00DF66CE"/>
    <w:rsid w:val="00E0009D"/>
    <w:rsid w:val="00E00A7B"/>
    <w:rsid w:val="00E0109B"/>
    <w:rsid w:val="00E01B23"/>
    <w:rsid w:val="00E03D4A"/>
    <w:rsid w:val="00E05436"/>
    <w:rsid w:val="00E06B90"/>
    <w:rsid w:val="00E0745A"/>
    <w:rsid w:val="00E07CBF"/>
    <w:rsid w:val="00E107AE"/>
    <w:rsid w:val="00E11273"/>
    <w:rsid w:val="00E1146C"/>
    <w:rsid w:val="00E12239"/>
    <w:rsid w:val="00E128EF"/>
    <w:rsid w:val="00E141A2"/>
    <w:rsid w:val="00E148F7"/>
    <w:rsid w:val="00E14978"/>
    <w:rsid w:val="00E1558A"/>
    <w:rsid w:val="00E1687A"/>
    <w:rsid w:val="00E20705"/>
    <w:rsid w:val="00E21D05"/>
    <w:rsid w:val="00E25307"/>
    <w:rsid w:val="00E2575C"/>
    <w:rsid w:val="00E262D9"/>
    <w:rsid w:val="00E300B4"/>
    <w:rsid w:val="00E311C3"/>
    <w:rsid w:val="00E311C4"/>
    <w:rsid w:val="00E340E3"/>
    <w:rsid w:val="00E34554"/>
    <w:rsid w:val="00E368D8"/>
    <w:rsid w:val="00E36C6A"/>
    <w:rsid w:val="00E37407"/>
    <w:rsid w:val="00E37965"/>
    <w:rsid w:val="00E37AFD"/>
    <w:rsid w:val="00E40328"/>
    <w:rsid w:val="00E40D87"/>
    <w:rsid w:val="00E41532"/>
    <w:rsid w:val="00E44853"/>
    <w:rsid w:val="00E45BAD"/>
    <w:rsid w:val="00E47C8B"/>
    <w:rsid w:val="00E5068B"/>
    <w:rsid w:val="00E510AB"/>
    <w:rsid w:val="00E5146D"/>
    <w:rsid w:val="00E51A6A"/>
    <w:rsid w:val="00E52BAB"/>
    <w:rsid w:val="00E5306E"/>
    <w:rsid w:val="00E53119"/>
    <w:rsid w:val="00E5408A"/>
    <w:rsid w:val="00E5495A"/>
    <w:rsid w:val="00E54C70"/>
    <w:rsid w:val="00E55D6C"/>
    <w:rsid w:val="00E568BF"/>
    <w:rsid w:val="00E573B8"/>
    <w:rsid w:val="00E6038A"/>
    <w:rsid w:val="00E62CEA"/>
    <w:rsid w:val="00E62D64"/>
    <w:rsid w:val="00E641E1"/>
    <w:rsid w:val="00E652FA"/>
    <w:rsid w:val="00E655E4"/>
    <w:rsid w:val="00E665B1"/>
    <w:rsid w:val="00E66793"/>
    <w:rsid w:val="00E673A9"/>
    <w:rsid w:val="00E67C06"/>
    <w:rsid w:val="00E7368B"/>
    <w:rsid w:val="00E73E18"/>
    <w:rsid w:val="00E73E7C"/>
    <w:rsid w:val="00E753A9"/>
    <w:rsid w:val="00E757AB"/>
    <w:rsid w:val="00E76219"/>
    <w:rsid w:val="00E772BC"/>
    <w:rsid w:val="00E77E1E"/>
    <w:rsid w:val="00E77E22"/>
    <w:rsid w:val="00E823B4"/>
    <w:rsid w:val="00E828AE"/>
    <w:rsid w:val="00E82F5F"/>
    <w:rsid w:val="00E83495"/>
    <w:rsid w:val="00E837C2"/>
    <w:rsid w:val="00E86A30"/>
    <w:rsid w:val="00E87337"/>
    <w:rsid w:val="00E87974"/>
    <w:rsid w:val="00E9078E"/>
    <w:rsid w:val="00E90F6B"/>
    <w:rsid w:val="00E916B3"/>
    <w:rsid w:val="00E92F89"/>
    <w:rsid w:val="00E95F1D"/>
    <w:rsid w:val="00E96366"/>
    <w:rsid w:val="00E97084"/>
    <w:rsid w:val="00E9796B"/>
    <w:rsid w:val="00EA03B3"/>
    <w:rsid w:val="00EA0449"/>
    <w:rsid w:val="00EA1C80"/>
    <w:rsid w:val="00EA2270"/>
    <w:rsid w:val="00EA27C3"/>
    <w:rsid w:val="00EA4B95"/>
    <w:rsid w:val="00EA540F"/>
    <w:rsid w:val="00EA65EB"/>
    <w:rsid w:val="00EB0265"/>
    <w:rsid w:val="00EB02C1"/>
    <w:rsid w:val="00EB0C24"/>
    <w:rsid w:val="00EB2156"/>
    <w:rsid w:val="00EB24AE"/>
    <w:rsid w:val="00EB3D59"/>
    <w:rsid w:val="00EB3EA1"/>
    <w:rsid w:val="00EB4C86"/>
    <w:rsid w:val="00EB5E39"/>
    <w:rsid w:val="00EB69D7"/>
    <w:rsid w:val="00EB7A64"/>
    <w:rsid w:val="00EB7D0E"/>
    <w:rsid w:val="00EB7DB4"/>
    <w:rsid w:val="00EC2ED2"/>
    <w:rsid w:val="00EC3163"/>
    <w:rsid w:val="00EC31D6"/>
    <w:rsid w:val="00EC37AB"/>
    <w:rsid w:val="00EC47BD"/>
    <w:rsid w:val="00EC5498"/>
    <w:rsid w:val="00EC5E5C"/>
    <w:rsid w:val="00EC5F1D"/>
    <w:rsid w:val="00ED01A8"/>
    <w:rsid w:val="00ED0E21"/>
    <w:rsid w:val="00ED17A4"/>
    <w:rsid w:val="00ED2894"/>
    <w:rsid w:val="00ED2BAD"/>
    <w:rsid w:val="00ED3251"/>
    <w:rsid w:val="00ED3B4F"/>
    <w:rsid w:val="00ED5272"/>
    <w:rsid w:val="00ED539B"/>
    <w:rsid w:val="00ED6D79"/>
    <w:rsid w:val="00ED7CEA"/>
    <w:rsid w:val="00EE05C0"/>
    <w:rsid w:val="00EE1386"/>
    <w:rsid w:val="00EE1829"/>
    <w:rsid w:val="00EE291C"/>
    <w:rsid w:val="00EE3462"/>
    <w:rsid w:val="00EE461D"/>
    <w:rsid w:val="00EE551D"/>
    <w:rsid w:val="00EF3834"/>
    <w:rsid w:val="00EF3D14"/>
    <w:rsid w:val="00EF5074"/>
    <w:rsid w:val="00EF50D0"/>
    <w:rsid w:val="00EF582F"/>
    <w:rsid w:val="00EF58A1"/>
    <w:rsid w:val="00EF71CE"/>
    <w:rsid w:val="00EF7599"/>
    <w:rsid w:val="00F00173"/>
    <w:rsid w:val="00F00626"/>
    <w:rsid w:val="00F02A3B"/>
    <w:rsid w:val="00F02E1A"/>
    <w:rsid w:val="00F048C7"/>
    <w:rsid w:val="00F04BAB"/>
    <w:rsid w:val="00F04F84"/>
    <w:rsid w:val="00F067C0"/>
    <w:rsid w:val="00F06E44"/>
    <w:rsid w:val="00F075C7"/>
    <w:rsid w:val="00F10F78"/>
    <w:rsid w:val="00F118AD"/>
    <w:rsid w:val="00F12705"/>
    <w:rsid w:val="00F14A08"/>
    <w:rsid w:val="00F15654"/>
    <w:rsid w:val="00F16498"/>
    <w:rsid w:val="00F167FB"/>
    <w:rsid w:val="00F16E9C"/>
    <w:rsid w:val="00F17FC5"/>
    <w:rsid w:val="00F2091A"/>
    <w:rsid w:val="00F2126E"/>
    <w:rsid w:val="00F21676"/>
    <w:rsid w:val="00F217BA"/>
    <w:rsid w:val="00F21C24"/>
    <w:rsid w:val="00F22E7E"/>
    <w:rsid w:val="00F24BE2"/>
    <w:rsid w:val="00F257F1"/>
    <w:rsid w:val="00F26C73"/>
    <w:rsid w:val="00F30AB8"/>
    <w:rsid w:val="00F30FB9"/>
    <w:rsid w:val="00F319D2"/>
    <w:rsid w:val="00F31DAC"/>
    <w:rsid w:val="00F3206E"/>
    <w:rsid w:val="00F327C9"/>
    <w:rsid w:val="00F32CF4"/>
    <w:rsid w:val="00F334F3"/>
    <w:rsid w:val="00F34F38"/>
    <w:rsid w:val="00F36EF2"/>
    <w:rsid w:val="00F41265"/>
    <w:rsid w:val="00F420C8"/>
    <w:rsid w:val="00F430C2"/>
    <w:rsid w:val="00F43DE4"/>
    <w:rsid w:val="00F44002"/>
    <w:rsid w:val="00F451FE"/>
    <w:rsid w:val="00F45DF9"/>
    <w:rsid w:val="00F468BB"/>
    <w:rsid w:val="00F46B83"/>
    <w:rsid w:val="00F47422"/>
    <w:rsid w:val="00F5183E"/>
    <w:rsid w:val="00F51FC2"/>
    <w:rsid w:val="00F520AF"/>
    <w:rsid w:val="00F52214"/>
    <w:rsid w:val="00F53A88"/>
    <w:rsid w:val="00F53DEB"/>
    <w:rsid w:val="00F540BE"/>
    <w:rsid w:val="00F547EA"/>
    <w:rsid w:val="00F54CBD"/>
    <w:rsid w:val="00F55322"/>
    <w:rsid w:val="00F55584"/>
    <w:rsid w:val="00F558D0"/>
    <w:rsid w:val="00F561BF"/>
    <w:rsid w:val="00F5666B"/>
    <w:rsid w:val="00F56911"/>
    <w:rsid w:val="00F57DD0"/>
    <w:rsid w:val="00F61003"/>
    <w:rsid w:val="00F61F9D"/>
    <w:rsid w:val="00F624F8"/>
    <w:rsid w:val="00F62F37"/>
    <w:rsid w:val="00F6363E"/>
    <w:rsid w:val="00F6371E"/>
    <w:rsid w:val="00F63F37"/>
    <w:rsid w:val="00F64E37"/>
    <w:rsid w:val="00F66FB7"/>
    <w:rsid w:val="00F671D7"/>
    <w:rsid w:val="00F67DED"/>
    <w:rsid w:val="00F71FF8"/>
    <w:rsid w:val="00F727A0"/>
    <w:rsid w:val="00F7327A"/>
    <w:rsid w:val="00F73A13"/>
    <w:rsid w:val="00F73FD9"/>
    <w:rsid w:val="00F74D76"/>
    <w:rsid w:val="00F74F2E"/>
    <w:rsid w:val="00F75591"/>
    <w:rsid w:val="00F80D5E"/>
    <w:rsid w:val="00F80DC2"/>
    <w:rsid w:val="00F80E27"/>
    <w:rsid w:val="00F8110D"/>
    <w:rsid w:val="00F81ADE"/>
    <w:rsid w:val="00F81C04"/>
    <w:rsid w:val="00F82651"/>
    <w:rsid w:val="00F83FFC"/>
    <w:rsid w:val="00F86165"/>
    <w:rsid w:val="00F8657A"/>
    <w:rsid w:val="00F8764E"/>
    <w:rsid w:val="00F8792A"/>
    <w:rsid w:val="00F9066A"/>
    <w:rsid w:val="00F90A66"/>
    <w:rsid w:val="00F91BD4"/>
    <w:rsid w:val="00F92788"/>
    <w:rsid w:val="00F942A2"/>
    <w:rsid w:val="00F9488F"/>
    <w:rsid w:val="00F95D6A"/>
    <w:rsid w:val="00F95F12"/>
    <w:rsid w:val="00F96B0A"/>
    <w:rsid w:val="00F97909"/>
    <w:rsid w:val="00FA0197"/>
    <w:rsid w:val="00FA1C63"/>
    <w:rsid w:val="00FA213A"/>
    <w:rsid w:val="00FA2708"/>
    <w:rsid w:val="00FA3FA5"/>
    <w:rsid w:val="00FA4248"/>
    <w:rsid w:val="00FA4629"/>
    <w:rsid w:val="00FA650A"/>
    <w:rsid w:val="00FA782C"/>
    <w:rsid w:val="00FB02CB"/>
    <w:rsid w:val="00FB2012"/>
    <w:rsid w:val="00FB2DAC"/>
    <w:rsid w:val="00FB376D"/>
    <w:rsid w:val="00FB4BC1"/>
    <w:rsid w:val="00FB6F97"/>
    <w:rsid w:val="00FB6FBE"/>
    <w:rsid w:val="00FC014B"/>
    <w:rsid w:val="00FC043D"/>
    <w:rsid w:val="00FC1CB8"/>
    <w:rsid w:val="00FC1CC8"/>
    <w:rsid w:val="00FC25CF"/>
    <w:rsid w:val="00FC268E"/>
    <w:rsid w:val="00FC3995"/>
    <w:rsid w:val="00FC3F71"/>
    <w:rsid w:val="00FC4F4A"/>
    <w:rsid w:val="00FC575D"/>
    <w:rsid w:val="00FC582A"/>
    <w:rsid w:val="00FD05BC"/>
    <w:rsid w:val="00FD1A17"/>
    <w:rsid w:val="00FD1C57"/>
    <w:rsid w:val="00FD234B"/>
    <w:rsid w:val="00FD23E2"/>
    <w:rsid w:val="00FD2E74"/>
    <w:rsid w:val="00FD2E92"/>
    <w:rsid w:val="00FD2FBC"/>
    <w:rsid w:val="00FD4176"/>
    <w:rsid w:val="00FD434C"/>
    <w:rsid w:val="00FD5367"/>
    <w:rsid w:val="00FD55E4"/>
    <w:rsid w:val="00FD6E72"/>
    <w:rsid w:val="00FD74B9"/>
    <w:rsid w:val="00FD78FE"/>
    <w:rsid w:val="00FE0BE2"/>
    <w:rsid w:val="00FE11CD"/>
    <w:rsid w:val="00FE374B"/>
    <w:rsid w:val="00FE38C4"/>
    <w:rsid w:val="00FE50C3"/>
    <w:rsid w:val="00FE5963"/>
    <w:rsid w:val="00FE695A"/>
    <w:rsid w:val="00FF03B1"/>
    <w:rsid w:val="00FF1F35"/>
    <w:rsid w:val="00FF40F2"/>
    <w:rsid w:val="00FF5D9C"/>
    <w:rsid w:val="00FF5DD0"/>
    <w:rsid w:val="00FF5E08"/>
    <w:rsid w:val="00FF5F4E"/>
    <w:rsid w:val="00FF79F7"/>
    <w:rsid w:val="00FF79F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DE446"/>
  <w15:chartTrackingRefBased/>
  <w15:docId w15:val="{4872CF8E-01D5-3F4C-BCB4-332DF26B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6A37"/>
    <w:pPr>
      <w:spacing w:line="480" w:lineRule="auto"/>
      <w:jc w:val="both"/>
      <w:outlineLvl w:val="0"/>
    </w:pPr>
    <w:rPr>
      <w:rFonts w:ascii="Arial" w:hAnsi="Arial" w:cs="Arial"/>
      <w:b/>
      <w:bCs/>
      <w:sz w:val="24"/>
      <w:szCs w:val="24"/>
      <w:lang w:val="en-US"/>
    </w:rPr>
  </w:style>
  <w:style w:type="paragraph" w:styleId="Heading2">
    <w:name w:val="heading 2"/>
    <w:basedOn w:val="Normal"/>
    <w:next w:val="Normal"/>
    <w:link w:val="Heading2Char"/>
    <w:uiPriority w:val="9"/>
    <w:unhideWhenUsed/>
    <w:qFormat/>
    <w:rsid w:val="00346A37"/>
    <w:pPr>
      <w:spacing w:line="480" w:lineRule="auto"/>
      <w:jc w:val="both"/>
      <w:outlineLvl w:val="1"/>
    </w:pPr>
    <w:rPr>
      <w:rFonts w:ascii="Arial" w:hAnsi="Arial" w:cs="Arial"/>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157"/>
    <w:rPr>
      <w:color w:val="0563C1" w:themeColor="hyperlink"/>
      <w:u w:val="single"/>
    </w:rPr>
  </w:style>
  <w:style w:type="character" w:styleId="UnresolvedMention">
    <w:name w:val="Unresolved Mention"/>
    <w:basedOn w:val="DefaultParagraphFont"/>
    <w:uiPriority w:val="99"/>
    <w:semiHidden/>
    <w:unhideWhenUsed/>
    <w:rsid w:val="00034157"/>
    <w:rPr>
      <w:color w:val="605E5C"/>
      <w:shd w:val="clear" w:color="auto" w:fill="E1DFDD"/>
    </w:rPr>
  </w:style>
  <w:style w:type="character" w:styleId="FollowedHyperlink">
    <w:name w:val="FollowedHyperlink"/>
    <w:basedOn w:val="DefaultParagraphFont"/>
    <w:uiPriority w:val="99"/>
    <w:semiHidden/>
    <w:unhideWhenUsed/>
    <w:rsid w:val="00E6038A"/>
    <w:rPr>
      <w:color w:val="954F72" w:themeColor="followedHyperlink"/>
      <w:u w:val="single"/>
    </w:rPr>
  </w:style>
  <w:style w:type="paragraph" w:customStyle="1" w:styleId="Bibliographie1">
    <w:name w:val="Bibliographie1"/>
    <w:basedOn w:val="Normal"/>
    <w:link w:val="BibliographyCar"/>
    <w:rsid w:val="004E0179"/>
    <w:pPr>
      <w:tabs>
        <w:tab w:val="left" w:pos="380"/>
      </w:tabs>
      <w:spacing w:after="240"/>
      <w:ind w:left="384" w:hanging="384"/>
      <w:jc w:val="both"/>
    </w:pPr>
    <w:rPr>
      <w:rFonts w:ascii="Arial" w:hAnsi="Arial" w:cs="Arial"/>
      <w:sz w:val="24"/>
      <w:szCs w:val="24"/>
      <w:lang w:val="en-US"/>
    </w:rPr>
  </w:style>
  <w:style w:type="character" w:customStyle="1" w:styleId="BibliographyCar">
    <w:name w:val="Bibliography Car"/>
    <w:basedOn w:val="DefaultParagraphFont"/>
    <w:link w:val="Bibliographie1"/>
    <w:rsid w:val="004E0179"/>
    <w:rPr>
      <w:rFonts w:ascii="Arial" w:hAnsi="Arial" w:cs="Arial"/>
      <w:sz w:val="24"/>
      <w:szCs w:val="24"/>
      <w:lang w:val="en-US"/>
    </w:rPr>
  </w:style>
  <w:style w:type="paragraph" w:styleId="Footer">
    <w:name w:val="footer"/>
    <w:basedOn w:val="Normal"/>
    <w:link w:val="FooterChar"/>
    <w:uiPriority w:val="99"/>
    <w:unhideWhenUsed/>
    <w:rsid w:val="00C31F86"/>
    <w:pPr>
      <w:tabs>
        <w:tab w:val="center" w:pos="4536"/>
        <w:tab w:val="right" w:pos="9072"/>
      </w:tabs>
    </w:pPr>
  </w:style>
  <w:style w:type="character" w:customStyle="1" w:styleId="FooterChar">
    <w:name w:val="Footer Char"/>
    <w:basedOn w:val="DefaultParagraphFont"/>
    <w:link w:val="Footer"/>
    <w:uiPriority w:val="99"/>
    <w:rsid w:val="00C31F86"/>
  </w:style>
  <w:style w:type="character" w:styleId="PageNumber">
    <w:name w:val="page number"/>
    <w:basedOn w:val="DefaultParagraphFont"/>
    <w:uiPriority w:val="99"/>
    <w:semiHidden/>
    <w:unhideWhenUsed/>
    <w:rsid w:val="00C31F86"/>
  </w:style>
  <w:style w:type="paragraph" w:styleId="Header">
    <w:name w:val="header"/>
    <w:basedOn w:val="Normal"/>
    <w:link w:val="HeaderChar"/>
    <w:uiPriority w:val="99"/>
    <w:unhideWhenUsed/>
    <w:rsid w:val="00C31F86"/>
    <w:pPr>
      <w:tabs>
        <w:tab w:val="center" w:pos="4536"/>
        <w:tab w:val="right" w:pos="9072"/>
      </w:tabs>
    </w:pPr>
  </w:style>
  <w:style w:type="character" w:customStyle="1" w:styleId="HeaderChar">
    <w:name w:val="Header Char"/>
    <w:basedOn w:val="DefaultParagraphFont"/>
    <w:link w:val="Header"/>
    <w:uiPriority w:val="99"/>
    <w:rsid w:val="00C31F86"/>
  </w:style>
  <w:style w:type="table" w:customStyle="1" w:styleId="Gitternetztabelle1hell2">
    <w:name w:val="Gitternetztabelle 1 hell2"/>
    <w:basedOn w:val="TableNormal"/>
    <w:uiPriority w:val="46"/>
    <w:rsid w:val="00BE3A0A"/>
    <w:rPr>
      <w:rFonts w:eastAsia="Times New Roman" w:cs="Arial"/>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Arial"/>
        <w:b/>
        <w:bCs/>
      </w:rPr>
      <w:tblPr/>
      <w:tcPr>
        <w:tcBorders>
          <w:bottom w:val="single" w:sz="12" w:space="0" w:color="666666" w:themeColor="text1" w:themeTint="99"/>
        </w:tcBorders>
      </w:tcPr>
    </w:tblStylePr>
    <w:tblStylePr w:type="lastRow">
      <w:rPr>
        <w:rFonts w:cs="Arial"/>
        <w:b/>
        <w:bCs/>
      </w:rPr>
      <w:tblPr/>
      <w:tcPr>
        <w:tcBorders>
          <w:top w:val="double" w:sz="2" w:space="0" w:color="666666" w:themeColor="text1" w:themeTint="99"/>
        </w:tcBorders>
      </w:tcPr>
    </w:tblStylePr>
    <w:tblStylePr w:type="firstCol">
      <w:rPr>
        <w:rFonts w:cs="Arial"/>
        <w:b/>
        <w:bCs/>
      </w:rPr>
    </w:tblStylePr>
    <w:tblStylePr w:type="lastCol">
      <w:rPr>
        <w:rFonts w:cs="Arial"/>
        <w:b/>
        <w:bCs/>
      </w:rPr>
    </w:tblStylePr>
  </w:style>
  <w:style w:type="paragraph" w:customStyle="1" w:styleId="MDPI41tablecaption">
    <w:name w:val="MDPI_4.1_table_caption"/>
    <w:basedOn w:val="Normal"/>
    <w:qFormat/>
    <w:rsid w:val="009F1B01"/>
    <w:pPr>
      <w:adjustRightInd w:val="0"/>
      <w:snapToGrid w:val="0"/>
      <w:spacing w:before="240" w:after="120" w:line="260" w:lineRule="atLeast"/>
      <w:ind w:left="425" w:right="425"/>
      <w:jc w:val="both"/>
    </w:pPr>
    <w:rPr>
      <w:rFonts w:ascii="Palatino Linotype" w:eastAsia="Times New Roman" w:hAnsi="Palatino Linotype" w:cs="Times New Roman"/>
      <w:color w:val="000000"/>
      <w:sz w:val="18"/>
      <w:lang w:val="en-US" w:eastAsia="de-DE" w:bidi="en-US"/>
    </w:rPr>
  </w:style>
  <w:style w:type="paragraph" w:customStyle="1" w:styleId="MDPI43tablefooter">
    <w:name w:val="MDPI_4.3_table_footer"/>
    <w:basedOn w:val="MDPI41tablecaption"/>
    <w:next w:val="Normal"/>
    <w:qFormat/>
    <w:rsid w:val="009F1B01"/>
    <w:pPr>
      <w:spacing w:before="0"/>
      <w:ind w:left="0" w:right="0"/>
    </w:pPr>
  </w:style>
  <w:style w:type="character" w:styleId="CommentReference">
    <w:name w:val="annotation reference"/>
    <w:basedOn w:val="DefaultParagraphFont"/>
    <w:uiPriority w:val="99"/>
    <w:semiHidden/>
    <w:unhideWhenUsed/>
    <w:rsid w:val="00AF47FA"/>
    <w:rPr>
      <w:sz w:val="16"/>
      <w:szCs w:val="16"/>
    </w:rPr>
  </w:style>
  <w:style w:type="paragraph" w:styleId="CommentText">
    <w:name w:val="annotation text"/>
    <w:basedOn w:val="Normal"/>
    <w:link w:val="CommentTextChar"/>
    <w:uiPriority w:val="99"/>
    <w:unhideWhenUsed/>
    <w:rsid w:val="00AF47FA"/>
    <w:rPr>
      <w:sz w:val="20"/>
      <w:szCs w:val="20"/>
    </w:rPr>
  </w:style>
  <w:style w:type="character" w:customStyle="1" w:styleId="CommentTextChar">
    <w:name w:val="Comment Text Char"/>
    <w:basedOn w:val="DefaultParagraphFont"/>
    <w:link w:val="CommentText"/>
    <w:uiPriority w:val="99"/>
    <w:rsid w:val="00AF47FA"/>
    <w:rPr>
      <w:sz w:val="20"/>
      <w:szCs w:val="20"/>
    </w:rPr>
  </w:style>
  <w:style w:type="paragraph" w:styleId="CommentSubject">
    <w:name w:val="annotation subject"/>
    <w:basedOn w:val="CommentText"/>
    <w:next w:val="CommentText"/>
    <w:link w:val="CommentSubjectChar"/>
    <w:uiPriority w:val="99"/>
    <w:semiHidden/>
    <w:unhideWhenUsed/>
    <w:rsid w:val="00AF47FA"/>
    <w:rPr>
      <w:b/>
      <w:bCs/>
    </w:rPr>
  </w:style>
  <w:style w:type="character" w:customStyle="1" w:styleId="CommentSubjectChar">
    <w:name w:val="Comment Subject Char"/>
    <w:basedOn w:val="CommentTextChar"/>
    <w:link w:val="CommentSubject"/>
    <w:uiPriority w:val="99"/>
    <w:semiHidden/>
    <w:rsid w:val="00AF47FA"/>
    <w:rPr>
      <w:b/>
      <w:bCs/>
      <w:sz w:val="20"/>
      <w:szCs w:val="20"/>
    </w:rPr>
  </w:style>
  <w:style w:type="paragraph" w:styleId="BalloonText">
    <w:name w:val="Balloon Text"/>
    <w:basedOn w:val="Normal"/>
    <w:link w:val="BalloonTextChar"/>
    <w:uiPriority w:val="99"/>
    <w:semiHidden/>
    <w:unhideWhenUsed/>
    <w:rsid w:val="00AF4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7FA"/>
    <w:rPr>
      <w:rFonts w:ascii="Segoe UI" w:hAnsi="Segoe UI" w:cs="Segoe UI"/>
      <w:sz w:val="18"/>
      <w:szCs w:val="18"/>
    </w:rPr>
  </w:style>
  <w:style w:type="paragraph" w:customStyle="1" w:styleId="Bibliographie2">
    <w:name w:val="Bibliographie2"/>
    <w:basedOn w:val="Normal"/>
    <w:link w:val="BibliographyCar1"/>
    <w:rsid w:val="00861AC2"/>
    <w:pPr>
      <w:tabs>
        <w:tab w:val="left" w:pos="500"/>
      </w:tabs>
      <w:ind w:left="504" w:hanging="504"/>
      <w:jc w:val="both"/>
    </w:pPr>
    <w:rPr>
      <w:rFonts w:ascii="Arial" w:hAnsi="Arial" w:cs="Arial"/>
      <w:noProof/>
      <w:sz w:val="24"/>
      <w:szCs w:val="24"/>
      <w:lang w:val="en-US"/>
    </w:rPr>
  </w:style>
  <w:style w:type="character" w:customStyle="1" w:styleId="BibliographyCar1">
    <w:name w:val="Bibliography Car1"/>
    <w:basedOn w:val="DefaultParagraphFont"/>
    <w:link w:val="Bibliographie2"/>
    <w:rsid w:val="00861AC2"/>
    <w:rPr>
      <w:rFonts w:ascii="Arial" w:hAnsi="Arial" w:cs="Arial"/>
      <w:noProof/>
      <w:sz w:val="24"/>
      <w:szCs w:val="24"/>
      <w:lang w:val="en-US"/>
    </w:rPr>
  </w:style>
  <w:style w:type="paragraph" w:customStyle="1" w:styleId="Bibliographie3">
    <w:name w:val="Bibliographie3"/>
    <w:basedOn w:val="Normal"/>
    <w:link w:val="BibliographyCar2"/>
    <w:rsid w:val="00163676"/>
    <w:pPr>
      <w:tabs>
        <w:tab w:val="left" w:pos="500"/>
      </w:tabs>
      <w:spacing w:after="240"/>
      <w:ind w:left="504" w:hanging="504"/>
      <w:jc w:val="both"/>
    </w:pPr>
    <w:rPr>
      <w:rFonts w:ascii="Arial" w:hAnsi="Arial" w:cs="Arial"/>
      <w:noProof/>
      <w:sz w:val="24"/>
      <w:szCs w:val="24"/>
      <w:lang w:val="en-US"/>
    </w:rPr>
  </w:style>
  <w:style w:type="character" w:customStyle="1" w:styleId="BibliographyCar2">
    <w:name w:val="Bibliography Car2"/>
    <w:basedOn w:val="DefaultParagraphFont"/>
    <w:link w:val="Bibliographie3"/>
    <w:rsid w:val="00163676"/>
    <w:rPr>
      <w:rFonts w:ascii="Arial" w:hAnsi="Arial" w:cs="Arial"/>
      <w:noProof/>
      <w:sz w:val="24"/>
      <w:szCs w:val="24"/>
      <w:lang w:val="en-US"/>
    </w:rPr>
  </w:style>
  <w:style w:type="paragraph" w:customStyle="1" w:styleId="Bibliographie4">
    <w:name w:val="Bibliographie4"/>
    <w:basedOn w:val="Normal"/>
    <w:link w:val="BibliographyCar3"/>
    <w:rsid w:val="003671F2"/>
    <w:pPr>
      <w:tabs>
        <w:tab w:val="left" w:pos="500"/>
      </w:tabs>
      <w:ind w:left="504" w:hanging="504"/>
      <w:jc w:val="both"/>
    </w:pPr>
    <w:rPr>
      <w:rFonts w:ascii="Times New Roman" w:hAnsi="Times New Roman" w:cs="Times New Roman"/>
      <w:sz w:val="24"/>
      <w:szCs w:val="24"/>
      <w:lang w:val="en-US"/>
    </w:rPr>
  </w:style>
  <w:style w:type="character" w:customStyle="1" w:styleId="BibliographyCar3">
    <w:name w:val="Bibliography Car3"/>
    <w:basedOn w:val="DefaultParagraphFont"/>
    <w:link w:val="Bibliographie4"/>
    <w:rsid w:val="003671F2"/>
    <w:rPr>
      <w:rFonts w:ascii="Times New Roman" w:hAnsi="Times New Roman" w:cs="Times New Roman"/>
      <w:sz w:val="24"/>
      <w:szCs w:val="24"/>
      <w:lang w:val="en-US"/>
    </w:rPr>
  </w:style>
  <w:style w:type="paragraph" w:customStyle="1" w:styleId="Literaturverzeichnis1">
    <w:name w:val="Literaturverzeichnis1"/>
    <w:basedOn w:val="Normal"/>
    <w:link w:val="BibliographyCar4"/>
    <w:rsid w:val="00034C1D"/>
    <w:pPr>
      <w:spacing w:after="240"/>
      <w:ind w:left="720" w:hanging="720"/>
      <w:jc w:val="both"/>
    </w:pPr>
    <w:rPr>
      <w:rFonts w:ascii="Times New Roman" w:hAnsi="Times New Roman" w:cs="Times New Roman"/>
      <w:sz w:val="24"/>
      <w:szCs w:val="24"/>
      <w:lang w:val="en-US"/>
    </w:rPr>
  </w:style>
  <w:style w:type="character" w:customStyle="1" w:styleId="BibliographyCar4">
    <w:name w:val="Bibliography Car4"/>
    <w:basedOn w:val="DefaultParagraphFont"/>
    <w:link w:val="Literaturverzeichnis1"/>
    <w:rsid w:val="00034C1D"/>
    <w:rPr>
      <w:rFonts w:ascii="Times New Roman" w:hAnsi="Times New Roman" w:cs="Times New Roman"/>
      <w:sz w:val="24"/>
      <w:szCs w:val="24"/>
      <w:lang w:val="en-US"/>
    </w:rPr>
  </w:style>
  <w:style w:type="character" w:customStyle="1" w:styleId="Heading1Char">
    <w:name w:val="Heading 1 Char"/>
    <w:basedOn w:val="DefaultParagraphFont"/>
    <w:link w:val="Heading1"/>
    <w:uiPriority w:val="9"/>
    <w:rsid w:val="00346A37"/>
    <w:rPr>
      <w:rFonts w:ascii="Arial" w:hAnsi="Arial" w:cs="Arial"/>
      <w:b/>
      <w:bCs/>
      <w:sz w:val="24"/>
      <w:szCs w:val="24"/>
      <w:lang w:val="en-US"/>
    </w:rPr>
  </w:style>
  <w:style w:type="paragraph" w:customStyle="1" w:styleId="Bibliographie5">
    <w:name w:val="Bibliographie5"/>
    <w:basedOn w:val="Normal"/>
    <w:link w:val="BibliographyCar5"/>
    <w:rsid w:val="00DA2662"/>
    <w:pPr>
      <w:tabs>
        <w:tab w:val="left" w:pos="380"/>
      </w:tabs>
      <w:spacing w:after="240"/>
      <w:ind w:left="384" w:hanging="384"/>
      <w:jc w:val="both"/>
    </w:pPr>
    <w:rPr>
      <w:rFonts w:ascii="Arial" w:hAnsi="Arial" w:cs="Arial"/>
      <w:sz w:val="24"/>
      <w:szCs w:val="24"/>
      <w:lang w:val="en-US"/>
    </w:rPr>
  </w:style>
  <w:style w:type="character" w:customStyle="1" w:styleId="BibliographyCar5">
    <w:name w:val="Bibliography Car5"/>
    <w:basedOn w:val="DefaultParagraphFont"/>
    <w:link w:val="Bibliographie5"/>
    <w:rsid w:val="00DA2662"/>
    <w:rPr>
      <w:rFonts w:ascii="Arial" w:hAnsi="Arial" w:cs="Arial"/>
      <w:sz w:val="24"/>
      <w:szCs w:val="24"/>
      <w:lang w:val="en-US"/>
    </w:rPr>
  </w:style>
  <w:style w:type="paragraph" w:styleId="Revision">
    <w:name w:val="Revision"/>
    <w:hidden/>
    <w:uiPriority w:val="99"/>
    <w:semiHidden/>
    <w:rsid w:val="00312E88"/>
  </w:style>
  <w:style w:type="paragraph" w:customStyle="1" w:styleId="Literaturverzeichnis2">
    <w:name w:val="Literaturverzeichnis2"/>
    <w:basedOn w:val="Normal"/>
    <w:link w:val="BibliographyCar6"/>
    <w:rsid w:val="00281A73"/>
    <w:pPr>
      <w:tabs>
        <w:tab w:val="left" w:pos="620"/>
      </w:tabs>
      <w:ind w:left="624" w:hanging="624"/>
      <w:jc w:val="both"/>
    </w:pPr>
    <w:rPr>
      <w:rFonts w:ascii="Arial" w:hAnsi="Arial" w:cs="Arial"/>
      <w:sz w:val="24"/>
      <w:szCs w:val="24"/>
      <w:lang w:val="en-US"/>
    </w:rPr>
  </w:style>
  <w:style w:type="character" w:customStyle="1" w:styleId="BibliographyCar6">
    <w:name w:val="Bibliography Car6"/>
    <w:basedOn w:val="DefaultParagraphFont"/>
    <w:link w:val="Literaturverzeichnis2"/>
    <w:rsid w:val="00281A73"/>
    <w:rPr>
      <w:rFonts w:ascii="Arial" w:hAnsi="Arial" w:cs="Arial"/>
      <w:sz w:val="24"/>
      <w:szCs w:val="24"/>
      <w:lang w:val="en-US"/>
    </w:rPr>
  </w:style>
  <w:style w:type="table" w:styleId="TableGrid">
    <w:name w:val="Table Grid"/>
    <w:basedOn w:val="TableNormal"/>
    <w:uiPriority w:val="39"/>
    <w:rsid w:val="00D93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346A37"/>
    <w:pPr>
      <w:spacing w:line="480" w:lineRule="auto"/>
      <w:jc w:val="center"/>
    </w:pPr>
    <w:rPr>
      <w:rFonts w:ascii="Arial" w:hAnsi="Arial" w:cs="Arial"/>
      <w:b/>
      <w:bCs/>
      <w:sz w:val="24"/>
      <w:szCs w:val="24"/>
      <w:lang w:val="en-US"/>
    </w:rPr>
  </w:style>
  <w:style w:type="character" w:customStyle="1" w:styleId="TitleChar">
    <w:name w:val="Title Char"/>
    <w:basedOn w:val="DefaultParagraphFont"/>
    <w:link w:val="Title"/>
    <w:uiPriority w:val="10"/>
    <w:rsid w:val="00346A37"/>
    <w:rPr>
      <w:rFonts w:ascii="Arial" w:hAnsi="Arial" w:cs="Arial"/>
      <w:b/>
      <w:bCs/>
      <w:sz w:val="24"/>
      <w:szCs w:val="24"/>
      <w:lang w:val="en-US"/>
    </w:rPr>
  </w:style>
  <w:style w:type="character" w:customStyle="1" w:styleId="Heading2Char">
    <w:name w:val="Heading 2 Char"/>
    <w:basedOn w:val="DefaultParagraphFont"/>
    <w:link w:val="Heading2"/>
    <w:uiPriority w:val="9"/>
    <w:rsid w:val="00346A37"/>
    <w:rPr>
      <w:rFonts w:ascii="Arial" w:hAnsi="Arial" w:cs="Arial"/>
      <w:i/>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7198">
      <w:bodyDiv w:val="1"/>
      <w:marLeft w:val="0"/>
      <w:marRight w:val="0"/>
      <w:marTop w:val="0"/>
      <w:marBottom w:val="0"/>
      <w:divBdr>
        <w:top w:val="none" w:sz="0" w:space="0" w:color="auto"/>
        <w:left w:val="none" w:sz="0" w:space="0" w:color="auto"/>
        <w:bottom w:val="none" w:sz="0" w:space="0" w:color="auto"/>
        <w:right w:val="none" w:sz="0" w:space="0" w:color="auto"/>
      </w:divBdr>
      <w:divsChild>
        <w:div w:id="1481732721">
          <w:marLeft w:val="0"/>
          <w:marRight w:val="0"/>
          <w:marTop w:val="0"/>
          <w:marBottom w:val="0"/>
          <w:divBdr>
            <w:top w:val="none" w:sz="0" w:space="0" w:color="auto"/>
            <w:left w:val="none" w:sz="0" w:space="0" w:color="auto"/>
            <w:bottom w:val="none" w:sz="0" w:space="0" w:color="auto"/>
            <w:right w:val="none" w:sz="0" w:space="0" w:color="auto"/>
          </w:divBdr>
          <w:divsChild>
            <w:div w:id="1252659417">
              <w:marLeft w:val="0"/>
              <w:marRight w:val="0"/>
              <w:marTop w:val="0"/>
              <w:marBottom w:val="0"/>
              <w:divBdr>
                <w:top w:val="none" w:sz="0" w:space="0" w:color="auto"/>
                <w:left w:val="none" w:sz="0" w:space="0" w:color="auto"/>
                <w:bottom w:val="none" w:sz="0" w:space="0" w:color="auto"/>
                <w:right w:val="none" w:sz="0" w:space="0" w:color="auto"/>
              </w:divBdr>
              <w:divsChild>
                <w:div w:id="211741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12240">
      <w:bodyDiv w:val="1"/>
      <w:marLeft w:val="0"/>
      <w:marRight w:val="0"/>
      <w:marTop w:val="0"/>
      <w:marBottom w:val="0"/>
      <w:divBdr>
        <w:top w:val="none" w:sz="0" w:space="0" w:color="auto"/>
        <w:left w:val="none" w:sz="0" w:space="0" w:color="auto"/>
        <w:bottom w:val="none" w:sz="0" w:space="0" w:color="auto"/>
        <w:right w:val="none" w:sz="0" w:space="0" w:color="auto"/>
      </w:divBdr>
      <w:divsChild>
        <w:div w:id="917982230">
          <w:marLeft w:val="0"/>
          <w:marRight w:val="0"/>
          <w:marTop w:val="0"/>
          <w:marBottom w:val="0"/>
          <w:divBdr>
            <w:top w:val="none" w:sz="0" w:space="0" w:color="auto"/>
            <w:left w:val="none" w:sz="0" w:space="0" w:color="auto"/>
            <w:bottom w:val="none" w:sz="0" w:space="0" w:color="auto"/>
            <w:right w:val="none" w:sz="0" w:space="0" w:color="auto"/>
          </w:divBdr>
          <w:divsChild>
            <w:div w:id="1877042341">
              <w:marLeft w:val="0"/>
              <w:marRight w:val="0"/>
              <w:marTop w:val="0"/>
              <w:marBottom w:val="0"/>
              <w:divBdr>
                <w:top w:val="none" w:sz="0" w:space="0" w:color="auto"/>
                <w:left w:val="none" w:sz="0" w:space="0" w:color="auto"/>
                <w:bottom w:val="none" w:sz="0" w:space="0" w:color="auto"/>
                <w:right w:val="none" w:sz="0" w:space="0" w:color="auto"/>
              </w:divBdr>
              <w:divsChild>
                <w:div w:id="79603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14500">
      <w:bodyDiv w:val="1"/>
      <w:marLeft w:val="120"/>
      <w:marRight w:val="120"/>
      <w:marTop w:val="0"/>
      <w:marBottom w:val="0"/>
      <w:divBdr>
        <w:top w:val="none" w:sz="0" w:space="0" w:color="auto"/>
        <w:left w:val="none" w:sz="0" w:space="0" w:color="auto"/>
        <w:bottom w:val="none" w:sz="0" w:space="0" w:color="auto"/>
        <w:right w:val="none" w:sz="0" w:space="0" w:color="auto"/>
      </w:divBdr>
      <w:divsChild>
        <w:div w:id="50469880">
          <w:marLeft w:val="0"/>
          <w:marRight w:val="0"/>
          <w:marTop w:val="0"/>
          <w:marBottom w:val="0"/>
          <w:divBdr>
            <w:top w:val="none" w:sz="0" w:space="0" w:color="auto"/>
            <w:left w:val="none" w:sz="0" w:space="0" w:color="auto"/>
            <w:bottom w:val="none" w:sz="0" w:space="0" w:color="auto"/>
            <w:right w:val="none" w:sz="0" w:space="0" w:color="auto"/>
          </w:divBdr>
          <w:divsChild>
            <w:div w:id="47495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2448">
      <w:bodyDiv w:val="1"/>
      <w:marLeft w:val="0"/>
      <w:marRight w:val="0"/>
      <w:marTop w:val="0"/>
      <w:marBottom w:val="0"/>
      <w:divBdr>
        <w:top w:val="none" w:sz="0" w:space="0" w:color="auto"/>
        <w:left w:val="none" w:sz="0" w:space="0" w:color="auto"/>
        <w:bottom w:val="none" w:sz="0" w:space="0" w:color="auto"/>
        <w:right w:val="none" w:sz="0" w:space="0" w:color="auto"/>
      </w:divBdr>
    </w:div>
    <w:div w:id="51008677">
      <w:bodyDiv w:val="1"/>
      <w:marLeft w:val="0"/>
      <w:marRight w:val="0"/>
      <w:marTop w:val="0"/>
      <w:marBottom w:val="0"/>
      <w:divBdr>
        <w:top w:val="none" w:sz="0" w:space="0" w:color="auto"/>
        <w:left w:val="none" w:sz="0" w:space="0" w:color="auto"/>
        <w:bottom w:val="none" w:sz="0" w:space="0" w:color="auto"/>
        <w:right w:val="none" w:sz="0" w:space="0" w:color="auto"/>
      </w:divBdr>
      <w:divsChild>
        <w:div w:id="630479284">
          <w:marLeft w:val="0"/>
          <w:marRight w:val="0"/>
          <w:marTop w:val="0"/>
          <w:marBottom w:val="0"/>
          <w:divBdr>
            <w:top w:val="none" w:sz="0" w:space="0" w:color="auto"/>
            <w:left w:val="none" w:sz="0" w:space="0" w:color="auto"/>
            <w:bottom w:val="none" w:sz="0" w:space="0" w:color="auto"/>
            <w:right w:val="none" w:sz="0" w:space="0" w:color="auto"/>
          </w:divBdr>
        </w:div>
      </w:divsChild>
    </w:div>
    <w:div w:id="51857006">
      <w:bodyDiv w:val="1"/>
      <w:marLeft w:val="120"/>
      <w:marRight w:val="120"/>
      <w:marTop w:val="0"/>
      <w:marBottom w:val="0"/>
      <w:divBdr>
        <w:top w:val="none" w:sz="0" w:space="0" w:color="auto"/>
        <w:left w:val="none" w:sz="0" w:space="0" w:color="auto"/>
        <w:bottom w:val="none" w:sz="0" w:space="0" w:color="auto"/>
        <w:right w:val="none" w:sz="0" w:space="0" w:color="auto"/>
      </w:divBdr>
      <w:divsChild>
        <w:div w:id="584919426">
          <w:marLeft w:val="0"/>
          <w:marRight w:val="0"/>
          <w:marTop w:val="0"/>
          <w:marBottom w:val="0"/>
          <w:divBdr>
            <w:top w:val="none" w:sz="0" w:space="0" w:color="auto"/>
            <w:left w:val="none" w:sz="0" w:space="0" w:color="auto"/>
            <w:bottom w:val="none" w:sz="0" w:space="0" w:color="auto"/>
            <w:right w:val="none" w:sz="0" w:space="0" w:color="auto"/>
          </w:divBdr>
          <w:divsChild>
            <w:div w:id="101076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91333">
      <w:bodyDiv w:val="1"/>
      <w:marLeft w:val="0"/>
      <w:marRight w:val="0"/>
      <w:marTop w:val="0"/>
      <w:marBottom w:val="0"/>
      <w:divBdr>
        <w:top w:val="none" w:sz="0" w:space="0" w:color="auto"/>
        <w:left w:val="none" w:sz="0" w:space="0" w:color="auto"/>
        <w:bottom w:val="none" w:sz="0" w:space="0" w:color="auto"/>
        <w:right w:val="none" w:sz="0" w:space="0" w:color="auto"/>
      </w:divBdr>
      <w:divsChild>
        <w:div w:id="371853576">
          <w:marLeft w:val="0"/>
          <w:marRight w:val="0"/>
          <w:marTop w:val="0"/>
          <w:marBottom w:val="0"/>
          <w:divBdr>
            <w:top w:val="none" w:sz="0" w:space="0" w:color="auto"/>
            <w:left w:val="none" w:sz="0" w:space="0" w:color="auto"/>
            <w:bottom w:val="none" w:sz="0" w:space="0" w:color="auto"/>
            <w:right w:val="none" w:sz="0" w:space="0" w:color="auto"/>
          </w:divBdr>
        </w:div>
      </w:divsChild>
    </w:div>
    <w:div w:id="72630697">
      <w:bodyDiv w:val="1"/>
      <w:marLeft w:val="0"/>
      <w:marRight w:val="0"/>
      <w:marTop w:val="0"/>
      <w:marBottom w:val="0"/>
      <w:divBdr>
        <w:top w:val="none" w:sz="0" w:space="0" w:color="auto"/>
        <w:left w:val="none" w:sz="0" w:space="0" w:color="auto"/>
        <w:bottom w:val="none" w:sz="0" w:space="0" w:color="auto"/>
        <w:right w:val="none" w:sz="0" w:space="0" w:color="auto"/>
      </w:divBdr>
    </w:div>
    <w:div w:id="108669161">
      <w:bodyDiv w:val="1"/>
      <w:marLeft w:val="0"/>
      <w:marRight w:val="0"/>
      <w:marTop w:val="0"/>
      <w:marBottom w:val="0"/>
      <w:divBdr>
        <w:top w:val="none" w:sz="0" w:space="0" w:color="auto"/>
        <w:left w:val="none" w:sz="0" w:space="0" w:color="auto"/>
        <w:bottom w:val="none" w:sz="0" w:space="0" w:color="auto"/>
        <w:right w:val="none" w:sz="0" w:space="0" w:color="auto"/>
      </w:divBdr>
    </w:div>
    <w:div w:id="198779658">
      <w:bodyDiv w:val="1"/>
      <w:marLeft w:val="0"/>
      <w:marRight w:val="0"/>
      <w:marTop w:val="0"/>
      <w:marBottom w:val="0"/>
      <w:divBdr>
        <w:top w:val="none" w:sz="0" w:space="0" w:color="auto"/>
        <w:left w:val="none" w:sz="0" w:space="0" w:color="auto"/>
        <w:bottom w:val="none" w:sz="0" w:space="0" w:color="auto"/>
        <w:right w:val="none" w:sz="0" w:space="0" w:color="auto"/>
      </w:divBdr>
    </w:div>
    <w:div w:id="203446766">
      <w:bodyDiv w:val="1"/>
      <w:marLeft w:val="120"/>
      <w:marRight w:val="120"/>
      <w:marTop w:val="0"/>
      <w:marBottom w:val="0"/>
      <w:divBdr>
        <w:top w:val="none" w:sz="0" w:space="0" w:color="auto"/>
        <w:left w:val="none" w:sz="0" w:space="0" w:color="auto"/>
        <w:bottom w:val="none" w:sz="0" w:space="0" w:color="auto"/>
        <w:right w:val="none" w:sz="0" w:space="0" w:color="auto"/>
      </w:divBdr>
      <w:divsChild>
        <w:div w:id="1401562395">
          <w:marLeft w:val="0"/>
          <w:marRight w:val="0"/>
          <w:marTop w:val="0"/>
          <w:marBottom w:val="0"/>
          <w:divBdr>
            <w:top w:val="none" w:sz="0" w:space="0" w:color="auto"/>
            <w:left w:val="none" w:sz="0" w:space="0" w:color="auto"/>
            <w:bottom w:val="none" w:sz="0" w:space="0" w:color="auto"/>
            <w:right w:val="none" w:sz="0" w:space="0" w:color="auto"/>
          </w:divBdr>
          <w:divsChild>
            <w:div w:id="22637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2567">
      <w:bodyDiv w:val="1"/>
      <w:marLeft w:val="120"/>
      <w:marRight w:val="120"/>
      <w:marTop w:val="0"/>
      <w:marBottom w:val="0"/>
      <w:divBdr>
        <w:top w:val="none" w:sz="0" w:space="0" w:color="auto"/>
        <w:left w:val="none" w:sz="0" w:space="0" w:color="auto"/>
        <w:bottom w:val="none" w:sz="0" w:space="0" w:color="auto"/>
        <w:right w:val="none" w:sz="0" w:space="0" w:color="auto"/>
      </w:divBdr>
      <w:divsChild>
        <w:div w:id="1319457091">
          <w:marLeft w:val="0"/>
          <w:marRight w:val="0"/>
          <w:marTop w:val="0"/>
          <w:marBottom w:val="0"/>
          <w:divBdr>
            <w:top w:val="none" w:sz="0" w:space="0" w:color="auto"/>
            <w:left w:val="none" w:sz="0" w:space="0" w:color="auto"/>
            <w:bottom w:val="none" w:sz="0" w:space="0" w:color="auto"/>
            <w:right w:val="none" w:sz="0" w:space="0" w:color="auto"/>
          </w:divBdr>
          <w:divsChild>
            <w:div w:id="106895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4902">
      <w:bodyDiv w:val="1"/>
      <w:marLeft w:val="0"/>
      <w:marRight w:val="0"/>
      <w:marTop w:val="0"/>
      <w:marBottom w:val="0"/>
      <w:divBdr>
        <w:top w:val="none" w:sz="0" w:space="0" w:color="auto"/>
        <w:left w:val="none" w:sz="0" w:space="0" w:color="auto"/>
        <w:bottom w:val="none" w:sz="0" w:space="0" w:color="auto"/>
        <w:right w:val="none" w:sz="0" w:space="0" w:color="auto"/>
      </w:divBdr>
    </w:div>
    <w:div w:id="210922429">
      <w:bodyDiv w:val="1"/>
      <w:marLeft w:val="120"/>
      <w:marRight w:val="120"/>
      <w:marTop w:val="0"/>
      <w:marBottom w:val="0"/>
      <w:divBdr>
        <w:top w:val="none" w:sz="0" w:space="0" w:color="auto"/>
        <w:left w:val="none" w:sz="0" w:space="0" w:color="auto"/>
        <w:bottom w:val="none" w:sz="0" w:space="0" w:color="auto"/>
        <w:right w:val="none" w:sz="0" w:space="0" w:color="auto"/>
      </w:divBdr>
      <w:divsChild>
        <w:div w:id="1434857686">
          <w:marLeft w:val="0"/>
          <w:marRight w:val="0"/>
          <w:marTop w:val="0"/>
          <w:marBottom w:val="0"/>
          <w:divBdr>
            <w:top w:val="none" w:sz="0" w:space="0" w:color="auto"/>
            <w:left w:val="none" w:sz="0" w:space="0" w:color="auto"/>
            <w:bottom w:val="none" w:sz="0" w:space="0" w:color="auto"/>
            <w:right w:val="none" w:sz="0" w:space="0" w:color="auto"/>
          </w:divBdr>
          <w:divsChild>
            <w:div w:id="183922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4754">
      <w:bodyDiv w:val="1"/>
      <w:marLeft w:val="120"/>
      <w:marRight w:val="120"/>
      <w:marTop w:val="0"/>
      <w:marBottom w:val="0"/>
      <w:divBdr>
        <w:top w:val="none" w:sz="0" w:space="0" w:color="auto"/>
        <w:left w:val="none" w:sz="0" w:space="0" w:color="auto"/>
        <w:bottom w:val="none" w:sz="0" w:space="0" w:color="auto"/>
        <w:right w:val="none" w:sz="0" w:space="0" w:color="auto"/>
      </w:divBdr>
      <w:divsChild>
        <w:div w:id="1306013119">
          <w:marLeft w:val="0"/>
          <w:marRight w:val="0"/>
          <w:marTop w:val="0"/>
          <w:marBottom w:val="0"/>
          <w:divBdr>
            <w:top w:val="none" w:sz="0" w:space="0" w:color="auto"/>
            <w:left w:val="none" w:sz="0" w:space="0" w:color="auto"/>
            <w:bottom w:val="none" w:sz="0" w:space="0" w:color="auto"/>
            <w:right w:val="none" w:sz="0" w:space="0" w:color="auto"/>
          </w:divBdr>
          <w:divsChild>
            <w:div w:id="117788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821349">
      <w:bodyDiv w:val="1"/>
      <w:marLeft w:val="0"/>
      <w:marRight w:val="0"/>
      <w:marTop w:val="0"/>
      <w:marBottom w:val="0"/>
      <w:divBdr>
        <w:top w:val="none" w:sz="0" w:space="0" w:color="auto"/>
        <w:left w:val="none" w:sz="0" w:space="0" w:color="auto"/>
        <w:bottom w:val="none" w:sz="0" w:space="0" w:color="auto"/>
        <w:right w:val="none" w:sz="0" w:space="0" w:color="auto"/>
      </w:divBdr>
    </w:div>
    <w:div w:id="237835159">
      <w:bodyDiv w:val="1"/>
      <w:marLeft w:val="0"/>
      <w:marRight w:val="0"/>
      <w:marTop w:val="0"/>
      <w:marBottom w:val="0"/>
      <w:divBdr>
        <w:top w:val="none" w:sz="0" w:space="0" w:color="auto"/>
        <w:left w:val="none" w:sz="0" w:space="0" w:color="auto"/>
        <w:bottom w:val="none" w:sz="0" w:space="0" w:color="auto"/>
        <w:right w:val="none" w:sz="0" w:space="0" w:color="auto"/>
      </w:divBdr>
    </w:div>
    <w:div w:id="251741081">
      <w:bodyDiv w:val="1"/>
      <w:marLeft w:val="0"/>
      <w:marRight w:val="0"/>
      <w:marTop w:val="0"/>
      <w:marBottom w:val="0"/>
      <w:divBdr>
        <w:top w:val="none" w:sz="0" w:space="0" w:color="auto"/>
        <w:left w:val="none" w:sz="0" w:space="0" w:color="auto"/>
        <w:bottom w:val="none" w:sz="0" w:space="0" w:color="auto"/>
        <w:right w:val="none" w:sz="0" w:space="0" w:color="auto"/>
      </w:divBdr>
    </w:div>
    <w:div w:id="271088548">
      <w:bodyDiv w:val="1"/>
      <w:marLeft w:val="0"/>
      <w:marRight w:val="0"/>
      <w:marTop w:val="0"/>
      <w:marBottom w:val="0"/>
      <w:divBdr>
        <w:top w:val="none" w:sz="0" w:space="0" w:color="auto"/>
        <w:left w:val="none" w:sz="0" w:space="0" w:color="auto"/>
        <w:bottom w:val="none" w:sz="0" w:space="0" w:color="auto"/>
        <w:right w:val="none" w:sz="0" w:space="0" w:color="auto"/>
      </w:divBdr>
    </w:div>
    <w:div w:id="276304005">
      <w:bodyDiv w:val="1"/>
      <w:marLeft w:val="0"/>
      <w:marRight w:val="0"/>
      <w:marTop w:val="0"/>
      <w:marBottom w:val="0"/>
      <w:divBdr>
        <w:top w:val="none" w:sz="0" w:space="0" w:color="auto"/>
        <w:left w:val="none" w:sz="0" w:space="0" w:color="auto"/>
        <w:bottom w:val="none" w:sz="0" w:space="0" w:color="auto"/>
        <w:right w:val="none" w:sz="0" w:space="0" w:color="auto"/>
      </w:divBdr>
    </w:div>
    <w:div w:id="282007681">
      <w:bodyDiv w:val="1"/>
      <w:marLeft w:val="120"/>
      <w:marRight w:val="120"/>
      <w:marTop w:val="0"/>
      <w:marBottom w:val="0"/>
      <w:divBdr>
        <w:top w:val="none" w:sz="0" w:space="0" w:color="auto"/>
        <w:left w:val="none" w:sz="0" w:space="0" w:color="auto"/>
        <w:bottom w:val="none" w:sz="0" w:space="0" w:color="auto"/>
        <w:right w:val="none" w:sz="0" w:space="0" w:color="auto"/>
      </w:divBdr>
      <w:divsChild>
        <w:div w:id="1636833732">
          <w:marLeft w:val="0"/>
          <w:marRight w:val="0"/>
          <w:marTop w:val="0"/>
          <w:marBottom w:val="0"/>
          <w:divBdr>
            <w:top w:val="none" w:sz="0" w:space="0" w:color="auto"/>
            <w:left w:val="none" w:sz="0" w:space="0" w:color="auto"/>
            <w:bottom w:val="none" w:sz="0" w:space="0" w:color="auto"/>
            <w:right w:val="none" w:sz="0" w:space="0" w:color="auto"/>
          </w:divBdr>
          <w:divsChild>
            <w:div w:id="63676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99636">
      <w:bodyDiv w:val="1"/>
      <w:marLeft w:val="120"/>
      <w:marRight w:val="120"/>
      <w:marTop w:val="0"/>
      <w:marBottom w:val="0"/>
      <w:divBdr>
        <w:top w:val="none" w:sz="0" w:space="0" w:color="auto"/>
        <w:left w:val="none" w:sz="0" w:space="0" w:color="auto"/>
        <w:bottom w:val="none" w:sz="0" w:space="0" w:color="auto"/>
        <w:right w:val="none" w:sz="0" w:space="0" w:color="auto"/>
      </w:divBdr>
      <w:divsChild>
        <w:div w:id="768041431">
          <w:marLeft w:val="0"/>
          <w:marRight w:val="0"/>
          <w:marTop w:val="0"/>
          <w:marBottom w:val="0"/>
          <w:divBdr>
            <w:top w:val="none" w:sz="0" w:space="0" w:color="auto"/>
            <w:left w:val="none" w:sz="0" w:space="0" w:color="auto"/>
            <w:bottom w:val="none" w:sz="0" w:space="0" w:color="auto"/>
            <w:right w:val="none" w:sz="0" w:space="0" w:color="auto"/>
          </w:divBdr>
          <w:divsChild>
            <w:div w:id="57686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329089">
      <w:bodyDiv w:val="1"/>
      <w:marLeft w:val="0"/>
      <w:marRight w:val="0"/>
      <w:marTop w:val="0"/>
      <w:marBottom w:val="0"/>
      <w:divBdr>
        <w:top w:val="none" w:sz="0" w:space="0" w:color="auto"/>
        <w:left w:val="none" w:sz="0" w:space="0" w:color="auto"/>
        <w:bottom w:val="none" w:sz="0" w:space="0" w:color="auto"/>
        <w:right w:val="none" w:sz="0" w:space="0" w:color="auto"/>
      </w:divBdr>
    </w:div>
    <w:div w:id="317001968">
      <w:bodyDiv w:val="1"/>
      <w:marLeft w:val="0"/>
      <w:marRight w:val="0"/>
      <w:marTop w:val="0"/>
      <w:marBottom w:val="0"/>
      <w:divBdr>
        <w:top w:val="none" w:sz="0" w:space="0" w:color="auto"/>
        <w:left w:val="none" w:sz="0" w:space="0" w:color="auto"/>
        <w:bottom w:val="none" w:sz="0" w:space="0" w:color="auto"/>
        <w:right w:val="none" w:sz="0" w:space="0" w:color="auto"/>
      </w:divBdr>
      <w:divsChild>
        <w:div w:id="211157843">
          <w:marLeft w:val="0"/>
          <w:marRight w:val="0"/>
          <w:marTop w:val="0"/>
          <w:marBottom w:val="0"/>
          <w:divBdr>
            <w:top w:val="none" w:sz="0" w:space="0" w:color="auto"/>
            <w:left w:val="none" w:sz="0" w:space="0" w:color="auto"/>
            <w:bottom w:val="none" w:sz="0" w:space="0" w:color="auto"/>
            <w:right w:val="none" w:sz="0" w:space="0" w:color="auto"/>
          </w:divBdr>
        </w:div>
      </w:divsChild>
    </w:div>
    <w:div w:id="361177276">
      <w:bodyDiv w:val="1"/>
      <w:marLeft w:val="120"/>
      <w:marRight w:val="120"/>
      <w:marTop w:val="0"/>
      <w:marBottom w:val="0"/>
      <w:divBdr>
        <w:top w:val="none" w:sz="0" w:space="0" w:color="auto"/>
        <w:left w:val="none" w:sz="0" w:space="0" w:color="auto"/>
        <w:bottom w:val="none" w:sz="0" w:space="0" w:color="auto"/>
        <w:right w:val="none" w:sz="0" w:space="0" w:color="auto"/>
      </w:divBdr>
      <w:divsChild>
        <w:div w:id="1852797300">
          <w:marLeft w:val="0"/>
          <w:marRight w:val="0"/>
          <w:marTop w:val="0"/>
          <w:marBottom w:val="0"/>
          <w:divBdr>
            <w:top w:val="none" w:sz="0" w:space="0" w:color="auto"/>
            <w:left w:val="none" w:sz="0" w:space="0" w:color="auto"/>
            <w:bottom w:val="none" w:sz="0" w:space="0" w:color="auto"/>
            <w:right w:val="none" w:sz="0" w:space="0" w:color="auto"/>
          </w:divBdr>
          <w:divsChild>
            <w:div w:id="172636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42686">
      <w:bodyDiv w:val="1"/>
      <w:marLeft w:val="0"/>
      <w:marRight w:val="0"/>
      <w:marTop w:val="0"/>
      <w:marBottom w:val="0"/>
      <w:divBdr>
        <w:top w:val="none" w:sz="0" w:space="0" w:color="auto"/>
        <w:left w:val="none" w:sz="0" w:space="0" w:color="auto"/>
        <w:bottom w:val="none" w:sz="0" w:space="0" w:color="auto"/>
        <w:right w:val="none" w:sz="0" w:space="0" w:color="auto"/>
      </w:divBdr>
    </w:div>
    <w:div w:id="411706965">
      <w:bodyDiv w:val="1"/>
      <w:marLeft w:val="0"/>
      <w:marRight w:val="0"/>
      <w:marTop w:val="0"/>
      <w:marBottom w:val="0"/>
      <w:divBdr>
        <w:top w:val="none" w:sz="0" w:space="0" w:color="auto"/>
        <w:left w:val="none" w:sz="0" w:space="0" w:color="auto"/>
        <w:bottom w:val="none" w:sz="0" w:space="0" w:color="auto"/>
        <w:right w:val="none" w:sz="0" w:space="0" w:color="auto"/>
      </w:divBdr>
      <w:divsChild>
        <w:div w:id="571082283">
          <w:marLeft w:val="0"/>
          <w:marRight w:val="0"/>
          <w:marTop w:val="0"/>
          <w:marBottom w:val="0"/>
          <w:divBdr>
            <w:top w:val="none" w:sz="0" w:space="0" w:color="auto"/>
            <w:left w:val="none" w:sz="0" w:space="0" w:color="auto"/>
            <w:bottom w:val="none" w:sz="0" w:space="0" w:color="auto"/>
            <w:right w:val="none" w:sz="0" w:space="0" w:color="auto"/>
          </w:divBdr>
        </w:div>
      </w:divsChild>
    </w:div>
    <w:div w:id="417794633">
      <w:bodyDiv w:val="1"/>
      <w:marLeft w:val="0"/>
      <w:marRight w:val="0"/>
      <w:marTop w:val="0"/>
      <w:marBottom w:val="0"/>
      <w:divBdr>
        <w:top w:val="none" w:sz="0" w:space="0" w:color="auto"/>
        <w:left w:val="none" w:sz="0" w:space="0" w:color="auto"/>
        <w:bottom w:val="none" w:sz="0" w:space="0" w:color="auto"/>
        <w:right w:val="none" w:sz="0" w:space="0" w:color="auto"/>
      </w:divBdr>
      <w:divsChild>
        <w:div w:id="1691056444">
          <w:marLeft w:val="0"/>
          <w:marRight w:val="0"/>
          <w:marTop w:val="0"/>
          <w:marBottom w:val="0"/>
          <w:divBdr>
            <w:top w:val="none" w:sz="0" w:space="0" w:color="auto"/>
            <w:left w:val="none" w:sz="0" w:space="0" w:color="auto"/>
            <w:bottom w:val="none" w:sz="0" w:space="0" w:color="auto"/>
            <w:right w:val="none" w:sz="0" w:space="0" w:color="auto"/>
          </w:divBdr>
        </w:div>
      </w:divsChild>
    </w:div>
    <w:div w:id="499203076">
      <w:bodyDiv w:val="1"/>
      <w:marLeft w:val="0"/>
      <w:marRight w:val="0"/>
      <w:marTop w:val="0"/>
      <w:marBottom w:val="0"/>
      <w:divBdr>
        <w:top w:val="none" w:sz="0" w:space="0" w:color="auto"/>
        <w:left w:val="none" w:sz="0" w:space="0" w:color="auto"/>
        <w:bottom w:val="none" w:sz="0" w:space="0" w:color="auto"/>
        <w:right w:val="none" w:sz="0" w:space="0" w:color="auto"/>
      </w:divBdr>
      <w:divsChild>
        <w:div w:id="2101297104">
          <w:marLeft w:val="0"/>
          <w:marRight w:val="0"/>
          <w:marTop w:val="0"/>
          <w:marBottom w:val="0"/>
          <w:divBdr>
            <w:top w:val="none" w:sz="0" w:space="0" w:color="auto"/>
            <w:left w:val="none" w:sz="0" w:space="0" w:color="auto"/>
            <w:bottom w:val="none" w:sz="0" w:space="0" w:color="auto"/>
            <w:right w:val="none" w:sz="0" w:space="0" w:color="auto"/>
          </w:divBdr>
        </w:div>
      </w:divsChild>
    </w:div>
    <w:div w:id="509372153">
      <w:bodyDiv w:val="1"/>
      <w:marLeft w:val="0"/>
      <w:marRight w:val="0"/>
      <w:marTop w:val="0"/>
      <w:marBottom w:val="0"/>
      <w:divBdr>
        <w:top w:val="none" w:sz="0" w:space="0" w:color="auto"/>
        <w:left w:val="none" w:sz="0" w:space="0" w:color="auto"/>
        <w:bottom w:val="none" w:sz="0" w:space="0" w:color="auto"/>
        <w:right w:val="none" w:sz="0" w:space="0" w:color="auto"/>
      </w:divBdr>
      <w:divsChild>
        <w:div w:id="1454056581">
          <w:marLeft w:val="0"/>
          <w:marRight w:val="0"/>
          <w:marTop w:val="0"/>
          <w:marBottom w:val="0"/>
          <w:divBdr>
            <w:top w:val="none" w:sz="0" w:space="0" w:color="auto"/>
            <w:left w:val="none" w:sz="0" w:space="0" w:color="auto"/>
            <w:bottom w:val="none" w:sz="0" w:space="0" w:color="auto"/>
            <w:right w:val="none" w:sz="0" w:space="0" w:color="auto"/>
          </w:divBdr>
        </w:div>
      </w:divsChild>
    </w:div>
    <w:div w:id="559100738">
      <w:bodyDiv w:val="1"/>
      <w:marLeft w:val="0"/>
      <w:marRight w:val="0"/>
      <w:marTop w:val="0"/>
      <w:marBottom w:val="0"/>
      <w:divBdr>
        <w:top w:val="none" w:sz="0" w:space="0" w:color="auto"/>
        <w:left w:val="none" w:sz="0" w:space="0" w:color="auto"/>
        <w:bottom w:val="none" w:sz="0" w:space="0" w:color="auto"/>
        <w:right w:val="none" w:sz="0" w:space="0" w:color="auto"/>
      </w:divBdr>
    </w:div>
    <w:div w:id="589706242">
      <w:bodyDiv w:val="1"/>
      <w:marLeft w:val="0"/>
      <w:marRight w:val="0"/>
      <w:marTop w:val="0"/>
      <w:marBottom w:val="0"/>
      <w:divBdr>
        <w:top w:val="none" w:sz="0" w:space="0" w:color="auto"/>
        <w:left w:val="none" w:sz="0" w:space="0" w:color="auto"/>
        <w:bottom w:val="none" w:sz="0" w:space="0" w:color="auto"/>
        <w:right w:val="none" w:sz="0" w:space="0" w:color="auto"/>
      </w:divBdr>
      <w:divsChild>
        <w:div w:id="1602059654">
          <w:marLeft w:val="0"/>
          <w:marRight w:val="0"/>
          <w:marTop w:val="0"/>
          <w:marBottom w:val="0"/>
          <w:divBdr>
            <w:top w:val="none" w:sz="0" w:space="0" w:color="auto"/>
            <w:left w:val="none" w:sz="0" w:space="0" w:color="auto"/>
            <w:bottom w:val="none" w:sz="0" w:space="0" w:color="auto"/>
            <w:right w:val="none" w:sz="0" w:space="0" w:color="auto"/>
          </w:divBdr>
        </w:div>
      </w:divsChild>
    </w:div>
    <w:div w:id="616789428">
      <w:bodyDiv w:val="1"/>
      <w:marLeft w:val="0"/>
      <w:marRight w:val="0"/>
      <w:marTop w:val="0"/>
      <w:marBottom w:val="0"/>
      <w:divBdr>
        <w:top w:val="none" w:sz="0" w:space="0" w:color="auto"/>
        <w:left w:val="none" w:sz="0" w:space="0" w:color="auto"/>
        <w:bottom w:val="none" w:sz="0" w:space="0" w:color="auto"/>
        <w:right w:val="none" w:sz="0" w:space="0" w:color="auto"/>
      </w:divBdr>
    </w:div>
    <w:div w:id="637414130">
      <w:bodyDiv w:val="1"/>
      <w:marLeft w:val="0"/>
      <w:marRight w:val="0"/>
      <w:marTop w:val="0"/>
      <w:marBottom w:val="0"/>
      <w:divBdr>
        <w:top w:val="none" w:sz="0" w:space="0" w:color="auto"/>
        <w:left w:val="none" w:sz="0" w:space="0" w:color="auto"/>
        <w:bottom w:val="none" w:sz="0" w:space="0" w:color="auto"/>
        <w:right w:val="none" w:sz="0" w:space="0" w:color="auto"/>
      </w:divBdr>
    </w:div>
    <w:div w:id="648555361">
      <w:bodyDiv w:val="1"/>
      <w:marLeft w:val="120"/>
      <w:marRight w:val="120"/>
      <w:marTop w:val="0"/>
      <w:marBottom w:val="0"/>
      <w:divBdr>
        <w:top w:val="none" w:sz="0" w:space="0" w:color="auto"/>
        <w:left w:val="none" w:sz="0" w:space="0" w:color="auto"/>
        <w:bottom w:val="none" w:sz="0" w:space="0" w:color="auto"/>
        <w:right w:val="none" w:sz="0" w:space="0" w:color="auto"/>
      </w:divBdr>
      <w:divsChild>
        <w:div w:id="1404373154">
          <w:marLeft w:val="0"/>
          <w:marRight w:val="0"/>
          <w:marTop w:val="0"/>
          <w:marBottom w:val="0"/>
          <w:divBdr>
            <w:top w:val="none" w:sz="0" w:space="0" w:color="auto"/>
            <w:left w:val="none" w:sz="0" w:space="0" w:color="auto"/>
            <w:bottom w:val="none" w:sz="0" w:space="0" w:color="auto"/>
            <w:right w:val="none" w:sz="0" w:space="0" w:color="auto"/>
          </w:divBdr>
          <w:divsChild>
            <w:div w:id="2238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62635">
      <w:bodyDiv w:val="1"/>
      <w:marLeft w:val="0"/>
      <w:marRight w:val="0"/>
      <w:marTop w:val="0"/>
      <w:marBottom w:val="0"/>
      <w:divBdr>
        <w:top w:val="none" w:sz="0" w:space="0" w:color="auto"/>
        <w:left w:val="none" w:sz="0" w:space="0" w:color="auto"/>
        <w:bottom w:val="none" w:sz="0" w:space="0" w:color="auto"/>
        <w:right w:val="none" w:sz="0" w:space="0" w:color="auto"/>
      </w:divBdr>
    </w:div>
    <w:div w:id="678046434">
      <w:bodyDiv w:val="1"/>
      <w:marLeft w:val="120"/>
      <w:marRight w:val="120"/>
      <w:marTop w:val="0"/>
      <w:marBottom w:val="0"/>
      <w:divBdr>
        <w:top w:val="none" w:sz="0" w:space="0" w:color="auto"/>
        <w:left w:val="none" w:sz="0" w:space="0" w:color="auto"/>
        <w:bottom w:val="none" w:sz="0" w:space="0" w:color="auto"/>
        <w:right w:val="none" w:sz="0" w:space="0" w:color="auto"/>
      </w:divBdr>
      <w:divsChild>
        <w:div w:id="1292439504">
          <w:marLeft w:val="0"/>
          <w:marRight w:val="0"/>
          <w:marTop w:val="0"/>
          <w:marBottom w:val="0"/>
          <w:divBdr>
            <w:top w:val="none" w:sz="0" w:space="0" w:color="auto"/>
            <w:left w:val="none" w:sz="0" w:space="0" w:color="auto"/>
            <w:bottom w:val="none" w:sz="0" w:space="0" w:color="auto"/>
            <w:right w:val="none" w:sz="0" w:space="0" w:color="auto"/>
          </w:divBdr>
          <w:divsChild>
            <w:div w:id="2140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96965">
      <w:bodyDiv w:val="1"/>
      <w:marLeft w:val="0"/>
      <w:marRight w:val="0"/>
      <w:marTop w:val="0"/>
      <w:marBottom w:val="0"/>
      <w:divBdr>
        <w:top w:val="none" w:sz="0" w:space="0" w:color="auto"/>
        <w:left w:val="none" w:sz="0" w:space="0" w:color="auto"/>
        <w:bottom w:val="none" w:sz="0" w:space="0" w:color="auto"/>
        <w:right w:val="none" w:sz="0" w:space="0" w:color="auto"/>
      </w:divBdr>
      <w:divsChild>
        <w:div w:id="43070378">
          <w:marLeft w:val="0"/>
          <w:marRight w:val="0"/>
          <w:marTop w:val="0"/>
          <w:marBottom w:val="0"/>
          <w:divBdr>
            <w:top w:val="none" w:sz="0" w:space="0" w:color="auto"/>
            <w:left w:val="none" w:sz="0" w:space="0" w:color="auto"/>
            <w:bottom w:val="none" w:sz="0" w:space="0" w:color="auto"/>
            <w:right w:val="none" w:sz="0" w:space="0" w:color="auto"/>
          </w:divBdr>
          <w:divsChild>
            <w:div w:id="1034885639">
              <w:marLeft w:val="0"/>
              <w:marRight w:val="0"/>
              <w:marTop w:val="0"/>
              <w:marBottom w:val="0"/>
              <w:divBdr>
                <w:top w:val="none" w:sz="0" w:space="0" w:color="auto"/>
                <w:left w:val="none" w:sz="0" w:space="0" w:color="auto"/>
                <w:bottom w:val="none" w:sz="0" w:space="0" w:color="auto"/>
                <w:right w:val="none" w:sz="0" w:space="0" w:color="auto"/>
              </w:divBdr>
              <w:divsChild>
                <w:div w:id="173608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36426">
      <w:bodyDiv w:val="1"/>
      <w:marLeft w:val="0"/>
      <w:marRight w:val="0"/>
      <w:marTop w:val="0"/>
      <w:marBottom w:val="0"/>
      <w:divBdr>
        <w:top w:val="none" w:sz="0" w:space="0" w:color="auto"/>
        <w:left w:val="none" w:sz="0" w:space="0" w:color="auto"/>
        <w:bottom w:val="none" w:sz="0" w:space="0" w:color="auto"/>
        <w:right w:val="none" w:sz="0" w:space="0" w:color="auto"/>
      </w:divBdr>
    </w:div>
    <w:div w:id="710807830">
      <w:bodyDiv w:val="1"/>
      <w:marLeft w:val="120"/>
      <w:marRight w:val="120"/>
      <w:marTop w:val="0"/>
      <w:marBottom w:val="0"/>
      <w:divBdr>
        <w:top w:val="none" w:sz="0" w:space="0" w:color="auto"/>
        <w:left w:val="none" w:sz="0" w:space="0" w:color="auto"/>
        <w:bottom w:val="none" w:sz="0" w:space="0" w:color="auto"/>
        <w:right w:val="none" w:sz="0" w:space="0" w:color="auto"/>
      </w:divBdr>
      <w:divsChild>
        <w:div w:id="2101247102">
          <w:marLeft w:val="0"/>
          <w:marRight w:val="0"/>
          <w:marTop w:val="0"/>
          <w:marBottom w:val="0"/>
          <w:divBdr>
            <w:top w:val="none" w:sz="0" w:space="0" w:color="auto"/>
            <w:left w:val="none" w:sz="0" w:space="0" w:color="auto"/>
            <w:bottom w:val="none" w:sz="0" w:space="0" w:color="auto"/>
            <w:right w:val="none" w:sz="0" w:space="0" w:color="auto"/>
          </w:divBdr>
          <w:divsChild>
            <w:div w:id="18902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44449">
      <w:bodyDiv w:val="1"/>
      <w:marLeft w:val="0"/>
      <w:marRight w:val="0"/>
      <w:marTop w:val="0"/>
      <w:marBottom w:val="0"/>
      <w:divBdr>
        <w:top w:val="none" w:sz="0" w:space="0" w:color="auto"/>
        <w:left w:val="none" w:sz="0" w:space="0" w:color="auto"/>
        <w:bottom w:val="none" w:sz="0" w:space="0" w:color="auto"/>
        <w:right w:val="none" w:sz="0" w:space="0" w:color="auto"/>
      </w:divBdr>
    </w:div>
    <w:div w:id="792407131">
      <w:bodyDiv w:val="1"/>
      <w:marLeft w:val="0"/>
      <w:marRight w:val="0"/>
      <w:marTop w:val="0"/>
      <w:marBottom w:val="0"/>
      <w:divBdr>
        <w:top w:val="none" w:sz="0" w:space="0" w:color="auto"/>
        <w:left w:val="none" w:sz="0" w:space="0" w:color="auto"/>
        <w:bottom w:val="none" w:sz="0" w:space="0" w:color="auto"/>
        <w:right w:val="none" w:sz="0" w:space="0" w:color="auto"/>
      </w:divBdr>
    </w:div>
    <w:div w:id="806702128">
      <w:bodyDiv w:val="1"/>
      <w:marLeft w:val="0"/>
      <w:marRight w:val="0"/>
      <w:marTop w:val="0"/>
      <w:marBottom w:val="0"/>
      <w:divBdr>
        <w:top w:val="none" w:sz="0" w:space="0" w:color="auto"/>
        <w:left w:val="none" w:sz="0" w:space="0" w:color="auto"/>
        <w:bottom w:val="none" w:sz="0" w:space="0" w:color="auto"/>
        <w:right w:val="none" w:sz="0" w:space="0" w:color="auto"/>
      </w:divBdr>
      <w:divsChild>
        <w:div w:id="707947725">
          <w:marLeft w:val="0"/>
          <w:marRight w:val="0"/>
          <w:marTop w:val="0"/>
          <w:marBottom w:val="0"/>
          <w:divBdr>
            <w:top w:val="none" w:sz="0" w:space="0" w:color="auto"/>
            <w:left w:val="none" w:sz="0" w:space="0" w:color="auto"/>
            <w:bottom w:val="none" w:sz="0" w:space="0" w:color="auto"/>
            <w:right w:val="none" w:sz="0" w:space="0" w:color="auto"/>
          </w:divBdr>
        </w:div>
      </w:divsChild>
    </w:div>
    <w:div w:id="920874719">
      <w:bodyDiv w:val="1"/>
      <w:marLeft w:val="0"/>
      <w:marRight w:val="0"/>
      <w:marTop w:val="0"/>
      <w:marBottom w:val="0"/>
      <w:divBdr>
        <w:top w:val="none" w:sz="0" w:space="0" w:color="auto"/>
        <w:left w:val="none" w:sz="0" w:space="0" w:color="auto"/>
        <w:bottom w:val="none" w:sz="0" w:space="0" w:color="auto"/>
        <w:right w:val="none" w:sz="0" w:space="0" w:color="auto"/>
      </w:divBdr>
    </w:div>
    <w:div w:id="940407655">
      <w:bodyDiv w:val="1"/>
      <w:marLeft w:val="0"/>
      <w:marRight w:val="0"/>
      <w:marTop w:val="0"/>
      <w:marBottom w:val="0"/>
      <w:divBdr>
        <w:top w:val="none" w:sz="0" w:space="0" w:color="auto"/>
        <w:left w:val="none" w:sz="0" w:space="0" w:color="auto"/>
        <w:bottom w:val="none" w:sz="0" w:space="0" w:color="auto"/>
        <w:right w:val="none" w:sz="0" w:space="0" w:color="auto"/>
      </w:divBdr>
    </w:div>
    <w:div w:id="948269746">
      <w:bodyDiv w:val="1"/>
      <w:marLeft w:val="0"/>
      <w:marRight w:val="0"/>
      <w:marTop w:val="0"/>
      <w:marBottom w:val="0"/>
      <w:divBdr>
        <w:top w:val="none" w:sz="0" w:space="0" w:color="auto"/>
        <w:left w:val="none" w:sz="0" w:space="0" w:color="auto"/>
        <w:bottom w:val="none" w:sz="0" w:space="0" w:color="auto"/>
        <w:right w:val="none" w:sz="0" w:space="0" w:color="auto"/>
      </w:divBdr>
      <w:divsChild>
        <w:div w:id="932250439">
          <w:marLeft w:val="0"/>
          <w:marRight w:val="0"/>
          <w:marTop w:val="0"/>
          <w:marBottom w:val="0"/>
          <w:divBdr>
            <w:top w:val="none" w:sz="0" w:space="0" w:color="auto"/>
            <w:left w:val="none" w:sz="0" w:space="0" w:color="auto"/>
            <w:bottom w:val="none" w:sz="0" w:space="0" w:color="auto"/>
            <w:right w:val="none" w:sz="0" w:space="0" w:color="auto"/>
          </w:divBdr>
          <w:divsChild>
            <w:div w:id="1277712775">
              <w:marLeft w:val="0"/>
              <w:marRight w:val="0"/>
              <w:marTop w:val="0"/>
              <w:marBottom w:val="0"/>
              <w:divBdr>
                <w:top w:val="none" w:sz="0" w:space="0" w:color="auto"/>
                <w:left w:val="none" w:sz="0" w:space="0" w:color="auto"/>
                <w:bottom w:val="none" w:sz="0" w:space="0" w:color="auto"/>
                <w:right w:val="none" w:sz="0" w:space="0" w:color="auto"/>
              </w:divBdr>
              <w:divsChild>
                <w:div w:id="135391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775270">
      <w:bodyDiv w:val="1"/>
      <w:marLeft w:val="0"/>
      <w:marRight w:val="0"/>
      <w:marTop w:val="0"/>
      <w:marBottom w:val="0"/>
      <w:divBdr>
        <w:top w:val="none" w:sz="0" w:space="0" w:color="auto"/>
        <w:left w:val="none" w:sz="0" w:space="0" w:color="auto"/>
        <w:bottom w:val="none" w:sz="0" w:space="0" w:color="auto"/>
        <w:right w:val="none" w:sz="0" w:space="0" w:color="auto"/>
      </w:divBdr>
    </w:div>
    <w:div w:id="973832131">
      <w:bodyDiv w:val="1"/>
      <w:marLeft w:val="0"/>
      <w:marRight w:val="0"/>
      <w:marTop w:val="0"/>
      <w:marBottom w:val="0"/>
      <w:divBdr>
        <w:top w:val="none" w:sz="0" w:space="0" w:color="auto"/>
        <w:left w:val="none" w:sz="0" w:space="0" w:color="auto"/>
        <w:bottom w:val="none" w:sz="0" w:space="0" w:color="auto"/>
        <w:right w:val="none" w:sz="0" w:space="0" w:color="auto"/>
      </w:divBdr>
    </w:div>
    <w:div w:id="976564418">
      <w:bodyDiv w:val="1"/>
      <w:marLeft w:val="0"/>
      <w:marRight w:val="0"/>
      <w:marTop w:val="0"/>
      <w:marBottom w:val="0"/>
      <w:divBdr>
        <w:top w:val="none" w:sz="0" w:space="0" w:color="auto"/>
        <w:left w:val="none" w:sz="0" w:space="0" w:color="auto"/>
        <w:bottom w:val="none" w:sz="0" w:space="0" w:color="auto"/>
        <w:right w:val="none" w:sz="0" w:space="0" w:color="auto"/>
      </w:divBdr>
    </w:div>
    <w:div w:id="1073116422">
      <w:bodyDiv w:val="1"/>
      <w:marLeft w:val="0"/>
      <w:marRight w:val="0"/>
      <w:marTop w:val="0"/>
      <w:marBottom w:val="0"/>
      <w:divBdr>
        <w:top w:val="none" w:sz="0" w:space="0" w:color="auto"/>
        <w:left w:val="none" w:sz="0" w:space="0" w:color="auto"/>
        <w:bottom w:val="none" w:sz="0" w:space="0" w:color="auto"/>
        <w:right w:val="none" w:sz="0" w:space="0" w:color="auto"/>
      </w:divBdr>
    </w:div>
    <w:div w:id="1082144825">
      <w:bodyDiv w:val="1"/>
      <w:marLeft w:val="0"/>
      <w:marRight w:val="0"/>
      <w:marTop w:val="0"/>
      <w:marBottom w:val="0"/>
      <w:divBdr>
        <w:top w:val="none" w:sz="0" w:space="0" w:color="auto"/>
        <w:left w:val="none" w:sz="0" w:space="0" w:color="auto"/>
        <w:bottom w:val="none" w:sz="0" w:space="0" w:color="auto"/>
        <w:right w:val="none" w:sz="0" w:space="0" w:color="auto"/>
      </w:divBdr>
      <w:divsChild>
        <w:div w:id="899513478">
          <w:marLeft w:val="0"/>
          <w:marRight w:val="0"/>
          <w:marTop w:val="0"/>
          <w:marBottom w:val="0"/>
          <w:divBdr>
            <w:top w:val="none" w:sz="0" w:space="0" w:color="auto"/>
            <w:left w:val="none" w:sz="0" w:space="0" w:color="auto"/>
            <w:bottom w:val="none" w:sz="0" w:space="0" w:color="auto"/>
            <w:right w:val="none" w:sz="0" w:space="0" w:color="auto"/>
          </w:divBdr>
        </w:div>
      </w:divsChild>
    </w:div>
    <w:div w:id="1090008475">
      <w:bodyDiv w:val="1"/>
      <w:marLeft w:val="0"/>
      <w:marRight w:val="0"/>
      <w:marTop w:val="0"/>
      <w:marBottom w:val="0"/>
      <w:divBdr>
        <w:top w:val="none" w:sz="0" w:space="0" w:color="auto"/>
        <w:left w:val="none" w:sz="0" w:space="0" w:color="auto"/>
        <w:bottom w:val="none" w:sz="0" w:space="0" w:color="auto"/>
        <w:right w:val="none" w:sz="0" w:space="0" w:color="auto"/>
      </w:divBdr>
      <w:divsChild>
        <w:div w:id="946279077">
          <w:marLeft w:val="0"/>
          <w:marRight w:val="0"/>
          <w:marTop w:val="0"/>
          <w:marBottom w:val="0"/>
          <w:divBdr>
            <w:top w:val="none" w:sz="0" w:space="0" w:color="auto"/>
            <w:left w:val="none" w:sz="0" w:space="0" w:color="auto"/>
            <w:bottom w:val="none" w:sz="0" w:space="0" w:color="auto"/>
            <w:right w:val="none" w:sz="0" w:space="0" w:color="auto"/>
          </w:divBdr>
          <w:divsChild>
            <w:div w:id="1986620849">
              <w:marLeft w:val="0"/>
              <w:marRight w:val="0"/>
              <w:marTop w:val="0"/>
              <w:marBottom w:val="0"/>
              <w:divBdr>
                <w:top w:val="none" w:sz="0" w:space="0" w:color="auto"/>
                <w:left w:val="none" w:sz="0" w:space="0" w:color="auto"/>
                <w:bottom w:val="none" w:sz="0" w:space="0" w:color="auto"/>
                <w:right w:val="none" w:sz="0" w:space="0" w:color="auto"/>
              </w:divBdr>
              <w:divsChild>
                <w:div w:id="203943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7134">
      <w:bodyDiv w:val="1"/>
      <w:marLeft w:val="0"/>
      <w:marRight w:val="0"/>
      <w:marTop w:val="0"/>
      <w:marBottom w:val="0"/>
      <w:divBdr>
        <w:top w:val="none" w:sz="0" w:space="0" w:color="auto"/>
        <w:left w:val="none" w:sz="0" w:space="0" w:color="auto"/>
        <w:bottom w:val="none" w:sz="0" w:space="0" w:color="auto"/>
        <w:right w:val="none" w:sz="0" w:space="0" w:color="auto"/>
      </w:divBdr>
    </w:div>
    <w:div w:id="1126580581">
      <w:bodyDiv w:val="1"/>
      <w:marLeft w:val="0"/>
      <w:marRight w:val="0"/>
      <w:marTop w:val="0"/>
      <w:marBottom w:val="0"/>
      <w:divBdr>
        <w:top w:val="none" w:sz="0" w:space="0" w:color="auto"/>
        <w:left w:val="none" w:sz="0" w:space="0" w:color="auto"/>
        <w:bottom w:val="none" w:sz="0" w:space="0" w:color="auto"/>
        <w:right w:val="none" w:sz="0" w:space="0" w:color="auto"/>
      </w:divBdr>
      <w:divsChild>
        <w:div w:id="769547622">
          <w:marLeft w:val="0"/>
          <w:marRight w:val="0"/>
          <w:marTop w:val="0"/>
          <w:marBottom w:val="0"/>
          <w:divBdr>
            <w:top w:val="none" w:sz="0" w:space="0" w:color="auto"/>
            <w:left w:val="none" w:sz="0" w:space="0" w:color="auto"/>
            <w:bottom w:val="none" w:sz="0" w:space="0" w:color="auto"/>
            <w:right w:val="none" w:sz="0" w:space="0" w:color="auto"/>
          </w:divBdr>
        </w:div>
      </w:divsChild>
    </w:div>
    <w:div w:id="1165703126">
      <w:bodyDiv w:val="1"/>
      <w:marLeft w:val="120"/>
      <w:marRight w:val="120"/>
      <w:marTop w:val="0"/>
      <w:marBottom w:val="0"/>
      <w:divBdr>
        <w:top w:val="none" w:sz="0" w:space="0" w:color="auto"/>
        <w:left w:val="none" w:sz="0" w:space="0" w:color="auto"/>
        <w:bottom w:val="none" w:sz="0" w:space="0" w:color="auto"/>
        <w:right w:val="none" w:sz="0" w:space="0" w:color="auto"/>
      </w:divBdr>
      <w:divsChild>
        <w:div w:id="732043464">
          <w:marLeft w:val="0"/>
          <w:marRight w:val="0"/>
          <w:marTop w:val="0"/>
          <w:marBottom w:val="0"/>
          <w:divBdr>
            <w:top w:val="none" w:sz="0" w:space="0" w:color="auto"/>
            <w:left w:val="none" w:sz="0" w:space="0" w:color="auto"/>
            <w:bottom w:val="none" w:sz="0" w:space="0" w:color="auto"/>
            <w:right w:val="none" w:sz="0" w:space="0" w:color="auto"/>
          </w:divBdr>
          <w:divsChild>
            <w:div w:id="104105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23428">
      <w:bodyDiv w:val="1"/>
      <w:marLeft w:val="0"/>
      <w:marRight w:val="0"/>
      <w:marTop w:val="0"/>
      <w:marBottom w:val="0"/>
      <w:divBdr>
        <w:top w:val="none" w:sz="0" w:space="0" w:color="auto"/>
        <w:left w:val="none" w:sz="0" w:space="0" w:color="auto"/>
        <w:bottom w:val="none" w:sz="0" w:space="0" w:color="auto"/>
        <w:right w:val="none" w:sz="0" w:space="0" w:color="auto"/>
      </w:divBdr>
    </w:div>
    <w:div w:id="1173951706">
      <w:bodyDiv w:val="1"/>
      <w:marLeft w:val="0"/>
      <w:marRight w:val="0"/>
      <w:marTop w:val="0"/>
      <w:marBottom w:val="0"/>
      <w:divBdr>
        <w:top w:val="none" w:sz="0" w:space="0" w:color="auto"/>
        <w:left w:val="none" w:sz="0" w:space="0" w:color="auto"/>
        <w:bottom w:val="none" w:sz="0" w:space="0" w:color="auto"/>
        <w:right w:val="none" w:sz="0" w:space="0" w:color="auto"/>
      </w:divBdr>
    </w:div>
    <w:div w:id="1202398670">
      <w:bodyDiv w:val="1"/>
      <w:marLeft w:val="0"/>
      <w:marRight w:val="0"/>
      <w:marTop w:val="0"/>
      <w:marBottom w:val="0"/>
      <w:divBdr>
        <w:top w:val="none" w:sz="0" w:space="0" w:color="auto"/>
        <w:left w:val="none" w:sz="0" w:space="0" w:color="auto"/>
        <w:bottom w:val="none" w:sz="0" w:space="0" w:color="auto"/>
        <w:right w:val="none" w:sz="0" w:space="0" w:color="auto"/>
      </w:divBdr>
    </w:div>
    <w:div w:id="1216355315">
      <w:bodyDiv w:val="1"/>
      <w:marLeft w:val="0"/>
      <w:marRight w:val="0"/>
      <w:marTop w:val="0"/>
      <w:marBottom w:val="0"/>
      <w:divBdr>
        <w:top w:val="none" w:sz="0" w:space="0" w:color="auto"/>
        <w:left w:val="none" w:sz="0" w:space="0" w:color="auto"/>
        <w:bottom w:val="none" w:sz="0" w:space="0" w:color="auto"/>
        <w:right w:val="none" w:sz="0" w:space="0" w:color="auto"/>
      </w:divBdr>
    </w:div>
    <w:div w:id="1254171964">
      <w:bodyDiv w:val="1"/>
      <w:marLeft w:val="0"/>
      <w:marRight w:val="0"/>
      <w:marTop w:val="0"/>
      <w:marBottom w:val="0"/>
      <w:divBdr>
        <w:top w:val="none" w:sz="0" w:space="0" w:color="auto"/>
        <w:left w:val="none" w:sz="0" w:space="0" w:color="auto"/>
        <w:bottom w:val="none" w:sz="0" w:space="0" w:color="auto"/>
        <w:right w:val="none" w:sz="0" w:space="0" w:color="auto"/>
      </w:divBdr>
      <w:divsChild>
        <w:div w:id="1701130602">
          <w:marLeft w:val="0"/>
          <w:marRight w:val="0"/>
          <w:marTop w:val="0"/>
          <w:marBottom w:val="0"/>
          <w:divBdr>
            <w:top w:val="none" w:sz="0" w:space="0" w:color="auto"/>
            <w:left w:val="none" w:sz="0" w:space="0" w:color="auto"/>
            <w:bottom w:val="none" w:sz="0" w:space="0" w:color="auto"/>
            <w:right w:val="none" w:sz="0" w:space="0" w:color="auto"/>
          </w:divBdr>
        </w:div>
      </w:divsChild>
    </w:div>
    <w:div w:id="1282490210">
      <w:bodyDiv w:val="1"/>
      <w:marLeft w:val="0"/>
      <w:marRight w:val="0"/>
      <w:marTop w:val="0"/>
      <w:marBottom w:val="0"/>
      <w:divBdr>
        <w:top w:val="none" w:sz="0" w:space="0" w:color="auto"/>
        <w:left w:val="none" w:sz="0" w:space="0" w:color="auto"/>
        <w:bottom w:val="none" w:sz="0" w:space="0" w:color="auto"/>
        <w:right w:val="none" w:sz="0" w:space="0" w:color="auto"/>
      </w:divBdr>
    </w:div>
    <w:div w:id="1287736395">
      <w:bodyDiv w:val="1"/>
      <w:marLeft w:val="0"/>
      <w:marRight w:val="0"/>
      <w:marTop w:val="0"/>
      <w:marBottom w:val="0"/>
      <w:divBdr>
        <w:top w:val="none" w:sz="0" w:space="0" w:color="auto"/>
        <w:left w:val="none" w:sz="0" w:space="0" w:color="auto"/>
        <w:bottom w:val="none" w:sz="0" w:space="0" w:color="auto"/>
        <w:right w:val="none" w:sz="0" w:space="0" w:color="auto"/>
      </w:divBdr>
    </w:div>
    <w:div w:id="1326013501">
      <w:bodyDiv w:val="1"/>
      <w:marLeft w:val="120"/>
      <w:marRight w:val="120"/>
      <w:marTop w:val="0"/>
      <w:marBottom w:val="0"/>
      <w:divBdr>
        <w:top w:val="none" w:sz="0" w:space="0" w:color="auto"/>
        <w:left w:val="none" w:sz="0" w:space="0" w:color="auto"/>
        <w:bottom w:val="none" w:sz="0" w:space="0" w:color="auto"/>
        <w:right w:val="none" w:sz="0" w:space="0" w:color="auto"/>
      </w:divBdr>
      <w:divsChild>
        <w:div w:id="782383330">
          <w:marLeft w:val="0"/>
          <w:marRight w:val="0"/>
          <w:marTop w:val="0"/>
          <w:marBottom w:val="0"/>
          <w:divBdr>
            <w:top w:val="none" w:sz="0" w:space="0" w:color="auto"/>
            <w:left w:val="none" w:sz="0" w:space="0" w:color="auto"/>
            <w:bottom w:val="none" w:sz="0" w:space="0" w:color="auto"/>
            <w:right w:val="none" w:sz="0" w:space="0" w:color="auto"/>
          </w:divBdr>
          <w:divsChild>
            <w:div w:id="158761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6259">
      <w:bodyDiv w:val="1"/>
      <w:marLeft w:val="120"/>
      <w:marRight w:val="120"/>
      <w:marTop w:val="0"/>
      <w:marBottom w:val="0"/>
      <w:divBdr>
        <w:top w:val="none" w:sz="0" w:space="0" w:color="auto"/>
        <w:left w:val="none" w:sz="0" w:space="0" w:color="auto"/>
        <w:bottom w:val="none" w:sz="0" w:space="0" w:color="auto"/>
        <w:right w:val="none" w:sz="0" w:space="0" w:color="auto"/>
      </w:divBdr>
      <w:divsChild>
        <w:div w:id="1561744148">
          <w:marLeft w:val="0"/>
          <w:marRight w:val="0"/>
          <w:marTop w:val="0"/>
          <w:marBottom w:val="0"/>
          <w:divBdr>
            <w:top w:val="none" w:sz="0" w:space="0" w:color="auto"/>
            <w:left w:val="none" w:sz="0" w:space="0" w:color="auto"/>
            <w:bottom w:val="none" w:sz="0" w:space="0" w:color="auto"/>
            <w:right w:val="none" w:sz="0" w:space="0" w:color="auto"/>
          </w:divBdr>
          <w:divsChild>
            <w:div w:id="66702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61790">
      <w:bodyDiv w:val="1"/>
      <w:marLeft w:val="0"/>
      <w:marRight w:val="0"/>
      <w:marTop w:val="0"/>
      <w:marBottom w:val="0"/>
      <w:divBdr>
        <w:top w:val="none" w:sz="0" w:space="0" w:color="auto"/>
        <w:left w:val="none" w:sz="0" w:space="0" w:color="auto"/>
        <w:bottom w:val="none" w:sz="0" w:space="0" w:color="auto"/>
        <w:right w:val="none" w:sz="0" w:space="0" w:color="auto"/>
      </w:divBdr>
      <w:divsChild>
        <w:div w:id="359476676">
          <w:marLeft w:val="0"/>
          <w:marRight w:val="0"/>
          <w:marTop w:val="0"/>
          <w:marBottom w:val="0"/>
          <w:divBdr>
            <w:top w:val="none" w:sz="0" w:space="0" w:color="auto"/>
            <w:left w:val="none" w:sz="0" w:space="0" w:color="auto"/>
            <w:bottom w:val="none" w:sz="0" w:space="0" w:color="auto"/>
            <w:right w:val="none" w:sz="0" w:space="0" w:color="auto"/>
          </w:divBdr>
        </w:div>
      </w:divsChild>
    </w:div>
    <w:div w:id="1389186636">
      <w:bodyDiv w:val="1"/>
      <w:marLeft w:val="0"/>
      <w:marRight w:val="0"/>
      <w:marTop w:val="0"/>
      <w:marBottom w:val="0"/>
      <w:divBdr>
        <w:top w:val="none" w:sz="0" w:space="0" w:color="auto"/>
        <w:left w:val="none" w:sz="0" w:space="0" w:color="auto"/>
        <w:bottom w:val="none" w:sz="0" w:space="0" w:color="auto"/>
        <w:right w:val="none" w:sz="0" w:space="0" w:color="auto"/>
      </w:divBdr>
    </w:div>
    <w:div w:id="1411731728">
      <w:bodyDiv w:val="1"/>
      <w:marLeft w:val="0"/>
      <w:marRight w:val="0"/>
      <w:marTop w:val="0"/>
      <w:marBottom w:val="0"/>
      <w:divBdr>
        <w:top w:val="none" w:sz="0" w:space="0" w:color="auto"/>
        <w:left w:val="none" w:sz="0" w:space="0" w:color="auto"/>
        <w:bottom w:val="none" w:sz="0" w:space="0" w:color="auto"/>
        <w:right w:val="none" w:sz="0" w:space="0" w:color="auto"/>
      </w:divBdr>
    </w:div>
    <w:div w:id="1436367061">
      <w:bodyDiv w:val="1"/>
      <w:marLeft w:val="0"/>
      <w:marRight w:val="0"/>
      <w:marTop w:val="0"/>
      <w:marBottom w:val="0"/>
      <w:divBdr>
        <w:top w:val="none" w:sz="0" w:space="0" w:color="auto"/>
        <w:left w:val="none" w:sz="0" w:space="0" w:color="auto"/>
        <w:bottom w:val="none" w:sz="0" w:space="0" w:color="auto"/>
        <w:right w:val="none" w:sz="0" w:space="0" w:color="auto"/>
      </w:divBdr>
    </w:div>
    <w:div w:id="1500149457">
      <w:bodyDiv w:val="1"/>
      <w:marLeft w:val="0"/>
      <w:marRight w:val="0"/>
      <w:marTop w:val="0"/>
      <w:marBottom w:val="0"/>
      <w:divBdr>
        <w:top w:val="none" w:sz="0" w:space="0" w:color="auto"/>
        <w:left w:val="none" w:sz="0" w:space="0" w:color="auto"/>
        <w:bottom w:val="none" w:sz="0" w:space="0" w:color="auto"/>
        <w:right w:val="none" w:sz="0" w:space="0" w:color="auto"/>
      </w:divBdr>
    </w:div>
    <w:div w:id="1507017659">
      <w:bodyDiv w:val="1"/>
      <w:marLeft w:val="0"/>
      <w:marRight w:val="0"/>
      <w:marTop w:val="0"/>
      <w:marBottom w:val="0"/>
      <w:divBdr>
        <w:top w:val="none" w:sz="0" w:space="0" w:color="auto"/>
        <w:left w:val="none" w:sz="0" w:space="0" w:color="auto"/>
        <w:bottom w:val="none" w:sz="0" w:space="0" w:color="auto"/>
        <w:right w:val="none" w:sz="0" w:space="0" w:color="auto"/>
      </w:divBdr>
      <w:divsChild>
        <w:div w:id="1046223869">
          <w:marLeft w:val="0"/>
          <w:marRight w:val="0"/>
          <w:marTop w:val="0"/>
          <w:marBottom w:val="0"/>
          <w:divBdr>
            <w:top w:val="none" w:sz="0" w:space="0" w:color="auto"/>
            <w:left w:val="none" w:sz="0" w:space="0" w:color="auto"/>
            <w:bottom w:val="none" w:sz="0" w:space="0" w:color="auto"/>
            <w:right w:val="none" w:sz="0" w:space="0" w:color="auto"/>
          </w:divBdr>
        </w:div>
      </w:divsChild>
    </w:div>
    <w:div w:id="1526406103">
      <w:bodyDiv w:val="1"/>
      <w:marLeft w:val="120"/>
      <w:marRight w:val="120"/>
      <w:marTop w:val="0"/>
      <w:marBottom w:val="0"/>
      <w:divBdr>
        <w:top w:val="none" w:sz="0" w:space="0" w:color="auto"/>
        <w:left w:val="none" w:sz="0" w:space="0" w:color="auto"/>
        <w:bottom w:val="none" w:sz="0" w:space="0" w:color="auto"/>
        <w:right w:val="none" w:sz="0" w:space="0" w:color="auto"/>
      </w:divBdr>
      <w:divsChild>
        <w:div w:id="984552672">
          <w:marLeft w:val="0"/>
          <w:marRight w:val="0"/>
          <w:marTop w:val="0"/>
          <w:marBottom w:val="0"/>
          <w:divBdr>
            <w:top w:val="none" w:sz="0" w:space="0" w:color="auto"/>
            <w:left w:val="none" w:sz="0" w:space="0" w:color="auto"/>
            <w:bottom w:val="none" w:sz="0" w:space="0" w:color="auto"/>
            <w:right w:val="none" w:sz="0" w:space="0" w:color="auto"/>
          </w:divBdr>
          <w:divsChild>
            <w:div w:id="173781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064009">
      <w:bodyDiv w:val="1"/>
      <w:marLeft w:val="120"/>
      <w:marRight w:val="120"/>
      <w:marTop w:val="0"/>
      <w:marBottom w:val="0"/>
      <w:divBdr>
        <w:top w:val="none" w:sz="0" w:space="0" w:color="auto"/>
        <w:left w:val="none" w:sz="0" w:space="0" w:color="auto"/>
        <w:bottom w:val="none" w:sz="0" w:space="0" w:color="auto"/>
        <w:right w:val="none" w:sz="0" w:space="0" w:color="auto"/>
      </w:divBdr>
      <w:divsChild>
        <w:div w:id="1930575849">
          <w:marLeft w:val="0"/>
          <w:marRight w:val="0"/>
          <w:marTop w:val="0"/>
          <w:marBottom w:val="0"/>
          <w:divBdr>
            <w:top w:val="none" w:sz="0" w:space="0" w:color="auto"/>
            <w:left w:val="none" w:sz="0" w:space="0" w:color="auto"/>
            <w:bottom w:val="none" w:sz="0" w:space="0" w:color="auto"/>
            <w:right w:val="none" w:sz="0" w:space="0" w:color="auto"/>
          </w:divBdr>
          <w:divsChild>
            <w:div w:id="151345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06975">
      <w:bodyDiv w:val="1"/>
      <w:marLeft w:val="0"/>
      <w:marRight w:val="0"/>
      <w:marTop w:val="0"/>
      <w:marBottom w:val="0"/>
      <w:divBdr>
        <w:top w:val="none" w:sz="0" w:space="0" w:color="auto"/>
        <w:left w:val="none" w:sz="0" w:space="0" w:color="auto"/>
        <w:bottom w:val="none" w:sz="0" w:space="0" w:color="auto"/>
        <w:right w:val="none" w:sz="0" w:space="0" w:color="auto"/>
      </w:divBdr>
      <w:divsChild>
        <w:div w:id="727456799">
          <w:marLeft w:val="0"/>
          <w:marRight w:val="0"/>
          <w:marTop w:val="0"/>
          <w:marBottom w:val="0"/>
          <w:divBdr>
            <w:top w:val="none" w:sz="0" w:space="0" w:color="auto"/>
            <w:left w:val="none" w:sz="0" w:space="0" w:color="auto"/>
            <w:bottom w:val="none" w:sz="0" w:space="0" w:color="auto"/>
            <w:right w:val="none" w:sz="0" w:space="0" w:color="auto"/>
          </w:divBdr>
        </w:div>
      </w:divsChild>
    </w:div>
    <w:div w:id="1561211657">
      <w:bodyDiv w:val="1"/>
      <w:marLeft w:val="0"/>
      <w:marRight w:val="0"/>
      <w:marTop w:val="0"/>
      <w:marBottom w:val="0"/>
      <w:divBdr>
        <w:top w:val="none" w:sz="0" w:space="0" w:color="auto"/>
        <w:left w:val="none" w:sz="0" w:space="0" w:color="auto"/>
        <w:bottom w:val="none" w:sz="0" w:space="0" w:color="auto"/>
        <w:right w:val="none" w:sz="0" w:space="0" w:color="auto"/>
      </w:divBdr>
    </w:div>
    <w:div w:id="1599825689">
      <w:bodyDiv w:val="1"/>
      <w:marLeft w:val="0"/>
      <w:marRight w:val="0"/>
      <w:marTop w:val="0"/>
      <w:marBottom w:val="0"/>
      <w:divBdr>
        <w:top w:val="none" w:sz="0" w:space="0" w:color="auto"/>
        <w:left w:val="none" w:sz="0" w:space="0" w:color="auto"/>
        <w:bottom w:val="none" w:sz="0" w:space="0" w:color="auto"/>
        <w:right w:val="none" w:sz="0" w:space="0" w:color="auto"/>
      </w:divBdr>
      <w:divsChild>
        <w:div w:id="1835533348">
          <w:marLeft w:val="0"/>
          <w:marRight w:val="0"/>
          <w:marTop w:val="0"/>
          <w:marBottom w:val="0"/>
          <w:divBdr>
            <w:top w:val="none" w:sz="0" w:space="0" w:color="auto"/>
            <w:left w:val="none" w:sz="0" w:space="0" w:color="auto"/>
            <w:bottom w:val="none" w:sz="0" w:space="0" w:color="auto"/>
            <w:right w:val="none" w:sz="0" w:space="0" w:color="auto"/>
          </w:divBdr>
        </w:div>
      </w:divsChild>
    </w:div>
    <w:div w:id="1600023218">
      <w:bodyDiv w:val="1"/>
      <w:marLeft w:val="120"/>
      <w:marRight w:val="120"/>
      <w:marTop w:val="0"/>
      <w:marBottom w:val="0"/>
      <w:divBdr>
        <w:top w:val="none" w:sz="0" w:space="0" w:color="auto"/>
        <w:left w:val="none" w:sz="0" w:space="0" w:color="auto"/>
        <w:bottom w:val="none" w:sz="0" w:space="0" w:color="auto"/>
        <w:right w:val="none" w:sz="0" w:space="0" w:color="auto"/>
      </w:divBdr>
      <w:divsChild>
        <w:div w:id="1221213344">
          <w:marLeft w:val="0"/>
          <w:marRight w:val="0"/>
          <w:marTop w:val="0"/>
          <w:marBottom w:val="0"/>
          <w:divBdr>
            <w:top w:val="none" w:sz="0" w:space="0" w:color="auto"/>
            <w:left w:val="none" w:sz="0" w:space="0" w:color="auto"/>
            <w:bottom w:val="none" w:sz="0" w:space="0" w:color="auto"/>
            <w:right w:val="none" w:sz="0" w:space="0" w:color="auto"/>
          </w:divBdr>
          <w:divsChild>
            <w:div w:id="17658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75304">
      <w:bodyDiv w:val="1"/>
      <w:marLeft w:val="0"/>
      <w:marRight w:val="0"/>
      <w:marTop w:val="0"/>
      <w:marBottom w:val="0"/>
      <w:divBdr>
        <w:top w:val="none" w:sz="0" w:space="0" w:color="auto"/>
        <w:left w:val="none" w:sz="0" w:space="0" w:color="auto"/>
        <w:bottom w:val="none" w:sz="0" w:space="0" w:color="auto"/>
        <w:right w:val="none" w:sz="0" w:space="0" w:color="auto"/>
      </w:divBdr>
    </w:div>
    <w:div w:id="1612666712">
      <w:bodyDiv w:val="1"/>
      <w:marLeft w:val="0"/>
      <w:marRight w:val="0"/>
      <w:marTop w:val="0"/>
      <w:marBottom w:val="0"/>
      <w:divBdr>
        <w:top w:val="none" w:sz="0" w:space="0" w:color="auto"/>
        <w:left w:val="none" w:sz="0" w:space="0" w:color="auto"/>
        <w:bottom w:val="none" w:sz="0" w:space="0" w:color="auto"/>
        <w:right w:val="none" w:sz="0" w:space="0" w:color="auto"/>
      </w:divBdr>
    </w:div>
    <w:div w:id="1640384325">
      <w:bodyDiv w:val="1"/>
      <w:marLeft w:val="0"/>
      <w:marRight w:val="0"/>
      <w:marTop w:val="0"/>
      <w:marBottom w:val="0"/>
      <w:divBdr>
        <w:top w:val="none" w:sz="0" w:space="0" w:color="auto"/>
        <w:left w:val="none" w:sz="0" w:space="0" w:color="auto"/>
        <w:bottom w:val="none" w:sz="0" w:space="0" w:color="auto"/>
        <w:right w:val="none" w:sz="0" w:space="0" w:color="auto"/>
      </w:divBdr>
    </w:div>
    <w:div w:id="1709253212">
      <w:bodyDiv w:val="1"/>
      <w:marLeft w:val="0"/>
      <w:marRight w:val="0"/>
      <w:marTop w:val="0"/>
      <w:marBottom w:val="0"/>
      <w:divBdr>
        <w:top w:val="none" w:sz="0" w:space="0" w:color="auto"/>
        <w:left w:val="none" w:sz="0" w:space="0" w:color="auto"/>
        <w:bottom w:val="none" w:sz="0" w:space="0" w:color="auto"/>
        <w:right w:val="none" w:sz="0" w:space="0" w:color="auto"/>
      </w:divBdr>
      <w:divsChild>
        <w:div w:id="1594363464">
          <w:marLeft w:val="0"/>
          <w:marRight w:val="0"/>
          <w:marTop w:val="0"/>
          <w:marBottom w:val="0"/>
          <w:divBdr>
            <w:top w:val="none" w:sz="0" w:space="0" w:color="auto"/>
            <w:left w:val="none" w:sz="0" w:space="0" w:color="auto"/>
            <w:bottom w:val="none" w:sz="0" w:space="0" w:color="auto"/>
            <w:right w:val="none" w:sz="0" w:space="0" w:color="auto"/>
          </w:divBdr>
        </w:div>
      </w:divsChild>
    </w:div>
    <w:div w:id="1738935719">
      <w:bodyDiv w:val="1"/>
      <w:marLeft w:val="0"/>
      <w:marRight w:val="0"/>
      <w:marTop w:val="0"/>
      <w:marBottom w:val="0"/>
      <w:divBdr>
        <w:top w:val="none" w:sz="0" w:space="0" w:color="auto"/>
        <w:left w:val="none" w:sz="0" w:space="0" w:color="auto"/>
        <w:bottom w:val="none" w:sz="0" w:space="0" w:color="auto"/>
        <w:right w:val="none" w:sz="0" w:space="0" w:color="auto"/>
      </w:divBdr>
    </w:div>
    <w:div w:id="1743336402">
      <w:bodyDiv w:val="1"/>
      <w:marLeft w:val="0"/>
      <w:marRight w:val="0"/>
      <w:marTop w:val="0"/>
      <w:marBottom w:val="0"/>
      <w:divBdr>
        <w:top w:val="none" w:sz="0" w:space="0" w:color="auto"/>
        <w:left w:val="none" w:sz="0" w:space="0" w:color="auto"/>
        <w:bottom w:val="none" w:sz="0" w:space="0" w:color="auto"/>
        <w:right w:val="none" w:sz="0" w:space="0" w:color="auto"/>
      </w:divBdr>
    </w:div>
    <w:div w:id="1752194896">
      <w:bodyDiv w:val="1"/>
      <w:marLeft w:val="0"/>
      <w:marRight w:val="0"/>
      <w:marTop w:val="0"/>
      <w:marBottom w:val="0"/>
      <w:divBdr>
        <w:top w:val="none" w:sz="0" w:space="0" w:color="auto"/>
        <w:left w:val="none" w:sz="0" w:space="0" w:color="auto"/>
        <w:bottom w:val="none" w:sz="0" w:space="0" w:color="auto"/>
        <w:right w:val="none" w:sz="0" w:space="0" w:color="auto"/>
      </w:divBdr>
    </w:div>
    <w:div w:id="1771050366">
      <w:bodyDiv w:val="1"/>
      <w:marLeft w:val="0"/>
      <w:marRight w:val="0"/>
      <w:marTop w:val="0"/>
      <w:marBottom w:val="0"/>
      <w:divBdr>
        <w:top w:val="none" w:sz="0" w:space="0" w:color="auto"/>
        <w:left w:val="none" w:sz="0" w:space="0" w:color="auto"/>
        <w:bottom w:val="none" w:sz="0" w:space="0" w:color="auto"/>
        <w:right w:val="none" w:sz="0" w:space="0" w:color="auto"/>
      </w:divBdr>
    </w:div>
    <w:div w:id="1773237348">
      <w:bodyDiv w:val="1"/>
      <w:marLeft w:val="0"/>
      <w:marRight w:val="0"/>
      <w:marTop w:val="0"/>
      <w:marBottom w:val="0"/>
      <w:divBdr>
        <w:top w:val="none" w:sz="0" w:space="0" w:color="auto"/>
        <w:left w:val="none" w:sz="0" w:space="0" w:color="auto"/>
        <w:bottom w:val="none" w:sz="0" w:space="0" w:color="auto"/>
        <w:right w:val="none" w:sz="0" w:space="0" w:color="auto"/>
      </w:divBdr>
      <w:divsChild>
        <w:div w:id="1154368883">
          <w:marLeft w:val="0"/>
          <w:marRight w:val="0"/>
          <w:marTop w:val="0"/>
          <w:marBottom w:val="0"/>
          <w:divBdr>
            <w:top w:val="none" w:sz="0" w:space="0" w:color="auto"/>
            <w:left w:val="none" w:sz="0" w:space="0" w:color="auto"/>
            <w:bottom w:val="none" w:sz="0" w:space="0" w:color="auto"/>
            <w:right w:val="none" w:sz="0" w:space="0" w:color="auto"/>
          </w:divBdr>
          <w:divsChild>
            <w:div w:id="1940064919">
              <w:marLeft w:val="0"/>
              <w:marRight w:val="0"/>
              <w:marTop w:val="0"/>
              <w:marBottom w:val="0"/>
              <w:divBdr>
                <w:top w:val="none" w:sz="0" w:space="0" w:color="auto"/>
                <w:left w:val="none" w:sz="0" w:space="0" w:color="auto"/>
                <w:bottom w:val="none" w:sz="0" w:space="0" w:color="auto"/>
                <w:right w:val="none" w:sz="0" w:space="0" w:color="auto"/>
              </w:divBdr>
              <w:divsChild>
                <w:div w:id="10971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92565">
      <w:bodyDiv w:val="1"/>
      <w:marLeft w:val="0"/>
      <w:marRight w:val="0"/>
      <w:marTop w:val="0"/>
      <w:marBottom w:val="0"/>
      <w:divBdr>
        <w:top w:val="none" w:sz="0" w:space="0" w:color="auto"/>
        <w:left w:val="none" w:sz="0" w:space="0" w:color="auto"/>
        <w:bottom w:val="none" w:sz="0" w:space="0" w:color="auto"/>
        <w:right w:val="none" w:sz="0" w:space="0" w:color="auto"/>
      </w:divBdr>
    </w:div>
    <w:div w:id="1790126684">
      <w:bodyDiv w:val="1"/>
      <w:marLeft w:val="120"/>
      <w:marRight w:val="120"/>
      <w:marTop w:val="0"/>
      <w:marBottom w:val="0"/>
      <w:divBdr>
        <w:top w:val="none" w:sz="0" w:space="0" w:color="auto"/>
        <w:left w:val="none" w:sz="0" w:space="0" w:color="auto"/>
        <w:bottom w:val="none" w:sz="0" w:space="0" w:color="auto"/>
        <w:right w:val="none" w:sz="0" w:space="0" w:color="auto"/>
      </w:divBdr>
      <w:divsChild>
        <w:div w:id="744299161">
          <w:marLeft w:val="0"/>
          <w:marRight w:val="0"/>
          <w:marTop w:val="0"/>
          <w:marBottom w:val="0"/>
          <w:divBdr>
            <w:top w:val="none" w:sz="0" w:space="0" w:color="auto"/>
            <w:left w:val="none" w:sz="0" w:space="0" w:color="auto"/>
            <w:bottom w:val="none" w:sz="0" w:space="0" w:color="auto"/>
            <w:right w:val="none" w:sz="0" w:space="0" w:color="auto"/>
          </w:divBdr>
          <w:divsChild>
            <w:div w:id="2956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53310">
      <w:bodyDiv w:val="1"/>
      <w:marLeft w:val="0"/>
      <w:marRight w:val="0"/>
      <w:marTop w:val="0"/>
      <w:marBottom w:val="0"/>
      <w:divBdr>
        <w:top w:val="none" w:sz="0" w:space="0" w:color="auto"/>
        <w:left w:val="none" w:sz="0" w:space="0" w:color="auto"/>
        <w:bottom w:val="none" w:sz="0" w:space="0" w:color="auto"/>
        <w:right w:val="none" w:sz="0" w:space="0" w:color="auto"/>
      </w:divBdr>
      <w:divsChild>
        <w:div w:id="708338861">
          <w:marLeft w:val="0"/>
          <w:marRight w:val="0"/>
          <w:marTop w:val="0"/>
          <w:marBottom w:val="0"/>
          <w:divBdr>
            <w:top w:val="none" w:sz="0" w:space="0" w:color="auto"/>
            <w:left w:val="none" w:sz="0" w:space="0" w:color="auto"/>
            <w:bottom w:val="none" w:sz="0" w:space="0" w:color="auto"/>
            <w:right w:val="none" w:sz="0" w:space="0" w:color="auto"/>
          </w:divBdr>
        </w:div>
      </w:divsChild>
    </w:div>
    <w:div w:id="1819687434">
      <w:bodyDiv w:val="1"/>
      <w:marLeft w:val="0"/>
      <w:marRight w:val="0"/>
      <w:marTop w:val="0"/>
      <w:marBottom w:val="0"/>
      <w:divBdr>
        <w:top w:val="none" w:sz="0" w:space="0" w:color="auto"/>
        <w:left w:val="none" w:sz="0" w:space="0" w:color="auto"/>
        <w:bottom w:val="none" w:sz="0" w:space="0" w:color="auto"/>
        <w:right w:val="none" w:sz="0" w:space="0" w:color="auto"/>
      </w:divBdr>
    </w:div>
    <w:div w:id="1874075180">
      <w:bodyDiv w:val="1"/>
      <w:marLeft w:val="120"/>
      <w:marRight w:val="120"/>
      <w:marTop w:val="0"/>
      <w:marBottom w:val="0"/>
      <w:divBdr>
        <w:top w:val="none" w:sz="0" w:space="0" w:color="auto"/>
        <w:left w:val="none" w:sz="0" w:space="0" w:color="auto"/>
        <w:bottom w:val="none" w:sz="0" w:space="0" w:color="auto"/>
        <w:right w:val="none" w:sz="0" w:space="0" w:color="auto"/>
      </w:divBdr>
      <w:divsChild>
        <w:div w:id="1923905330">
          <w:marLeft w:val="0"/>
          <w:marRight w:val="0"/>
          <w:marTop w:val="0"/>
          <w:marBottom w:val="0"/>
          <w:divBdr>
            <w:top w:val="none" w:sz="0" w:space="0" w:color="auto"/>
            <w:left w:val="none" w:sz="0" w:space="0" w:color="auto"/>
            <w:bottom w:val="none" w:sz="0" w:space="0" w:color="auto"/>
            <w:right w:val="none" w:sz="0" w:space="0" w:color="auto"/>
          </w:divBdr>
          <w:divsChild>
            <w:div w:id="110272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29799">
      <w:bodyDiv w:val="1"/>
      <w:marLeft w:val="0"/>
      <w:marRight w:val="0"/>
      <w:marTop w:val="0"/>
      <w:marBottom w:val="0"/>
      <w:divBdr>
        <w:top w:val="none" w:sz="0" w:space="0" w:color="auto"/>
        <w:left w:val="none" w:sz="0" w:space="0" w:color="auto"/>
        <w:bottom w:val="none" w:sz="0" w:space="0" w:color="auto"/>
        <w:right w:val="none" w:sz="0" w:space="0" w:color="auto"/>
      </w:divBdr>
    </w:div>
    <w:div w:id="1909538455">
      <w:bodyDiv w:val="1"/>
      <w:marLeft w:val="0"/>
      <w:marRight w:val="0"/>
      <w:marTop w:val="0"/>
      <w:marBottom w:val="0"/>
      <w:divBdr>
        <w:top w:val="none" w:sz="0" w:space="0" w:color="auto"/>
        <w:left w:val="none" w:sz="0" w:space="0" w:color="auto"/>
        <w:bottom w:val="none" w:sz="0" w:space="0" w:color="auto"/>
        <w:right w:val="none" w:sz="0" w:space="0" w:color="auto"/>
      </w:divBdr>
      <w:divsChild>
        <w:div w:id="1856842204">
          <w:marLeft w:val="0"/>
          <w:marRight w:val="0"/>
          <w:marTop w:val="0"/>
          <w:marBottom w:val="0"/>
          <w:divBdr>
            <w:top w:val="none" w:sz="0" w:space="0" w:color="auto"/>
            <w:left w:val="none" w:sz="0" w:space="0" w:color="auto"/>
            <w:bottom w:val="none" w:sz="0" w:space="0" w:color="auto"/>
            <w:right w:val="none" w:sz="0" w:space="0" w:color="auto"/>
          </w:divBdr>
        </w:div>
      </w:divsChild>
    </w:div>
    <w:div w:id="1976523258">
      <w:bodyDiv w:val="1"/>
      <w:marLeft w:val="0"/>
      <w:marRight w:val="0"/>
      <w:marTop w:val="0"/>
      <w:marBottom w:val="0"/>
      <w:divBdr>
        <w:top w:val="none" w:sz="0" w:space="0" w:color="auto"/>
        <w:left w:val="none" w:sz="0" w:space="0" w:color="auto"/>
        <w:bottom w:val="none" w:sz="0" w:space="0" w:color="auto"/>
        <w:right w:val="none" w:sz="0" w:space="0" w:color="auto"/>
      </w:divBdr>
    </w:div>
    <w:div w:id="2021201424">
      <w:bodyDiv w:val="1"/>
      <w:marLeft w:val="0"/>
      <w:marRight w:val="0"/>
      <w:marTop w:val="0"/>
      <w:marBottom w:val="0"/>
      <w:divBdr>
        <w:top w:val="none" w:sz="0" w:space="0" w:color="auto"/>
        <w:left w:val="none" w:sz="0" w:space="0" w:color="auto"/>
        <w:bottom w:val="none" w:sz="0" w:space="0" w:color="auto"/>
        <w:right w:val="none" w:sz="0" w:space="0" w:color="auto"/>
      </w:divBdr>
      <w:divsChild>
        <w:div w:id="2114670734">
          <w:marLeft w:val="0"/>
          <w:marRight w:val="0"/>
          <w:marTop w:val="0"/>
          <w:marBottom w:val="0"/>
          <w:divBdr>
            <w:top w:val="none" w:sz="0" w:space="0" w:color="auto"/>
            <w:left w:val="none" w:sz="0" w:space="0" w:color="auto"/>
            <w:bottom w:val="none" w:sz="0" w:space="0" w:color="auto"/>
            <w:right w:val="none" w:sz="0" w:space="0" w:color="auto"/>
          </w:divBdr>
        </w:div>
      </w:divsChild>
    </w:div>
    <w:div w:id="2043438367">
      <w:bodyDiv w:val="1"/>
      <w:marLeft w:val="0"/>
      <w:marRight w:val="0"/>
      <w:marTop w:val="0"/>
      <w:marBottom w:val="0"/>
      <w:divBdr>
        <w:top w:val="none" w:sz="0" w:space="0" w:color="auto"/>
        <w:left w:val="none" w:sz="0" w:space="0" w:color="auto"/>
        <w:bottom w:val="none" w:sz="0" w:space="0" w:color="auto"/>
        <w:right w:val="none" w:sz="0" w:space="0" w:color="auto"/>
      </w:divBdr>
      <w:divsChild>
        <w:div w:id="1902671737">
          <w:marLeft w:val="0"/>
          <w:marRight w:val="0"/>
          <w:marTop w:val="0"/>
          <w:marBottom w:val="0"/>
          <w:divBdr>
            <w:top w:val="none" w:sz="0" w:space="0" w:color="auto"/>
            <w:left w:val="none" w:sz="0" w:space="0" w:color="auto"/>
            <w:bottom w:val="none" w:sz="0" w:space="0" w:color="auto"/>
            <w:right w:val="none" w:sz="0" w:space="0" w:color="auto"/>
          </w:divBdr>
        </w:div>
      </w:divsChild>
    </w:div>
    <w:div w:id="2043817877">
      <w:bodyDiv w:val="1"/>
      <w:marLeft w:val="0"/>
      <w:marRight w:val="0"/>
      <w:marTop w:val="0"/>
      <w:marBottom w:val="0"/>
      <w:divBdr>
        <w:top w:val="none" w:sz="0" w:space="0" w:color="auto"/>
        <w:left w:val="none" w:sz="0" w:space="0" w:color="auto"/>
        <w:bottom w:val="none" w:sz="0" w:space="0" w:color="auto"/>
        <w:right w:val="none" w:sz="0" w:space="0" w:color="auto"/>
      </w:divBdr>
    </w:div>
    <w:div w:id="2060547791">
      <w:bodyDiv w:val="1"/>
      <w:marLeft w:val="120"/>
      <w:marRight w:val="120"/>
      <w:marTop w:val="0"/>
      <w:marBottom w:val="0"/>
      <w:divBdr>
        <w:top w:val="none" w:sz="0" w:space="0" w:color="auto"/>
        <w:left w:val="none" w:sz="0" w:space="0" w:color="auto"/>
        <w:bottom w:val="none" w:sz="0" w:space="0" w:color="auto"/>
        <w:right w:val="none" w:sz="0" w:space="0" w:color="auto"/>
      </w:divBdr>
      <w:divsChild>
        <w:div w:id="697776118">
          <w:marLeft w:val="0"/>
          <w:marRight w:val="0"/>
          <w:marTop w:val="0"/>
          <w:marBottom w:val="0"/>
          <w:divBdr>
            <w:top w:val="none" w:sz="0" w:space="0" w:color="auto"/>
            <w:left w:val="none" w:sz="0" w:space="0" w:color="auto"/>
            <w:bottom w:val="none" w:sz="0" w:space="0" w:color="auto"/>
            <w:right w:val="none" w:sz="0" w:space="0" w:color="auto"/>
          </w:divBdr>
          <w:divsChild>
            <w:div w:id="15329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567141">
      <w:bodyDiv w:val="1"/>
      <w:marLeft w:val="120"/>
      <w:marRight w:val="120"/>
      <w:marTop w:val="0"/>
      <w:marBottom w:val="0"/>
      <w:divBdr>
        <w:top w:val="none" w:sz="0" w:space="0" w:color="auto"/>
        <w:left w:val="none" w:sz="0" w:space="0" w:color="auto"/>
        <w:bottom w:val="none" w:sz="0" w:space="0" w:color="auto"/>
        <w:right w:val="none" w:sz="0" w:space="0" w:color="auto"/>
      </w:divBdr>
      <w:divsChild>
        <w:div w:id="1044407179">
          <w:marLeft w:val="0"/>
          <w:marRight w:val="0"/>
          <w:marTop w:val="0"/>
          <w:marBottom w:val="0"/>
          <w:divBdr>
            <w:top w:val="none" w:sz="0" w:space="0" w:color="auto"/>
            <w:left w:val="none" w:sz="0" w:space="0" w:color="auto"/>
            <w:bottom w:val="none" w:sz="0" w:space="0" w:color="auto"/>
            <w:right w:val="none" w:sz="0" w:space="0" w:color="auto"/>
          </w:divBdr>
          <w:divsChild>
            <w:div w:id="5543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13373">
      <w:bodyDiv w:val="1"/>
      <w:marLeft w:val="0"/>
      <w:marRight w:val="0"/>
      <w:marTop w:val="0"/>
      <w:marBottom w:val="0"/>
      <w:divBdr>
        <w:top w:val="none" w:sz="0" w:space="0" w:color="auto"/>
        <w:left w:val="none" w:sz="0" w:space="0" w:color="auto"/>
        <w:bottom w:val="none" w:sz="0" w:space="0" w:color="auto"/>
        <w:right w:val="none" w:sz="0" w:space="0" w:color="auto"/>
      </w:divBdr>
    </w:div>
    <w:div w:id="2082865304">
      <w:bodyDiv w:val="1"/>
      <w:marLeft w:val="0"/>
      <w:marRight w:val="0"/>
      <w:marTop w:val="0"/>
      <w:marBottom w:val="0"/>
      <w:divBdr>
        <w:top w:val="none" w:sz="0" w:space="0" w:color="auto"/>
        <w:left w:val="none" w:sz="0" w:space="0" w:color="auto"/>
        <w:bottom w:val="none" w:sz="0" w:space="0" w:color="auto"/>
        <w:right w:val="none" w:sz="0" w:space="0" w:color="auto"/>
      </w:divBdr>
    </w:div>
    <w:div w:id="2112433467">
      <w:bodyDiv w:val="1"/>
      <w:marLeft w:val="0"/>
      <w:marRight w:val="0"/>
      <w:marTop w:val="0"/>
      <w:marBottom w:val="0"/>
      <w:divBdr>
        <w:top w:val="none" w:sz="0" w:space="0" w:color="auto"/>
        <w:left w:val="none" w:sz="0" w:space="0" w:color="auto"/>
        <w:bottom w:val="none" w:sz="0" w:space="0" w:color="auto"/>
        <w:right w:val="none" w:sz="0" w:space="0" w:color="auto"/>
      </w:divBdr>
      <w:divsChild>
        <w:div w:id="36584339">
          <w:marLeft w:val="0"/>
          <w:marRight w:val="0"/>
          <w:marTop w:val="0"/>
          <w:marBottom w:val="0"/>
          <w:divBdr>
            <w:top w:val="none" w:sz="0" w:space="0" w:color="auto"/>
            <w:left w:val="none" w:sz="0" w:space="0" w:color="auto"/>
            <w:bottom w:val="none" w:sz="0" w:space="0" w:color="auto"/>
            <w:right w:val="none" w:sz="0" w:space="0" w:color="auto"/>
          </w:divBdr>
        </w:div>
      </w:divsChild>
    </w:div>
    <w:div w:id="2123457953">
      <w:bodyDiv w:val="1"/>
      <w:marLeft w:val="120"/>
      <w:marRight w:val="120"/>
      <w:marTop w:val="0"/>
      <w:marBottom w:val="0"/>
      <w:divBdr>
        <w:top w:val="none" w:sz="0" w:space="0" w:color="auto"/>
        <w:left w:val="none" w:sz="0" w:space="0" w:color="auto"/>
        <w:bottom w:val="none" w:sz="0" w:space="0" w:color="auto"/>
        <w:right w:val="none" w:sz="0" w:space="0" w:color="auto"/>
      </w:divBdr>
      <w:divsChild>
        <w:div w:id="437600614">
          <w:marLeft w:val="0"/>
          <w:marRight w:val="0"/>
          <w:marTop w:val="0"/>
          <w:marBottom w:val="0"/>
          <w:divBdr>
            <w:top w:val="none" w:sz="0" w:space="0" w:color="auto"/>
            <w:left w:val="none" w:sz="0" w:space="0" w:color="auto"/>
            <w:bottom w:val="none" w:sz="0" w:space="0" w:color="auto"/>
            <w:right w:val="none" w:sz="0" w:space="0" w:color="auto"/>
          </w:divBdr>
          <w:divsChild>
            <w:div w:id="9275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23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el.kostev@iqvia.com" TargetMode="External"/><Relationship Id="rId11" Type="http://schemas.openxmlformats.org/officeDocument/2006/relationships/image" Target="media/image3.emf"/><Relationship Id="rId5" Type="http://schemas.openxmlformats.org/officeDocument/2006/relationships/endnotes" Target="endnotes.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24</Pages>
  <Words>26073</Words>
  <Characters>148620</Characters>
  <Application>Microsoft Office Word</Application>
  <DocSecurity>0</DocSecurity>
  <Lines>1238</Lines>
  <Paragraphs>348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174345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4</cp:revision>
  <dcterms:created xsi:type="dcterms:W3CDTF">2022-05-04T19:31:00Z</dcterms:created>
  <dcterms:modified xsi:type="dcterms:W3CDTF">2022-05-05T07:33:00Z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id="iuUG9SAN"/&gt;&lt;style id="http://www.zotero.org/styles/journal-of-alzheimers-disease" hasBibliography="1" bibliographyStyleHasBeenSet="1"/&gt;&lt;prefs&gt;&lt;pref name="fieldType" value="Field"/&gt;&lt;/prefs&gt;&lt;/data&gt;</vt:lpwstr>
  </property>
  <property fmtid="{D5CDD505-2E9C-101B-9397-08002B2CF9AE}" pid="3" name="ZOTERO_PREF_2">
    <vt:lpwstr/>
  </property>
</Properties>
</file>